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DB" w:rsidRPr="007B2462" w:rsidRDefault="007A09DB" w:rsidP="000A595E">
      <w:pPr>
        <w:pBdr>
          <w:bottom w:val="single" w:sz="12" w:space="0" w:color="auto"/>
        </w:pBdr>
        <w:spacing w:before="1560"/>
        <w:jc w:val="center"/>
        <w:rPr>
          <w:rFonts w:ascii="Calibri" w:hAnsi="Calibri"/>
          <w:b/>
          <w:sz w:val="52"/>
          <w:szCs w:val="52"/>
        </w:rPr>
      </w:pPr>
      <w:bookmarkStart w:id="0" w:name="_GoBack"/>
      <w:bookmarkEnd w:id="0"/>
      <w:r w:rsidRPr="007B2462">
        <w:rPr>
          <w:rFonts w:ascii="Calibri" w:hAnsi="Calibri"/>
          <w:b/>
          <w:sz w:val="52"/>
          <w:szCs w:val="52"/>
        </w:rPr>
        <w:t>Strategy and Outlook</w:t>
      </w:r>
    </w:p>
    <w:p w:rsidR="007A09DB" w:rsidRPr="007B2462" w:rsidRDefault="007A09DB" w:rsidP="000A595E">
      <w:pPr>
        <w:jc w:val="center"/>
        <w:rPr>
          <w:rFonts w:ascii="Calibri" w:hAnsi="Calibri"/>
          <w:b/>
          <w:sz w:val="52"/>
          <w:szCs w:val="52"/>
        </w:rPr>
      </w:pPr>
      <w:r w:rsidRPr="007B2462">
        <w:rPr>
          <w:rFonts w:ascii="Calibri" w:hAnsi="Calibri"/>
          <w:b/>
          <w:sz w:val="52"/>
          <w:szCs w:val="52"/>
        </w:rPr>
        <w:t>201</w:t>
      </w:r>
      <w:r>
        <w:rPr>
          <w:rFonts w:ascii="Calibri" w:hAnsi="Calibri"/>
          <w:b/>
          <w:sz w:val="52"/>
          <w:szCs w:val="52"/>
        </w:rPr>
        <w:t>6</w:t>
      </w:r>
      <w:r>
        <w:rPr>
          <w:rFonts w:ascii="Calibri" w:hAnsi="Calibri"/>
          <w:b/>
          <w:sz w:val="52"/>
          <w:szCs w:val="52"/>
        </w:rPr>
        <w:noBreakHyphen/>
        <w:t>17</w:t>
      </w:r>
    </w:p>
    <w:p w:rsidR="007A09DB" w:rsidRDefault="007A09DB" w:rsidP="000A595E">
      <w:pPr>
        <w:jc w:val="center"/>
        <w:rPr>
          <w:rFonts w:ascii="Calibri" w:hAnsi="Calibri"/>
          <w:sz w:val="30"/>
          <w:szCs w:val="30"/>
        </w:rPr>
      </w:pPr>
    </w:p>
    <w:p w:rsidR="007A09DB" w:rsidRPr="007B2462" w:rsidRDefault="007A09DB" w:rsidP="000A595E">
      <w:pPr>
        <w:jc w:val="center"/>
        <w:rPr>
          <w:rFonts w:ascii="Calibri" w:hAnsi="Calibri"/>
          <w:sz w:val="30"/>
          <w:szCs w:val="30"/>
        </w:rPr>
      </w:pPr>
    </w:p>
    <w:p w:rsidR="007A09DB" w:rsidRPr="007B2462" w:rsidRDefault="007A09DB" w:rsidP="000A595E">
      <w:pPr>
        <w:jc w:val="center"/>
      </w:pPr>
      <w:r w:rsidRPr="00D26163">
        <w:rPr>
          <w:rFonts w:ascii="Calibri" w:hAnsi="Calibri" w:cs="Calibri"/>
          <w:noProof/>
          <w:lang w:eastAsia="en-AU"/>
        </w:rPr>
        <w:drawing>
          <wp:inline distT="0" distB="0" distL="0" distR="0" wp14:anchorId="313F92FE" wp14:editId="6EF6D96F">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7A09DB" w:rsidRPr="007B2462" w:rsidRDefault="007A09DB" w:rsidP="000A595E">
      <w:pPr>
        <w:jc w:val="center"/>
        <w:rPr>
          <w:sz w:val="36"/>
          <w:szCs w:val="36"/>
        </w:rPr>
      </w:pPr>
    </w:p>
    <w:p w:rsidR="007A09DB" w:rsidRPr="007B2462" w:rsidRDefault="007A09DB" w:rsidP="000A595E">
      <w:pPr>
        <w:jc w:val="center"/>
        <w:rPr>
          <w:sz w:val="36"/>
          <w:szCs w:val="36"/>
        </w:rPr>
      </w:pPr>
    </w:p>
    <w:p w:rsidR="007A09DB" w:rsidRPr="007B2462" w:rsidRDefault="007A09DB" w:rsidP="000A595E">
      <w:pPr>
        <w:jc w:val="center"/>
        <w:rPr>
          <w:sz w:val="36"/>
          <w:szCs w:val="36"/>
        </w:rPr>
      </w:pPr>
    </w:p>
    <w:p w:rsidR="007A09DB" w:rsidRPr="007B2462" w:rsidRDefault="007A09DB" w:rsidP="000A595E">
      <w:pPr>
        <w:jc w:val="center"/>
        <w:rPr>
          <w:rFonts w:ascii="Calibri" w:hAnsi="Calibri"/>
          <w:sz w:val="28"/>
          <w:szCs w:val="28"/>
        </w:rPr>
      </w:pPr>
      <w:r w:rsidRPr="007B2462">
        <w:rPr>
          <w:rFonts w:ascii="Calibri" w:hAnsi="Calibri"/>
          <w:sz w:val="28"/>
          <w:szCs w:val="28"/>
        </w:rPr>
        <w:t>Presented by</w:t>
      </w:r>
    </w:p>
    <w:p w:rsidR="007A09DB" w:rsidRPr="00D26163" w:rsidRDefault="007A09DB" w:rsidP="000A595E">
      <w:pPr>
        <w:jc w:val="center"/>
        <w:rPr>
          <w:rFonts w:ascii="Calibri" w:hAnsi="Calibri" w:cs="Calibri"/>
          <w:b/>
          <w:sz w:val="36"/>
          <w:szCs w:val="36"/>
        </w:rPr>
      </w:pPr>
      <w:r w:rsidRPr="00D26163">
        <w:rPr>
          <w:rFonts w:ascii="Calibri" w:hAnsi="Calibri" w:cs="Calibri"/>
          <w:b/>
          <w:sz w:val="36"/>
          <w:szCs w:val="36"/>
        </w:rPr>
        <w:t>Tim Pallas MP</w:t>
      </w:r>
    </w:p>
    <w:p w:rsidR="007A09DB" w:rsidRPr="00D26163" w:rsidRDefault="007A09DB" w:rsidP="000A595E">
      <w:pPr>
        <w:jc w:val="center"/>
        <w:rPr>
          <w:rFonts w:ascii="Calibri" w:hAnsi="Calibri" w:cs="Calibri"/>
          <w:sz w:val="28"/>
          <w:szCs w:val="28"/>
        </w:rPr>
      </w:pPr>
      <w:r w:rsidRPr="00D26163">
        <w:rPr>
          <w:rFonts w:ascii="Calibri" w:hAnsi="Calibri" w:cs="Calibri"/>
          <w:sz w:val="28"/>
          <w:szCs w:val="28"/>
        </w:rPr>
        <w:t>Treasurer of the State of Victoria</w:t>
      </w:r>
    </w:p>
    <w:p w:rsidR="007A09DB" w:rsidRPr="007B2462" w:rsidRDefault="007A09DB" w:rsidP="000A595E">
      <w:pPr>
        <w:jc w:val="center"/>
        <w:rPr>
          <w:rFonts w:ascii="Calibri" w:hAnsi="Calibri"/>
          <w:sz w:val="30"/>
          <w:szCs w:val="30"/>
        </w:rPr>
      </w:pPr>
      <w:r w:rsidRPr="007B2462">
        <w:rPr>
          <w:rFonts w:ascii="Calibri" w:hAnsi="Calibri"/>
          <w:sz w:val="30"/>
          <w:szCs w:val="30"/>
        </w:rPr>
        <w:t>for the information of Honourable Members</w:t>
      </w:r>
    </w:p>
    <w:p w:rsidR="007A09DB" w:rsidRPr="007B2462" w:rsidRDefault="007A09DB" w:rsidP="000A595E">
      <w:pPr>
        <w:jc w:val="center"/>
        <w:rPr>
          <w:rFonts w:ascii="Calibri" w:hAnsi="Calibri"/>
          <w:sz w:val="36"/>
          <w:szCs w:val="36"/>
        </w:rPr>
      </w:pPr>
    </w:p>
    <w:p w:rsidR="007A09DB" w:rsidRPr="007B2462" w:rsidRDefault="007A09DB" w:rsidP="000A595E">
      <w:pPr>
        <w:jc w:val="center"/>
        <w:rPr>
          <w:rFonts w:ascii="Calibri" w:hAnsi="Calibri"/>
          <w:b/>
          <w:sz w:val="36"/>
          <w:szCs w:val="36"/>
        </w:rPr>
      </w:pPr>
      <w:r w:rsidRPr="007B2462">
        <w:rPr>
          <w:rFonts w:ascii="Calibri" w:hAnsi="Calibri"/>
          <w:b/>
          <w:sz w:val="36"/>
          <w:szCs w:val="36"/>
        </w:rPr>
        <w:t xml:space="preserve">Budget Paper </w:t>
      </w:r>
      <w:r>
        <w:rPr>
          <w:rFonts w:ascii="Calibri" w:hAnsi="Calibri"/>
          <w:b/>
          <w:sz w:val="36"/>
          <w:szCs w:val="36"/>
        </w:rPr>
        <w:t>No. </w:t>
      </w:r>
      <w:r w:rsidRPr="007B2462">
        <w:rPr>
          <w:rFonts w:ascii="Calibri" w:hAnsi="Calibri"/>
          <w:b/>
          <w:sz w:val="36"/>
          <w:szCs w:val="36"/>
        </w:rPr>
        <w:t>2</w:t>
      </w:r>
    </w:p>
    <w:p w:rsidR="0081406B" w:rsidRDefault="0081406B" w:rsidP="0081406B">
      <w:bookmarkStart w:id="1" w:name="OLE_LINK1"/>
      <w:bookmarkStart w:id="2" w:name="OLE_LINK2"/>
    </w:p>
    <w:p w:rsidR="0081406B" w:rsidRDefault="0081406B" w:rsidP="0081406B">
      <w:pPr>
        <w:autoSpaceDE w:val="0"/>
        <w:autoSpaceDN w:val="0"/>
        <w:adjustRightInd w:val="0"/>
        <w:spacing w:after="0"/>
        <w:rPr>
          <w:rFonts w:asciiTheme="minorHAnsi" w:hAnsiTheme="minorHAnsi" w:cs="VIC-Light"/>
          <w:sz w:val="14"/>
          <w:szCs w:val="14"/>
          <w:lang w:eastAsia="en-AU"/>
        </w:rPr>
        <w:sectPr w:rsidR="0081406B" w:rsidSect="00F302FC">
          <w:footerReference w:type="even" r:id="rId10"/>
          <w:footerReference w:type="default" r:id="rId11"/>
          <w:type w:val="oddPage"/>
          <w:pgSz w:w="9979" w:h="14181" w:code="138"/>
          <w:pgMar w:top="1138" w:right="1138" w:bottom="1138" w:left="1138" w:header="720" w:footer="432" w:gutter="0"/>
          <w:cols w:space="708"/>
          <w:docGrid w:linePitch="360"/>
        </w:sectPr>
      </w:pP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lastRenderedPageBreak/>
        <w:t>The Secretary</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Melbourne, Victoria, 3002</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Australia</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Tel: +61 3 9651 5111</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Fax: +61 3 9651 2062</w:t>
      </w:r>
    </w:p>
    <w:p w:rsidR="0081406B"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Website: budget.vic.gov.au</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Authorised by the Victorian Government</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 Melbourne, 3002</w:t>
      </w:r>
    </w:p>
    <w:p w:rsidR="0081406B" w:rsidRDefault="0081406B" w:rsidP="0081406B">
      <w:pPr>
        <w:autoSpaceDE w:val="0"/>
        <w:autoSpaceDN w:val="0"/>
        <w:adjustRightInd w:val="0"/>
        <w:spacing w:after="0"/>
        <w:rPr>
          <w:rFonts w:asciiTheme="minorHAnsi" w:hAnsiTheme="minorHAnsi" w:cs="VIC-Light"/>
          <w:sz w:val="14"/>
          <w:szCs w:val="14"/>
          <w:lang w:eastAsia="en-AU"/>
        </w:rPr>
      </w:pP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by Doculink, Port Melbourne</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on recycled paper</w:t>
      </w:r>
    </w:p>
    <w:p w:rsidR="0081406B" w:rsidRDefault="0081406B" w:rsidP="0081406B">
      <w:pPr>
        <w:autoSpaceDE w:val="0"/>
        <w:autoSpaceDN w:val="0"/>
        <w:adjustRightInd w:val="0"/>
        <w:spacing w:after="0"/>
        <w:rPr>
          <w:rFonts w:asciiTheme="minorHAnsi" w:hAnsiTheme="minorHAnsi" w:cs="VIC-Light"/>
          <w:sz w:val="14"/>
          <w:szCs w:val="14"/>
          <w:lang w:eastAsia="en-AU"/>
        </w:rPr>
      </w:pP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This publication makes reference to the</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2016-17 Budget paper set which includes:</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1 – Treasurer’s Speech</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2 – Strategy and Outlook</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3 – Service Delivery</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4 – State Capital Program</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5 – Statement of Finances</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(incorporating Quarterly Financial Report No. 3)</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Pr>
          <w:rFonts w:asciiTheme="minorHAnsi" w:hAnsiTheme="minorHAnsi" w:cs="VIC-Light"/>
          <w:sz w:val="14"/>
          <w:szCs w:val="14"/>
          <w:lang w:eastAsia="en-AU"/>
        </w:rPr>
        <w:br w:type="column"/>
      </w:r>
      <w:r w:rsidRPr="002378DF">
        <w:rPr>
          <w:rFonts w:asciiTheme="minorHAnsi" w:hAnsiTheme="minorHAnsi" w:cs="VIC-Light"/>
          <w:sz w:val="14"/>
          <w:szCs w:val="14"/>
          <w:lang w:eastAsia="en-AU"/>
        </w:rPr>
        <w:lastRenderedPageBreak/>
        <w:t>© State of Victoria 2016</w:t>
      </w:r>
    </w:p>
    <w:p w:rsidR="0081406B"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p>
    <w:p w:rsidR="0081406B" w:rsidRPr="002378DF" w:rsidRDefault="0081406B" w:rsidP="0081406B">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You are free to re-use this work under a</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Creative Commons Attribution 4.0 licence,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provided y</w:t>
      </w:r>
      <w:r>
        <w:rPr>
          <w:rFonts w:asciiTheme="minorHAnsi" w:hAnsiTheme="minorHAnsi" w:cs="VIC-Light"/>
          <w:sz w:val="14"/>
          <w:szCs w:val="14"/>
          <w:lang w:eastAsia="en-AU"/>
        </w:rPr>
        <w:t xml:space="preserve">ou credit the State of Victoria </w:t>
      </w:r>
      <w:r w:rsidRPr="002378DF">
        <w:rPr>
          <w:rFonts w:asciiTheme="minorHAnsi" w:hAnsiTheme="minorHAnsi" w:cs="VIC-Light"/>
          <w:sz w:val="14"/>
          <w:szCs w:val="14"/>
          <w:lang w:eastAsia="en-AU"/>
        </w:rPr>
        <w:t>(Depa</w:t>
      </w:r>
      <w:r>
        <w:rPr>
          <w:rFonts w:asciiTheme="minorHAnsi" w:hAnsiTheme="minorHAnsi" w:cs="VIC-Light"/>
          <w:sz w:val="14"/>
          <w:szCs w:val="14"/>
          <w:lang w:eastAsia="en-AU"/>
        </w:rPr>
        <w:t xml:space="preserve">rtment of Treasury and Finance) </w:t>
      </w:r>
      <w:r w:rsidRPr="002378DF">
        <w:rPr>
          <w:rFonts w:asciiTheme="minorHAnsi" w:hAnsiTheme="minorHAnsi" w:cs="VIC-Light"/>
          <w:sz w:val="14"/>
          <w:szCs w:val="14"/>
          <w:lang w:eastAsia="en-AU"/>
        </w:rPr>
        <w:t>as author, indicate if changes were made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and comply with the other licence terms.</w:t>
      </w:r>
    </w:p>
    <w:p w:rsidR="0081406B" w:rsidRPr="002378DF" w:rsidRDefault="0081406B" w:rsidP="0081406B">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The licence does not apply to any branding,</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including Government logos.</w:t>
      </w:r>
    </w:p>
    <w:p w:rsidR="0081406B" w:rsidRDefault="0081406B" w:rsidP="0081406B">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Copyright queries may be directed to</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IPpolicy@dtf.vic.gov.au.</w:t>
      </w:r>
    </w:p>
    <w:p w:rsidR="0081406B" w:rsidRPr="002378DF" w:rsidRDefault="0081406B" w:rsidP="0081406B">
      <w:pPr>
        <w:autoSpaceDE w:val="0"/>
        <w:autoSpaceDN w:val="0"/>
        <w:adjustRightInd w:val="0"/>
        <w:spacing w:after="0"/>
        <w:ind w:right="977"/>
        <w:rPr>
          <w:rFonts w:asciiTheme="minorHAnsi" w:hAnsiTheme="minorHAnsi" w:cs="VIC-Light"/>
          <w:sz w:val="14"/>
          <w:szCs w:val="14"/>
          <w:lang w:eastAsia="en-AU"/>
        </w:rPr>
      </w:pPr>
    </w:p>
    <w:p w:rsidR="0081406B" w:rsidRDefault="0081406B" w:rsidP="0081406B">
      <w:pPr>
        <w:autoSpaceDE w:val="0"/>
        <w:autoSpaceDN w:val="0"/>
        <w:adjustRightInd w:val="0"/>
        <w:spacing w:after="0"/>
        <w:rPr>
          <w:rFonts w:asciiTheme="minorHAnsi" w:hAnsiTheme="minorHAnsi" w:cs="VIC-Light"/>
          <w:sz w:val="14"/>
          <w:szCs w:val="14"/>
          <w:lang w:eastAsia="en-AU"/>
        </w:rPr>
      </w:pPr>
      <w:r>
        <w:rPr>
          <w:noProof/>
          <w:lang w:eastAsia="en-AU"/>
        </w:rPr>
        <w:drawing>
          <wp:inline distT="0" distB="0" distL="0" distR="0" wp14:anchorId="43ECE6F1" wp14:editId="72648C48">
            <wp:extent cx="812800" cy="285287"/>
            <wp:effectExtent l="0" t="0" r="6350" b="635"/>
            <wp:docPr id="2" name="Picture 2"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3668" cy="285592"/>
                    </a:xfrm>
                    <a:prstGeom prst="rect">
                      <a:avLst/>
                    </a:prstGeom>
                    <a:noFill/>
                    <a:ln>
                      <a:noFill/>
                    </a:ln>
                  </pic:spPr>
                </pic:pic>
              </a:graphicData>
            </a:graphic>
          </wp:inline>
        </w:drawing>
      </w:r>
    </w:p>
    <w:p w:rsidR="0081406B" w:rsidRDefault="0081406B" w:rsidP="0081406B">
      <w:pPr>
        <w:autoSpaceDE w:val="0"/>
        <w:autoSpaceDN w:val="0"/>
        <w:adjustRightInd w:val="0"/>
        <w:spacing w:after="0"/>
        <w:rPr>
          <w:rFonts w:asciiTheme="minorHAnsi" w:hAnsiTheme="minorHAnsi" w:cs="VIC-Light"/>
          <w:sz w:val="14"/>
          <w:szCs w:val="14"/>
          <w:lang w:eastAsia="en-AU"/>
        </w:rPr>
      </w:pPr>
    </w:p>
    <w:p w:rsidR="0081406B" w:rsidRPr="002378DF"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2204-9185 (print)</w:t>
      </w:r>
    </w:p>
    <w:p w:rsidR="0081406B" w:rsidRDefault="0081406B" w:rsidP="0081406B">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2204-9177 (online)</w:t>
      </w:r>
    </w:p>
    <w:p w:rsidR="007A09DB" w:rsidRDefault="0081406B" w:rsidP="000A595E">
      <w:pPr>
        <w:rPr>
          <w:rFonts w:ascii="Calibri" w:hAnsi="Calibri" w:cs="VIC-Light"/>
          <w:sz w:val="14"/>
          <w:szCs w:val="14"/>
          <w:lang w:eastAsia="en-AU"/>
        </w:rPr>
      </w:pPr>
      <w:r w:rsidRPr="002378DF">
        <w:rPr>
          <w:rFonts w:ascii="Calibri" w:hAnsi="Calibri" w:cs="VIC-Light"/>
          <w:sz w:val="14"/>
          <w:szCs w:val="14"/>
          <w:lang w:eastAsia="en-AU"/>
        </w:rPr>
        <w:t>Published April 2016</w:t>
      </w:r>
    </w:p>
    <w:bookmarkEnd w:id="1"/>
    <w:bookmarkEnd w:id="2"/>
    <w:p w:rsidR="0081406B" w:rsidRPr="0081406B" w:rsidRDefault="0081406B" w:rsidP="000A595E">
      <w:pPr>
        <w:rPr>
          <w:rFonts w:ascii="Calibri" w:hAnsi="Calibri"/>
        </w:rPr>
      </w:pPr>
    </w:p>
    <w:p w:rsidR="007A09DB" w:rsidRPr="007B2462" w:rsidRDefault="007A09DB" w:rsidP="000A595E">
      <w:pPr>
        <w:sectPr w:rsidR="007A09DB" w:rsidRPr="007B2462" w:rsidSect="0081406B">
          <w:footerReference w:type="even" r:id="rId13"/>
          <w:footerReference w:type="default" r:id="rId14"/>
          <w:pgSz w:w="9979" w:h="14181" w:code="34"/>
          <w:pgMar w:top="1138" w:right="1138" w:bottom="1138" w:left="1138" w:header="720" w:footer="432" w:gutter="0"/>
          <w:cols w:num="2" w:space="708"/>
          <w:vAlign w:val="bottom"/>
          <w:docGrid w:linePitch="360"/>
        </w:sectPr>
      </w:pPr>
    </w:p>
    <w:p w:rsidR="007A09DB" w:rsidRPr="007B2462" w:rsidRDefault="007A09DB" w:rsidP="000A595E">
      <w:pPr>
        <w:pStyle w:val="TableofContentsheading"/>
      </w:pPr>
      <w:r w:rsidRPr="007B2462">
        <w:lastRenderedPageBreak/>
        <w:t>Table of contents</w:t>
      </w:r>
    </w:p>
    <w:p w:rsidR="007A09DB" w:rsidRDefault="007A09DB">
      <w:pPr>
        <w:pStyle w:val="TOC1"/>
        <w:rPr>
          <w:rFonts w:asciiTheme="minorHAnsi" w:eastAsiaTheme="minorEastAsia" w:hAnsiTheme="minorHAnsi" w:cstheme="minorBidi"/>
          <w:b w:val="0"/>
          <w:noProof/>
          <w:sz w:val="22"/>
          <w:szCs w:val="22"/>
          <w:lang w:eastAsia="en-AU"/>
        </w:rPr>
      </w:pPr>
      <w:r w:rsidRPr="007B2462">
        <w:fldChar w:fldCharType="begin"/>
      </w:r>
      <w:r w:rsidRPr="007B2462">
        <w:instrText xml:space="preserve"> TOC \h \z \t "Heading 1,2,Chapter Heading,1" </w:instrText>
      </w:r>
      <w:r w:rsidRPr="007B2462">
        <w:fldChar w:fldCharType="separate"/>
      </w:r>
      <w:hyperlink w:anchor="_Toc449123049" w:history="1">
        <w:r w:rsidRPr="00D06EFC">
          <w:rPr>
            <w:rStyle w:val="Hyperlink"/>
            <w:noProof/>
          </w:rPr>
          <w:t>Chapter 1 – Economic and fiscal overview</w:t>
        </w:r>
        <w:r>
          <w:rPr>
            <w:noProof/>
            <w:webHidden/>
          </w:rPr>
          <w:tab/>
        </w:r>
        <w:r>
          <w:rPr>
            <w:noProof/>
            <w:webHidden/>
          </w:rPr>
          <w:fldChar w:fldCharType="begin"/>
        </w:r>
        <w:r>
          <w:rPr>
            <w:noProof/>
            <w:webHidden/>
          </w:rPr>
          <w:instrText xml:space="preserve"> PAGEREF _Toc449123049 \h </w:instrText>
        </w:r>
        <w:r>
          <w:rPr>
            <w:noProof/>
            <w:webHidden/>
          </w:rPr>
        </w:r>
        <w:r>
          <w:rPr>
            <w:noProof/>
            <w:webHidden/>
          </w:rPr>
          <w:fldChar w:fldCharType="separate"/>
        </w:r>
        <w:r w:rsidR="00AE778A">
          <w:rPr>
            <w:noProof/>
            <w:webHidden/>
          </w:rPr>
          <w:t>1</w:t>
        </w:r>
        <w:r>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0" w:history="1">
        <w:r w:rsidR="007A09DB" w:rsidRPr="00D06EFC">
          <w:rPr>
            <w:rStyle w:val="Hyperlink"/>
            <w:rFonts w:eastAsiaTheme="minorHAnsi"/>
            <w:noProof/>
          </w:rPr>
          <w:t>A strong, diverse economy</w:t>
        </w:r>
        <w:r w:rsidR="007A09DB">
          <w:rPr>
            <w:noProof/>
            <w:webHidden/>
          </w:rPr>
          <w:tab/>
        </w:r>
        <w:r w:rsidR="007A09DB">
          <w:rPr>
            <w:noProof/>
            <w:webHidden/>
          </w:rPr>
          <w:fldChar w:fldCharType="begin"/>
        </w:r>
        <w:r w:rsidR="007A09DB">
          <w:rPr>
            <w:noProof/>
            <w:webHidden/>
          </w:rPr>
          <w:instrText xml:space="preserve"> PAGEREF _Toc449123050 \h </w:instrText>
        </w:r>
        <w:r w:rsidR="007A09DB">
          <w:rPr>
            <w:noProof/>
            <w:webHidden/>
          </w:rPr>
        </w:r>
        <w:r w:rsidR="007A09DB">
          <w:rPr>
            <w:noProof/>
            <w:webHidden/>
          </w:rPr>
          <w:fldChar w:fldCharType="separate"/>
        </w:r>
        <w:r w:rsidR="00AE778A">
          <w:rPr>
            <w:noProof/>
            <w:webHidden/>
          </w:rPr>
          <w:t>2</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1" w:history="1">
        <w:r w:rsidR="007A09DB" w:rsidRPr="00D06EFC">
          <w:rPr>
            <w:rStyle w:val="Hyperlink"/>
            <w:rFonts w:eastAsiaTheme="minorHAnsi"/>
            <w:noProof/>
          </w:rPr>
          <w:t>Addressing family violence</w:t>
        </w:r>
        <w:r w:rsidR="007A09DB">
          <w:rPr>
            <w:noProof/>
            <w:webHidden/>
          </w:rPr>
          <w:tab/>
        </w:r>
        <w:r w:rsidR="007A09DB">
          <w:rPr>
            <w:noProof/>
            <w:webHidden/>
          </w:rPr>
          <w:fldChar w:fldCharType="begin"/>
        </w:r>
        <w:r w:rsidR="007A09DB">
          <w:rPr>
            <w:noProof/>
            <w:webHidden/>
          </w:rPr>
          <w:instrText xml:space="preserve"> PAGEREF _Toc449123051 \h </w:instrText>
        </w:r>
        <w:r w:rsidR="007A09DB">
          <w:rPr>
            <w:noProof/>
            <w:webHidden/>
          </w:rPr>
        </w:r>
        <w:r w:rsidR="007A09DB">
          <w:rPr>
            <w:noProof/>
            <w:webHidden/>
          </w:rPr>
          <w:fldChar w:fldCharType="separate"/>
        </w:r>
        <w:r w:rsidR="00AE778A">
          <w:rPr>
            <w:noProof/>
            <w:webHidden/>
          </w:rPr>
          <w:t>10</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2" w:history="1">
        <w:r w:rsidR="007A09DB" w:rsidRPr="00D06EFC">
          <w:rPr>
            <w:rStyle w:val="Hyperlink"/>
            <w:rFonts w:eastAsiaTheme="minorHAnsi"/>
            <w:noProof/>
          </w:rPr>
          <w:t>Providing the services that people need</w:t>
        </w:r>
        <w:r w:rsidR="007A09DB">
          <w:rPr>
            <w:noProof/>
            <w:webHidden/>
          </w:rPr>
          <w:tab/>
        </w:r>
        <w:r w:rsidR="007A09DB">
          <w:rPr>
            <w:noProof/>
            <w:webHidden/>
          </w:rPr>
          <w:fldChar w:fldCharType="begin"/>
        </w:r>
        <w:r w:rsidR="007A09DB">
          <w:rPr>
            <w:noProof/>
            <w:webHidden/>
          </w:rPr>
          <w:instrText xml:space="preserve"> PAGEREF _Toc449123052 \h </w:instrText>
        </w:r>
        <w:r w:rsidR="007A09DB">
          <w:rPr>
            <w:noProof/>
            <w:webHidden/>
          </w:rPr>
        </w:r>
        <w:r w:rsidR="007A09DB">
          <w:rPr>
            <w:noProof/>
            <w:webHidden/>
          </w:rPr>
          <w:fldChar w:fldCharType="separate"/>
        </w:r>
        <w:r w:rsidR="00AE778A">
          <w:rPr>
            <w:noProof/>
            <w:webHidden/>
          </w:rPr>
          <w:t>11</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3" w:history="1">
        <w:r w:rsidR="007A09DB" w:rsidRPr="00D06EFC">
          <w:rPr>
            <w:rStyle w:val="Hyperlink"/>
            <w:rFonts w:eastAsiaTheme="minorHAnsi"/>
            <w:noProof/>
          </w:rPr>
          <w:t>Responsible financial management</w:t>
        </w:r>
        <w:r w:rsidR="007A09DB">
          <w:rPr>
            <w:noProof/>
            <w:webHidden/>
          </w:rPr>
          <w:tab/>
        </w:r>
        <w:r w:rsidR="007A09DB">
          <w:rPr>
            <w:noProof/>
            <w:webHidden/>
          </w:rPr>
          <w:fldChar w:fldCharType="begin"/>
        </w:r>
        <w:r w:rsidR="007A09DB">
          <w:rPr>
            <w:noProof/>
            <w:webHidden/>
          </w:rPr>
          <w:instrText xml:space="preserve"> PAGEREF _Toc449123053 \h </w:instrText>
        </w:r>
        <w:r w:rsidR="007A09DB">
          <w:rPr>
            <w:noProof/>
            <w:webHidden/>
          </w:rPr>
        </w:r>
        <w:r w:rsidR="007A09DB">
          <w:rPr>
            <w:noProof/>
            <w:webHidden/>
          </w:rPr>
          <w:fldChar w:fldCharType="separate"/>
        </w:r>
        <w:r w:rsidR="00AE778A">
          <w:rPr>
            <w:noProof/>
            <w:webHidden/>
          </w:rPr>
          <w:t>13</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54" w:history="1">
        <w:r w:rsidR="007A09DB" w:rsidRPr="00D06EFC">
          <w:rPr>
            <w:rStyle w:val="Hyperlink"/>
            <w:noProof/>
          </w:rPr>
          <w:t>Chapter 2 – Economic context</w:t>
        </w:r>
        <w:r w:rsidR="007A09DB">
          <w:rPr>
            <w:noProof/>
            <w:webHidden/>
          </w:rPr>
          <w:tab/>
        </w:r>
        <w:r w:rsidR="007A09DB">
          <w:rPr>
            <w:noProof/>
            <w:webHidden/>
          </w:rPr>
          <w:fldChar w:fldCharType="begin"/>
        </w:r>
        <w:r w:rsidR="007A09DB">
          <w:rPr>
            <w:noProof/>
            <w:webHidden/>
          </w:rPr>
          <w:instrText xml:space="preserve"> PAGEREF _Toc449123054 \h </w:instrText>
        </w:r>
        <w:r w:rsidR="007A09DB">
          <w:rPr>
            <w:noProof/>
            <w:webHidden/>
          </w:rPr>
        </w:r>
        <w:r w:rsidR="007A09DB">
          <w:rPr>
            <w:noProof/>
            <w:webHidden/>
          </w:rPr>
          <w:fldChar w:fldCharType="separate"/>
        </w:r>
        <w:r w:rsidR="00AE778A">
          <w:rPr>
            <w:noProof/>
            <w:webHidden/>
          </w:rPr>
          <w:t>15</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5" w:history="1">
        <w:r w:rsidR="007A09DB" w:rsidRPr="00D06EFC">
          <w:rPr>
            <w:rStyle w:val="Hyperlink"/>
            <w:rFonts w:eastAsiaTheme="minorHAnsi"/>
            <w:noProof/>
          </w:rPr>
          <w:t>Victorian economic conditions and outlook</w:t>
        </w:r>
        <w:r w:rsidR="007A09DB">
          <w:rPr>
            <w:noProof/>
            <w:webHidden/>
          </w:rPr>
          <w:tab/>
        </w:r>
        <w:r w:rsidR="007A09DB">
          <w:rPr>
            <w:noProof/>
            <w:webHidden/>
          </w:rPr>
          <w:fldChar w:fldCharType="begin"/>
        </w:r>
        <w:r w:rsidR="007A09DB">
          <w:rPr>
            <w:noProof/>
            <w:webHidden/>
          </w:rPr>
          <w:instrText xml:space="preserve"> PAGEREF _Toc449123055 \h </w:instrText>
        </w:r>
        <w:r w:rsidR="007A09DB">
          <w:rPr>
            <w:noProof/>
            <w:webHidden/>
          </w:rPr>
        </w:r>
        <w:r w:rsidR="007A09DB">
          <w:rPr>
            <w:noProof/>
            <w:webHidden/>
          </w:rPr>
          <w:fldChar w:fldCharType="separate"/>
        </w:r>
        <w:r w:rsidR="00AE778A">
          <w:rPr>
            <w:noProof/>
            <w:webHidden/>
          </w:rPr>
          <w:t>15</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6" w:history="1">
        <w:r w:rsidR="007A09DB" w:rsidRPr="00D06EFC">
          <w:rPr>
            <w:rStyle w:val="Hyperlink"/>
            <w:rFonts w:eastAsiaTheme="minorHAnsi"/>
            <w:noProof/>
          </w:rPr>
          <w:t>The Victorian labour market</w:t>
        </w:r>
        <w:r w:rsidR="007A09DB">
          <w:rPr>
            <w:noProof/>
            <w:webHidden/>
          </w:rPr>
          <w:tab/>
        </w:r>
        <w:r w:rsidR="007A09DB">
          <w:rPr>
            <w:noProof/>
            <w:webHidden/>
          </w:rPr>
          <w:fldChar w:fldCharType="begin"/>
        </w:r>
        <w:r w:rsidR="007A09DB">
          <w:rPr>
            <w:noProof/>
            <w:webHidden/>
          </w:rPr>
          <w:instrText xml:space="preserve"> PAGEREF _Toc449123056 \h </w:instrText>
        </w:r>
        <w:r w:rsidR="007A09DB">
          <w:rPr>
            <w:noProof/>
            <w:webHidden/>
          </w:rPr>
        </w:r>
        <w:r w:rsidR="007A09DB">
          <w:rPr>
            <w:noProof/>
            <w:webHidden/>
          </w:rPr>
          <w:fldChar w:fldCharType="separate"/>
        </w:r>
        <w:r w:rsidR="00AE778A">
          <w:rPr>
            <w:noProof/>
            <w:webHidden/>
          </w:rPr>
          <w:t>18</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7" w:history="1">
        <w:r w:rsidR="007A09DB" w:rsidRPr="00D06EFC">
          <w:rPr>
            <w:rStyle w:val="Hyperlink"/>
            <w:rFonts w:eastAsiaTheme="minorHAnsi"/>
            <w:noProof/>
          </w:rPr>
          <w:t>Australian economic conditions and outlook</w:t>
        </w:r>
        <w:r w:rsidR="007A09DB">
          <w:rPr>
            <w:noProof/>
            <w:webHidden/>
          </w:rPr>
          <w:tab/>
        </w:r>
        <w:r w:rsidR="007A09DB">
          <w:rPr>
            <w:noProof/>
            <w:webHidden/>
          </w:rPr>
          <w:fldChar w:fldCharType="begin"/>
        </w:r>
        <w:r w:rsidR="007A09DB">
          <w:rPr>
            <w:noProof/>
            <w:webHidden/>
          </w:rPr>
          <w:instrText xml:space="preserve"> PAGEREF _Toc449123057 \h </w:instrText>
        </w:r>
        <w:r w:rsidR="007A09DB">
          <w:rPr>
            <w:noProof/>
            <w:webHidden/>
          </w:rPr>
        </w:r>
        <w:r w:rsidR="007A09DB">
          <w:rPr>
            <w:noProof/>
            <w:webHidden/>
          </w:rPr>
          <w:fldChar w:fldCharType="separate"/>
        </w:r>
        <w:r w:rsidR="00AE778A">
          <w:rPr>
            <w:noProof/>
            <w:webHidden/>
          </w:rPr>
          <w:t>22</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8" w:history="1">
        <w:r w:rsidR="007A09DB" w:rsidRPr="00D06EFC">
          <w:rPr>
            <w:rStyle w:val="Hyperlink"/>
            <w:rFonts w:eastAsiaTheme="minorHAnsi"/>
            <w:noProof/>
          </w:rPr>
          <w:t>International economic conditions and outlook</w:t>
        </w:r>
        <w:r w:rsidR="007A09DB">
          <w:rPr>
            <w:noProof/>
            <w:webHidden/>
          </w:rPr>
          <w:tab/>
        </w:r>
        <w:r w:rsidR="007A09DB">
          <w:rPr>
            <w:noProof/>
            <w:webHidden/>
          </w:rPr>
          <w:fldChar w:fldCharType="begin"/>
        </w:r>
        <w:r w:rsidR="007A09DB">
          <w:rPr>
            <w:noProof/>
            <w:webHidden/>
          </w:rPr>
          <w:instrText xml:space="preserve"> PAGEREF _Toc449123058 \h </w:instrText>
        </w:r>
        <w:r w:rsidR="007A09DB">
          <w:rPr>
            <w:noProof/>
            <w:webHidden/>
          </w:rPr>
        </w:r>
        <w:r w:rsidR="007A09DB">
          <w:rPr>
            <w:noProof/>
            <w:webHidden/>
          </w:rPr>
          <w:fldChar w:fldCharType="separate"/>
        </w:r>
        <w:r w:rsidR="00AE778A">
          <w:rPr>
            <w:noProof/>
            <w:webHidden/>
          </w:rPr>
          <w:t>23</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59" w:history="1">
        <w:r w:rsidR="007A09DB" w:rsidRPr="00D06EFC">
          <w:rPr>
            <w:rStyle w:val="Hyperlink"/>
            <w:rFonts w:eastAsiaTheme="minorHAnsi"/>
            <w:noProof/>
          </w:rPr>
          <w:t>Risks to the outlook</w:t>
        </w:r>
        <w:r w:rsidR="007A09DB">
          <w:rPr>
            <w:noProof/>
            <w:webHidden/>
          </w:rPr>
          <w:tab/>
        </w:r>
        <w:r w:rsidR="007A09DB">
          <w:rPr>
            <w:noProof/>
            <w:webHidden/>
          </w:rPr>
          <w:fldChar w:fldCharType="begin"/>
        </w:r>
        <w:r w:rsidR="007A09DB">
          <w:rPr>
            <w:noProof/>
            <w:webHidden/>
          </w:rPr>
          <w:instrText xml:space="preserve"> PAGEREF _Toc449123059 \h </w:instrText>
        </w:r>
        <w:r w:rsidR="007A09DB">
          <w:rPr>
            <w:noProof/>
            <w:webHidden/>
          </w:rPr>
        </w:r>
        <w:r w:rsidR="007A09DB">
          <w:rPr>
            <w:noProof/>
            <w:webHidden/>
          </w:rPr>
          <w:fldChar w:fldCharType="separate"/>
        </w:r>
        <w:r w:rsidR="00AE778A">
          <w:rPr>
            <w:noProof/>
            <w:webHidden/>
          </w:rPr>
          <w:t>24</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60" w:history="1">
        <w:r w:rsidR="007A09DB" w:rsidRPr="00D06EFC">
          <w:rPr>
            <w:rStyle w:val="Hyperlink"/>
            <w:noProof/>
          </w:rPr>
          <w:t>Chapter 3 – Medium term asset investment strategy</w:t>
        </w:r>
        <w:r w:rsidR="007A09DB">
          <w:rPr>
            <w:noProof/>
            <w:webHidden/>
          </w:rPr>
          <w:tab/>
        </w:r>
        <w:r w:rsidR="007A09DB">
          <w:rPr>
            <w:noProof/>
            <w:webHidden/>
          </w:rPr>
          <w:fldChar w:fldCharType="begin"/>
        </w:r>
        <w:r w:rsidR="007A09DB">
          <w:rPr>
            <w:noProof/>
            <w:webHidden/>
          </w:rPr>
          <w:instrText xml:space="preserve"> PAGEREF _Toc449123060 \h </w:instrText>
        </w:r>
        <w:r w:rsidR="007A09DB">
          <w:rPr>
            <w:noProof/>
            <w:webHidden/>
          </w:rPr>
        </w:r>
        <w:r w:rsidR="007A09DB">
          <w:rPr>
            <w:noProof/>
            <w:webHidden/>
          </w:rPr>
          <w:fldChar w:fldCharType="separate"/>
        </w:r>
        <w:r w:rsidR="00AE778A">
          <w:rPr>
            <w:noProof/>
            <w:webHidden/>
          </w:rPr>
          <w:t>27</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1" w:history="1">
        <w:r w:rsidR="007A09DB" w:rsidRPr="00D06EFC">
          <w:rPr>
            <w:rStyle w:val="Hyperlink"/>
            <w:rFonts w:eastAsiaTheme="minorHAnsi"/>
            <w:noProof/>
          </w:rPr>
          <w:t>Demand for capital investment</w:t>
        </w:r>
        <w:r w:rsidR="007A09DB">
          <w:rPr>
            <w:noProof/>
            <w:webHidden/>
          </w:rPr>
          <w:tab/>
        </w:r>
        <w:r w:rsidR="007A09DB">
          <w:rPr>
            <w:noProof/>
            <w:webHidden/>
          </w:rPr>
          <w:fldChar w:fldCharType="begin"/>
        </w:r>
        <w:r w:rsidR="007A09DB">
          <w:rPr>
            <w:noProof/>
            <w:webHidden/>
          </w:rPr>
          <w:instrText xml:space="preserve"> PAGEREF _Toc449123061 \h </w:instrText>
        </w:r>
        <w:r w:rsidR="007A09DB">
          <w:rPr>
            <w:noProof/>
            <w:webHidden/>
          </w:rPr>
        </w:r>
        <w:r w:rsidR="007A09DB">
          <w:rPr>
            <w:noProof/>
            <w:webHidden/>
          </w:rPr>
          <w:fldChar w:fldCharType="separate"/>
        </w:r>
        <w:r w:rsidR="00AE778A">
          <w:rPr>
            <w:noProof/>
            <w:webHidden/>
          </w:rPr>
          <w:t>28</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2" w:history="1">
        <w:r w:rsidR="007A09DB" w:rsidRPr="00D06EFC">
          <w:rPr>
            <w:rStyle w:val="Hyperlink"/>
            <w:rFonts w:eastAsiaTheme="minorHAnsi"/>
            <w:noProof/>
          </w:rPr>
          <w:t>Existing commitments</w:t>
        </w:r>
        <w:r w:rsidR="007A09DB">
          <w:rPr>
            <w:noProof/>
            <w:webHidden/>
          </w:rPr>
          <w:tab/>
        </w:r>
        <w:r w:rsidR="007A09DB">
          <w:rPr>
            <w:noProof/>
            <w:webHidden/>
          </w:rPr>
          <w:fldChar w:fldCharType="begin"/>
        </w:r>
        <w:r w:rsidR="007A09DB">
          <w:rPr>
            <w:noProof/>
            <w:webHidden/>
          </w:rPr>
          <w:instrText xml:space="preserve"> PAGEREF _Toc449123062 \h </w:instrText>
        </w:r>
        <w:r w:rsidR="007A09DB">
          <w:rPr>
            <w:noProof/>
            <w:webHidden/>
          </w:rPr>
        </w:r>
        <w:r w:rsidR="007A09DB">
          <w:rPr>
            <w:noProof/>
            <w:webHidden/>
          </w:rPr>
          <w:fldChar w:fldCharType="separate"/>
        </w:r>
        <w:r w:rsidR="00AE778A">
          <w:rPr>
            <w:noProof/>
            <w:webHidden/>
          </w:rPr>
          <w:t>30</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3" w:history="1">
        <w:r w:rsidR="007A09DB" w:rsidRPr="00D06EFC">
          <w:rPr>
            <w:rStyle w:val="Hyperlink"/>
            <w:rFonts w:eastAsiaTheme="minorHAnsi"/>
            <w:noProof/>
          </w:rPr>
          <w:t>Capital capacity</w:t>
        </w:r>
        <w:r w:rsidR="007A09DB">
          <w:rPr>
            <w:noProof/>
            <w:webHidden/>
          </w:rPr>
          <w:tab/>
        </w:r>
        <w:r w:rsidR="007A09DB">
          <w:rPr>
            <w:noProof/>
            <w:webHidden/>
          </w:rPr>
          <w:fldChar w:fldCharType="begin"/>
        </w:r>
        <w:r w:rsidR="007A09DB">
          <w:rPr>
            <w:noProof/>
            <w:webHidden/>
          </w:rPr>
          <w:instrText xml:space="preserve"> PAGEREF _Toc449123063 \h </w:instrText>
        </w:r>
        <w:r w:rsidR="007A09DB">
          <w:rPr>
            <w:noProof/>
            <w:webHidden/>
          </w:rPr>
        </w:r>
        <w:r w:rsidR="007A09DB">
          <w:rPr>
            <w:noProof/>
            <w:webHidden/>
          </w:rPr>
          <w:fldChar w:fldCharType="separate"/>
        </w:r>
        <w:r w:rsidR="00AE778A">
          <w:rPr>
            <w:noProof/>
            <w:webHidden/>
          </w:rPr>
          <w:t>34</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4" w:history="1">
        <w:r w:rsidR="007A09DB" w:rsidRPr="00D06EFC">
          <w:rPr>
            <w:rStyle w:val="Hyperlink"/>
            <w:rFonts w:eastAsiaTheme="minorHAnsi"/>
            <w:noProof/>
          </w:rPr>
          <w:t>10 year capital program</w:t>
        </w:r>
        <w:r w:rsidR="007A09DB">
          <w:rPr>
            <w:noProof/>
            <w:webHidden/>
          </w:rPr>
          <w:tab/>
        </w:r>
        <w:r w:rsidR="007A09DB">
          <w:rPr>
            <w:noProof/>
            <w:webHidden/>
          </w:rPr>
          <w:fldChar w:fldCharType="begin"/>
        </w:r>
        <w:r w:rsidR="007A09DB">
          <w:rPr>
            <w:noProof/>
            <w:webHidden/>
          </w:rPr>
          <w:instrText xml:space="preserve"> PAGEREF _Toc449123064 \h </w:instrText>
        </w:r>
        <w:r w:rsidR="007A09DB">
          <w:rPr>
            <w:noProof/>
            <w:webHidden/>
          </w:rPr>
        </w:r>
        <w:r w:rsidR="007A09DB">
          <w:rPr>
            <w:noProof/>
            <w:webHidden/>
          </w:rPr>
          <w:fldChar w:fldCharType="separate"/>
        </w:r>
        <w:r w:rsidR="00AE778A">
          <w:rPr>
            <w:noProof/>
            <w:webHidden/>
          </w:rPr>
          <w:t>40</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65" w:history="1">
        <w:r w:rsidR="007A09DB" w:rsidRPr="00D06EFC">
          <w:rPr>
            <w:rStyle w:val="Hyperlink"/>
            <w:noProof/>
          </w:rPr>
          <w:t>Chapter 4 – Budget position and outlook</w:t>
        </w:r>
        <w:r w:rsidR="007A09DB">
          <w:rPr>
            <w:noProof/>
            <w:webHidden/>
          </w:rPr>
          <w:tab/>
        </w:r>
        <w:r w:rsidR="007A09DB">
          <w:rPr>
            <w:noProof/>
            <w:webHidden/>
          </w:rPr>
          <w:fldChar w:fldCharType="begin"/>
        </w:r>
        <w:r w:rsidR="007A09DB">
          <w:rPr>
            <w:noProof/>
            <w:webHidden/>
          </w:rPr>
          <w:instrText xml:space="preserve"> PAGEREF _Toc449123065 \h </w:instrText>
        </w:r>
        <w:r w:rsidR="007A09DB">
          <w:rPr>
            <w:noProof/>
            <w:webHidden/>
          </w:rPr>
        </w:r>
        <w:r w:rsidR="007A09DB">
          <w:rPr>
            <w:noProof/>
            <w:webHidden/>
          </w:rPr>
          <w:fldChar w:fldCharType="separate"/>
        </w:r>
        <w:r w:rsidR="00AE778A">
          <w:rPr>
            <w:noProof/>
            <w:webHidden/>
          </w:rPr>
          <w:t>43</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6" w:history="1">
        <w:r w:rsidR="007A09DB" w:rsidRPr="00D06EFC">
          <w:rPr>
            <w:rStyle w:val="Hyperlink"/>
            <w:rFonts w:eastAsiaTheme="minorHAnsi"/>
            <w:noProof/>
          </w:rPr>
          <w:t>General government sector</w:t>
        </w:r>
        <w:r w:rsidR="007A09DB">
          <w:rPr>
            <w:noProof/>
            <w:webHidden/>
          </w:rPr>
          <w:tab/>
        </w:r>
        <w:r w:rsidR="007A09DB">
          <w:rPr>
            <w:noProof/>
            <w:webHidden/>
          </w:rPr>
          <w:fldChar w:fldCharType="begin"/>
        </w:r>
        <w:r w:rsidR="007A09DB">
          <w:rPr>
            <w:noProof/>
            <w:webHidden/>
          </w:rPr>
          <w:instrText xml:space="preserve"> PAGEREF _Toc449123066 \h </w:instrText>
        </w:r>
        <w:r w:rsidR="007A09DB">
          <w:rPr>
            <w:noProof/>
            <w:webHidden/>
          </w:rPr>
        </w:r>
        <w:r w:rsidR="007A09DB">
          <w:rPr>
            <w:noProof/>
            <w:webHidden/>
          </w:rPr>
          <w:fldChar w:fldCharType="separate"/>
        </w:r>
        <w:r w:rsidR="00AE778A">
          <w:rPr>
            <w:noProof/>
            <w:webHidden/>
          </w:rPr>
          <w:t>44</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7" w:history="1">
        <w:r w:rsidR="007A09DB" w:rsidRPr="00D06EFC">
          <w:rPr>
            <w:rStyle w:val="Hyperlink"/>
            <w:rFonts w:eastAsiaTheme="minorHAnsi"/>
            <w:noProof/>
          </w:rPr>
          <w:t>Budget and forward estimates outlook</w:t>
        </w:r>
        <w:r w:rsidR="007A09DB">
          <w:rPr>
            <w:noProof/>
            <w:webHidden/>
          </w:rPr>
          <w:tab/>
        </w:r>
        <w:r w:rsidR="007A09DB">
          <w:rPr>
            <w:noProof/>
            <w:webHidden/>
          </w:rPr>
          <w:fldChar w:fldCharType="begin"/>
        </w:r>
        <w:r w:rsidR="007A09DB">
          <w:rPr>
            <w:noProof/>
            <w:webHidden/>
          </w:rPr>
          <w:instrText xml:space="preserve"> PAGEREF _Toc449123067 \h </w:instrText>
        </w:r>
        <w:r w:rsidR="007A09DB">
          <w:rPr>
            <w:noProof/>
            <w:webHidden/>
          </w:rPr>
        </w:r>
        <w:r w:rsidR="007A09DB">
          <w:rPr>
            <w:noProof/>
            <w:webHidden/>
          </w:rPr>
          <w:fldChar w:fldCharType="separate"/>
        </w:r>
        <w:r w:rsidR="00AE778A">
          <w:rPr>
            <w:noProof/>
            <w:webHidden/>
          </w:rPr>
          <w:t>45</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68" w:history="1">
        <w:r w:rsidR="007A09DB" w:rsidRPr="00D06EFC">
          <w:rPr>
            <w:rStyle w:val="Hyperlink"/>
            <w:rFonts w:eastAsiaTheme="minorHAnsi"/>
            <w:noProof/>
          </w:rPr>
          <w:t>Fiscal risks</w:t>
        </w:r>
        <w:r w:rsidR="007A09DB">
          <w:rPr>
            <w:noProof/>
            <w:webHidden/>
          </w:rPr>
          <w:tab/>
        </w:r>
        <w:r w:rsidR="007A09DB">
          <w:rPr>
            <w:noProof/>
            <w:webHidden/>
          </w:rPr>
          <w:fldChar w:fldCharType="begin"/>
        </w:r>
        <w:r w:rsidR="007A09DB">
          <w:rPr>
            <w:noProof/>
            <w:webHidden/>
          </w:rPr>
          <w:instrText xml:space="preserve"> PAGEREF _Toc449123068 \h </w:instrText>
        </w:r>
        <w:r w:rsidR="007A09DB">
          <w:rPr>
            <w:noProof/>
            <w:webHidden/>
          </w:rPr>
        </w:r>
        <w:r w:rsidR="007A09DB">
          <w:rPr>
            <w:noProof/>
            <w:webHidden/>
          </w:rPr>
          <w:fldChar w:fldCharType="separate"/>
        </w:r>
        <w:r w:rsidR="00AE778A">
          <w:rPr>
            <w:noProof/>
            <w:webHidden/>
          </w:rPr>
          <w:t>57</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69" w:history="1">
        <w:r w:rsidR="007A09DB" w:rsidRPr="00D06EFC">
          <w:rPr>
            <w:rStyle w:val="Hyperlink"/>
            <w:noProof/>
          </w:rPr>
          <w:t>Chapter 5 – Position and outlook of the broader public sector</w:t>
        </w:r>
        <w:r w:rsidR="007A09DB">
          <w:rPr>
            <w:noProof/>
            <w:webHidden/>
          </w:rPr>
          <w:tab/>
        </w:r>
        <w:r w:rsidR="007A09DB">
          <w:rPr>
            <w:noProof/>
            <w:webHidden/>
          </w:rPr>
          <w:fldChar w:fldCharType="begin"/>
        </w:r>
        <w:r w:rsidR="007A09DB">
          <w:rPr>
            <w:noProof/>
            <w:webHidden/>
          </w:rPr>
          <w:instrText xml:space="preserve"> PAGEREF _Toc449123069 \h </w:instrText>
        </w:r>
        <w:r w:rsidR="007A09DB">
          <w:rPr>
            <w:noProof/>
            <w:webHidden/>
          </w:rPr>
        </w:r>
        <w:r w:rsidR="007A09DB">
          <w:rPr>
            <w:noProof/>
            <w:webHidden/>
          </w:rPr>
          <w:fldChar w:fldCharType="separate"/>
        </w:r>
        <w:r w:rsidR="00AE778A">
          <w:rPr>
            <w:noProof/>
            <w:webHidden/>
          </w:rPr>
          <w:t>61</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70" w:history="1">
        <w:r w:rsidR="007A09DB" w:rsidRPr="00D06EFC">
          <w:rPr>
            <w:rStyle w:val="Hyperlink"/>
            <w:noProof/>
          </w:rPr>
          <w:t>Application of cash resources</w:t>
        </w:r>
        <w:r w:rsidR="007A09DB">
          <w:rPr>
            <w:noProof/>
            <w:webHidden/>
          </w:rPr>
          <w:tab/>
        </w:r>
        <w:r w:rsidR="007A09DB">
          <w:rPr>
            <w:noProof/>
            <w:webHidden/>
          </w:rPr>
          <w:fldChar w:fldCharType="begin"/>
        </w:r>
        <w:r w:rsidR="007A09DB">
          <w:rPr>
            <w:noProof/>
            <w:webHidden/>
          </w:rPr>
          <w:instrText xml:space="preserve"> PAGEREF _Toc449123070 \h </w:instrText>
        </w:r>
        <w:r w:rsidR="007A09DB">
          <w:rPr>
            <w:noProof/>
            <w:webHidden/>
          </w:rPr>
        </w:r>
        <w:r w:rsidR="007A09DB">
          <w:rPr>
            <w:noProof/>
            <w:webHidden/>
          </w:rPr>
          <w:fldChar w:fldCharType="separate"/>
        </w:r>
        <w:r w:rsidR="00AE778A">
          <w:rPr>
            <w:noProof/>
            <w:webHidden/>
          </w:rPr>
          <w:t>64</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71" w:history="1">
        <w:r w:rsidR="007A09DB" w:rsidRPr="00D06EFC">
          <w:rPr>
            <w:rStyle w:val="Hyperlink"/>
            <w:noProof/>
          </w:rPr>
          <w:t>Non</w:t>
        </w:r>
        <w:r w:rsidR="007A09DB" w:rsidRPr="00D06EFC">
          <w:rPr>
            <w:rStyle w:val="Hyperlink"/>
            <w:noProof/>
          </w:rPr>
          <w:noBreakHyphen/>
          <w:t>financial public sector net debt and net financial liabilities</w:t>
        </w:r>
        <w:r w:rsidR="007A09DB">
          <w:rPr>
            <w:noProof/>
            <w:webHidden/>
          </w:rPr>
          <w:tab/>
        </w:r>
        <w:r w:rsidR="007A09DB">
          <w:rPr>
            <w:noProof/>
            <w:webHidden/>
          </w:rPr>
          <w:fldChar w:fldCharType="begin"/>
        </w:r>
        <w:r w:rsidR="007A09DB">
          <w:rPr>
            <w:noProof/>
            <w:webHidden/>
          </w:rPr>
          <w:instrText xml:space="preserve"> PAGEREF _Toc449123071 \h </w:instrText>
        </w:r>
        <w:r w:rsidR="007A09DB">
          <w:rPr>
            <w:noProof/>
            <w:webHidden/>
          </w:rPr>
        </w:r>
        <w:r w:rsidR="007A09DB">
          <w:rPr>
            <w:noProof/>
            <w:webHidden/>
          </w:rPr>
          <w:fldChar w:fldCharType="separate"/>
        </w:r>
        <w:r w:rsidR="00AE778A">
          <w:rPr>
            <w:noProof/>
            <w:webHidden/>
          </w:rPr>
          <w:t>65</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72" w:history="1">
        <w:r w:rsidR="007A09DB" w:rsidRPr="00D06EFC">
          <w:rPr>
            <w:rStyle w:val="Hyperlink"/>
            <w:noProof/>
          </w:rPr>
          <w:t>State of Victoria – financial position</w:t>
        </w:r>
        <w:r w:rsidR="007A09DB">
          <w:rPr>
            <w:noProof/>
            <w:webHidden/>
          </w:rPr>
          <w:tab/>
        </w:r>
        <w:r w:rsidR="007A09DB">
          <w:rPr>
            <w:noProof/>
            <w:webHidden/>
          </w:rPr>
          <w:fldChar w:fldCharType="begin"/>
        </w:r>
        <w:r w:rsidR="007A09DB">
          <w:rPr>
            <w:noProof/>
            <w:webHidden/>
          </w:rPr>
          <w:instrText xml:space="preserve"> PAGEREF _Toc449123072 \h </w:instrText>
        </w:r>
        <w:r w:rsidR="007A09DB">
          <w:rPr>
            <w:noProof/>
            <w:webHidden/>
          </w:rPr>
        </w:r>
        <w:r w:rsidR="007A09DB">
          <w:rPr>
            <w:noProof/>
            <w:webHidden/>
          </w:rPr>
          <w:fldChar w:fldCharType="separate"/>
        </w:r>
        <w:r w:rsidR="00AE778A">
          <w:rPr>
            <w:noProof/>
            <w:webHidden/>
          </w:rPr>
          <w:t>69</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73" w:history="1">
        <w:r w:rsidR="007A09DB" w:rsidRPr="00D06EFC">
          <w:rPr>
            <w:rStyle w:val="Hyperlink"/>
            <w:noProof/>
          </w:rPr>
          <w:t>Appendix A – Sensitivity analysis</w:t>
        </w:r>
        <w:r w:rsidR="007A09DB">
          <w:rPr>
            <w:noProof/>
            <w:webHidden/>
          </w:rPr>
          <w:tab/>
        </w:r>
        <w:r w:rsidR="007A09DB">
          <w:rPr>
            <w:noProof/>
            <w:webHidden/>
          </w:rPr>
          <w:fldChar w:fldCharType="begin"/>
        </w:r>
        <w:r w:rsidR="007A09DB">
          <w:rPr>
            <w:noProof/>
            <w:webHidden/>
          </w:rPr>
          <w:instrText xml:space="preserve"> PAGEREF _Toc449123073 \h </w:instrText>
        </w:r>
        <w:r w:rsidR="007A09DB">
          <w:rPr>
            <w:noProof/>
            <w:webHidden/>
          </w:rPr>
        </w:r>
        <w:r w:rsidR="007A09DB">
          <w:rPr>
            <w:noProof/>
            <w:webHidden/>
          </w:rPr>
          <w:fldChar w:fldCharType="separate"/>
        </w:r>
        <w:r w:rsidR="00AE778A">
          <w:rPr>
            <w:noProof/>
            <w:webHidden/>
          </w:rPr>
          <w:t>71</w:t>
        </w:r>
        <w:r w:rsidR="007A09DB">
          <w:rPr>
            <w:noProof/>
            <w:webHidden/>
          </w:rPr>
          <w:fldChar w:fldCharType="end"/>
        </w:r>
      </w:hyperlink>
    </w:p>
    <w:p w:rsidR="007A09DB" w:rsidRDefault="00D71529">
      <w:pPr>
        <w:pStyle w:val="TOC2"/>
        <w:rPr>
          <w:rFonts w:asciiTheme="minorHAnsi" w:eastAsiaTheme="minorEastAsia" w:hAnsiTheme="minorHAnsi" w:cstheme="minorBidi"/>
          <w:noProof/>
          <w:sz w:val="22"/>
          <w:szCs w:val="22"/>
          <w:lang w:eastAsia="en-AU"/>
        </w:rPr>
      </w:pPr>
      <w:hyperlink w:anchor="_Toc449123074" w:history="1">
        <w:r w:rsidR="007A09DB" w:rsidRPr="00D06EFC">
          <w:rPr>
            <w:rStyle w:val="Hyperlink"/>
            <w:noProof/>
          </w:rPr>
          <w:t>Sensitivity to variations in the economic outlook</w:t>
        </w:r>
        <w:r w:rsidR="007A09DB">
          <w:rPr>
            <w:noProof/>
            <w:webHidden/>
          </w:rPr>
          <w:tab/>
        </w:r>
        <w:r w:rsidR="007A09DB">
          <w:rPr>
            <w:noProof/>
            <w:webHidden/>
          </w:rPr>
          <w:fldChar w:fldCharType="begin"/>
        </w:r>
        <w:r w:rsidR="007A09DB">
          <w:rPr>
            <w:noProof/>
            <w:webHidden/>
          </w:rPr>
          <w:instrText xml:space="preserve"> PAGEREF _Toc449123074 \h </w:instrText>
        </w:r>
        <w:r w:rsidR="007A09DB">
          <w:rPr>
            <w:noProof/>
            <w:webHidden/>
          </w:rPr>
        </w:r>
        <w:r w:rsidR="007A09DB">
          <w:rPr>
            <w:noProof/>
            <w:webHidden/>
          </w:rPr>
          <w:fldChar w:fldCharType="separate"/>
        </w:r>
        <w:r w:rsidR="00AE778A">
          <w:rPr>
            <w:noProof/>
            <w:webHidden/>
          </w:rPr>
          <w:t>80</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75" w:history="1">
        <w:r w:rsidR="007A09DB" w:rsidRPr="00D06EFC">
          <w:rPr>
            <w:rStyle w:val="Hyperlink"/>
            <w:noProof/>
          </w:rPr>
          <w:t>Style conventions</w:t>
        </w:r>
        <w:r w:rsidR="007A09DB">
          <w:rPr>
            <w:noProof/>
            <w:webHidden/>
          </w:rPr>
          <w:tab/>
        </w:r>
        <w:r w:rsidR="007A09DB">
          <w:rPr>
            <w:noProof/>
            <w:webHidden/>
          </w:rPr>
          <w:fldChar w:fldCharType="begin"/>
        </w:r>
        <w:r w:rsidR="007A09DB">
          <w:rPr>
            <w:noProof/>
            <w:webHidden/>
          </w:rPr>
          <w:instrText xml:space="preserve"> PAGEREF _Toc449123075 \h </w:instrText>
        </w:r>
        <w:r w:rsidR="007A09DB">
          <w:rPr>
            <w:noProof/>
            <w:webHidden/>
          </w:rPr>
        </w:r>
        <w:r w:rsidR="007A09DB">
          <w:rPr>
            <w:noProof/>
            <w:webHidden/>
          </w:rPr>
          <w:fldChar w:fldCharType="separate"/>
        </w:r>
        <w:r w:rsidR="00AE778A">
          <w:rPr>
            <w:noProof/>
            <w:webHidden/>
          </w:rPr>
          <w:t>85</w:t>
        </w:r>
        <w:r w:rsidR="007A09DB">
          <w:rPr>
            <w:noProof/>
            <w:webHidden/>
          </w:rPr>
          <w:fldChar w:fldCharType="end"/>
        </w:r>
      </w:hyperlink>
    </w:p>
    <w:p w:rsidR="007A09DB" w:rsidRDefault="00D71529">
      <w:pPr>
        <w:pStyle w:val="TOC1"/>
        <w:rPr>
          <w:rFonts w:asciiTheme="minorHAnsi" w:eastAsiaTheme="minorEastAsia" w:hAnsiTheme="minorHAnsi" w:cstheme="minorBidi"/>
          <w:b w:val="0"/>
          <w:noProof/>
          <w:sz w:val="22"/>
          <w:szCs w:val="22"/>
          <w:lang w:eastAsia="en-AU"/>
        </w:rPr>
      </w:pPr>
      <w:hyperlink w:anchor="_Toc449123076" w:history="1">
        <w:r w:rsidR="007A09DB" w:rsidRPr="00D06EFC">
          <w:rPr>
            <w:rStyle w:val="Hyperlink"/>
            <w:noProof/>
          </w:rPr>
          <w:t>Index</w:t>
        </w:r>
        <w:r w:rsidR="007A09DB">
          <w:rPr>
            <w:noProof/>
            <w:webHidden/>
          </w:rPr>
          <w:tab/>
        </w:r>
        <w:r w:rsidR="007A09DB">
          <w:rPr>
            <w:noProof/>
            <w:webHidden/>
          </w:rPr>
          <w:fldChar w:fldCharType="begin"/>
        </w:r>
        <w:r w:rsidR="007A09DB">
          <w:rPr>
            <w:noProof/>
            <w:webHidden/>
          </w:rPr>
          <w:instrText xml:space="preserve"> PAGEREF _Toc449123076 \h </w:instrText>
        </w:r>
        <w:r w:rsidR="007A09DB">
          <w:rPr>
            <w:noProof/>
            <w:webHidden/>
          </w:rPr>
        </w:r>
        <w:r w:rsidR="007A09DB">
          <w:rPr>
            <w:noProof/>
            <w:webHidden/>
          </w:rPr>
          <w:fldChar w:fldCharType="separate"/>
        </w:r>
        <w:r w:rsidR="00AE778A">
          <w:rPr>
            <w:noProof/>
            <w:webHidden/>
          </w:rPr>
          <w:t>87</w:t>
        </w:r>
        <w:r w:rsidR="007A09DB">
          <w:rPr>
            <w:noProof/>
            <w:webHidden/>
          </w:rPr>
          <w:fldChar w:fldCharType="end"/>
        </w:r>
      </w:hyperlink>
    </w:p>
    <w:p w:rsidR="007A09DB" w:rsidRPr="007B2462" w:rsidRDefault="007A09DB" w:rsidP="000A595E">
      <w:r w:rsidRPr="007B2462">
        <w:fldChar w:fldCharType="end"/>
      </w:r>
    </w:p>
    <w:p w:rsidR="007A09DB" w:rsidRPr="007B2462" w:rsidRDefault="007A09DB" w:rsidP="000A595E"/>
    <w:p w:rsidR="007A09DB" w:rsidRDefault="007A09DB" w:rsidP="00614836">
      <w:pPr>
        <w:rPr>
          <w:rFonts w:eastAsiaTheme="minorHAnsi"/>
        </w:rPr>
        <w:sectPr w:rsidR="007A09DB" w:rsidSect="000A595E">
          <w:footerReference w:type="even" r:id="rId15"/>
          <w:footerReference w:type="default" r:id="rId16"/>
          <w:type w:val="oddPage"/>
          <w:pgSz w:w="9979" w:h="14181" w:code="138"/>
          <w:pgMar w:top="1138" w:right="1138" w:bottom="1138" w:left="1138" w:header="720" w:footer="432" w:gutter="0"/>
          <w:pgNumType w:fmt="lowerRoman" w:start="1"/>
          <w:cols w:space="708"/>
          <w:docGrid w:linePitch="360"/>
        </w:sectPr>
      </w:pPr>
    </w:p>
    <w:p w:rsidR="007A09DB" w:rsidRPr="00375BEC" w:rsidRDefault="007A09DB" w:rsidP="00375BEC">
      <w:pPr>
        <w:pStyle w:val="ChapterHeading"/>
      </w:pPr>
      <w:bookmarkStart w:id="3" w:name="_Toc449123049"/>
      <w:r>
        <w:lastRenderedPageBreak/>
        <w:t xml:space="preserve">Chapter 1 – </w:t>
      </w:r>
      <w:r w:rsidRPr="00375BEC">
        <w:t>Economic and fiscal overview</w:t>
      </w:r>
      <w:bookmarkEnd w:id="3"/>
    </w:p>
    <w:p w:rsidR="007A09DB" w:rsidRDefault="007A09DB" w:rsidP="00CF46C8">
      <w:pPr>
        <w:rPr>
          <w:rFonts w:eastAsiaTheme="minorHAnsi"/>
        </w:rPr>
      </w:pPr>
      <w:r>
        <w:rPr>
          <w:rFonts w:eastAsiaTheme="minorHAnsi"/>
        </w:rPr>
        <w:t>The Government’</w:t>
      </w:r>
      <w:r w:rsidRPr="009A11AA">
        <w:rPr>
          <w:rFonts w:eastAsiaTheme="minorHAnsi"/>
        </w:rPr>
        <w:t>s second budget makes significant and prudent investments in services and in</w:t>
      </w:r>
      <w:r>
        <w:rPr>
          <w:rFonts w:eastAsiaTheme="minorHAnsi"/>
        </w:rPr>
        <w:t>frastructure to ensure Victoria’</w:t>
      </w:r>
      <w:r w:rsidRPr="009A11AA">
        <w:rPr>
          <w:rFonts w:eastAsiaTheme="minorHAnsi"/>
        </w:rPr>
        <w:t>s continued strong growth, prosperity and wellbeing.</w:t>
      </w:r>
    </w:p>
    <w:p w:rsidR="007A09DB" w:rsidRPr="00BE2F61" w:rsidRDefault="007A09DB" w:rsidP="00BE2F61">
      <w:pPr>
        <w:rPr>
          <w:rFonts w:eastAsiaTheme="minorHAnsi"/>
        </w:rPr>
      </w:pPr>
      <w:r w:rsidRPr="00BE2F61">
        <w:rPr>
          <w:rFonts w:eastAsiaTheme="minorHAnsi"/>
        </w:rPr>
        <w:t>The Victorian economy is growing faster and stronger than any other in the country. Since the</w:t>
      </w:r>
      <w:r>
        <w:rPr>
          <w:rFonts w:eastAsiaTheme="minorHAnsi"/>
        </w:rPr>
        <w:t xml:space="preserve"> Government was elected over 112</w:t>
      </w:r>
      <w:r w:rsidRPr="00BE2F61">
        <w:rPr>
          <w:rFonts w:eastAsiaTheme="minorHAnsi"/>
        </w:rPr>
        <w:t xml:space="preserve"> 000 new jobs have been added to the Victorian economy, including the creation of over 71 000 full time jobs. The number of Victorians with a job exceeded 3</w:t>
      </w:r>
      <w:r>
        <w:rPr>
          <w:rFonts w:eastAsiaTheme="minorHAnsi"/>
        </w:rPr>
        <w:t> million</w:t>
      </w:r>
      <w:r w:rsidRPr="00BE2F61">
        <w:rPr>
          <w:rFonts w:eastAsiaTheme="minorHAnsi"/>
        </w:rPr>
        <w:t xml:space="preserve"> for the first time in March 2016.</w:t>
      </w:r>
    </w:p>
    <w:p w:rsidR="007A09DB" w:rsidRDefault="007A09DB" w:rsidP="00BE2F61">
      <w:pPr>
        <w:rPr>
          <w:rFonts w:eastAsiaTheme="minorHAnsi"/>
        </w:rPr>
      </w:pPr>
      <w:bookmarkStart w:id="4" w:name="BP2GSP1"/>
      <w:bookmarkStart w:id="5" w:name="BP2PopG1"/>
      <w:r w:rsidRPr="00BE2F61">
        <w:rPr>
          <w:rFonts w:eastAsiaTheme="minorHAnsi"/>
        </w:rPr>
        <w:t>In 2016</w:t>
      </w:r>
      <w:r>
        <w:rPr>
          <w:rFonts w:eastAsiaTheme="minorHAnsi"/>
        </w:rPr>
        <w:noBreakHyphen/>
      </w:r>
      <w:r w:rsidRPr="00BE2F61">
        <w:rPr>
          <w:rFonts w:eastAsiaTheme="minorHAnsi"/>
        </w:rPr>
        <w:t>17 Victoria</w:t>
      </w:r>
      <w:r>
        <w:rPr>
          <w:rFonts w:eastAsiaTheme="minorHAnsi"/>
        </w:rPr>
        <w:t>’</w:t>
      </w:r>
      <w:r w:rsidRPr="00BE2F61">
        <w:rPr>
          <w:rFonts w:eastAsiaTheme="minorHAnsi"/>
        </w:rPr>
        <w:t>s gross state product (GSP) growth is forecast to remain above trend at 3</w:t>
      </w:r>
      <w:r>
        <w:rPr>
          <w:rFonts w:eastAsiaTheme="minorHAnsi"/>
        </w:rPr>
        <w:t> per cent</w:t>
      </w:r>
      <w:r w:rsidRPr="00BE2F61">
        <w:rPr>
          <w:rFonts w:eastAsiaTheme="minorHAnsi"/>
        </w:rPr>
        <w:t>, reflecting solid business investment</w:t>
      </w:r>
      <w:r>
        <w:rPr>
          <w:rFonts w:eastAsiaTheme="minorHAnsi"/>
        </w:rPr>
        <w:fldChar w:fldCharType="begin"/>
      </w:r>
      <w:r>
        <w:instrText xml:space="preserve"> XE "</w:instrText>
      </w:r>
      <w:r w:rsidRPr="008F4853">
        <w:rPr>
          <w:rFonts w:eastAsiaTheme="minorHAnsi"/>
        </w:rPr>
        <w:instrText>Business investment</w:instrText>
      </w:r>
      <w:r>
        <w:instrText xml:space="preserve">" </w:instrText>
      </w:r>
      <w:r>
        <w:rPr>
          <w:rFonts w:eastAsiaTheme="minorHAnsi"/>
        </w:rPr>
        <w:fldChar w:fldCharType="end"/>
      </w:r>
      <w:r w:rsidRPr="00BE2F61">
        <w:rPr>
          <w:rFonts w:eastAsiaTheme="minorHAnsi"/>
        </w:rPr>
        <w:t xml:space="preserve"> and household consumption</w:t>
      </w:r>
      <w:r>
        <w:rPr>
          <w:rFonts w:eastAsiaTheme="minorHAnsi"/>
        </w:rPr>
        <w:fldChar w:fldCharType="begin"/>
      </w:r>
      <w:r>
        <w:instrText xml:space="preserve"> XE "</w:instrText>
      </w:r>
      <w:r w:rsidRPr="00E67DB0">
        <w:rPr>
          <w:rFonts w:eastAsiaTheme="minorHAnsi"/>
        </w:rPr>
        <w:instrText>Household consumption</w:instrText>
      </w:r>
      <w:r>
        <w:instrText xml:space="preserve">" </w:instrText>
      </w:r>
      <w:r>
        <w:rPr>
          <w:rFonts w:eastAsiaTheme="minorHAnsi"/>
        </w:rPr>
        <w:fldChar w:fldCharType="end"/>
      </w:r>
      <w:r w:rsidRPr="00BE2F61">
        <w:rPr>
          <w:rFonts w:eastAsiaTheme="minorHAnsi"/>
        </w:rPr>
        <w:t xml:space="preserve">, supported by low interest rates and continued strong population growth. The </w:t>
      </w:r>
      <w:r w:rsidRPr="00B15B89">
        <w:rPr>
          <w:rFonts w:eastAsiaTheme="minorHAnsi"/>
          <w:i/>
        </w:rPr>
        <w:t>2016</w:t>
      </w:r>
      <w:r>
        <w:rPr>
          <w:rFonts w:eastAsiaTheme="minorHAnsi"/>
          <w:i/>
        </w:rPr>
        <w:noBreakHyphen/>
      </w:r>
      <w:r w:rsidRPr="00B15B89">
        <w:rPr>
          <w:rFonts w:eastAsiaTheme="minorHAnsi"/>
          <w:i/>
        </w:rPr>
        <w:t>17 Budget</w:t>
      </w:r>
      <w:r w:rsidRPr="00BE2F61">
        <w:rPr>
          <w:rFonts w:eastAsiaTheme="minorHAnsi"/>
        </w:rPr>
        <w:t xml:space="preserve"> underlines the Government</w:t>
      </w:r>
      <w:r>
        <w:rPr>
          <w:rFonts w:eastAsiaTheme="minorHAnsi"/>
        </w:rPr>
        <w:t>’</w:t>
      </w:r>
      <w:r w:rsidRPr="00BE2F61">
        <w:rPr>
          <w:rFonts w:eastAsiaTheme="minorHAnsi"/>
        </w:rPr>
        <w:t>s commitment to playing an active role in driving strong, sustainable and inclusive growth for all Victorians. This budget enhances Victoria</w:t>
      </w:r>
      <w:r>
        <w:rPr>
          <w:rFonts w:eastAsiaTheme="minorHAnsi"/>
        </w:rPr>
        <w:t>’</w:t>
      </w:r>
      <w:r w:rsidRPr="00BE2F61">
        <w:rPr>
          <w:rFonts w:eastAsiaTheme="minorHAnsi"/>
        </w:rPr>
        <w:t>s natural advantages by investing to support the continued growth and expansion of Victoria</w:t>
      </w:r>
      <w:r>
        <w:rPr>
          <w:rFonts w:eastAsiaTheme="minorHAnsi"/>
        </w:rPr>
        <w:t>’</w:t>
      </w:r>
      <w:r w:rsidRPr="00BE2F61">
        <w:rPr>
          <w:rFonts w:eastAsiaTheme="minorHAnsi"/>
        </w:rPr>
        <w:t xml:space="preserve">s </w:t>
      </w:r>
      <w:r>
        <w:rPr>
          <w:rFonts w:eastAsiaTheme="minorHAnsi"/>
        </w:rPr>
        <w:t xml:space="preserve">fast emerging </w:t>
      </w:r>
      <w:r w:rsidRPr="00BE2F61">
        <w:rPr>
          <w:rFonts w:eastAsiaTheme="minorHAnsi"/>
        </w:rPr>
        <w:t>priority sectors.</w:t>
      </w:r>
      <w:r w:rsidR="00241F81">
        <w:rPr>
          <w:rFonts w:eastAsiaTheme="minorHAnsi"/>
        </w:rPr>
        <w:t xml:space="preserve"> </w:t>
      </w:r>
      <w:r w:rsidRPr="009A11AA">
        <w:rPr>
          <w:rFonts w:eastAsiaTheme="minorHAnsi"/>
        </w:rPr>
        <w:t xml:space="preserve"> </w:t>
      </w:r>
    </w:p>
    <w:p w:rsidR="007A09DB" w:rsidRDefault="007A09DB" w:rsidP="00244626">
      <w:pPr>
        <w:rPr>
          <w:rFonts w:eastAsiaTheme="minorHAnsi"/>
        </w:rPr>
      </w:pPr>
      <w:r>
        <w:rPr>
          <w:rFonts w:eastAsiaTheme="minorHAnsi"/>
        </w:rPr>
        <w:t>In 2014</w:t>
      </w:r>
      <w:r>
        <w:rPr>
          <w:rFonts w:eastAsiaTheme="minorHAnsi"/>
        </w:rPr>
        <w:noBreakHyphen/>
        <w:t>15, Victoria’s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Pr>
          <w:rFonts w:eastAsiaTheme="minorHAnsi"/>
        </w:rPr>
        <w:t xml:space="preserve"> led the nation, increasing by 1.7 per cent over the year or more than 1 900 people each week. </w:t>
      </w:r>
      <w:r w:rsidRPr="004F652B">
        <w:rPr>
          <w:rFonts w:eastAsiaTheme="minorHAnsi"/>
        </w:rPr>
        <w:t>Melbourne is consistently ranked among the world</w:t>
      </w:r>
      <w:r>
        <w:rPr>
          <w:rFonts w:eastAsiaTheme="minorHAnsi"/>
        </w:rPr>
        <w:t>’</w:t>
      </w:r>
      <w:r w:rsidRPr="004F652B">
        <w:rPr>
          <w:rFonts w:eastAsiaTheme="minorHAnsi"/>
        </w:rPr>
        <w:t>s most liveable cities</w:t>
      </w:r>
      <w:r>
        <w:rPr>
          <w:rFonts w:eastAsiaTheme="minorHAnsi"/>
        </w:rPr>
        <w:t>. Additional investment in infrastructure and services is required to maintain Victoria’s attractiveness as one of the best places</w:t>
      </w:r>
      <w:r w:rsidRPr="009A22E5">
        <w:rPr>
          <w:rFonts w:eastAsiaTheme="minorHAnsi"/>
        </w:rPr>
        <w:t xml:space="preserve"> </w:t>
      </w:r>
      <w:r>
        <w:rPr>
          <w:rFonts w:eastAsiaTheme="minorHAnsi"/>
        </w:rPr>
        <w:t>in the world to live and work.</w:t>
      </w:r>
    </w:p>
    <w:p w:rsidR="007A09DB" w:rsidRDefault="007A09DB" w:rsidP="00244626">
      <w:pPr>
        <w:rPr>
          <w:rFonts w:eastAsiaTheme="minorHAnsi"/>
        </w:rPr>
      </w:pPr>
      <w:r>
        <w:rPr>
          <w:rFonts w:eastAsiaTheme="minorHAnsi"/>
        </w:rPr>
        <w:t xml:space="preserve">The </w:t>
      </w:r>
      <w:r w:rsidRPr="004A68BE">
        <w:rPr>
          <w:rFonts w:eastAsiaTheme="minorHAnsi"/>
          <w:i/>
        </w:rPr>
        <w:t>2015</w:t>
      </w:r>
      <w:r>
        <w:rPr>
          <w:rFonts w:eastAsiaTheme="minorHAnsi"/>
          <w:i/>
        </w:rPr>
        <w:noBreakHyphen/>
      </w:r>
      <w:r w:rsidRPr="004A68BE">
        <w:rPr>
          <w:rFonts w:eastAsiaTheme="minorHAnsi"/>
          <w:i/>
        </w:rPr>
        <w:t>16 Budget</w:t>
      </w:r>
      <w:r>
        <w:rPr>
          <w:rFonts w:eastAsiaTheme="minorHAnsi"/>
        </w:rPr>
        <w:t xml:space="preserve"> invested up to $22 billion in infrastructure, and this budget enhances the Government’s infrastructure agenda. Infrastructure investment</w:t>
      </w:r>
      <w:r>
        <w:rPr>
          <w:rFonts w:eastAsiaTheme="minorHAnsi"/>
        </w:rPr>
        <w:fldChar w:fldCharType="begin"/>
      </w:r>
      <w:r>
        <w:instrText xml:space="preserve"> XE "</w:instrText>
      </w:r>
      <w:r w:rsidRPr="00E67DB0">
        <w:rPr>
          <w:rFonts w:eastAsiaTheme="minorHAnsi"/>
        </w:rPr>
        <w:instrText>Infrastructure investment</w:instrText>
      </w:r>
      <w:r>
        <w:instrText xml:space="preserve">" </w:instrText>
      </w:r>
      <w:r>
        <w:rPr>
          <w:rFonts w:eastAsiaTheme="minorHAnsi"/>
        </w:rPr>
        <w:fldChar w:fldCharType="end"/>
      </w:r>
      <w:r>
        <w:rPr>
          <w:rFonts w:eastAsiaTheme="minorHAnsi"/>
        </w:rPr>
        <w:t xml:space="preserve"> will average $7.4 billion a year over the next four years, with funding for key projects in transport, health and education.</w:t>
      </w:r>
      <w:r w:rsidRPr="009A11AA">
        <w:rPr>
          <w:rFonts w:eastAsiaTheme="minorHAnsi"/>
        </w:rPr>
        <w:t xml:space="preserve"> These investments, especially in rural and regional Victoria, will create avenues for greater private investment and offer Victorians more job opportunities. </w:t>
      </w:r>
    </w:p>
    <w:p w:rsidR="007A09DB" w:rsidRDefault="007A09DB" w:rsidP="00244626">
      <w:pPr>
        <w:rPr>
          <w:rFonts w:eastAsiaTheme="minorHAnsi"/>
        </w:rPr>
      </w:pPr>
      <w:r>
        <w:rPr>
          <w:rFonts w:eastAsiaTheme="minorHAnsi"/>
        </w:rPr>
        <w:t>Victoria’s rural communities and regional cities are vital to Victoria’s prosperity, and make a significant contribution to our economy</w:t>
      </w:r>
      <w:r w:rsidRPr="00550A6E">
        <w:rPr>
          <w:rFonts w:eastAsiaTheme="minorHAnsi"/>
        </w:rPr>
        <w:t xml:space="preserve">. </w:t>
      </w:r>
      <w:r>
        <w:rPr>
          <w:rFonts w:eastAsiaTheme="minorHAnsi"/>
        </w:rPr>
        <w:t xml:space="preserve">The </w:t>
      </w:r>
      <w:r w:rsidRPr="00A34EFF">
        <w:rPr>
          <w:rFonts w:eastAsiaTheme="minorHAnsi"/>
          <w:i/>
        </w:rPr>
        <w:t>2016</w:t>
      </w:r>
      <w:r>
        <w:rPr>
          <w:rFonts w:eastAsiaTheme="minorHAnsi"/>
          <w:i/>
        </w:rPr>
        <w:noBreakHyphen/>
      </w:r>
      <w:r w:rsidRPr="00A34EFF">
        <w:rPr>
          <w:rFonts w:eastAsiaTheme="minorHAnsi"/>
          <w:i/>
        </w:rPr>
        <w:t>17 Budget</w:t>
      </w:r>
      <w:r>
        <w:rPr>
          <w:rFonts w:eastAsiaTheme="minorHAnsi"/>
        </w:rPr>
        <w:t xml:space="preserve"> invests in much needed services and infrastructure to help regional Victoria prosper. This includes</w:t>
      </w:r>
      <w:r w:rsidRPr="003807C6">
        <w:t xml:space="preserve"> </w:t>
      </w:r>
      <w:r w:rsidRPr="003807C6">
        <w:rPr>
          <w:rFonts w:eastAsiaTheme="minorHAnsi"/>
        </w:rPr>
        <w:t>$1.3</w:t>
      </w:r>
      <w:r>
        <w:rPr>
          <w:rFonts w:eastAsiaTheme="minorHAnsi"/>
        </w:rPr>
        <w:t> billion</w:t>
      </w:r>
      <w:r w:rsidRPr="003807C6">
        <w:rPr>
          <w:rFonts w:eastAsiaTheme="minorHAnsi"/>
        </w:rPr>
        <w:t xml:space="preserve"> to commence investment in </w:t>
      </w:r>
      <w:r>
        <w:rPr>
          <w:rFonts w:eastAsiaTheme="minorHAnsi"/>
        </w:rPr>
        <w:t>regional public transport</w:t>
      </w:r>
      <w:r>
        <w:rPr>
          <w:rFonts w:eastAsiaTheme="minorHAnsi"/>
        </w:rPr>
        <w:fldChar w:fldCharType="begin"/>
      </w:r>
      <w:r>
        <w:instrText xml:space="preserve"> XE "</w:instrText>
      </w:r>
      <w:r w:rsidRPr="0091290A">
        <w:rPr>
          <w:rFonts w:eastAsiaTheme="minorHAnsi"/>
        </w:rPr>
        <w:instrText>Public transport:</w:instrText>
      </w:r>
      <w:r w:rsidRPr="0091290A">
        <w:instrText>Regional</w:instrText>
      </w:r>
      <w:r>
        <w:instrText xml:space="preserve">" </w:instrText>
      </w:r>
      <w:r>
        <w:rPr>
          <w:rFonts w:eastAsiaTheme="minorHAnsi"/>
        </w:rPr>
        <w:fldChar w:fldCharType="end"/>
      </w:r>
      <w:r w:rsidRPr="00550A6E">
        <w:rPr>
          <w:rFonts w:eastAsiaTheme="minorHAnsi"/>
        </w:rPr>
        <w:t>,</w:t>
      </w:r>
      <w:r>
        <w:rPr>
          <w:rFonts w:eastAsiaTheme="minorHAnsi"/>
        </w:rPr>
        <w:t xml:space="preserve"> $260 million to be specifically</w:t>
      </w:r>
      <w:r w:rsidRPr="00550A6E">
        <w:rPr>
          <w:rFonts w:eastAsiaTheme="minorHAnsi"/>
        </w:rPr>
        <w:t xml:space="preserve"> investe</w:t>
      </w:r>
      <w:r>
        <w:rPr>
          <w:rFonts w:eastAsiaTheme="minorHAnsi"/>
        </w:rPr>
        <w:t>d in regional roads</w:t>
      </w:r>
      <w:r w:rsidR="0078635B">
        <w:rPr>
          <w:rFonts w:eastAsiaTheme="minorHAnsi"/>
        </w:rPr>
        <w:fldChar w:fldCharType="begin"/>
      </w:r>
      <w:r w:rsidR="0078635B">
        <w:instrText xml:space="preserve"> XE "</w:instrText>
      </w:r>
      <w:r w:rsidR="0078635B">
        <w:rPr>
          <w:rFonts w:eastAsiaTheme="minorHAnsi"/>
        </w:rPr>
        <w:instrText>Roads</w:instrText>
      </w:r>
      <w:r w:rsidR="0078635B">
        <w:instrText xml:space="preserve">" </w:instrText>
      </w:r>
      <w:r w:rsidR="0078635B">
        <w:rPr>
          <w:rFonts w:eastAsiaTheme="minorHAnsi"/>
        </w:rPr>
        <w:fldChar w:fldCharType="end"/>
      </w:r>
      <w:r>
        <w:rPr>
          <w:rFonts w:eastAsiaTheme="minorHAnsi"/>
        </w:rPr>
        <w:t xml:space="preserve"> and $325 million</w:t>
      </w:r>
      <w:r w:rsidRPr="00550A6E">
        <w:rPr>
          <w:rFonts w:eastAsiaTheme="minorHAnsi"/>
        </w:rPr>
        <w:t xml:space="preserve"> to support regional jobs</w:t>
      </w:r>
      <w:r w:rsidR="0078635B">
        <w:rPr>
          <w:rFonts w:eastAsiaTheme="minorHAnsi"/>
        </w:rPr>
        <w:fldChar w:fldCharType="begin"/>
      </w:r>
      <w:r w:rsidR="0078635B">
        <w:instrText xml:space="preserve"> XE "J</w:instrText>
      </w:r>
      <w:r w:rsidR="0078635B">
        <w:rPr>
          <w:rFonts w:eastAsiaTheme="minorHAnsi"/>
        </w:rPr>
        <w:instrText>obs:Regional</w:instrText>
      </w:r>
      <w:r w:rsidR="0078635B">
        <w:instrText xml:space="preserve">" </w:instrText>
      </w:r>
      <w:r w:rsidR="0078635B">
        <w:rPr>
          <w:rFonts w:eastAsiaTheme="minorHAnsi"/>
        </w:rPr>
        <w:fldChar w:fldCharType="end"/>
      </w:r>
      <w:r w:rsidR="0078635B">
        <w:rPr>
          <w:rFonts w:eastAsiaTheme="minorHAnsi"/>
        </w:rPr>
        <w:fldChar w:fldCharType="begin"/>
      </w:r>
      <w:r w:rsidR="0078635B">
        <w:instrText xml:space="preserve"> XE "</w:instrText>
      </w:r>
      <w:r w:rsidR="0078635B">
        <w:rPr>
          <w:rFonts w:eastAsiaTheme="minorHAnsi"/>
        </w:rPr>
        <w:instrText>Regional jobs</w:instrText>
      </w:r>
      <w:r w:rsidR="0078635B">
        <w:instrText xml:space="preserve">" </w:instrText>
      </w:r>
      <w:r w:rsidR="0078635B">
        <w:rPr>
          <w:rFonts w:eastAsiaTheme="minorHAnsi"/>
        </w:rPr>
        <w:fldChar w:fldCharType="end"/>
      </w:r>
      <w:r>
        <w:rPr>
          <w:rFonts w:eastAsiaTheme="minorHAnsi"/>
        </w:rPr>
        <w:t xml:space="preserve">. This </w:t>
      </w:r>
      <w:r w:rsidRPr="00550A6E">
        <w:rPr>
          <w:rFonts w:eastAsiaTheme="minorHAnsi"/>
        </w:rPr>
        <w:t>will fos</w:t>
      </w:r>
      <w:r>
        <w:rPr>
          <w:rFonts w:eastAsiaTheme="minorHAnsi"/>
        </w:rPr>
        <w:t>ter growth in these communities</w:t>
      </w:r>
      <w:r w:rsidRPr="00550A6E">
        <w:rPr>
          <w:rFonts w:eastAsiaTheme="minorHAnsi"/>
        </w:rPr>
        <w:t xml:space="preserve"> by enabling them to access the services and industries that will drive continued </w:t>
      </w:r>
      <w:r>
        <w:rPr>
          <w:rFonts w:eastAsiaTheme="minorHAnsi"/>
        </w:rPr>
        <w:t>development</w:t>
      </w:r>
      <w:r w:rsidRPr="00550A6E">
        <w:rPr>
          <w:rFonts w:eastAsiaTheme="minorHAnsi"/>
        </w:rPr>
        <w:t xml:space="preserve"> in the regions.</w:t>
      </w:r>
    </w:p>
    <w:p w:rsidR="007A09DB" w:rsidRDefault="007A09DB">
      <w:pPr>
        <w:spacing w:after="0"/>
        <w:rPr>
          <w:rFonts w:eastAsiaTheme="minorHAnsi"/>
        </w:rPr>
      </w:pPr>
      <w:r>
        <w:rPr>
          <w:rFonts w:eastAsiaTheme="minorHAnsi"/>
        </w:rPr>
        <w:br w:type="page"/>
      </w:r>
    </w:p>
    <w:p w:rsidR="007A09DB" w:rsidRDefault="007A09DB" w:rsidP="009A3F66">
      <w:pPr>
        <w:rPr>
          <w:rFonts w:eastAsiaTheme="minorHAnsi"/>
        </w:rPr>
      </w:pPr>
      <w:r>
        <w:rPr>
          <w:rFonts w:eastAsiaTheme="minorHAnsi"/>
        </w:rPr>
        <w:lastRenderedPageBreak/>
        <w:t>T</w:t>
      </w:r>
      <w:r w:rsidRPr="009A3F66">
        <w:rPr>
          <w:rFonts w:eastAsiaTheme="minorHAnsi"/>
        </w:rPr>
        <w:t xml:space="preserve">o </w:t>
      </w:r>
      <w:r>
        <w:rPr>
          <w:rFonts w:eastAsiaTheme="minorHAnsi"/>
        </w:rPr>
        <w:t xml:space="preserve">meet growing demand across the State and to </w:t>
      </w:r>
      <w:r w:rsidRPr="009A3F66">
        <w:rPr>
          <w:rFonts w:eastAsiaTheme="minorHAnsi"/>
        </w:rPr>
        <w:t>provide better health outcomes in rural and regional Victoria</w:t>
      </w:r>
      <w:r>
        <w:rPr>
          <w:rFonts w:eastAsiaTheme="minorHAnsi"/>
        </w:rPr>
        <w:t>, $2.9 billion</w:t>
      </w:r>
      <w:r w:rsidRPr="009A3F66">
        <w:rPr>
          <w:rFonts w:eastAsiaTheme="minorHAnsi"/>
        </w:rPr>
        <w:t xml:space="preserve"> is being invested </w:t>
      </w:r>
      <w:r>
        <w:rPr>
          <w:rFonts w:eastAsiaTheme="minorHAnsi"/>
        </w:rPr>
        <w:t>across</w:t>
      </w:r>
      <w:r w:rsidRPr="009A3F66">
        <w:rPr>
          <w:rFonts w:eastAsiaTheme="minorHAnsi"/>
        </w:rPr>
        <w:t xml:space="preserve"> Victoria</w:t>
      </w:r>
      <w:r>
        <w:rPr>
          <w:rFonts w:eastAsiaTheme="minorHAnsi"/>
        </w:rPr>
        <w:t>’</w:t>
      </w:r>
      <w:r w:rsidRPr="009A3F66">
        <w:rPr>
          <w:rFonts w:eastAsiaTheme="minorHAnsi"/>
        </w:rPr>
        <w:t>s 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sidRPr="009A3F66">
        <w:rPr>
          <w:rFonts w:eastAsiaTheme="minorHAnsi"/>
        </w:rPr>
        <w:t xml:space="preserve"> system</w:t>
      </w:r>
      <w:r>
        <w:rPr>
          <w:rFonts w:eastAsiaTheme="minorHAnsi"/>
        </w:rPr>
        <w:t>. The Government’s commitment to the Education State</w:t>
      </w:r>
      <w:r>
        <w:rPr>
          <w:rFonts w:eastAsiaTheme="minorHAnsi"/>
        </w:rPr>
        <w:fldChar w:fldCharType="begin"/>
      </w:r>
      <w:r>
        <w:instrText xml:space="preserve"> XE "</w:instrText>
      </w:r>
      <w:r w:rsidRPr="00205126">
        <w:rPr>
          <w:rFonts w:eastAsiaTheme="minorHAnsi"/>
        </w:rPr>
        <w:instrText>Education State</w:instrText>
      </w:r>
      <w:r>
        <w:instrText xml:space="preserve">" </w:instrText>
      </w:r>
      <w:r>
        <w:rPr>
          <w:rFonts w:eastAsiaTheme="minorHAnsi"/>
        </w:rPr>
        <w:fldChar w:fldCharType="end"/>
      </w:r>
      <w:r>
        <w:rPr>
          <w:rFonts w:eastAsiaTheme="minorHAnsi"/>
        </w:rPr>
        <w:t xml:space="preserve"> transformation will see $924 million invested in new and upgraded school infrastructure across the State. This will ensure the needs of vulnerable and disadvantaged Victorians are met, and that social challenges are addressed through creating a safe and supportive environment.</w:t>
      </w:r>
    </w:p>
    <w:p w:rsidR="007A09DB" w:rsidRPr="007408E6" w:rsidRDefault="007A09DB" w:rsidP="009A3F66">
      <w:pPr>
        <w:rPr>
          <w:rFonts w:eastAsiaTheme="minorHAnsi"/>
        </w:rPr>
      </w:pPr>
      <w:r>
        <w:rPr>
          <w:rFonts w:eastAsiaTheme="minorHAnsi"/>
        </w:rPr>
        <w:t>Earlier this year, the nation’s first Royal Commission into Family Violence</w:t>
      </w:r>
      <w:r>
        <w:rPr>
          <w:rFonts w:eastAsiaTheme="minorHAnsi"/>
        </w:rPr>
        <w:fldChar w:fldCharType="begin"/>
      </w:r>
      <w:r>
        <w:instrText xml:space="preserve"> XE "</w:instrText>
      </w:r>
      <w:r w:rsidRPr="00B117AA">
        <w:rPr>
          <w:rFonts w:eastAsiaTheme="minorHAnsi"/>
        </w:rPr>
        <w:instrText>Family Violence:</w:instrText>
      </w:r>
      <w:r w:rsidRPr="00B117AA">
        <w:instrText>Royal Commission</w:instrText>
      </w:r>
      <w:r>
        <w:instrText xml:space="preserve">" </w:instrText>
      </w:r>
      <w:r>
        <w:rPr>
          <w:rFonts w:eastAsiaTheme="minorHAnsi"/>
        </w:rPr>
        <w:fldChar w:fldCharType="end"/>
      </w:r>
      <w:r>
        <w:rPr>
          <w:rFonts w:eastAsiaTheme="minorHAnsi"/>
        </w:rPr>
        <w:t xml:space="preserve"> handed down 227 recommendations to fix our family violence</w:t>
      </w:r>
      <w:r w:rsidR="0078635B">
        <w:rPr>
          <w:rFonts w:eastAsiaTheme="minorHAnsi"/>
        </w:rPr>
        <w:fldChar w:fldCharType="begin"/>
      </w:r>
      <w:r w:rsidR="0078635B">
        <w:instrText xml:space="preserve"> XE "</w:instrText>
      </w:r>
      <w:r w:rsidR="0078635B" w:rsidRPr="00B117AA">
        <w:rPr>
          <w:rFonts w:eastAsiaTheme="minorHAnsi"/>
        </w:rPr>
        <w:instrText>Family Violence</w:instrText>
      </w:r>
      <w:r w:rsidR="0078635B">
        <w:instrText xml:space="preserve">" </w:instrText>
      </w:r>
      <w:r w:rsidR="0078635B">
        <w:rPr>
          <w:rFonts w:eastAsiaTheme="minorHAnsi"/>
        </w:rPr>
        <w:fldChar w:fldCharType="end"/>
      </w:r>
      <w:r>
        <w:rPr>
          <w:rFonts w:eastAsiaTheme="minorHAnsi"/>
        </w:rPr>
        <w:t xml:space="preserve"> system and address Victoria’s number one law and order issue. The Government will implement all of these recommendations. The </w:t>
      </w:r>
      <w:r w:rsidRPr="007408E6">
        <w:rPr>
          <w:rFonts w:eastAsiaTheme="minorHAnsi"/>
          <w:i/>
        </w:rPr>
        <w:t>2016</w:t>
      </w:r>
      <w:r>
        <w:rPr>
          <w:rFonts w:eastAsiaTheme="minorHAnsi"/>
          <w:i/>
        </w:rPr>
        <w:noBreakHyphen/>
      </w:r>
      <w:r w:rsidRPr="007408E6">
        <w:rPr>
          <w:rFonts w:eastAsiaTheme="minorHAnsi"/>
          <w:i/>
        </w:rPr>
        <w:t>17 Budget</w:t>
      </w:r>
      <w:r>
        <w:rPr>
          <w:rFonts w:eastAsiaTheme="minorHAnsi"/>
          <w:i/>
        </w:rPr>
        <w:t xml:space="preserve"> </w:t>
      </w:r>
      <w:r>
        <w:rPr>
          <w:rFonts w:eastAsiaTheme="minorHAnsi"/>
        </w:rPr>
        <w:t>invests $572 million in initial funding for the things that couldn’t wait, and to ensure that family violence victims are at the heart of reform.</w:t>
      </w:r>
    </w:p>
    <w:p w:rsidR="007A09DB" w:rsidRDefault="007A09DB" w:rsidP="001345AD">
      <w:pPr>
        <w:rPr>
          <w:rFonts w:eastAsiaTheme="minorHAnsi"/>
        </w:rPr>
      </w:pPr>
      <w:bookmarkStart w:id="6" w:name="BP2Prod1"/>
      <w:r>
        <w:rPr>
          <w:rFonts w:eastAsiaTheme="minorHAnsi"/>
        </w:rPr>
        <w:t>In order to ensure that Victorians continue to enjoy a high quality of life, the Government is expanding its capital planning horizon</w:t>
      </w:r>
      <w:r w:rsidR="0078635B">
        <w:rPr>
          <w:rFonts w:eastAsiaTheme="minorHAnsi"/>
        </w:rPr>
        <w:fldChar w:fldCharType="begin"/>
      </w:r>
      <w:r w:rsidR="0078635B">
        <w:instrText xml:space="preserve"> XE "</w:instrText>
      </w:r>
      <w:r w:rsidR="0078635B" w:rsidRPr="00AB7216">
        <w:rPr>
          <w:rFonts w:eastAsiaTheme="minorHAnsi"/>
        </w:rPr>
        <w:instrText>Capital planning horizon</w:instrText>
      </w:r>
      <w:r w:rsidR="0078635B">
        <w:instrText xml:space="preserve">" </w:instrText>
      </w:r>
      <w:r w:rsidR="0078635B">
        <w:rPr>
          <w:rFonts w:eastAsiaTheme="minorHAnsi"/>
        </w:rPr>
        <w:fldChar w:fldCharType="end"/>
      </w:r>
      <w:r>
        <w:rPr>
          <w:rFonts w:eastAsiaTheme="minorHAnsi"/>
        </w:rPr>
        <w:t xml:space="preserve"> to the next decade. Sensible use of public debt will ensure the right investments are made in productivity enhancing infrastructure to service the State’s growing population. In maintaining net debt</w:t>
      </w:r>
      <w:r>
        <w:rPr>
          <w:rFonts w:eastAsiaTheme="minorHAnsi"/>
        </w:rPr>
        <w:fldChar w:fldCharType="begin"/>
      </w:r>
      <w:r>
        <w:instrText xml:space="preserve"> XE "Debt</w:instrText>
      </w:r>
      <w:r w:rsidRPr="00655DD5">
        <w:instrText>:Net debt</w:instrText>
      </w:r>
      <w:r>
        <w:instrText xml:space="preserve">" </w:instrText>
      </w:r>
      <w:r>
        <w:rPr>
          <w:rFonts w:eastAsiaTheme="minorHAnsi"/>
        </w:rPr>
        <w:fldChar w:fldCharType="end"/>
      </w:r>
      <w:r>
        <w:rPr>
          <w:rFonts w:eastAsiaTheme="minorHAnsi"/>
        </w:rPr>
        <w:t xml:space="preserve"> at around 6 per cent of GSP, the Government is unlocking future capacity for capital investment and positioning Victoria to maintain its economic momentum into the future. </w:t>
      </w:r>
    </w:p>
    <w:p w:rsidR="007A09DB" w:rsidRPr="00764F2C" w:rsidRDefault="007A09DB" w:rsidP="001345AD">
      <w:pPr>
        <w:rPr>
          <w:rFonts w:eastAsiaTheme="minorHAnsi"/>
        </w:rPr>
      </w:pPr>
      <w:r>
        <w:rPr>
          <w:rFonts w:eastAsiaTheme="minorHAnsi"/>
        </w:rPr>
        <w:t xml:space="preserve">The </w:t>
      </w:r>
      <w:r w:rsidRPr="00764F2C">
        <w:rPr>
          <w:rFonts w:eastAsiaTheme="minorHAnsi"/>
          <w:i/>
        </w:rPr>
        <w:t>2016</w:t>
      </w:r>
      <w:r>
        <w:rPr>
          <w:rFonts w:eastAsiaTheme="minorHAnsi"/>
          <w:i/>
        </w:rPr>
        <w:noBreakHyphen/>
      </w:r>
      <w:r w:rsidRPr="00764F2C">
        <w:rPr>
          <w:rFonts w:eastAsiaTheme="minorHAnsi"/>
          <w:i/>
        </w:rPr>
        <w:t>17 Budget</w:t>
      </w:r>
      <w:r>
        <w:rPr>
          <w:rFonts w:eastAsiaTheme="minorHAnsi"/>
        </w:rPr>
        <w:t xml:space="preserve"> forecasts a strong operating surplus</w:t>
      </w:r>
      <w:r>
        <w:rPr>
          <w:rFonts w:eastAsiaTheme="minorHAnsi"/>
        </w:rPr>
        <w:fldChar w:fldCharType="begin"/>
      </w:r>
      <w:r>
        <w:instrText xml:space="preserve"> XE "</w:instrText>
      </w:r>
      <w:r w:rsidRPr="002C699B">
        <w:rPr>
          <w:rFonts w:eastAsiaTheme="minorHAnsi"/>
        </w:rPr>
        <w:instrText>Operating surplus</w:instrText>
      </w:r>
      <w:r>
        <w:instrText xml:space="preserve">" </w:instrText>
      </w:r>
      <w:r>
        <w:rPr>
          <w:rFonts w:eastAsiaTheme="minorHAnsi"/>
        </w:rPr>
        <w:fldChar w:fldCharType="end"/>
      </w:r>
      <w:r>
        <w:rPr>
          <w:rFonts w:eastAsiaTheme="minorHAnsi"/>
        </w:rPr>
        <w:t xml:space="preserve"> of $2.9 billion in 2016</w:t>
      </w:r>
      <w:r>
        <w:rPr>
          <w:rFonts w:eastAsiaTheme="minorHAnsi"/>
        </w:rPr>
        <w:noBreakHyphen/>
        <w:t>17, significantly higher than the forecast in the Government’s first budget. With accumulated operating surpluses of $9.3 billion over the budget and forward estimates, the Government continues to demonstrate its strong financial management</w:t>
      </w:r>
      <w:r>
        <w:rPr>
          <w:rFonts w:eastAsiaTheme="minorHAnsi"/>
        </w:rPr>
        <w:fldChar w:fldCharType="begin"/>
      </w:r>
      <w:r>
        <w:instrText xml:space="preserve"> XE "</w:instrText>
      </w:r>
      <w:r w:rsidRPr="007B0A87">
        <w:rPr>
          <w:rFonts w:eastAsiaTheme="minorHAnsi"/>
        </w:rPr>
        <w:instrText>Financial management</w:instrText>
      </w:r>
      <w:r>
        <w:instrText xml:space="preserve">" </w:instrText>
      </w:r>
      <w:r>
        <w:rPr>
          <w:rFonts w:eastAsiaTheme="minorHAnsi"/>
        </w:rPr>
        <w:fldChar w:fldCharType="end"/>
      </w:r>
      <w:r>
        <w:rPr>
          <w:rFonts w:eastAsiaTheme="minorHAnsi"/>
        </w:rPr>
        <w:t xml:space="preserve"> credentials, consistent with maintaining Victoria’s triple</w:t>
      </w:r>
      <w:r>
        <w:rPr>
          <w:rFonts w:eastAsiaTheme="minorHAnsi"/>
        </w:rPr>
        <w:noBreakHyphen/>
        <w:t>A credit rating</w:t>
      </w:r>
      <w:r>
        <w:rPr>
          <w:rFonts w:eastAsiaTheme="minorHAnsi"/>
        </w:rP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rPr>
          <w:rFonts w:eastAsiaTheme="minorHAnsi"/>
        </w:rPr>
        <w:fldChar w:fldCharType="end"/>
      </w:r>
      <w:r>
        <w:rPr>
          <w:rFonts w:eastAsiaTheme="minorHAnsi"/>
        </w:rPr>
        <w:t xml:space="preserve">. </w:t>
      </w:r>
    </w:p>
    <w:p w:rsidR="007A09DB" w:rsidRDefault="007A09DB" w:rsidP="008027D7">
      <w:pPr>
        <w:pStyle w:val="Heading1"/>
        <w:rPr>
          <w:rFonts w:eastAsiaTheme="minorHAnsi"/>
        </w:rPr>
      </w:pPr>
      <w:bookmarkStart w:id="7" w:name="_Toc449123050"/>
      <w:r>
        <w:rPr>
          <w:rFonts w:eastAsiaTheme="minorHAnsi"/>
        </w:rPr>
        <w:t>A strong, diverse economy</w:t>
      </w:r>
      <w:bookmarkEnd w:id="7"/>
    </w:p>
    <w:p w:rsidR="007A09DB" w:rsidRPr="00530208" w:rsidRDefault="007A09DB" w:rsidP="00530208">
      <w:pPr>
        <w:pStyle w:val="Heading2"/>
        <w:rPr>
          <w:rFonts w:eastAsiaTheme="minorHAnsi"/>
        </w:rPr>
      </w:pPr>
      <w:r>
        <w:rPr>
          <w:rFonts w:eastAsiaTheme="minorHAnsi"/>
        </w:rPr>
        <w:t>A growing population and economy</w:t>
      </w:r>
    </w:p>
    <w:p w:rsidR="007A09DB" w:rsidRDefault="007A09DB" w:rsidP="001131A9">
      <w:pPr>
        <w:rPr>
          <w:rFonts w:eastAsiaTheme="minorHAnsi"/>
        </w:rPr>
      </w:pPr>
      <w:r w:rsidRPr="00B46021">
        <w:rPr>
          <w:rFonts w:eastAsiaTheme="minorHAnsi"/>
        </w:rPr>
        <w:t>Victoria</w:t>
      </w:r>
      <w:r>
        <w:rPr>
          <w:rFonts w:eastAsiaTheme="minorHAnsi"/>
        </w:rPr>
        <w:t>’</w:t>
      </w:r>
      <w:r w:rsidRPr="00B46021">
        <w:rPr>
          <w:rFonts w:eastAsiaTheme="minorHAnsi"/>
        </w:rPr>
        <w:t>s diverse economy is</w:t>
      </w:r>
      <w:r>
        <w:rPr>
          <w:rFonts w:eastAsiaTheme="minorHAnsi"/>
        </w:rPr>
        <w:t xml:space="preserve"> well </w:t>
      </w:r>
      <w:r w:rsidRPr="00B46021">
        <w:rPr>
          <w:rFonts w:eastAsiaTheme="minorHAnsi"/>
        </w:rPr>
        <w:t xml:space="preserve">positioned for continuing growth </w:t>
      </w:r>
      <w:r>
        <w:rPr>
          <w:rFonts w:eastAsiaTheme="minorHAnsi"/>
        </w:rPr>
        <w:t>as the</w:t>
      </w:r>
      <w:r w:rsidRPr="00B46021">
        <w:rPr>
          <w:rFonts w:eastAsiaTheme="minorHAnsi"/>
        </w:rPr>
        <w:t xml:space="preserve"> national </w:t>
      </w:r>
      <w:r>
        <w:rPr>
          <w:rFonts w:eastAsiaTheme="minorHAnsi"/>
        </w:rPr>
        <w:t xml:space="preserve">economy </w:t>
      </w:r>
      <w:r w:rsidRPr="00B46021">
        <w:rPr>
          <w:rFonts w:eastAsiaTheme="minorHAnsi"/>
        </w:rPr>
        <w:t>rebalance</w:t>
      </w:r>
      <w:r>
        <w:rPr>
          <w:rFonts w:eastAsiaTheme="minorHAnsi"/>
        </w:rPr>
        <w:t>s</w:t>
      </w:r>
      <w:r w:rsidRPr="00B46021">
        <w:rPr>
          <w:rFonts w:eastAsiaTheme="minorHAnsi"/>
        </w:rPr>
        <w:t xml:space="preserve"> away from mining investment.</w:t>
      </w:r>
      <w:r w:rsidRPr="00FE0E4B">
        <w:t xml:space="preserve"> </w:t>
      </w:r>
      <w:r w:rsidRPr="00FE0E4B">
        <w:rPr>
          <w:rFonts w:eastAsiaTheme="minorHAnsi"/>
        </w:rPr>
        <w:t xml:space="preserve">Macroeconomic conditions continue to benefit the Victorian economy, with the </w:t>
      </w:r>
      <w:r>
        <w:rPr>
          <w:rFonts w:eastAsiaTheme="minorHAnsi"/>
        </w:rPr>
        <w:t>lower</w:t>
      </w:r>
      <w:r w:rsidRPr="00FE0E4B">
        <w:rPr>
          <w:rFonts w:eastAsiaTheme="minorHAnsi"/>
        </w:rPr>
        <w:t xml:space="preserve"> Australian dollar delivering a more competitive edge for our exporters. With interest rates remain</w:t>
      </w:r>
      <w:r>
        <w:rPr>
          <w:rFonts w:eastAsiaTheme="minorHAnsi"/>
        </w:rPr>
        <w:t>ing</w:t>
      </w:r>
      <w:r w:rsidRPr="00FE0E4B">
        <w:rPr>
          <w:rFonts w:eastAsiaTheme="minorHAnsi"/>
        </w:rPr>
        <w:t xml:space="preserve"> at historic lows, Victorian business confidence</w:t>
      </w:r>
      <w:r w:rsidR="0078635B">
        <w:rPr>
          <w:rFonts w:eastAsiaTheme="minorHAnsi"/>
        </w:rPr>
        <w:fldChar w:fldCharType="begin"/>
      </w:r>
      <w:r w:rsidR="0078635B">
        <w:instrText xml:space="preserve"> XE "</w:instrText>
      </w:r>
      <w:r w:rsidR="0078635B" w:rsidRPr="009721CB">
        <w:rPr>
          <w:rFonts w:eastAsiaTheme="minorHAnsi"/>
        </w:rPr>
        <w:instrText>Business confidence</w:instrText>
      </w:r>
      <w:r w:rsidR="0078635B">
        <w:instrText xml:space="preserve">" </w:instrText>
      </w:r>
      <w:r w:rsidR="0078635B">
        <w:rPr>
          <w:rFonts w:eastAsiaTheme="minorHAnsi"/>
        </w:rPr>
        <w:fldChar w:fldCharType="end"/>
      </w:r>
      <w:r>
        <w:rPr>
          <w:rFonts w:eastAsiaTheme="minorHAnsi"/>
        </w:rPr>
        <w:t xml:space="preserve"> has risen</w:t>
      </w:r>
      <w:r w:rsidRPr="00FE0E4B">
        <w:rPr>
          <w:rFonts w:eastAsiaTheme="minorHAnsi"/>
        </w:rPr>
        <w:t xml:space="preserve"> and investment is </w:t>
      </w:r>
      <w:r>
        <w:rPr>
          <w:rFonts w:eastAsiaTheme="minorHAnsi"/>
        </w:rPr>
        <w:t>strong</w:t>
      </w:r>
      <w:r w:rsidRPr="00FE0E4B">
        <w:rPr>
          <w:rFonts w:eastAsiaTheme="minorHAnsi"/>
        </w:rPr>
        <w:t xml:space="preserve">. </w:t>
      </w:r>
      <w:r>
        <w:rPr>
          <w:rFonts w:eastAsiaTheme="minorHAnsi"/>
        </w:rPr>
        <w:t>S</w:t>
      </w:r>
      <w:r w:rsidRPr="00FE0E4B">
        <w:rPr>
          <w:rFonts w:eastAsiaTheme="minorHAnsi"/>
        </w:rPr>
        <w:t>ervice industries and the knowledge economy will assume greater importance over the coming years. Victoria will enjoy a significant competitive advantage</w:t>
      </w:r>
      <w:r>
        <w:rPr>
          <w:rFonts w:eastAsiaTheme="minorHAnsi"/>
        </w:rPr>
        <w:t xml:space="preserve"> in these areas, and</w:t>
      </w:r>
      <w:r w:rsidRPr="00FE0E4B">
        <w:rPr>
          <w:rFonts w:eastAsiaTheme="minorHAnsi"/>
        </w:rPr>
        <w:t xml:space="preserve"> as </w:t>
      </w:r>
      <w:r>
        <w:rPr>
          <w:rFonts w:eastAsiaTheme="minorHAnsi"/>
        </w:rPr>
        <w:t>the national economy rebalances the State</w:t>
      </w:r>
      <w:r w:rsidRPr="00FE0E4B">
        <w:rPr>
          <w:rFonts w:eastAsiaTheme="minorHAnsi"/>
        </w:rPr>
        <w:t xml:space="preserve"> </w:t>
      </w:r>
      <w:r>
        <w:rPr>
          <w:rFonts w:eastAsiaTheme="minorHAnsi"/>
        </w:rPr>
        <w:t xml:space="preserve">will </w:t>
      </w:r>
      <w:r w:rsidRPr="00FE0E4B">
        <w:rPr>
          <w:rFonts w:eastAsiaTheme="minorHAnsi"/>
        </w:rPr>
        <w:t>increasingly</w:t>
      </w:r>
      <w:r>
        <w:rPr>
          <w:rFonts w:eastAsiaTheme="minorHAnsi"/>
        </w:rPr>
        <w:t xml:space="preserve"> be </w:t>
      </w:r>
      <w:r w:rsidRPr="00FE0E4B">
        <w:rPr>
          <w:rFonts w:eastAsiaTheme="minorHAnsi"/>
        </w:rPr>
        <w:t>seen as an attractive destination for private investment.</w:t>
      </w:r>
    </w:p>
    <w:p w:rsidR="007A09DB" w:rsidRDefault="007A09DB" w:rsidP="001131A9">
      <w:pPr>
        <w:rPr>
          <w:rFonts w:eastAsiaTheme="minorHAnsi"/>
        </w:rPr>
      </w:pPr>
      <w:r>
        <w:rPr>
          <w:rFonts w:eastAsiaTheme="minorHAnsi"/>
        </w:rPr>
        <w:t>Importantly, after two years of declines in 2012</w:t>
      </w:r>
      <w:r>
        <w:rPr>
          <w:rFonts w:eastAsiaTheme="minorHAnsi"/>
        </w:rPr>
        <w:noBreakHyphen/>
        <w:t>13 and 2013</w:t>
      </w:r>
      <w:r>
        <w:rPr>
          <w:rFonts w:eastAsiaTheme="minorHAnsi"/>
        </w:rPr>
        <w:noBreakHyphen/>
        <w:t>14, Victoria’s economy is once again growing by more than population growth.</w:t>
      </w:r>
      <w:r w:rsidRPr="00C02129">
        <w:rPr>
          <w:rFonts w:eastAsiaTheme="minorHAnsi"/>
        </w:rPr>
        <w:t xml:space="preserve"> In 2014</w:t>
      </w:r>
      <w:r>
        <w:rPr>
          <w:rFonts w:eastAsiaTheme="minorHAnsi"/>
        </w:rPr>
        <w:noBreakHyphen/>
      </w:r>
      <w:r w:rsidRPr="00C02129">
        <w:rPr>
          <w:rFonts w:eastAsiaTheme="minorHAnsi"/>
        </w:rPr>
        <w:t>15, GSP per capita grew by 0.7</w:t>
      </w:r>
      <w:r>
        <w:rPr>
          <w:rFonts w:eastAsiaTheme="minorHAnsi"/>
        </w:rPr>
        <w:t> per cent</w:t>
      </w:r>
      <w:r w:rsidRPr="00C02129">
        <w:rPr>
          <w:rFonts w:eastAsiaTheme="minorHAnsi"/>
        </w:rPr>
        <w:t xml:space="preserve"> and growth is expected to continue over the forward estimates (Chart 1.</w:t>
      </w:r>
      <w:r>
        <w:rPr>
          <w:rFonts w:eastAsiaTheme="minorHAnsi"/>
        </w:rPr>
        <w:t>1</w:t>
      </w:r>
      <w:r w:rsidRPr="00C02129">
        <w:rPr>
          <w:rFonts w:eastAsiaTheme="minorHAnsi"/>
        </w:rPr>
        <w:t>)</w:t>
      </w:r>
      <w:r>
        <w:rPr>
          <w:rFonts w:eastAsiaTheme="minorHAnsi"/>
        </w:rPr>
        <w:t>.</w:t>
      </w:r>
      <w:r>
        <w:rPr>
          <w:rFonts w:eastAsiaTheme="minorHAnsi"/>
        </w:rPr>
        <w:fldChar w:fldCharType="begin"/>
      </w:r>
      <w:r>
        <w:instrText xml:space="preserve"> XE "</w:instrText>
      </w:r>
      <w:r w:rsidRPr="00C85131">
        <w:rPr>
          <w:rFonts w:eastAsiaTheme="minorHAnsi"/>
        </w:rPr>
        <w:instrText>Gross state product</w:instrText>
      </w:r>
      <w:r>
        <w:instrText xml:space="preserve">" \r "BP2GSP1" </w:instrText>
      </w:r>
      <w:r>
        <w:rPr>
          <w:rFonts w:eastAsiaTheme="minorHAnsi"/>
        </w:rPr>
        <w:fldChar w:fldCharType="end"/>
      </w:r>
      <w:r w:rsidRPr="00FE0E4B">
        <w:rPr>
          <w:rFonts w:eastAsiaTheme="minorHAnsi"/>
        </w:rPr>
        <w:t xml:space="preserve"> </w:t>
      </w:r>
    </w:p>
    <w:bookmarkEnd w:id="4"/>
    <w:p w:rsidR="007A09DB" w:rsidRDefault="007A09DB" w:rsidP="008F63ED">
      <w:pPr>
        <w:pStyle w:val="Chartheading"/>
        <w:rPr>
          <w:rFonts w:eastAsiaTheme="minorHAnsi"/>
        </w:rPr>
      </w:pPr>
      <w:r>
        <w:rPr>
          <w:rFonts w:eastAsiaTheme="minorHAnsi"/>
        </w:rPr>
        <w:lastRenderedPageBreak/>
        <w:t xml:space="preserve">Chart 1.1: </w:t>
      </w:r>
      <w:r>
        <w:rPr>
          <w:rFonts w:eastAsiaTheme="minorHAnsi"/>
        </w:rPr>
        <w:tab/>
        <w:t xml:space="preserve">Annual gross state product per capita </w:t>
      </w:r>
    </w:p>
    <w:p w:rsidR="007A09DB" w:rsidRDefault="00D71529" w:rsidP="0056252F">
      <w:pPr>
        <w:pStyle w:val="Chartpara"/>
        <w:rPr>
          <w:rFonts w:eastAsiaTheme="minorHAnsi"/>
        </w:rPr>
      </w:pPr>
      <w:r>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1pt">
            <v:imagedata r:id="rId17" o:title=""/>
          </v:shape>
        </w:pict>
      </w:r>
    </w:p>
    <w:p w:rsidR="007A09DB" w:rsidRDefault="007A09DB" w:rsidP="00EE57CD">
      <w:pPr>
        <w:pStyle w:val="Source"/>
        <w:spacing w:before="80"/>
        <w:rPr>
          <w:rFonts w:eastAsiaTheme="minorHAnsi"/>
        </w:rPr>
      </w:pPr>
      <w:r w:rsidRPr="004513AF">
        <w:rPr>
          <w:rFonts w:eastAsiaTheme="minorHAnsi"/>
        </w:rPr>
        <w:t>Source</w:t>
      </w:r>
      <w:r>
        <w:rPr>
          <w:rFonts w:eastAsiaTheme="minorHAnsi"/>
        </w:rPr>
        <w:t>s</w:t>
      </w:r>
      <w:r w:rsidRPr="004513AF">
        <w:rPr>
          <w:rFonts w:eastAsiaTheme="minorHAnsi"/>
        </w:rPr>
        <w:t xml:space="preserve">: </w:t>
      </w:r>
      <w:r>
        <w:rPr>
          <w:rFonts w:eastAsiaTheme="minorHAnsi"/>
        </w:rPr>
        <w:t xml:space="preserve">Australian Bureau of Statistics; </w:t>
      </w:r>
      <w:r w:rsidRPr="004513AF">
        <w:rPr>
          <w:rFonts w:eastAsiaTheme="minorHAnsi"/>
        </w:rPr>
        <w:t>Department of Treasury and Finance</w:t>
      </w:r>
    </w:p>
    <w:p w:rsidR="007A09DB" w:rsidRDefault="007A09DB" w:rsidP="001131A9">
      <w:pPr>
        <w:rPr>
          <w:rFonts w:eastAsiaTheme="minorHAnsi"/>
        </w:rPr>
      </w:pPr>
      <w:bookmarkStart w:id="8" w:name="BP2EcoG2"/>
      <w:bookmarkStart w:id="9" w:name="BP2EcoG1"/>
      <w:r>
        <w:rPr>
          <w:rFonts w:eastAsiaTheme="minorHAnsi"/>
        </w:rPr>
        <w:t xml:space="preserve">Keeping economic growth ahead of population growth is critical to ensuring all Victorians benefit from economic growth, and relies on greater employment and increased productivity. </w:t>
      </w:r>
    </w:p>
    <w:p w:rsidR="007A09DB" w:rsidRDefault="007A09DB" w:rsidP="001131A9">
      <w:pPr>
        <w:rPr>
          <w:rFonts w:eastAsiaTheme="minorHAnsi"/>
        </w:rPr>
      </w:pPr>
      <w:r w:rsidRPr="00FE0E4B">
        <w:rPr>
          <w:rFonts w:eastAsiaTheme="minorHAnsi"/>
        </w:rPr>
        <w:t>Victoria</w:t>
      </w:r>
      <w:r>
        <w:rPr>
          <w:rFonts w:eastAsiaTheme="minorHAnsi"/>
        </w:rPr>
        <w:t>’</w:t>
      </w:r>
      <w:r w:rsidRPr="00FE0E4B">
        <w:rPr>
          <w:rFonts w:eastAsiaTheme="minorHAnsi"/>
        </w:rPr>
        <w:t xml:space="preserve">s population growth leads the nation. </w:t>
      </w:r>
      <w:r>
        <w:rPr>
          <w:rFonts w:eastAsiaTheme="minorHAnsi"/>
        </w:rPr>
        <w:t>Forecasts</w:t>
      </w:r>
      <w:r w:rsidRPr="00FE0E4B">
        <w:rPr>
          <w:rFonts w:eastAsiaTheme="minorHAnsi"/>
        </w:rPr>
        <w:t xml:space="preserve"> suggest Melbourne </w:t>
      </w:r>
      <w:r>
        <w:rPr>
          <w:rFonts w:eastAsiaTheme="minorHAnsi"/>
        </w:rPr>
        <w:t>could overtake Sydney as Australia’</w:t>
      </w:r>
      <w:r w:rsidRPr="00FE0E4B">
        <w:rPr>
          <w:rFonts w:eastAsiaTheme="minorHAnsi"/>
        </w:rPr>
        <w:t>s most populous city</w:t>
      </w:r>
      <w:r>
        <w:rPr>
          <w:rFonts w:eastAsiaTheme="minorHAnsi"/>
        </w:rPr>
        <w:t xml:space="preserve"> in 2030</w:t>
      </w:r>
      <w:r w:rsidRPr="00FE0E4B">
        <w:rPr>
          <w:rFonts w:eastAsiaTheme="minorHAnsi"/>
        </w:rPr>
        <w:t>. This means that smart choices need</w:t>
      </w:r>
      <w:r>
        <w:rPr>
          <w:rFonts w:eastAsiaTheme="minorHAnsi"/>
        </w:rPr>
        <w:t xml:space="preserve"> to be made in order to invest in the fundamental drivers</w:t>
      </w:r>
      <w:r w:rsidRPr="00FE0E4B">
        <w:rPr>
          <w:rFonts w:eastAsiaTheme="minorHAnsi"/>
        </w:rPr>
        <w:t xml:space="preserve"> of</w:t>
      </w:r>
      <w:r>
        <w:rPr>
          <w:rFonts w:eastAsiaTheme="minorHAnsi"/>
        </w:rPr>
        <w:t xml:space="preserve"> long</w:t>
      </w:r>
      <w:r>
        <w:rPr>
          <w:rFonts w:eastAsiaTheme="minorHAnsi"/>
        </w:rPr>
        <w:noBreakHyphen/>
        <w:t>term growth. Victoria’</w:t>
      </w:r>
      <w:r w:rsidRPr="00FE0E4B">
        <w:rPr>
          <w:rFonts w:eastAsiaTheme="minorHAnsi"/>
        </w:rPr>
        <w:t xml:space="preserve">s growing population will place greater pressure on our services and infrastructure. The </w:t>
      </w:r>
      <w:r w:rsidRPr="002D3199">
        <w:rPr>
          <w:rFonts w:eastAsiaTheme="minorHAnsi"/>
          <w:i/>
        </w:rPr>
        <w:t>2016</w:t>
      </w:r>
      <w:r>
        <w:rPr>
          <w:rFonts w:eastAsiaTheme="minorHAnsi"/>
          <w:i/>
        </w:rPr>
        <w:noBreakHyphen/>
      </w:r>
      <w:r w:rsidRPr="002D3199">
        <w:rPr>
          <w:rFonts w:eastAsiaTheme="minorHAnsi"/>
          <w:i/>
        </w:rPr>
        <w:t>17 Budget</w:t>
      </w:r>
      <w:r w:rsidRPr="00FE0E4B">
        <w:rPr>
          <w:rFonts w:eastAsiaTheme="minorHAnsi"/>
        </w:rPr>
        <w:t xml:space="preserve"> seeks to pull all the levers of government to further the interests of the community.</w:t>
      </w:r>
    </w:p>
    <w:p w:rsidR="007A09DB" w:rsidRDefault="007A09DB" w:rsidP="001131A9">
      <w:pPr>
        <w:rPr>
          <w:rFonts w:eastAsiaTheme="minorHAnsi"/>
        </w:rPr>
      </w:pPr>
      <w:r w:rsidRPr="00FE0E4B">
        <w:rPr>
          <w:rFonts w:eastAsiaTheme="minorHAnsi"/>
        </w:rPr>
        <w:t xml:space="preserve">In order to build on the positive trends </w:t>
      </w:r>
      <w:r>
        <w:rPr>
          <w:rFonts w:eastAsiaTheme="minorHAnsi"/>
        </w:rPr>
        <w:t xml:space="preserve">in </w:t>
      </w:r>
      <w:r w:rsidRPr="00FE0E4B">
        <w:rPr>
          <w:rFonts w:eastAsiaTheme="minorHAnsi"/>
        </w:rPr>
        <w:t xml:space="preserve">the Victorian economy, the Government is committing significant funding in the </w:t>
      </w:r>
      <w:r>
        <w:rPr>
          <w:rFonts w:eastAsiaTheme="minorHAnsi"/>
          <w:i/>
        </w:rPr>
        <w:t>2016</w:t>
      </w:r>
      <w:r>
        <w:rPr>
          <w:rFonts w:eastAsiaTheme="minorHAnsi"/>
          <w:i/>
        </w:rPr>
        <w:noBreakHyphen/>
        <w:t xml:space="preserve">17 </w:t>
      </w:r>
      <w:r w:rsidRPr="00F87F18">
        <w:rPr>
          <w:rFonts w:eastAsiaTheme="minorHAnsi"/>
          <w:i/>
        </w:rPr>
        <w:t>Budget</w:t>
      </w:r>
      <w:r w:rsidRPr="00FE0E4B">
        <w:rPr>
          <w:rFonts w:eastAsiaTheme="minorHAnsi"/>
        </w:rPr>
        <w:t xml:space="preserve"> to ensure </w:t>
      </w:r>
      <w:r>
        <w:rPr>
          <w:rFonts w:eastAsiaTheme="minorHAnsi"/>
        </w:rPr>
        <w:t>Victoria’s economy remains</w:t>
      </w:r>
      <w:r w:rsidRPr="00FE0E4B">
        <w:rPr>
          <w:rFonts w:eastAsiaTheme="minorHAnsi"/>
        </w:rPr>
        <w:t xml:space="preserve"> strong. Investing in jobs, services and vital infrastructure will lead to sustained and enduring growth for the Victorian economy.</w:t>
      </w:r>
      <w:r w:rsidR="00C1395D">
        <w:rPr>
          <w:rFonts w:eastAsiaTheme="minorHAnsi"/>
        </w:rPr>
        <w:fldChar w:fldCharType="begin"/>
      </w:r>
      <w:r w:rsidR="00C1395D">
        <w:instrText xml:space="preserve"> XE "</w:instrText>
      </w:r>
      <w:r w:rsidR="00C1395D" w:rsidRPr="00F74CFA">
        <w:rPr>
          <w:rFonts w:eastAsiaTheme="minorHAnsi"/>
        </w:rPr>
        <w:instrText>Population:</w:instrText>
      </w:r>
      <w:r w:rsidR="00C1395D" w:rsidRPr="00F74CFA">
        <w:instrText>Growth</w:instrText>
      </w:r>
      <w:r w:rsidR="00C1395D">
        <w:instrText xml:space="preserve">" \r "BP2PopG1" </w:instrText>
      </w:r>
      <w:r w:rsidR="00C1395D">
        <w:rPr>
          <w:rFonts w:eastAsiaTheme="minorHAnsi"/>
        </w:rPr>
        <w:fldChar w:fldCharType="end"/>
      </w:r>
    </w:p>
    <w:bookmarkEnd w:id="5"/>
    <w:p w:rsidR="007A09DB" w:rsidRPr="00F76E71" w:rsidRDefault="007A09DB" w:rsidP="00C202C8">
      <w:pPr>
        <w:pStyle w:val="Heading3"/>
        <w:rPr>
          <w:rFonts w:eastAsiaTheme="minorHAnsi"/>
        </w:rPr>
      </w:pPr>
      <w:r>
        <w:rPr>
          <w:rFonts w:eastAsiaTheme="minorHAnsi"/>
        </w:rPr>
        <w:t>Boosting jobs</w:t>
      </w:r>
    </w:p>
    <w:p w:rsidR="007A09DB" w:rsidRDefault="007A09DB" w:rsidP="00100A95">
      <w:pPr>
        <w:rPr>
          <w:rFonts w:eastAsiaTheme="minorHAnsi"/>
        </w:rPr>
      </w:pPr>
      <w:bookmarkStart w:id="10" w:name="BP2Unemploy1"/>
      <w:r>
        <w:rPr>
          <w:rFonts w:eastAsiaTheme="minorHAnsi"/>
        </w:rPr>
        <w:t xml:space="preserve">The Government is investing in a range of initiatives to build on the strong increase in Victorian employment </w:t>
      </w:r>
      <w:r w:rsidRPr="00F87F18">
        <w:rPr>
          <w:rFonts w:eastAsiaTheme="minorHAnsi"/>
        </w:rPr>
        <w:t>and enhance Victoria</w:t>
      </w:r>
      <w:r>
        <w:rPr>
          <w:rFonts w:eastAsiaTheme="minorHAnsi"/>
        </w:rPr>
        <w:t>’</w:t>
      </w:r>
      <w:r w:rsidRPr="00F87F18">
        <w:rPr>
          <w:rFonts w:eastAsiaTheme="minorHAnsi"/>
        </w:rPr>
        <w:t>s position as a centre of economic growth</w:t>
      </w:r>
      <w:r>
        <w:rPr>
          <w:rFonts w:eastAsiaTheme="minorHAnsi"/>
        </w:rPr>
        <w:fldChar w:fldCharType="begin"/>
      </w:r>
      <w:r>
        <w:instrText xml:space="preserve"> XE "</w:instrText>
      </w:r>
      <w:r w:rsidRPr="007F391C">
        <w:rPr>
          <w:rFonts w:eastAsiaTheme="minorHAnsi"/>
        </w:rPr>
        <w:instrText>Economic growth</w:instrText>
      </w:r>
      <w:r>
        <w:rPr>
          <w:rFonts w:eastAsiaTheme="minorHAnsi"/>
        </w:rPr>
        <w:instrText>:Victoria</w:instrText>
      </w:r>
      <w:r>
        <w:instrText xml:space="preserve">" </w:instrText>
      </w:r>
      <w:r>
        <w:rPr>
          <w:rFonts w:eastAsiaTheme="minorHAnsi"/>
        </w:rPr>
        <w:fldChar w:fldCharType="end"/>
      </w:r>
      <w:r w:rsidRPr="00F87F18">
        <w:rPr>
          <w:rFonts w:eastAsiaTheme="minorHAnsi"/>
        </w:rPr>
        <w:t>. There has been significant improvement in Victoria</w:t>
      </w:r>
      <w:r>
        <w:rPr>
          <w:rFonts w:eastAsiaTheme="minorHAnsi" w:cs="Garamond"/>
        </w:rPr>
        <w:t>’</w:t>
      </w:r>
      <w:r w:rsidRPr="00F87F18">
        <w:rPr>
          <w:rFonts w:eastAsiaTheme="minorHAnsi"/>
        </w:rPr>
        <w:t>s labour market. Unemployment has fallen from a peak of 6.9</w:t>
      </w:r>
      <w:r>
        <w:rPr>
          <w:rFonts w:eastAsiaTheme="minorHAnsi"/>
        </w:rPr>
        <w:t> per cent</w:t>
      </w:r>
      <w:r w:rsidRPr="00F87F18">
        <w:rPr>
          <w:rFonts w:eastAsiaTheme="minorHAnsi"/>
        </w:rPr>
        <w:t xml:space="preserve"> in mid</w:t>
      </w:r>
      <w:r>
        <w:rPr>
          <w:rFonts w:eastAsiaTheme="minorHAnsi"/>
        </w:rPr>
        <w:noBreakHyphen/>
      </w:r>
      <w:r w:rsidRPr="00F87F18">
        <w:rPr>
          <w:rFonts w:eastAsiaTheme="minorHAnsi"/>
        </w:rPr>
        <w:t xml:space="preserve">2014 to </w:t>
      </w:r>
      <w:r>
        <w:rPr>
          <w:rFonts w:eastAsiaTheme="minorHAnsi"/>
        </w:rPr>
        <w:t>5.7 per cent</w:t>
      </w:r>
      <w:r w:rsidRPr="00F87F18">
        <w:rPr>
          <w:rFonts w:eastAsiaTheme="minorHAnsi"/>
        </w:rPr>
        <w:t xml:space="preserve"> in </w:t>
      </w:r>
      <w:r>
        <w:rPr>
          <w:rFonts w:eastAsiaTheme="minorHAnsi"/>
        </w:rPr>
        <w:t xml:space="preserve">March 2016. Since November 2014, </w:t>
      </w:r>
      <w:r w:rsidRPr="00F87F18">
        <w:rPr>
          <w:rFonts w:eastAsiaTheme="minorHAnsi"/>
        </w:rPr>
        <w:t xml:space="preserve">employment has increased </w:t>
      </w:r>
      <w:r>
        <w:rPr>
          <w:rFonts w:eastAsiaTheme="minorHAnsi"/>
        </w:rPr>
        <w:t>by over</w:t>
      </w:r>
      <w:r w:rsidRPr="00F87F18">
        <w:rPr>
          <w:rFonts w:eastAsiaTheme="minorHAnsi"/>
        </w:rPr>
        <w:t xml:space="preserve"> 1</w:t>
      </w:r>
      <w:r>
        <w:rPr>
          <w:rFonts w:eastAsiaTheme="minorHAnsi"/>
        </w:rPr>
        <w:t>12 </w:t>
      </w:r>
      <w:r w:rsidRPr="00F87F18">
        <w:rPr>
          <w:rFonts w:eastAsiaTheme="minorHAnsi"/>
        </w:rPr>
        <w:t>00</w:t>
      </w:r>
      <w:r>
        <w:rPr>
          <w:rFonts w:eastAsiaTheme="minorHAnsi"/>
        </w:rPr>
        <w:t>0</w:t>
      </w:r>
      <w:r w:rsidRPr="00F87F18">
        <w:rPr>
          <w:rFonts w:eastAsiaTheme="minorHAnsi"/>
        </w:rPr>
        <w:t xml:space="preserve"> people, with full</w:t>
      </w:r>
      <w:r>
        <w:rPr>
          <w:rFonts w:eastAsiaTheme="minorHAnsi"/>
        </w:rPr>
        <w:noBreakHyphen/>
      </w:r>
      <w:r w:rsidRPr="00F87F18">
        <w:rPr>
          <w:rFonts w:eastAsiaTheme="minorHAnsi"/>
        </w:rPr>
        <w:t>time employment up by</w:t>
      </w:r>
      <w:r>
        <w:rPr>
          <w:rFonts w:eastAsiaTheme="minorHAnsi"/>
        </w:rPr>
        <w:t xml:space="preserve"> more than</w:t>
      </w:r>
      <w:r w:rsidRPr="00F87F18">
        <w:rPr>
          <w:rFonts w:eastAsiaTheme="minorHAnsi"/>
        </w:rPr>
        <w:t xml:space="preserve"> </w:t>
      </w:r>
      <w:r>
        <w:rPr>
          <w:rFonts w:eastAsiaTheme="minorHAnsi"/>
        </w:rPr>
        <w:t>71 000</w:t>
      </w:r>
      <w:r w:rsidRPr="00F87F18">
        <w:rPr>
          <w:rFonts w:eastAsiaTheme="minorHAnsi"/>
        </w:rPr>
        <w:t xml:space="preserve">. </w:t>
      </w:r>
    </w:p>
    <w:p w:rsidR="007A09DB" w:rsidRDefault="007A09DB" w:rsidP="00100A95">
      <w:pPr>
        <w:rPr>
          <w:rFonts w:eastAsiaTheme="minorHAnsi"/>
        </w:rPr>
      </w:pPr>
      <w:r w:rsidRPr="00F87F18">
        <w:rPr>
          <w:rFonts w:eastAsiaTheme="minorHAnsi"/>
        </w:rPr>
        <w:lastRenderedPageBreak/>
        <w:t>However, there is still much to be done. Many Victorians are struggling to find work,</w:t>
      </w:r>
      <w:r>
        <w:rPr>
          <w:rFonts w:eastAsiaTheme="minorHAnsi"/>
        </w:rPr>
        <w:t xml:space="preserve"> including young Victorians</w:t>
      </w:r>
      <w:r w:rsidRPr="00F87F18">
        <w:rPr>
          <w:rFonts w:eastAsiaTheme="minorHAnsi"/>
        </w:rPr>
        <w:t xml:space="preserve"> whose rate of unemployment remains approximately twice that of the general population. Many Victorian workers are underemployed, working fewer hours than they would like. </w:t>
      </w:r>
    </w:p>
    <w:p w:rsidR="007A09DB" w:rsidRDefault="007A09DB" w:rsidP="00100A95">
      <w:pPr>
        <w:rPr>
          <w:rFonts w:eastAsiaTheme="minorHAnsi"/>
        </w:rPr>
      </w:pPr>
      <w:r>
        <w:rPr>
          <w:rFonts w:eastAsiaTheme="minorHAnsi"/>
        </w:rPr>
        <w:t xml:space="preserve">The </w:t>
      </w:r>
      <w:r w:rsidRPr="00643647">
        <w:rPr>
          <w:rFonts w:eastAsiaTheme="minorHAnsi"/>
          <w:i/>
        </w:rPr>
        <w:t>2016</w:t>
      </w:r>
      <w:r>
        <w:rPr>
          <w:rFonts w:eastAsiaTheme="minorHAnsi"/>
          <w:i/>
        </w:rPr>
        <w:noBreakHyphen/>
      </w:r>
      <w:r w:rsidRPr="00643647">
        <w:rPr>
          <w:rFonts w:eastAsiaTheme="minorHAnsi"/>
          <w:i/>
        </w:rPr>
        <w:t>17 Budget</w:t>
      </w:r>
      <w:r>
        <w:rPr>
          <w:rFonts w:eastAsiaTheme="minorHAnsi"/>
        </w:rPr>
        <w:t xml:space="preserve"> will boost trade and investment, productivity and Victoria’s visitor economy, including in rural and regional areas. </w:t>
      </w:r>
      <w:r w:rsidRPr="001873F4">
        <w:rPr>
          <w:rFonts w:eastAsiaTheme="minorHAnsi"/>
        </w:rPr>
        <w:t>It takes advantage of the diverse portfolio of industries that drive Victoria</w:t>
      </w:r>
      <w:r>
        <w:rPr>
          <w:rFonts w:eastAsiaTheme="minorHAnsi"/>
        </w:rPr>
        <w:t>’</w:t>
      </w:r>
      <w:r w:rsidRPr="001873F4">
        <w:rPr>
          <w:rFonts w:eastAsiaTheme="minorHAnsi"/>
        </w:rPr>
        <w:t>s economy, including manufacturing, financial services, retail, tourism</w:t>
      </w:r>
      <w:r>
        <w:rPr>
          <w:rFonts w:eastAsiaTheme="minorHAnsi"/>
        </w:rPr>
        <w:t>,</w:t>
      </w:r>
      <w:r w:rsidRPr="001873F4">
        <w:rPr>
          <w:rFonts w:eastAsiaTheme="minorHAnsi"/>
        </w:rPr>
        <w:t xml:space="preserve"> education, 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sidRPr="001873F4">
        <w:rPr>
          <w:rFonts w:eastAsiaTheme="minorHAnsi"/>
        </w:rPr>
        <w:t xml:space="preserve"> and food and fibre</w:t>
      </w:r>
      <w:r>
        <w:rPr>
          <w:rFonts w:eastAsiaTheme="minorHAnsi"/>
        </w:rPr>
        <w:fldChar w:fldCharType="begin"/>
      </w:r>
      <w:r>
        <w:instrText xml:space="preserve"> XE "</w:instrText>
      </w:r>
      <w:r w:rsidRPr="007B0A87">
        <w:rPr>
          <w:rFonts w:eastAsiaTheme="minorHAnsi"/>
        </w:rPr>
        <w:instrText>Food and fibre</w:instrText>
      </w:r>
      <w:r>
        <w:instrText xml:space="preserve">" </w:instrText>
      </w:r>
      <w:r>
        <w:rPr>
          <w:rFonts w:eastAsiaTheme="minorHAnsi"/>
        </w:rPr>
        <w:fldChar w:fldCharType="end"/>
      </w:r>
      <w:r w:rsidRPr="001873F4">
        <w:rPr>
          <w:rFonts w:eastAsiaTheme="minorHAnsi"/>
        </w:rPr>
        <w:t xml:space="preserve">. </w:t>
      </w:r>
      <w:r>
        <w:rPr>
          <w:rFonts w:eastAsiaTheme="minorHAnsi"/>
        </w:rPr>
        <w:t>These investments will support and create new pathways of prosperity. It will ensure that all Victorians share in our continued economic growth, and will grow the wealth of Victorian families.</w:t>
      </w:r>
      <w:r>
        <w:rPr>
          <w:rFonts w:eastAsiaTheme="minorHAnsi"/>
        </w:rPr>
        <w:fldChar w:fldCharType="begin"/>
      </w:r>
      <w:r>
        <w:instrText xml:space="preserve"> XE "</w:instrText>
      </w:r>
      <w:r w:rsidRPr="00062EE5">
        <w:rPr>
          <w:rFonts w:eastAsiaTheme="minorHAnsi"/>
        </w:rPr>
        <w:instrText>Economic growth</w:instrText>
      </w:r>
      <w:r>
        <w:instrText xml:space="preserve">" \r "BP2EcoG2" </w:instrText>
      </w:r>
      <w:r>
        <w:rPr>
          <w:rFonts w:eastAsiaTheme="minorHAnsi"/>
        </w:rPr>
        <w:fldChar w:fldCharType="end"/>
      </w:r>
      <w:r w:rsidR="00D9023F">
        <w:rPr>
          <w:rFonts w:eastAsiaTheme="minorHAnsi"/>
        </w:rPr>
        <w:fldChar w:fldCharType="begin"/>
      </w:r>
      <w:r w:rsidR="00D9023F">
        <w:instrText xml:space="preserve"> XE "</w:instrText>
      </w:r>
      <w:r w:rsidR="00D9023F" w:rsidRPr="00FF4BF6">
        <w:rPr>
          <w:rFonts w:eastAsiaTheme="minorHAnsi"/>
        </w:rPr>
        <w:instrText>Productivity</w:instrText>
      </w:r>
      <w:r w:rsidR="00D9023F">
        <w:instrText xml:space="preserve">" \r "BP2Prod1" </w:instrText>
      </w:r>
      <w:r w:rsidR="00D9023F">
        <w:rPr>
          <w:rFonts w:eastAsiaTheme="minorHAnsi"/>
        </w:rPr>
        <w:fldChar w:fldCharType="end"/>
      </w:r>
      <w:r w:rsidR="00D9023F">
        <w:rPr>
          <w:rFonts w:eastAsiaTheme="minorHAnsi"/>
        </w:rPr>
        <w:fldChar w:fldCharType="begin"/>
      </w:r>
      <w:r w:rsidR="00D9023F">
        <w:instrText xml:space="preserve"> XE "</w:instrText>
      </w:r>
      <w:r w:rsidR="00D9023F" w:rsidRPr="00BC0C09">
        <w:rPr>
          <w:rFonts w:eastAsiaTheme="minorHAnsi"/>
        </w:rPr>
        <w:instrText>Unemployment</w:instrText>
      </w:r>
      <w:r w:rsidR="00D9023F">
        <w:instrText xml:space="preserve">" \r "BP2Unemploy1" </w:instrText>
      </w:r>
      <w:r w:rsidR="00D9023F">
        <w:rPr>
          <w:rFonts w:eastAsiaTheme="minorHAnsi"/>
        </w:rPr>
        <w:fldChar w:fldCharType="end"/>
      </w:r>
    </w:p>
    <w:bookmarkEnd w:id="8"/>
    <w:bookmarkEnd w:id="6"/>
    <w:bookmarkEnd w:id="10"/>
    <w:p w:rsidR="007A09DB" w:rsidRPr="00F76E71" w:rsidRDefault="007A09DB" w:rsidP="00C202C8">
      <w:pPr>
        <w:pStyle w:val="Heading4"/>
        <w:rPr>
          <w:rFonts w:eastAsiaTheme="minorHAnsi"/>
        </w:rPr>
      </w:pPr>
      <w:r>
        <w:rPr>
          <w:rFonts w:eastAsiaTheme="minorHAnsi"/>
        </w:rPr>
        <w:t>Building Victoria’s f</w:t>
      </w:r>
      <w:r w:rsidRPr="00F76E71">
        <w:rPr>
          <w:rFonts w:eastAsiaTheme="minorHAnsi"/>
        </w:rPr>
        <w:t xml:space="preserve">uture </w:t>
      </w:r>
      <w:r>
        <w:rPr>
          <w:rFonts w:eastAsiaTheme="minorHAnsi"/>
        </w:rPr>
        <w:t>i</w:t>
      </w:r>
      <w:r w:rsidRPr="00F76E71">
        <w:rPr>
          <w:rFonts w:eastAsiaTheme="minorHAnsi"/>
        </w:rPr>
        <w:t xml:space="preserve">ndustries </w:t>
      </w:r>
    </w:p>
    <w:p w:rsidR="007A09DB" w:rsidRPr="00B46021" w:rsidRDefault="007A09DB" w:rsidP="0056238A">
      <w:pPr>
        <w:rPr>
          <w:rFonts w:eastAsiaTheme="minorHAnsi"/>
        </w:rPr>
      </w:pPr>
      <w:r>
        <w:rPr>
          <w:rFonts w:eastAsiaTheme="minorHAnsi"/>
        </w:rPr>
        <w:t>The Victorian</w:t>
      </w:r>
      <w:r w:rsidRPr="00B46021">
        <w:rPr>
          <w:rFonts w:eastAsiaTheme="minorHAnsi"/>
        </w:rPr>
        <w:t xml:space="preserve"> economy </w:t>
      </w:r>
      <w:r>
        <w:rPr>
          <w:rFonts w:eastAsiaTheme="minorHAnsi"/>
        </w:rPr>
        <w:t>includes</w:t>
      </w:r>
      <w:r w:rsidRPr="00B46021">
        <w:rPr>
          <w:rFonts w:eastAsiaTheme="minorHAnsi"/>
        </w:rPr>
        <w:t xml:space="preserve"> a diverse portfolio of industries </w:t>
      </w:r>
      <w:r>
        <w:rPr>
          <w:rFonts w:eastAsiaTheme="minorHAnsi"/>
        </w:rPr>
        <w:t>in which we have a competitive advantage such as</w:t>
      </w:r>
      <w:r w:rsidRPr="00B46021">
        <w:rPr>
          <w:rFonts w:eastAsiaTheme="minorHAnsi"/>
        </w:rPr>
        <w:t xml:space="preserve"> financial services, retail, tourism, </w:t>
      </w:r>
      <w:r>
        <w:rPr>
          <w:rFonts w:eastAsiaTheme="minorHAnsi"/>
        </w:rPr>
        <w:t xml:space="preserve">research, </w:t>
      </w:r>
      <w:r w:rsidRPr="00B46021">
        <w:rPr>
          <w:rFonts w:eastAsiaTheme="minorHAnsi"/>
        </w:rPr>
        <w:t>education</w:t>
      </w:r>
      <w:r>
        <w:rPr>
          <w:rFonts w:eastAsiaTheme="minorHAnsi"/>
        </w:rPr>
        <w:t xml:space="preserve">, </w:t>
      </w:r>
      <w:r w:rsidRPr="00B46021">
        <w:rPr>
          <w:rFonts w:eastAsiaTheme="minorHAnsi"/>
        </w:rPr>
        <w:t>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Pr>
          <w:rFonts w:eastAsiaTheme="minorHAnsi"/>
        </w:rPr>
        <w:t xml:space="preserve"> and agriculture</w:t>
      </w:r>
      <w:r w:rsidRPr="00B46021">
        <w:rPr>
          <w:rFonts w:eastAsiaTheme="minorHAnsi"/>
        </w:rPr>
        <w:t xml:space="preserve">. </w:t>
      </w:r>
    </w:p>
    <w:p w:rsidR="007A09DB" w:rsidRDefault="007A09DB" w:rsidP="0090432B">
      <w:pPr>
        <w:rPr>
          <w:rFonts w:eastAsiaTheme="minorHAnsi"/>
        </w:rPr>
      </w:pPr>
      <w:r w:rsidRPr="00F71B3C">
        <w:rPr>
          <w:rFonts w:eastAsiaTheme="minorHAnsi"/>
        </w:rPr>
        <w:t>The</w:t>
      </w:r>
      <w:r w:rsidRPr="00B500E6">
        <w:rPr>
          <w:rFonts w:eastAsiaTheme="minorHAnsi"/>
          <w:i/>
        </w:rPr>
        <w:t xml:space="preserve"> 2016</w:t>
      </w:r>
      <w:r>
        <w:rPr>
          <w:rFonts w:eastAsiaTheme="minorHAnsi"/>
          <w:i/>
        </w:rPr>
        <w:noBreakHyphen/>
      </w:r>
      <w:r w:rsidRPr="00B500E6">
        <w:rPr>
          <w:rFonts w:eastAsiaTheme="minorHAnsi"/>
          <w:i/>
        </w:rPr>
        <w:t>17 Budget</w:t>
      </w:r>
      <w:r w:rsidRPr="00F71B3C">
        <w:rPr>
          <w:rFonts w:eastAsiaTheme="minorHAnsi"/>
        </w:rPr>
        <w:t xml:space="preserve"> actively supports Victoria</w:t>
      </w:r>
      <w:r>
        <w:rPr>
          <w:rFonts w:eastAsiaTheme="minorHAnsi"/>
        </w:rPr>
        <w:t>’</w:t>
      </w:r>
      <w:r w:rsidRPr="00F71B3C">
        <w:rPr>
          <w:rFonts w:eastAsiaTheme="minorHAnsi"/>
        </w:rPr>
        <w:t>s competitive advantages through initiatives that</w:t>
      </w:r>
      <w:r>
        <w:rPr>
          <w:rFonts w:eastAsiaTheme="minorHAnsi"/>
        </w:rPr>
        <w:t xml:space="preserve"> </w:t>
      </w:r>
      <w:r w:rsidRPr="00F71B3C">
        <w:rPr>
          <w:rFonts w:eastAsiaTheme="minorHAnsi"/>
        </w:rPr>
        <w:t xml:space="preserve">leverage </w:t>
      </w:r>
      <w:r>
        <w:rPr>
          <w:rFonts w:eastAsiaTheme="minorHAnsi"/>
        </w:rPr>
        <w:t>the State’s</w:t>
      </w:r>
      <w:r w:rsidRPr="00F71B3C">
        <w:rPr>
          <w:rFonts w:eastAsiaTheme="minorHAnsi"/>
        </w:rPr>
        <w:t xml:space="preserve"> world</w:t>
      </w:r>
      <w:r>
        <w:rPr>
          <w:rFonts w:eastAsiaTheme="minorHAnsi"/>
        </w:rPr>
        <w:noBreakHyphen/>
      </w:r>
      <w:r w:rsidRPr="00F71B3C">
        <w:rPr>
          <w:rFonts w:eastAsiaTheme="minorHAnsi"/>
        </w:rPr>
        <w:t xml:space="preserve">class education and research institutions, and </w:t>
      </w:r>
      <w:r>
        <w:rPr>
          <w:rFonts w:eastAsiaTheme="minorHAnsi"/>
        </w:rPr>
        <w:t>support</w:t>
      </w:r>
      <w:r w:rsidRPr="00F71B3C">
        <w:rPr>
          <w:rFonts w:eastAsiaTheme="minorHAnsi"/>
        </w:rPr>
        <w:t xml:space="preserve"> sectors</w:t>
      </w:r>
      <w:r>
        <w:rPr>
          <w:rFonts w:eastAsiaTheme="minorHAnsi"/>
        </w:rPr>
        <w:t xml:space="preserve"> with the potential to drive longer</w:t>
      </w:r>
      <w:r>
        <w:rPr>
          <w:rFonts w:eastAsiaTheme="minorHAnsi"/>
        </w:rPr>
        <w:noBreakHyphen/>
        <w:t>term economic growth</w:t>
      </w:r>
      <w:r w:rsidRPr="00F71B3C">
        <w:rPr>
          <w:rFonts w:eastAsiaTheme="minorHAnsi"/>
        </w:rPr>
        <w:t xml:space="preserve">. </w:t>
      </w:r>
      <w:r>
        <w:rPr>
          <w:rFonts w:eastAsiaTheme="minorHAnsi"/>
        </w:rPr>
        <w:t>Building on the work of the last budget, this budget provides $111 million to the Future Industries Fund</w:t>
      </w:r>
      <w:r>
        <w:rPr>
          <w:rFonts w:eastAsiaTheme="minorHAnsi"/>
        </w:rPr>
        <w:fldChar w:fldCharType="begin"/>
      </w:r>
      <w:r>
        <w:instrText xml:space="preserve"> XE "</w:instrText>
      </w:r>
      <w:r w:rsidRPr="007B0A87">
        <w:rPr>
          <w:rFonts w:eastAsiaTheme="minorHAnsi"/>
        </w:rPr>
        <w:instrText>Future Industries Fund</w:instrText>
      </w:r>
      <w:r>
        <w:instrText xml:space="preserve">" </w:instrText>
      </w:r>
      <w:r>
        <w:rPr>
          <w:rFonts w:eastAsiaTheme="minorHAnsi"/>
        </w:rPr>
        <w:fldChar w:fldCharType="end"/>
      </w:r>
      <w:r>
        <w:rPr>
          <w:rFonts w:eastAsiaTheme="minorHAnsi"/>
        </w:rPr>
        <w:t xml:space="preserve"> to undertake strategic and sector growth projects in our six priority growth sectors</w:t>
      </w:r>
      <w:r w:rsidR="0078635B">
        <w:rPr>
          <w:rFonts w:eastAsiaTheme="minorHAnsi"/>
        </w:rPr>
        <w:fldChar w:fldCharType="begin"/>
      </w:r>
      <w:r w:rsidR="0078635B">
        <w:instrText xml:space="preserve"> XE "</w:instrText>
      </w:r>
      <w:r w:rsidR="0078635B" w:rsidRPr="007739C0">
        <w:rPr>
          <w:rFonts w:eastAsiaTheme="minorHAnsi"/>
        </w:rPr>
        <w:instrText>Priority growth sectors</w:instrText>
      </w:r>
      <w:r w:rsidR="0078635B">
        <w:instrText xml:space="preserve">" </w:instrText>
      </w:r>
      <w:r w:rsidR="0078635B">
        <w:rPr>
          <w:rFonts w:eastAsiaTheme="minorHAnsi"/>
        </w:rPr>
        <w:fldChar w:fldCharType="end"/>
      </w:r>
      <w:r>
        <w:rPr>
          <w:rFonts w:eastAsiaTheme="minorHAnsi"/>
        </w:rPr>
        <w:t>:</w:t>
      </w:r>
    </w:p>
    <w:p w:rsidR="007A09DB" w:rsidRDefault="007A09DB" w:rsidP="000158FA">
      <w:pPr>
        <w:pStyle w:val="BulletText"/>
        <w:rPr>
          <w:rFonts w:eastAsiaTheme="minorHAnsi"/>
        </w:rPr>
      </w:pPr>
      <w:r>
        <w:rPr>
          <w:rFonts w:eastAsiaTheme="minorHAnsi"/>
        </w:rPr>
        <w:t>Medical Technologies and Pharmaceuticals;</w:t>
      </w:r>
    </w:p>
    <w:p w:rsidR="007A09DB" w:rsidRDefault="007A09DB" w:rsidP="00325935">
      <w:pPr>
        <w:pStyle w:val="BulletText"/>
        <w:rPr>
          <w:rFonts w:eastAsiaTheme="minorHAnsi"/>
        </w:rPr>
      </w:pPr>
      <w:r>
        <w:rPr>
          <w:rFonts w:eastAsiaTheme="minorHAnsi"/>
        </w:rPr>
        <w:t>New Energy Technologies</w:t>
      </w:r>
      <w:r>
        <w:rPr>
          <w:rFonts w:eastAsiaTheme="minorHAnsi"/>
        </w:rPr>
        <w:fldChar w:fldCharType="begin"/>
      </w:r>
      <w:r>
        <w:instrText xml:space="preserve"> XE "</w:instrText>
      </w:r>
      <w:r w:rsidRPr="00F11037">
        <w:rPr>
          <w:rFonts w:eastAsiaTheme="minorHAnsi"/>
        </w:rPr>
        <w:instrText>New Energy Technologies</w:instrText>
      </w:r>
      <w:r>
        <w:instrText xml:space="preserve">" </w:instrText>
      </w:r>
      <w:r>
        <w:rPr>
          <w:rFonts w:eastAsiaTheme="minorHAnsi"/>
        </w:rPr>
        <w:fldChar w:fldCharType="end"/>
      </w:r>
      <w:r>
        <w:rPr>
          <w:rFonts w:eastAsiaTheme="minorHAnsi"/>
        </w:rPr>
        <w:t xml:space="preserve">; </w:t>
      </w:r>
    </w:p>
    <w:p w:rsidR="007A09DB" w:rsidRDefault="007A09DB" w:rsidP="000158FA">
      <w:pPr>
        <w:pStyle w:val="BulletText"/>
        <w:rPr>
          <w:rFonts w:eastAsiaTheme="minorHAnsi"/>
        </w:rPr>
      </w:pPr>
      <w:r>
        <w:rPr>
          <w:rFonts w:eastAsiaTheme="minorHAnsi"/>
        </w:rPr>
        <w:t>Food and Fibre;</w:t>
      </w:r>
    </w:p>
    <w:p w:rsidR="007A09DB" w:rsidRDefault="007A09DB" w:rsidP="000158FA">
      <w:pPr>
        <w:pStyle w:val="BulletText"/>
        <w:rPr>
          <w:rFonts w:eastAsiaTheme="minorHAnsi"/>
        </w:rPr>
      </w:pPr>
      <w:r>
        <w:rPr>
          <w:rFonts w:eastAsiaTheme="minorHAnsi"/>
        </w:rPr>
        <w:t>Transport, Defence and Construction Technologies;</w:t>
      </w:r>
    </w:p>
    <w:p w:rsidR="007A09DB" w:rsidRDefault="007A09DB" w:rsidP="00325935">
      <w:pPr>
        <w:pStyle w:val="BulletText"/>
        <w:rPr>
          <w:rFonts w:eastAsiaTheme="minorHAnsi"/>
        </w:rPr>
      </w:pPr>
      <w:r>
        <w:rPr>
          <w:rFonts w:eastAsiaTheme="minorHAnsi"/>
        </w:rPr>
        <w:t xml:space="preserve">International Education; and </w:t>
      </w:r>
    </w:p>
    <w:p w:rsidR="007A09DB" w:rsidRDefault="007A09DB" w:rsidP="000158FA">
      <w:pPr>
        <w:pStyle w:val="BulletText"/>
        <w:rPr>
          <w:rFonts w:eastAsiaTheme="minorHAnsi"/>
        </w:rPr>
      </w:pPr>
      <w:r>
        <w:rPr>
          <w:rFonts w:eastAsiaTheme="minorHAnsi"/>
        </w:rPr>
        <w:t>Professional Services.</w:t>
      </w:r>
    </w:p>
    <w:p w:rsidR="007A09DB" w:rsidRDefault="007A09DB" w:rsidP="00C202C8">
      <w:pPr>
        <w:pStyle w:val="Heading4"/>
        <w:rPr>
          <w:rFonts w:eastAsiaTheme="minorHAnsi"/>
        </w:rPr>
      </w:pPr>
      <w:bookmarkStart w:id="11" w:name="BP2Skills1"/>
      <w:bookmarkEnd w:id="9"/>
      <w:r>
        <w:rPr>
          <w:rFonts w:eastAsiaTheme="minorHAnsi"/>
        </w:rPr>
        <w:t>Supporting and developing Victorian skills</w:t>
      </w:r>
    </w:p>
    <w:p w:rsidR="007A09DB" w:rsidRDefault="007A09DB" w:rsidP="00004882">
      <w:pPr>
        <w:rPr>
          <w:rFonts w:eastAsiaTheme="minorHAnsi"/>
        </w:rPr>
      </w:pPr>
      <w:r>
        <w:rPr>
          <w:rFonts w:eastAsiaTheme="minorHAnsi"/>
        </w:rPr>
        <w:t xml:space="preserve">The </w:t>
      </w:r>
      <w:r w:rsidRPr="00781416">
        <w:rPr>
          <w:rFonts w:eastAsiaTheme="minorHAnsi"/>
          <w:i/>
        </w:rPr>
        <w:t>2016</w:t>
      </w:r>
      <w:r>
        <w:rPr>
          <w:rFonts w:eastAsiaTheme="minorHAnsi"/>
          <w:i/>
        </w:rPr>
        <w:noBreakHyphen/>
      </w:r>
      <w:r w:rsidRPr="00781416">
        <w:rPr>
          <w:rFonts w:eastAsiaTheme="minorHAnsi"/>
          <w:i/>
        </w:rPr>
        <w:t>17 Budget</w:t>
      </w:r>
      <w:r w:rsidRPr="000019BF">
        <w:rPr>
          <w:rFonts w:eastAsiaTheme="minorHAnsi"/>
        </w:rPr>
        <w:t xml:space="preserve"> </w:t>
      </w:r>
      <w:r>
        <w:rPr>
          <w:rFonts w:eastAsiaTheme="minorHAnsi"/>
        </w:rPr>
        <w:t>provides $53 million</w:t>
      </w:r>
      <w:r w:rsidRPr="000019BF">
        <w:rPr>
          <w:rFonts w:eastAsiaTheme="minorHAnsi"/>
        </w:rPr>
        <w:t xml:space="preserve"> </w:t>
      </w:r>
      <w:r>
        <w:rPr>
          <w:rFonts w:eastAsiaTheme="minorHAnsi"/>
        </w:rPr>
        <w:t>to establish</w:t>
      </w:r>
      <w:r w:rsidRPr="000019BF">
        <w:rPr>
          <w:rFonts w:eastAsiaTheme="minorHAnsi"/>
        </w:rPr>
        <w:t xml:space="preserve"> Jobs Victoria</w:t>
      </w:r>
      <w:r>
        <w:rPr>
          <w:rFonts w:eastAsiaTheme="minorHAnsi"/>
        </w:rPr>
        <w:fldChar w:fldCharType="begin"/>
      </w:r>
      <w:r>
        <w:instrText xml:space="preserve"> XE "</w:instrText>
      </w:r>
      <w:r w:rsidRPr="008F63EA">
        <w:instrText>Jobs:Jobs Victoria</w:instrText>
      </w:r>
      <w:r>
        <w:instrText xml:space="preserve">" </w:instrText>
      </w:r>
      <w:r>
        <w:rPr>
          <w:rFonts w:eastAsiaTheme="minorHAnsi"/>
        </w:rPr>
        <w:fldChar w:fldCharType="end"/>
      </w:r>
      <w:r w:rsidRPr="000019BF">
        <w:rPr>
          <w:rFonts w:eastAsiaTheme="minorHAnsi"/>
        </w:rPr>
        <w:t xml:space="preserve">. </w:t>
      </w:r>
      <w:r>
        <w:rPr>
          <w:rFonts w:eastAsiaTheme="minorHAnsi"/>
        </w:rPr>
        <w:t>Jobs Victoria</w:t>
      </w:r>
      <w:r>
        <w:rPr>
          <w:rFonts w:eastAsiaTheme="minorHAnsi"/>
        </w:rPr>
        <w:fldChar w:fldCharType="begin"/>
      </w:r>
      <w:r>
        <w:instrText xml:space="preserve"> XE "</w:instrText>
      </w:r>
      <w:r w:rsidRPr="008F63EA">
        <w:instrText>Jobs:Jobs Victoria</w:instrText>
      </w:r>
      <w:r>
        <w:instrText xml:space="preserve">" </w:instrText>
      </w:r>
      <w:r>
        <w:rPr>
          <w:rFonts w:eastAsiaTheme="minorHAnsi"/>
        </w:rPr>
        <w:fldChar w:fldCharType="end"/>
      </w:r>
      <w:r w:rsidRPr="000019BF">
        <w:rPr>
          <w:rFonts w:eastAsiaTheme="minorHAnsi"/>
        </w:rPr>
        <w:t xml:space="preserve"> will help peop</w:t>
      </w:r>
      <w:r>
        <w:rPr>
          <w:rFonts w:eastAsiaTheme="minorHAnsi"/>
        </w:rPr>
        <w:t>le find employment more quickly</w:t>
      </w:r>
      <w:r w:rsidRPr="000019BF">
        <w:rPr>
          <w:rFonts w:eastAsiaTheme="minorHAnsi"/>
        </w:rPr>
        <w:t xml:space="preserve"> a</w:t>
      </w:r>
      <w:r>
        <w:rPr>
          <w:rFonts w:eastAsiaTheme="minorHAnsi"/>
        </w:rPr>
        <w:t>nd ensure disadvantaged Victorian</w:t>
      </w:r>
      <w:r w:rsidRPr="000019BF">
        <w:rPr>
          <w:rFonts w:eastAsiaTheme="minorHAnsi"/>
        </w:rPr>
        <w:t xml:space="preserve">s </w:t>
      </w:r>
      <w:r>
        <w:rPr>
          <w:rFonts w:eastAsiaTheme="minorHAnsi"/>
        </w:rPr>
        <w:t xml:space="preserve">remain </w:t>
      </w:r>
      <w:r w:rsidRPr="000019BF">
        <w:rPr>
          <w:rFonts w:eastAsiaTheme="minorHAnsi"/>
        </w:rPr>
        <w:t>engaged in the labour market.</w:t>
      </w:r>
    </w:p>
    <w:p w:rsidR="007A09DB" w:rsidRDefault="007A09DB" w:rsidP="00D34462">
      <w:pPr>
        <w:rPr>
          <w:rFonts w:eastAsiaTheme="minorHAnsi"/>
        </w:rPr>
      </w:pPr>
      <w:r w:rsidRPr="000019BF">
        <w:rPr>
          <w:rFonts w:eastAsiaTheme="minorHAnsi"/>
        </w:rPr>
        <w:t>Jobs Victoria</w:t>
      </w:r>
      <w:r>
        <w:rPr>
          <w:rFonts w:eastAsiaTheme="minorHAnsi"/>
        </w:rPr>
        <w:fldChar w:fldCharType="begin"/>
      </w:r>
      <w:r>
        <w:instrText xml:space="preserve"> XE "</w:instrText>
      </w:r>
      <w:r w:rsidRPr="008F63EA">
        <w:instrText>Jobs:Jobs Victoria</w:instrText>
      </w:r>
      <w:r>
        <w:instrText xml:space="preserve">" </w:instrText>
      </w:r>
      <w:r>
        <w:rPr>
          <w:rFonts w:eastAsiaTheme="minorHAnsi"/>
        </w:rPr>
        <w:fldChar w:fldCharType="end"/>
      </w:r>
      <w:r w:rsidRPr="000019BF">
        <w:rPr>
          <w:rFonts w:eastAsiaTheme="minorHAnsi"/>
        </w:rPr>
        <w:t xml:space="preserve"> </w:t>
      </w:r>
      <w:r>
        <w:rPr>
          <w:rFonts w:eastAsiaTheme="minorHAnsi"/>
        </w:rPr>
        <w:t>will be</w:t>
      </w:r>
      <w:r w:rsidRPr="000019BF">
        <w:rPr>
          <w:rFonts w:eastAsiaTheme="minorHAnsi"/>
        </w:rPr>
        <w:t xml:space="preserve"> a client</w:t>
      </w:r>
      <w:r>
        <w:rPr>
          <w:rFonts w:eastAsiaTheme="minorHAnsi"/>
        </w:rPr>
        <w:noBreakHyphen/>
      </w:r>
      <w:r w:rsidRPr="000019BF">
        <w:rPr>
          <w:rFonts w:eastAsiaTheme="minorHAnsi"/>
        </w:rPr>
        <w:t>centred employment service that provides coordinated support to disadvantaged job seekers</w:t>
      </w:r>
      <w:r>
        <w:rPr>
          <w:rFonts w:eastAsiaTheme="minorHAnsi"/>
        </w:rPr>
        <w:t xml:space="preserve">, complementing Commonwealth programs. It will focus on employment services in disadvantaged and rural areas, where finding jobs can be difficult. </w:t>
      </w:r>
      <w:r w:rsidRPr="008921DA">
        <w:rPr>
          <w:rFonts w:eastAsiaTheme="minorHAnsi"/>
        </w:rPr>
        <w:t xml:space="preserve">Continued support </w:t>
      </w:r>
      <w:r>
        <w:rPr>
          <w:rFonts w:eastAsiaTheme="minorHAnsi"/>
        </w:rPr>
        <w:t>will be</w:t>
      </w:r>
      <w:r w:rsidRPr="008921DA">
        <w:rPr>
          <w:rFonts w:eastAsiaTheme="minorHAnsi"/>
        </w:rPr>
        <w:t xml:space="preserve"> provided to disadvantaged job seekers and industries in transition, such as through increased work placements for people who are having trouble securing employment, ensuring that everyone is given a fair go.</w:t>
      </w:r>
    </w:p>
    <w:p w:rsidR="007A09DB" w:rsidRDefault="007A09DB" w:rsidP="00D34462">
      <w:pPr>
        <w:rPr>
          <w:rFonts w:eastAsiaTheme="minorHAnsi"/>
        </w:rPr>
      </w:pPr>
      <w:r>
        <w:rPr>
          <w:rFonts w:eastAsiaTheme="minorHAnsi"/>
        </w:rPr>
        <w:lastRenderedPageBreak/>
        <w:t>To help workers transition from the automotive industry to other areas of the labour market, the Government has already committed $47 million to deliver Victoria’s Automotive Transition Plan</w:t>
      </w:r>
      <w:r>
        <w:rPr>
          <w:rFonts w:eastAsiaTheme="minorHAnsi"/>
        </w:rPr>
        <w:fldChar w:fldCharType="begin"/>
      </w:r>
      <w:r>
        <w:instrText xml:space="preserve"> XE "</w:instrText>
      </w:r>
      <w:r w:rsidRPr="002F70E3">
        <w:rPr>
          <w:rFonts w:eastAsiaTheme="minorHAnsi"/>
        </w:rPr>
        <w:instrText>Victoria’s Automotive Transition Plan</w:instrText>
      </w:r>
      <w:r>
        <w:instrText xml:space="preserve">" </w:instrText>
      </w:r>
      <w:r>
        <w:rPr>
          <w:rFonts w:eastAsiaTheme="minorHAnsi"/>
        </w:rPr>
        <w:fldChar w:fldCharType="end"/>
      </w:r>
      <w:r w:rsidRPr="00550A6E">
        <w:rPr>
          <w:rFonts w:eastAsiaTheme="minorHAnsi"/>
        </w:rPr>
        <w:t xml:space="preserve">. The </w:t>
      </w:r>
      <w:r w:rsidRPr="00550A6E">
        <w:rPr>
          <w:rFonts w:eastAsiaTheme="minorHAnsi"/>
          <w:i/>
        </w:rPr>
        <w:t>2016</w:t>
      </w:r>
      <w:r>
        <w:rPr>
          <w:rFonts w:eastAsiaTheme="minorHAnsi"/>
          <w:i/>
        </w:rPr>
        <w:noBreakHyphen/>
      </w:r>
      <w:r w:rsidRPr="00550A6E">
        <w:rPr>
          <w:rFonts w:eastAsiaTheme="minorHAnsi"/>
          <w:i/>
        </w:rPr>
        <w:t xml:space="preserve">17 Budget </w:t>
      </w:r>
      <w:r>
        <w:rPr>
          <w:rFonts w:eastAsiaTheme="minorHAnsi"/>
        </w:rPr>
        <w:t>directs</w:t>
      </w:r>
      <w:r w:rsidRPr="00550A6E">
        <w:rPr>
          <w:rFonts w:eastAsiaTheme="minorHAnsi"/>
        </w:rPr>
        <w:t xml:space="preserve"> a further $10</w:t>
      </w:r>
      <w:r>
        <w:rPr>
          <w:rFonts w:eastAsiaTheme="minorHAnsi"/>
        </w:rPr>
        <w:t> million</w:t>
      </w:r>
      <w:r w:rsidRPr="00550A6E">
        <w:rPr>
          <w:rFonts w:eastAsiaTheme="minorHAnsi"/>
        </w:rPr>
        <w:t xml:space="preserve"> to </w:t>
      </w:r>
      <w:r>
        <w:rPr>
          <w:rFonts w:eastAsiaTheme="minorHAnsi"/>
        </w:rPr>
        <w:t xml:space="preserve">give </w:t>
      </w:r>
      <w:r w:rsidRPr="00550A6E">
        <w:rPr>
          <w:rFonts w:eastAsiaTheme="minorHAnsi"/>
        </w:rPr>
        <w:t>employers</w:t>
      </w:r>
      <w:r>
        <w:rPr>
          <w:rFonts w:eastAsiaTheme="minorHAnsi"/>
        </w:rPr>
        <w:t xml:space="preserve"> incentives</w:t>
      </w:r>
      <w:r w:rsidRPr="00550A6E">
        <w:rPr>
          <w:rFonts w:eastAsiaTheme="minorHAnsi"/>
        </w:rPr>
        <w:t xml:space="preserve"> to employ affected automotive workers. </w:t>
      </w:r>
    </w:p>
    <w:p w:rsidR="007A09DB" w:rsidRDefault="007A09DB" w:rsidP="005D1496">
      <w:r>
        <w:t>Victoria accounted for over a quarter of the national education market in 2014</w:t>
      </w:r>
      <w:r>
        <w:noBreakHyphen/>
        <w:t>15. The education industry</w:t>
      </w:r>
      <w:r>
        <w:fldChar w:fldCharType="begin"/>
      </w:r>
      <w:r>
        <w:instrText xml:space="preserve"> XE "Employment:</w:instrText>
      </w:r>
      <w:r w:rsidRPr="002D0C51">
        <w:instrText>Industry</w:instrText>
      </w:r>
      <w:r>
        <w:instrText xml:space="preserve">" </w:instrText>
      </w:r>
      <w:r>
        <w:fldChar w:fldCharType="end"/>
      </w:r>
      <w:r>
        <w:t xml:space="preserve"> contributed $20 billion to Victoria’s economy last financial year and employs around 230 000 Victorians. The number of enrolments of international students coming to Victoria grew by 12 per cent in 2015 to a record 195 000. This represented over 30 per cent of national enrolments, well above our population share. The </w:t>
      </w:r>
      <w:r>
        <w:rPr>
          <w:i/>
        </w:rPr>
        <w:t>2016</w:t>
      </w:r>
      <w:r>
        <w:rPr>
          <w:i/>
        </w:rPr>
        <w:noBreakHyphen/>
        <w:t xml:space="preserve">17 Budget </w:t>
      </w:r>
      <w:r>
        <w:t>will provide funding to ensure Victoria remains a global education provider of choice.</w:t>
      </w:r>
    </w:p>
    <w:p w:rsidR="007A09DB" w:rsidRDefault="007A09DB" w:rsidP="00D34462">
      <w:pPr>
        <w:rPr>
          <w:rFonts w:eastAsiaTheme="minorHAnsi"/>
        </w:rPr>
      </w:pPr>
      <w:r w:rsidRPr="008921DA">
        <w:rPr>
          <w:rFonts w:eastAsiaTheme="minorHAnsi"/>
        </w:rPr>
        <w:t xml:space="preserve">In addition, the Government will </w:t>
      </w:r>
      <w:r>
        <w:rPr>
          <w:rFonts w:eastAsiaTheme="minorHAnsi"/>
        </w:rPr>
        <w:t>support</w:t>
      </w:r>
      <w:r w:rsidRPr="008921DA">
        <w:rPr>
          <w:rFonts w:eastAsiaTheme="minorHAnsi"/>
        </w:rPr>
        <w:t xml:space="preserve"> businesses</w:t>
      </w:r>
      <w:r>
        <w:rPr>
          <w:rFonts w:eastAsiaTheme="minorHAnsi"/>
        </w:rPr>
        <w:t xml:space="preserve"> through a payroll tax exemption on the wages</w:t>
      </w: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Pr>
          <w:rFonts w:eastAsiaTheme="minorHAnsi"/>
        </w:rPr>
        <w:t xml:space="preserve"> paid to displaced apprentices or trainees.</w:t>
      </w:r>
      <w:r>
        <w:rPr>
          <w:rFonts w:eastAsiaTheme="minorHAnsi"/>
        </w:rPr>
        <w:fldChar w:fldCharType="begin"/>
      </w:r>
      <w:r>
        <w:instrText xml:space="preserve"> XE "</w:instrText>
      </w:r>
      <w:r w:rsidRPr="00127CA7">
        <w:rPr>
          <w:rFonts w:eastAsiaTheme="minorHAnsi"/>
        </w:rPr>
        <w:instrText>Skills</w:instrText>
      </w:r>
      <w:r>
        <w:instrText xml:space="preserve">" \r "BP2Skills1" </w:instrText>
      </w:r>
      <w:r>
        <w:rPr>
          <w:rFonts w:eastAsiaTheme="minorHAnsi"/>
        </w:rPr>
        <w:fldChar w:fldCharType="end"/>
      </w:r>
      <w:r w:rsidRPr="008921DA">
        <w:rPr>
          <w:rFonts w:eastAsiaTheme="minorHAnsi"/>
        </w:rPr>
        <w:t xml:space="preserve"> </w:t>
      </w:r>
    </w:p>
    <w:bookmarkEnd w:id="11"/>
    <w:p w:rsidR="007A09DB" w:rsidRDefault="007A09DB" w:rsidP="00C202C8">
      <w:pPr>
        <w:pStyle w:val="Heading4"/>
        <w:rPr>
          <w:rFonts w:eastAsiaTheme="minorHAnsi"/>
        </w:rPr>
      </w:pPr>
      <w:r>
        <w:rPr>
          <w:rFonts w:eastAsiaTheme="minorHAnsi"/>
        </w:rPr>
        <w:t>Attracting business</w:t>
      </w:r>
    </w:p>
    <w:p w:rsidR="007A09DB" w:rsidRDefault="007A09DB" w:rsidP="00462FBF">
      <w:pPr>
        <w:rPr>
          <w:rFonts w:eastAsiaTheme="minorHAnsi"/>
        </w:rPr>
      </w:pPr>
      <w:r w:rsidRPr="00D44B49">
        <w:rPr>
          <w:rFonts w:eastAsiaTheme="minorHAnsi"/>
        </w:rPr>
        <w:t>The</w:t>
      </w:r>
      <w:r>
        <w:rPr>
          <w:rFonts w:eastAsiaTheme="minorHAnsi"/>
        </w:rPr>
        <w:t xml:space="preserve"> </w:t>
      </w:r>
      <w:r w:rsidRPr="00074E23">
        <w:rPr>
          <w:rFonts w:eastAsiaTheme="minorHAnsi"/>
          <w:i/>
        </w:rPr>
        <w:t>2016</w:t>
      </w:r>
      <w:r>
        <w:rPr>
          <w:rFonts w:eastAsiaTheme="minorHAnsi"/>
          <w:i/>
        </w:rPr>
        <w:noBreakHyphen/>
      </w:r>
      <w:r w:rsidRPr="00074E23">
        <w:rPr>
          <w:rFonts w:eastAsiaTheme="minorHAnsi"/>
          <w:i/>
        </w:rPr>
        <w:t>17 Budget</w:t>
      </w:r>
      <w:r>
        <w:rPr>
          <w:rFonts w:eastAsiaTheme="minorHAnsi"/>
        </w:rPr>
        <w:t xml:space="preserve"> will further enhance Victoria’s attractiveness as an investment destination. The $116 million</w:t>
      </w:r>
      <w:r w:rsidRPr="008921DA">
        <w:rPr>
          <w:rFonts w:eastAsiaTheme="minorHAnsi"/>
        </w:rPr>
        <w:t xml:space="preserve"> </w:t>
      </w:r>
      <w:r>
        <w:rPr>
          <w:rFonts w:eastAsiaTheme="minorHAnsi"/>
        </w:rPr>
        <w:t>Investment Attraction</w:t>
      </w:r>
      <w:r>
        <w:rPr>
          <w:rFonts w:eastAsiaTheme="minorHAnsi"/>
        </w:rPr>
        <w:fldChar w:fldCharType="begin"/>
      </w:r>
      <w:r>
        <w:instrText xml:space="preserve"> XE "</w:instrText>
      </w:r>
      <w:r w:rsidRPr="003E030E">
        <w:rPr>
          <w:rFonts w:eastAsiaTheme="minorHAnsi"/>
        </w:rPr>
        <w:instrText>Investment attraction</w:instrText>
      </w:r>
      <w:r>
        <w:instrText xml:space="preserve">" </w:instrText>
      </w:r>
      <w:r>
        <w:rPr>
          <w:rFonts w:eastAsiaTheme="minorHAnsi"/>
        </w:rPr>
        <w:fldChar w:fldCharType="end"/>
      </w:r>
      <w:r>
        <w:rPr>
          <w:rFonts w:eastAsiaTheme="minorHAnsi"/>
        </w:rPr>
        <w:t xml:space="preserve"> and A</w:t>
      </w:r>
      <w:r w:rsidRPr="008921DA">
        <w:rPr>
          <w:rFonts w:eastAsiaTheme="minorHAnsi"/>
        </w:rPr>
        <w:t xml:space="preserve">ssistance </w:t>
      </w:r>
      <w:r>
        <w:rPr>
          <w:rFonts w:eastAsiaTheme="minorHAnsi"/>
        </w:rPr>
        <w:t>P</w:t>
      </w:r>
      <w:r w:rsidRPr="008921DA">
        <w:rPr>
          <w:rFonts w:eastAsiaTheme="minorHAnsi"/>
        </w:rPr>
        <w:t>rogram will proactively facilitate job creation and private capital investment across th</w:t>
      </w:r>
      <w:r>
        <w:rPr>
          <w:rFonts w:eastAsiaTheme="minorHAnsi"/>
        </w:rPr>
        <w:t xml:space="preserve">e State. In addition, </w:t>
      </w:r>
      <w:r w:rsidRPr="00685373">
        <w:rPr>
          <w:rFonts w:eastAsiaTheme="minorHAnsi"/>
        </w:rPr>
        <w:t>Victorian businesses will be provided with support to promote their investment credentials in international markets</w:t>
      </w:r>
      <w:r>
        <w:rPr>
          <w:rFonts w:eastAsiaTheme="minorHAnsi"/>
        </w:rPr>
        <w:t xml:space="preserve"> </w:t>
      </w:r>
      <w:r w:rsidRPr="008921DA">
        <w:rPr>
          <w:rFonts w:eastAsiaTheme="minorHAnsi"/>
        </w:rPr>
        <w:t>to highlight their competitive advantages and grow their profitability.</w:t>
      </w:r>
    </w:p>
    <w:p w:rsidR="007A09DB" w:rsidRDefault="007A09DB" w:rsidP="00462FBF">
      <w:pPr>
        <w:rPr>
          <w:rFonts w:eastAsiaTheme="minorHAnsi"/>
        </w:rPr>
      </w:pPr>
      <w:r w:rsidRPr="00EA4E3D">
        <w:rPr>
          <w:rFonts w:eastAsiaTheme="minorHAnsi"/>
        </w:rPr>
        <w:t>The Government is reducing the tax burden on business, allowing them to expand, invest and employ more Victorians.</w:t>
      </w:r>
      <w:r w:rsidRPr="00D22DC8">
        <w:rPr>
          <w:rFonts w:eastAsiaTheme="minorHAnsi"/>
        </w:rPr>
        <w:t xml:space="preserve"> The payroll tax exemption threshold is being increased by $25</w:t>
      </w:r>
      <w:r>
        <w:rPr>
          <w:rFonts w:eastAsiaTheme="minorHAnsi"/>
        </w:rPr>
        <w:t> </w:t>
      </w:r>
      <w:r w:rsidRPr="00D22DC8">
        <w:rPr>
          <w:rFonts w:eastAsiaTheme="minorHAnsi"/>
        </w:rPr>
        <w:t xml:space="preserve">000 </w:t>
      </w:r>
      <w:r>
        <w:rPr>
          <w:rFonts w:eastAsiaTheme="minorHAnsi"/>
        </w:rPr>
        <w:t>each year</w:t>
      </w:r>
      <w:r w:rsidRPr="00D22DC8">
        <w:rPr>
          <w:rFonts w:eastAsiaTheme="minorHAnsi"/>
        </w:rPr>
        <w:t xml:space="preserve"> over the next four years. This will see the threshold move from $550</w:t>
      </w:r>
      <w:r>
        <w:rPr>
          <w:rFonts w:eastAsiaTheme="minorHAnsi"/>
        </w:rPr>
        <w:t> </w:t>
      </w:r>
      <w:r w:rsidRPr="00D22DC8">
        <w:rPr>
          <w:rFonts w:eastAsiaTheme="minorHAnsi"/>
        </w:rPr>
        <w:t>000 to $650</w:t>
      </w:r>
      <w:r>
        <w:rPr>
          <w:rFonts w:eastAsiaTheme="minorHAnsi"/>
        </w:rPr>
        <w:t> </w:t>
      </w:r>
      <w:r w:rsidRPr="00D22DC8">
        <w:rPr>
          <w:rFonts w:eastAsiaTheme="minorHAnsi"/>
        </w:rPr>
        <w:t xml:space="preserve">000 </w:t>
      </w:r>
      <w:r>
        <w:rPr>
          <w:rFonts w:eastAsiaTheme="minorHAnsi"/>
        </w:rPr>
        <w:t>by</w:t>
      </w:r>
      <w:r w:rsidRPr="00D22DC8">
        <w:rPr>
          <w:rFonts w:eastAsiaTheme="minorHAnsi"/>
        </w:rPr>
        <w:t xml:space="preserve"> 2019</w:t>
      </w:r>
      <w:r>
        <w:rPr>
          <w:rFonts w:eastAsiaTheme="minorHAnsi"/>
        </w:rPr>
        <w:noBreakHyphen/>
      </w:r>
      <w:r w:rsidRPr="00D22DC8">
        <w:rPr>
          <w:rFonts w:eastAsiaTheme="minorHAnsi"/>
        </w:rPr>
        <w:t>20</w:t>
      </w:r>
      <w:r>
        <w:rPr>
          <w:rFonts w:eastAsiaTheme="minorHAnsi"/>
        </w:rPr>
        <w:t>, saving businesses $286 million over four years. All 36 600 individual businesses in Victoria that pay 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rPr>
          <w:rFonts w:eastAsiaTheme="minorHAnsi"/>
        </w:rPr>
        <w:t xml:space="preserve"> will benefit from this change, with 2 800 businesses no longer paying payroll tax.</w:t>
      </w:r>
      <w:r w:rsidR="00241F81">
        <w:rPr>
          <w:rFonts w:eastAsiaTheme="minorHAnsi"/>
        </w:rPr>
        <w:t xml:space="preserve"> </w:t>
      </w:r>
    </w:p>
    <w:p w:rsidR="007A09DB" w:rsidRDefault="007A09DB" w:rsidP="002E0C79">
      <w:pPr>
        <w:rPr>
          <w:rFonts w:ascii="Calibri" w:eastAsiaTheme="minorHAnsi" w:hAnsi="Calibri"/>
          <w:i/>
          <w:sz w:val="24"/>
          <w:szCs w:val="22"/>
        </w:rPr>
      </w:pPr>
      <w:r>
        <w:rPr>
          <w:rFonts w:eastAsiaTheme="minorHAnsi"/>
        </w:rPr>
        <w:t xml:space="preserve">To consolidate and build on the strong relationship that Victoria has with Asia, the Government is undertaking a number of initiatives to improve the accessibility of Asian markets to Victorian businesses. Further, Victorian businesses will be provided with consumer insights and market intelligence to guide product research, development and marketing, which will directly improve the export sales of Victorian businesses. </w:t>
      </w:r>
    </w:p>
    <w:p w:rsidR="007A09DB" w:rsidRDefault="007A09DB" w:rsidP="00C202C8">
      <w:pPr>
        <w:pStyle w:val="Heading4"/>
        <w:rPr>
          <w:rFonts w:eastAsiaTheme="minorHAnsi"/>
        </w:rPr>
      </w:pPr>
      <w:r>
        <w:rPr>
          <w:rFonts w:eastAsiaTheme="minorHAnsi"/>
        </w:rPr>
        <w:t>Supporting small business</w:t>
      </w:r>
    </w:p>
    <w:p w:rsidR="007A09DB" w:rsidRPr="00F57981" w:rsidRDefault="007A09DB" w:rsidP="00F57981">
      <w:pPr>
        <w:rPr>
          <w:rFonts w:eastAsiaTheme="minorHAnsi"/>
        </w:rPr>
      </w:pPr>
      <w:r w:rsidRPr="00F57981">
        <w:rPr>
          <w:rFonts w:eastAsiaTheme="minorHAnsi"/>
        </w:rPr>
        <w:t>Small businesses</w:t>
      </w:r>
      <w:r>
        <w:rPr>
          <w:rFonts w:eastAsiaTheme="minorHAnsi"/>
        </w:rPr>
        <w:fldChar w:fldCharType="begin"/>
      </w:r>
      <w:r>
        <w:instrText xml:space="preserve"> XE "</w:instrText>
      </w:r>
      <w:r w:rsidRPr="00127CA7">
        <w:rPr>
          <w:rFonts w:eastAsiaTheme="minorHAnsi"/>
        </w:rPr>
        <w:instrText>Small business</w:instrText>
      </w:r>
      <w:r>
        <w:instrText xml:space="preserve">" </w:instrText>
      </w:r>
      <w:r>
        <w:rPr>
          <w:rFonts w:eastAsiaTheme="minorHAnsi"/>
        </w:rPr>
        <w:fldChar w:fldCharType="end"/>
      </w:r>
      <w:r w:rsidRPr="00F57981">
        <w:rPr>
          <w:rFonts w:eastAsiaTheme="minorHAnsi"/>
        </w:rPr>
        <w:t xml:space="preserve"> play a crucial role in supporting Victoria</w:t>
      </w:r>
      <w:r>
        <w:rPr>
          <w:rFonts w:eastAsiaTheme="minorHAnsi"/>
        </w:rPr>
        <w:t>’</w:t>
      </w:r>
      <w:r w:rsidRPr="00F57981">
        <w:rPr>
          <w:rFonts w:eastAsiaTheme="minorHAnsi"/>
        </w:rPr>
        <w:t>s economic growth</w:t>
      </w:r>
      <w:r>
        <w:rPr>
          <w:rFonts w:eastAsiaTheme="minorHAnsi"/>
        </w:rPr>
        <w:fldChar w:fldCharType="begin"/>
      </w:r>
      <w:r>
        <w:instrText xml:space="preserve"> XE "</w:instrText>
      </w:r>
      <w:r w:rsidRPr="007F391C">
        <w:rPr>
          <w:rFonts w:eastAsiaTheme="minorHAnsi"/>
        </w:rPr>
        <w:instrText>Economic growth</w:instrText>
      </w:r>
      <w:r>
        <w:rPr>
          <w:rFonts w:eastAsiaTheme="minorHAnsi"/>
        </w:rPr>
        <w:instrText>:Victoria</w:instrText>
      </w:r>
      <w:r>
        <w:instrText xml:space="preserve">" </w:instrText>
      </w:r>
      <w:r>
        <w:rPr>
          <w:rFonts w:eastAsiaTheme="minorHAnsi"/>
        </w:rPr>
        <w:fldChar w:fldCharType="end"/>
      </w:r>
      <w:r w:rsidRPr="00F57981">
        <w:rPr>
          <w:rFonts w:eastAsiaTheme="minorHAnsi"/>
        </w:rPr>
        <w:t>.</w:t>
      </w:r>
      <w:r>
        <w:rPr>
          <w:rFonts w:eastAsiaTheme="minorHAnsi"/>
        </w:rPr>
        <w:t xml:space="preserve"> There are currently around 540 </w:t>
      </w:r>
      <w:r w:rsidRPr="00F57981">
        <w:rPr>
          <w:rFonts w:eastAsiaTheme="minorHAnsi"/>
        </w:rPr>
        <w:t>000 small businesses in Victoria</w:t>
      </w:r>
      <w:r>
        <w:rPr>
          <w:rFonts w:eastAsiaTheme="minorHAnsi"/>
        </w:rPr>
        <w:t xml:space="preserve">. Small business provides </w:t>
      </w:r>
      <w:r w:rsidRPr="00F57981">
        <w:rPr>
          <w:rFonts w:eastAsiaTheme="minorHAnsi"/>
        </w:rPr>
        <w:t xml:space="preserve">significant employment opportunities </w:t>
      </w:r>
      <w:r w:rsidRPr="00E958AC">
        <w:rPr>
          <w:rFonts w:eastAsiaTheme="minorHAnsi"/>
        </w:rPr>
        <w:t>across a range of industries such as</w:t>
      </w:r>
      <w:r>
        <w:rPr>
          <w:rFonts w:eastAsiaTheme="minorHAnsi"/>
        </w:rPr>
        <w:t xml:space="preserve"> construction; professional, scientific and technical services; as well as accommodation and food services</w:t>
      </w:r>
      <w:r w:rsidRPr="00E958AC">
        <w:rPr>
          <w:rFonts w:eastAsiaTheme="minorHAnsi"/>
        </w:rPr>
        <w:t>.</w:t>
      </w:r>
    </w:p>
    <w:p w:rsidR="007A09DB" w:rsidRPr="00F57981" w:rsidRDefault="007A09DB" w:rsidP="00F57981">
      <w:pPr>
        <w:rPr>
          <w:rFonts w:eastAsiaTheme="minorHAnsi"/>
        </w:rPr>
      </w:pPr>
      <w:r w:rsidRPr="00F57981">
        <w:rPr>
          <w:rFonts w:eastAsiaTheme="minorHAnsi"/>
        </w:rPr>
        <w:t>The Government is continuing to cut the cost of doing business in Vict</w:t>
      </w:r>
      <w:r>
        <w:rPr>
          <w:rFonts w:eastAsiaTheme="minorHAnsi"/>
        </w:rPr>
        <w:t>oria. $42 million</w:t>
      </w:r>
      <w:r w:rsidRPr="00F57981">
        <w:rPr>
          <w:rFonts w:eastAsiaTheme="minorHAnsi"/>
        </w:rPr>
        <w:t xml:space="preserve"> will be provided to keep Victoria a competitive place to</w:t>
      </w:r>
      <w:r>
        <w:rPr>
          <w:rFonts w:eastAsiaTheme="minorHAnsi"/>
        </w:rPr>
        <w:t xml:space="preserve"> do business. This includes $26 million</w:t>
      </w:r>
      <w:r w:rsidRPr="00F57981">
        <w:rPr>
          <w:rFonts w:eastAsiaTheme="minorHAnsi"/>
        </w:rPr>
        <w:t xml:space="preserve"> for the Smart Planning Program</w:t>
      </w:r>
      <w:r w:rsidR="0078635B">
        <w:rPr>
          <w:rFonts w:eastAsiaTheme="minorHAnsi"/>
        </w:rPr>
        <w:fldChar w:fldCharType="begin"/>
      </w:r>
      <w:r w:rsidR="0078635B">
        <w:instrText xml:space="preserve"> XE "</w:instrText>
      </w:r>
      <w:r w:rsidR="0078635B" w:rsidRPr="00C855E6">
        <w:rPr>
          <w:rFonts w:eastAsiaTheme="minorHAnsi"/>
        </w:rPr>
        <w:instrText>Smart Planning Program</w:instrText>
      </w:r>
      <w:r w:rsidR="0078635B">
        <w:instrText xml:space="preserve">" </w:instrText>
      </w:r>
      <w:r w:rsidR="0078635B">
        <w:rPr>
          <w:rFonts w:eastAsiaTheme="minorHAnsi"/>
        </w:rPr>
        <w:fldChar w:fldCharType="end"/>
      </w:r>
      <w:r w:rsidRPr="00F57981">
        <w:rPr>
          <w:rFonts w:eastAsiaTheme="minorHAnsi"/>
        </w:rPr>
        <w:t xml:space="preserve"> to </w:t>
      </w:r>
      <w:r w:rsidRPr="00F57981">
        <w:rPr>
          <w:rFonts w:eastAsiaTheme="minorHAnsi"/>
        </w:rPr>
        <w:lastRenderedPageBreak/>
        <w:t>modernise the planning sy</w:t>
      </w:r>
      <w:r>
        <w:rPr>
          <w:rFonts w:eastAsiaTheme="minorHAnsi"/>
        </w:rPr>
        <w:t>stem and reduce delays and $13 million</w:t>
      </w:r>
      <w:r w:rsidRPr="00F57981">
        <w:rPr>
          <w:rFonts w:eastAsiaTheme="minorHAnsi"/>
        </w:rPr>
        <w:t xml:space="preserve"> for other planning related initiatives. </w:t>
      </w:r>
      <w:r>
        <w:rPr>
          <w:rFonts w:eastAsiaTheme="minorHAnsi"/>
        </w:rPr>
        <w:t xml:space="preserve">Additional funding is also provided </w:t>
      </w:r>
      <w:r w:rsidRPr="00F57981">
        <w:rPr>
          <w:rFonts w:eastAsiaTheme="minorHAnsi"/>
        </w:rPr>
        <w:t xml:space="preserve">for </w:t>
      </w:r>
      <w:r>
        <w:rPr>
          <w:rFonts w:eastAsiaTheme="minorHAnsi"/>
        </w:rPr>
        <w:t xml:space="preserve">the </w:t>
      </w:r>
      <w:r w:rsidRPr="00F57981">
        <w:rPr>
          <w:rFonts w:eastAsiaTheme="minorHAnsi"/>
        </w:rPr>
        <w:t>Small Business Festival Victoria.</w:t>
      </w:r>
    </w:p>
    <w:p w:rsidR="007A09DB" w:rsidRDefault="007A09DB" w:rsidP="00F57981">
      <w:pPr>
        <w:rPr>
          <w:rFonts w:eastAsiaTheme="minorHAnsi"/>
        </w:rPr>
      </w:pPr>
      <w:r w:rsidRPr="00F57981">
        <w:rPr>
          <w:rFonts w:eastAsiaTheme="minorHAnsi"/>
        </w:rPr>
        <w:t>The Government remains committed to reviewing unnecessary regulation and cutting the cost of compliance by 25</w:t>
      </w:r>
      <w:r>
        <w:rPr>
          <w:rFonts w:eastAsiaTheme="minorHAnsi"/>
        </w:rPr>
        <w:t> per cent</w:t>
      </w:r>
      <w:r w:rsidRPr="00F57981">
        <w:rPr>
          <w:rFonts w:eastAsiaTheme="minorHAnsi"/>
        </w:rPr>
        <w:t>. A Red Tape Commissioner</w:t>
      </w:r>
      <w:r w:rsidR="0078635B">
        <w:rPr>
          <w:rFonts w:eastAsiaTheme="minorHAnsi"/>
        </w:rPr>
        <w:fldChar w:fldCharType="begin"/>
      </w:r>
      <w:r w:rsidR="0078635B">
        <w:instrText xml:space="preserve"> XE "</w:instrText>
      </w:r>
      <w:r w:rsidR="0078635B" w:rsidRPr="00387901">
        <w:rPr>
          <w:rFonts w:eastAsiaTheme="minorHAnsi"/>
        </w:rPr>
        <w:instrText>Red Tape Commissioner</w:instrText>
      </w:r>
      <w:r w:rsidR="0078635B">
        <w:instrText xml:space="preserve">" </w:instrText>
      </w:r>
      <w:r w:rsidR="0078635B">
        <w:rPr>
          <w:rFonts w:eastAsiaTheme="minorHAnsi"/>
        </w:rPr>
        <w:fldChar w:fldCharType="end"/>
      </w:r>
      <w:r w:rsidRPr="00F57981">
        <w:rPr>
          <w:rFonts w:eastAsiaTheme="minorHAnsi"/>
        </w:rPr>
        <w:t xml:space="preserve"> has been appointed to work closely with industry to identify the most critical areas of regulatory reform and work has commenced on a review of regulation impacting small businesses.</w:t>
      </w:r>
    </w:p>
    <w:p w:rsidR="007A09DB" w:rsidRPr="00F76E71" w:rsidRDefault="007A09DB" w:rsidP="00C202C8">
      <w:pPr>
        <w:pStyle w:val="Heading4"/>
        <w:rPr>
          <w:rFonts w:eastAsiaTheme="minorHAnsi"/>
        </w:rPr>
      </w:pPr>
      <w:r w:rsidRPr="00F76E71">
        <w:rPr>
          <w:rFonts w:eastAsiaTheme="minorHAnsi"/>
        </w:rPr>
        <w:t>Growing Victoria</w:t>
      </w:r>
      <w:r>
        <w:rPr>
          <w:rFonts w:eastAsiaTheme="minorHAnsi"/>
        </w:rPr>
        <w:t>’</w:t>
      </w:r>
      <w:r w:rsidRPr="00F76E71">
        <w:rPr>
          <w:rFonts w:eastAsiaTheme="minorHAnsi"/>
        </w:rPr>
        <w:t>s visitor economy</w:t>
      </w:r>
    </w:p>
    <w:p w:rsidR="007A09DB" w:rsidRDefault="007A09DB" w:rsidP="00D22DC8">
      <w:pPr>
        <w:rPr>
          <w:rFonts w:eastAsiaTheme="minorHAnsi"/>
        </w:rPr>
      </w:pPr>
      <w:r>
        <w:rPr>
          <w:rFonts w:eastAsiaTheme="minorHAnsi"/>
        </w:rPr>
        <w:t>Victoria is a leader in major events and a growing visitor destination. This creates jobs and business activity, with over $21 billion spent in Victoria on tourism in 2014</w:t>
      </w:r>
      <w:r>
        <w:rPr>
          <w:rFonts w:eastAsiaTheme="minorHAnsi"/>
        </w:rPr>
        <w:noBreakHyphen/>
        <w:t xml:space="preserve">15. Visit Victoria is receiving $38 million to highlight and grow the State’s visitor economy. A further $101 million will create the Regional Tourism Infrastructure Fund to boost employment in the regional tourism sector. </w:t>
      </w:r>
      <w:r w:rsidRPr="00D22DC8">
        <w:rPr>
          <w:rFonts w:eastAsiaTheme="minorHAnsi"/>
        </w:rPr>
        <w:t>The fund will focus on strategically targeting priorit</w:t>
      </w:r>
      <w:r>
        <w:rPr>
          <w:rFonts w:eastAsiaTheme="minorHAnsi"/>
        </w:rPr>
        <w:t>y regional tourism initiatives,</w:t>
      </w:r>
      <w:r w:rsidRPr="00D22DC8">
        <w:rPr>
          <w:rFonts w:eastAsiaTheme="minorHAnsi"/>
        </w:rPr>
        <w:t xml:space="preserve"> and will provide a strong foundation to promote regional Victoria as a premier tourism destination.</w:t>
      </w:r>
      <w:r>
        <w:rPr>
          <w:rFonts w:eastAsiaTheme="minorHAnsi"/>
        </w:rPr>
        <w:t xml:space="preserve"> </w:t>
      </w:r>
    </w:p>
    <w:p w:rsidR="007A09DB" w:rsidRDefault="007A09DB" w:rsidP="00D22DC8">
      <w:pPr>
        <w:pStyle w:val="Heading2"/>
        <w:rPr>
          <w:rFonts w:eastAsiaTheme="minorHAnsi"/>
        </w:rPr>
      </w:pPr>
      <w:bookmarkStart w:id="12" w:name="BP2Metro1"/>
      <w:r>
        <w:rPr>
          <w:rFonts w:eastAsiaTheme="minorHAnsi"/>
        </w:rPr>
        <w:t xml:space="preserve">Building </w:t>
      </w:r>
      <w:r w:rsidRPr="00D22DC8">
        <w:rPr>
          <w:rFonts w:eastAsiaTheme="minorHAnsi"/>
        </w:rPr>
        <w:t>infrastructure</w:t>
      </w:r>
    </w:p>
    <w:p w:rsidR="007A09DB" w:rsidRPr="00024836" w:rsidRDefault="007A09DB" w:rsidP="00357C3F">
      <w:pPr>
        <w:rPr>
          <w:rFonts w:eastAsiaTheme="minorHAnsi"/>
        </w:rPr>
      </w:pPr>
      <w:r>
        <w:rPr>
          <w:rFonts w:eastAsiaTheme="minorHAnsi"/>
        </w:rPr>
        <w:t>Our economic and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Pr>
          <w:rFonts w:eastAsiaTheme="minorHAnsi"/>
        </w:rPr>
        <w:t xml:space="preserve"> requires infrastructure investment to keep Victoria progressing. In the past five years, Victoria has grown by over 470 000 people. Strong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Pr>
          <w:rFonts w:eastAsiaTheme="minorHAnsi"/>
        </w:rPr>
        <w:t xml:space="preserve"> has meant increased pressure on the State’s infrastructure.</w:t>
      </w:r>
    </w:p>
    <w:p w:rsidR="007A09DB" w:rsidRDefault="007A09DB" w:rsidP="00C419B4">
      <w:pPr>
        <w:rPr>
          <w:rFonts w:eastAsiaTheme="minorHAnsi"/>
        </w:rPr>
      </w:pPr>
      <w:r>
        <w:rPr>
          <w:rFonts w:eastAsiaTheme="minorHAnsi"/>
        </w:rPr>
        <w:t>Infrastructure drives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t>. An accessible and reliable transport network supports the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t xml:space="preserve"> of the labour force, as well as the efficient and timely movement of goods and services. </w:t>
      </w:r>
    </w:p>
    <w:p w:rsidR="007A09DB" w:rsidRDefault="007A09DB" w:rsidP="00C419B4">
      <w:pPr>
        <w:rPr>
          <w:rFonts w:eastAsiaTheme="minorHAnsi"/>
        </w:rPr>
      </w:pPr>
      <w:r>
        <w:rPr>
          <w:rFonts w:eastAsiaTheme="minorHAnsi"/>
        </w:rPr>
        <w:t>T</w:t>
      </w:r>
      <w:r w:rsidRPr="00A35170">
        <w:rPr>
          <w:rFonts w:eastAsiaTheme="minorHAnsi"/>
        </w:rPr>
        <w:t>ransport networks</w:t>
      </w:r>
      <w:r>
        <w:rPr>
          <w:rFonts w:eastAsiaTheme="minorHAnsi"/>
        </w:rPr>
        <w:t xml:space="preserve"> also improve</w:t>
      </w:r>
      <w:r w:rsidRPr="00A35170">
        <w:rPr>
          <w:rFonts w:eastAsiaTheme="minorHAnsi"/>
        </w:rPr>
        <w:t xml:space="preserve"> markets </w:t>
      </w:r>
      <w:r>
        <w:rPr>
          <w:rFonts w:eastAsiaTheme="minorHAnsi"/>
        </w:rPr>
        <w:t xml:space="preserve">and </w:t>
      </w:r>
      <w:r w:rsidRPr="00A35170">
        <w:rPr>
          <w:rFonts w:eastAsiaTheme="minorHAnsi"/>
        </w:rPr>
        <w:t xml:space="preserve">promote competition. They </w:t>
      </w:r>
      <w:r>
        <w:rPr>
          <w:rFonts w:eastAsiaTheme="minorHAnsi"/>
        </w:rPr>
        <w:t xml:space="preserve">connect </w:t>
      </w:r>
      <w:r w:rsidRPr="00A35170">
        <w:rPr>
          <w:rFonts w:eastAsiaTheme="minorHAnsi"/>
        </w:rPr>
        <w:t xml:space="preserve">consumers </w:t>
      </w:r>
      <w:r>
        <w:rPr>
          <w:rFonts w:eastAsiaTheme="minorHAnsi"/>
        </w:rPr>
        <w:t>to more businesses</w:t>
      </w:r>
      <w:r w:rsidRPr="00A35170">
        <w:rPr>
          <w:rFonts w:eastAsiaTheme="minorHAnsi"/>
        </w:rPr>
        <w:t xml:space="preserve"> and bring workers in</w:t>
      </w:r>
      <w:r>
        <w:rPr>
          <w:rFonts w:eastAsiaTheme="minorHAnsi"/>
        </w:rPr>
        <w:t>to</w:t>
      </w:r>
      <w:r w:rsidRPr="00A35170">
        <w:rPr>
          <w:rFonts w:eastAsiaTheme="minorHAnsi"/>
        </w:rPr>
        <w:t xml:space="preserve"> contact with </w:t>
      </w:r>
      <w:r>
        <w:rPr>
          <w:rFonts w:eastAsiaTheme="minorHAnsi"/>
        </w:rPr>
        <w:t xml:space="preserve">more </w:t>
      </w:r>
      <w:r w:rsidRPr="00A35170">
        <w:rPr>
          <w:rFonts w:eastAsiaTheme="minorHAnsi"/>
        </w:rPr>
        <w:t>opportunities</w:t>
      </w:r>
      <w:r>
        <w:rPr>
          <w:rFonts w:eastAsiaTheme="minorHAnsi"/>
        </w:rPr>
        <w:t xml:space="preserve"> for employment and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A35170">
        <w:rPr>
          <w:rFonts w:eastAsiaTheme="minorHAnsi"/>
        </w:rPr>
        <w:t xml:space="preserve">. </w:t>
      </w:r>
    </w:p>
    <w:p w:rsidR="007A09DB" w:rsidRDefault="007A09DB" w:rsidP="00C775D0">
      <w:pPr>
        <w:rPr>
          <w:rFonts w:eastAsiaTheme="minorHAnsi"/>
        </w:rPr>
      </w:pPr>
      <w:r>
        <w:rPr>
          <w:rFonts w:eastAsiaTheme="minorHAnsi"/>
        </w:rPr>
        <w:t xml:space="preserve">The Government is already improving the transport network by removing the 50 worst level crossings in the State. This budget fully funds the </w:t>
      </w:r>
      <w:r w:rsidRPr="00616EA0">
        <w:rPr>
          <w:rFonts w:eastAsiaTheme="minorHAnsi"/>
        </w:rPr>
        <w:t>Melbourne Metro Tunnel</w:t>
      </w:r>
      <w:r>
        <w:rPr>
          <w:rFonts w:eastAsiaTheme="minorHAnsi"/>
        </w:rPr>
        <w:t xml:space="preserve"> – the most important public transport</w:t>
      </w:r>
      <w:r>
        <w:rPr>
          <w:rFonts w:eastAsiaTheme="minorHAnsi"/>
        </w:rPr>
        <w:fldChar w:fldCharType="begin"/>
      </w:r>
      <w:r>
        <w:instrText xml:space="preserve"> XE "</w:instrText>
      </w:r>
      <w:r w:rsidRPr="001E4096">
        <w:rPr>
          <w:rFonts w:eastAsiaTheme="minorHAnsi"/>
        </w:rPr>
        <w:instrText>Public transport</w:instrText>
      </w:r>
      <w:r>
        <w:instrText xml:space="preserve">" </w:instrText>
      </w:r>
      <w:r>
        <w:rPr>
          <w:rFonts w:eastAsiaTheme="minorHAnsi"/>
        </w:rPr>
        <w:fldChar w:fldCharType="end"/>
      </w:r>
      <w:r>
        <w:rPr>
          <w:rFonts w:eastAsiaTheme="minorHAnsi"/>
        </w:rPr>
        <w:t xml:space="preserve"> project in the nation</w:t>
      </w:r>
      <w:r w:rsidRPr="00917330">
        <w:rPr>
          <w:rFonts w:eastAsiaTheme="minorHAnsi"/>
        </w:rPr>
        <w:t>.</w:t>
      </w:r>
      <w:r>
        <w:rPr>
          <w:rFonts w:eastAsiaTheme="minorHAnsi"/>
        </w:rPr>
        <w:t xml:space="preserve"> </w:t>
      </w:r>
    </w:p>
    <w:p w:rsidR="007A09DB" w:rsidRPr="00917330" w:rsidRDefault="007A09DB" w:rsidP="00C419B4">
      <w:pPr>
        <w:rPr>
          <w:rFonts w:eastAsiaTheme="minorHAnsi"/>
        </w:rPr>
      </w:pPr>
      <w:bookmarkStart w:id="13" w:name="BP2Roads1"/>
      <w:r>
        <w:rPr>
          <w:rFonts w:eastAsiaTheme="minorHAnsi"/>
        </w:rPr>
        <w:t xml:space="preserve">The </w:t>
      </w:r>
      <w:r w:rsidRPr="00917330">
        <w:rPr>
          <w:rFonts w:eastAsiaTheme="minorHAnsi"/>
          <w:i/>
        </w:rPr>
        <w:t>2016</w:t>
      </w:r>
      <w:r>
        <w:rPr>
          <w:rFonts w:eastAsiaTheme="minorHAnsi"/>
          <w:i/>
        </w:rPr>
        <w:noBreakHyphen/>
      </w:r>
      <w:r w:rsidRPr="00917330">
        <w:rPr>
          <w:rFonts w:eastAsiaTheme="minorHAnsi"/>
          <w:i/>
        </w:rPr>
        <w:t>17 Budget</w:t>
      </w:r>
      <w:r>
        <w:rPr>
          <w:rFonts w:eastAsiaTheme="minorHAnsi"/>
        </w:rPr>
        <w:t xml:space="preserve"> further builds on the Government’s infrastructure agenda with a $10.4 billion infrastructure investment in regional and metropolitan public transport and roads</w:t>
      </w:r>
      <w:r w:rsidR="0078635B">
        <w:rPr>
          <w:rFonts w:eastAsiaTheme="minorHAnsi"/>
        </w:rPr>
        <w:fldChar w:fldCharType="begin"/>
      </w:r>
      <w:r w:rsidR="0078635B">
        <w:instrText xml:space="preserve"> XE "</w:instrText>
      </w:r>
      <w:r w:rsidR="0078635B" w:rsidRPr="00D37DC6">
        <w:rPr>
          <w:rFonts w:eastAsiaTheme="minorHAnsi"/>
        </w:rPr>
        <w:instrText>Roads</w:instrText>
      </w:r>
      <w:r w:rsidR="0078635B">
        <w:instrText xml:space="preserve">" </w:instrText>
      </w:r>
      <w:r w:rsidR="0078635B">
        <w:rPr>
          <w:rFonts w:eastAsiaTheme="minorHAnsi"/>
        </w:rPr>
        <w:fldChar w:fldCharType="end"/>
      </w:r>
      <w:r>
        <w:rPr>
          <w:rFonts w:eastAsiaTheme="minorHAnsi"/>
        </w:rPr>
        <w:t>. The Government’</w:t>
      </w:r>
      <w:r w:rsidRPr="00D22DC8">
        <w:rPr>
          <w:rFonts w:eastAsiaTheme="minorHAnsi"/>
        </w:rPr>
        <w:t>s investment in infrastructure will create more employment opportunities and better linkages between Victorian families and their jobs. It will boost the efficiency and competitiveness of business by providing faster and better access to markets.</w:t>
      </w:r>
    </w:p>
    <w:p w:rsidR="007A09DB" w:rsidRDefault="007A09DB" w:rsidP="00357C3F">
      <w:pPr>
        <w:pStyle w:val="Heading3"/>
        <w:rPr>
          <w:rFonts w:eastAsiaTheme="minorHAnsi"/>
        </w:rPr>
      </w:pPr>
      <w:bookmarkStart w:id="14" w:name="BP2PubTrans1"/>
      <w:r>
        <w:rPr>
          <w:rFonts w:eastAsiaTheme="minorHAnsi"/>
        </w:rPr>
        <w:t>Public transport</w:t>
      </w:r>
    </w:p>
    <w:p w:rsidR="007A09DB" w:rsidRDefault="007A09DB" w:rsidP="00DC3810">
      <w:pPr>
        <w:rPr>
          <w:rFonts w:eastAsiaTheme="minorHAnsi"/>
        </w:rPr>
      </w:pPr>
      <w:bookmarkStart w:id="15" w:name="BP2PubTrans2"/>
      <w:r>
        <w:rPr>
          <w:rFonts w:eastAsiaTheme="minorHAnsi"/>
        </w:rPr>
        <w:t xml:space="preserve">The </w:t>
      </w:r>
      <w:r w:rsidRPr="00917330">
        <w:rPr>
          <w:rFonts w:eastAsiaTheme="minorHAnsi"/>
          <w:i/>
        </w:rPr>
        <w:t>201</w:t>
      </w:r>
      <w:r>
        <w:rPr>
          <w:rFonts w:eastAsiaTheme="minorHAnsi"/>
          <w:i/>
        </w:rPr>
        <w:t>6</w:t>
      </w:r>
      <w:r>
        <w:rPr>
          <w:rFonts w:eastAsiaTheme="minorHAnsi"/>
          <w:i/>
        </w:rPr>
        <w:noBreakHyphen/>
        <w:t>17</w:t>
      </w:r>
      <w:r w:rsidRPr="00917330">
        <w:rPr>
          <w:rFonts w:eastAsiaTheme="minorHAnsi"/>
          <w:i/>
        </w:rPr>
        <w:t xml:space="preserve"> Budget </w:t>
      </w:r>
      <w:r>
        <w:rPr>
          <w:rFonts w:eastAsiaTheme="minorHAnsi"/>
        </w:rPr>
        <w:t xml:space="preserve">provides $3.3 billion to improve Victoria’s public transport system, </w:t>
      </w:r>
      <w:r w:rsidRPr="00D22DC8">
        <w:rPr>
          <w:rFonts w:eastAsiaTheme="minorHAnsi"/>
        </w:rPr>
        <w:t xml:space="preserve">signalling the biggest overhaul </w:t>
      </w:r>
      <w:r>
        <w:rPr>
          <w:rFonts w:eastAsiaTheme="minorHAnsi"/>
        </w:rPr>
        <w:t>of</w:t>
      </w:r>
      <w:r w:rsidRPr="00D22DC8">
        <w:rPr>
          <w:rFonts w:eastAsiaTheme="minorHAnsi"/>
        </w:rPr>
        <w:t xml:space="preserve"> the train network </w:t>
      </w:r>
      <w:r>
        <w:rPr>
          <w:rFonts w:eastAsiaTheme="minorHAnsi"/>
        </w:rPr>
        <w:t>since the construction of the Ci</w:t>
      </w:r>
      <w:r w:rsidRPr="00D22DC8">
        <w:rPr>
          <w:rFonts w:eastAsiaTheme="minorHAnsi"/>
        </w:rPr>
        <w:t xml:space="preserve">ty </w:t>
      </w:r>
      <w:r w:rsidRPr="00D22DC8">
        <w:rPr>
          <w:rFonts w:eastAsiaTheme="minorHAnsi"/>
        </w:rPr>
        <w:lastRenderedPageBreak/>
        <w:t>Loop.</w:t>
      </w:r>
      <w:r>
        <w:rPr>
          <w:rFonts w:eastAsiaTheme="minorHAnsi"/>
        </w:rPr>
        <w:t xml:space="preserve"> This investment will transform the public transport system, reduce congestion and improve safety for everyone.</w:t>
      </w:r>
    </w:p>
    <w:p w:rsidR="007A09DB" w:rsidRDefault="007A09DB" w:rsidP="005D1496">
      <w:pPr>
        <w:pStyle w:val="Heading4"/>
        <w:rPr>
          <w:rFonts w:eastAsiaTheme="minorHAnsi"/>
        </w:rPr>
      </w:pPr>
      <w:r>
        <w:rPr>
          <w:rFonts w:eastAsiaTheme="minorHAnsi"/>
        </w:rPr>
        <w:t>Metropolitan public transport</w:t>
      </w:r>
    </w:p>
    <w:p w:rsidR="007A09DB" w:rsidRDefault="007A09DB" w:rsidP="00357C3F">
      <w:pPr>
        <w:rPr>
          <w:rFonts w:eastAsiaTheme="minorHAnsi"/>
        </w:rPr>
      </w:pPr>
      <w:r w:rsidRPr="00D22DC8">
        <w:rPr>
          <w:rFonts w:eastAsiaTheme="minorHAnsi"/>
        </w:rPr>
        <w:t xml:space="preserve">To better connect Victorians </w:t>
      </w:r>
      <w:r>
        <w:rPr>
          <w:rFonts w:eastAsiaTheme="minorHAnsi"/>
        </w:rPr>
        <w:t>with their communities and jobs,</w:t>
      </w:r>
      <w:r w:rsidRPr="00D22DC8">
        <w:rPr>
          <w:rFonts w:eastAsiaTheme="minorHAnsi"/>
        </w:rPr>
        <w:t xml:space="preserve"> </w:t>
      </w:r>
      <w:r>
        <w:rPr>
          <w:rFonts w:eastAsiaTheme="minorHAnsi"/>
        </w:rPr>
        <w:t>$1.9 billion is provided to expand</w:t>
      </w:r>
      <w:r w:rsidRPr="00D22DC8">
        <w:rPr>
          <w:rFonts w:eastAsiaTheme="minorHAnsi"/>
        </w:rPr>
        <w:t xml:space="preserve"> and upgrade </w:t>
      </w:r>
      <w:r>
        <w:rPr>
          <w:rFonts w:eastAsiaTheme="minorHAnsi"/>
        </w:rPr>
        <w:t>the</w:t>
      </w:r>
      <w:r w:rsidRPr="008D18B6">
        <w:rPr>
          <w:rFonts w:eastAsiaTheme="minorHAnsi"/>
        </w:rPr>
        <w:t xml:space="preserve"> </w:t>
      </w:r>
      <w:r>
        <w:rPr>
          <w:rFonts w:eastAsiaTheme="minorHAnsi"/>
        </w:rPr>
        <w:t>metropolitan rail network, boosting performance and reliability. This includes $875 million to provide 28 more high capacity trains for the metropolitan train network, $105 million for five X’Trapolis trains and $140 million to upgrade the Hurstbridge line</w:t>
      </w:r>
      <w:r w:rsidR="0078635B">
        <w:rPr>
          <w:rFonts w:eastAsiaTheme="minorHAnsi"/>
        </w:rPr>
        <w:fldChar w:fldCharType="begin"/>
      </w:r>
      <w:r w:rsidR="0078635B">
        <w:instrText xml:space="preserve"> XE "</w:instrText>
      </w:r>
      <w:r w:rsidR="0078635B" w:rsidRPr="00717CD8">
        <w:rPr>
          <w:rFonts w:eastAsiaTheme="minorHAnsi"/>
        </w:rPr>
        <w:instrText>Hurstbridge line</w:instrText>
      </w:r>
      <w:r w:rsidR="0078635B">
        <w:instrText xml:space="preserve">" </w:instrText>
      </w:r>
      <w:r w:rsidR="0078635B">
        <w:rPr>
          <w:rFonts w:eastAsiaTheme="minorHAnsi"/>
        </w:rPr>
        <w:fldChar w:fldCharType="end"/>
      </w:r>
      <w:r>
        <w:rPr>
          <w:rFonts w:eastAsiaTheme="minorHAnsi"/>
        </w:rPr>
        <w:t xml:space="preserve">. </w:t>
      </w:r>
    </w:p>
    <w:p w:rsidR="007A09DB" w:rsidRPr="007A0844" w:rsidRDefault="007A09DB" w:rsidP="000D3DC4">
      <w:pPr>
        <w:rPr>
          <w:rFonts w:eastAsiaTheme="minorHAnsi"/>
        </w:rPr>
      </w:pPr>
      <w:r>
        <w:rPr>
          <w:rFonts w:eastAsiaTheme="minorHAnsi"/>
        </w:rPr>
        <w:t>Funding of $588 million is provided for the Mernda rail extension</w:t>
      </w:r>
      <w:r w:rsidR="0078635B">
        <w:rPr>
          <w:rFonts w:eastAsiaTheme="minorHAnsi"/>
        </w:rPr>
        <w:fldChar w:fldCharType="begin"/>
      </w:r>
      <w:r w:rsidR="0078635B">
        <w:instrText xml:space="preserve"> XE "</w:instrText>
      </w:r>
      <w:r w:rsidR="0078635B" w:rsidRPr="006628BD">
        <w:rPr>
          <w:rFonts w:eastAsiaTheme="minorHAnsi"/>
        </w:rPr>
        <w:instrText>Mernda rail extension</w:instrText>
      </w:r>
      <w:r w:rsidR="0078635B">
        <w:instrText xml:space="preserve">" </w:instrText>
      </w:r>
      <w:r w:rsidR="0078635B">
        <w:rPr>
          <w:rFonts w:eastAsiaTheme="minorHAnsi"/>
        </w:rPr>
        <w:fldChar w:fldCharType="end"/>
      </w:r>
      <w:r>
        <w:rPr>
          <w:rFonts w:eastAsiaTheme="minorHAnsi"/>
        </w:rPr>
        <w:t xml:space="preserve"> project to </w:t>
      </w:r>
      <w:r w:rsidRPr="00FF7019">
        <w:rPr>
          <w:rFonts w:eastAsiaTheme="minorHAnsi"/>
        </w:rPr>
        <w:t xml:space="preserve">extend </w:t>
      </w:r>
      <w:r>
        <w:rPr>
          <w:rFonts w:eastAsiaTheme="minorHAnsi"/>
        </w:rPr>
        <w:t>metropolitan rail services from</w:t>
      </w:r>
      <w:r w:rsidRPr="00FF7019">
        <w:rPr>
          <w:rFonts w:eastAsiaTheme="minorHAnsi"/>
        </w:rPr>
        <w:t xml:space="preserve"> South Morang to Mernda</w:t>
      </w:r>
      <w:r>
        <w:rPr>
          <w:rFonts w:eastAsiaTheme="minorHAnsi"/>
        </w:rPr>
        <w:t xml:space="preserve">, providing much needed infrastructure </w:t>
      </w:r>
      <w:r w:rsidRPr="00FF7019">
        <w:rPr>
          <w:rFonts w:eastAsiaTheme="minorHAnsi"/>
        </w:rPr>
        <w:t>for significant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FF7019">
        <w:rPr>
          <w:rFonts w:eastAsiaTheme="minorHAnsi"/>
        </w:rPr>
        <w:t xml:space="preserve"> in Melbourne</w:t>
      </w:r>
      <w:r>
        <w:rPr>
          <w:rFonts w:eastAsiaTheme="minorHAnsi"/>
        </w:rPr>
        <w:t>’</w:t>
      </w:r>
      <w:r w:rsidRPr="00FF7019">
        <w:rPr>
          <w:rFonts w:eastAsiaTheme="minorHAnsi"/>
        </w:rPr>
        <w:t>s north</w:t>
      </w:r>
      <w:r>
        <w:rPr>
          <w:rFonts w:eastAsiaTheme="minorHAnsi"/>
        </w:rPr>
        <w:t>.</w:t>
      </w:r>
    </w:p>
    <w:p w:rsidR="007A09DB" w:rsidRDefault="007A09DB" w:rsidP="00357C3F">
      <w:pPr>
        <w:rPr>
          <w:rFonts w:eastAsiaTheme="minorHAnsi"/>
        </w:rPr>
      </w:pPr>
      <w:r>
        <w:rPr>
          <w:rFonts w:eastAsiaTheme="minorHAnsi"/>
        </w:rPr>
        <w:t>Frankston station will get a $50 million upgrade, while a further $20 million will improve car parking spaces across the network.</w:t>
      </w:r>
    </w:p>
    <w:p w:rsidR="007A09DB" w:rsidRDefault="007A09DB" w:rsidP="00991675">
      <w:r>
        <w:t xml:space="preserve">The </w:t>
      </w:r>
      <w:r w:rsidRPr="00616EA0">
        <w:t xml:space="preserve">Metro Tunnel </w:t>
      </w:r>
      <w:r>
        <w:t xml:space="preserve">is vital to the future of Melbourne, and </w:t>
      </w:r>
      <w:r w:rsidRPr="00447F6E">
        <w:t xml:space="preserve">will relieve congestion in the City Loop and create space for more trains </w:t>
      </w:r>
      <w:r>
        <w:t>to run in and out of the city.</w:t>
      </w:r>
      <w:r w:rsidRPr="00447F6E">
        <w:t xml:space="preserve"> </w:t>
      </w:r>
      <w:r>
        <w:t xml:space="preserve">The </w:t>
      </w:r>
      <w:r w:rsidRPr="00616EA0">
        <w:t xml:space="preserve">Metro Tunnel </w:t>
      </w:r>
      <w:r>
        <w:t xml:space="preserve">is fully funded (Table 1.1), </w:t>
      </w:r>
      <w:r w:rsidRPr="00447F6E">
        <w:t>demonstrating the Government</w:t>
      </w:r>
      <w:r>
        <w:t>’</w:t>
      </w:r>
      <w:r w:rsidRPr="00447F6E">
        <w:t xml:space="preserve">s commitment to the </w:t>
      </w:r>
      <w:r>
        <w:t>most important</w:t>
      </w:r>
      <w:r w:rsidRPr="00447F6E">
        <w:t xml:space="preserve"> public transport infrastructure project in Australia.</w:t>
      </w:r>
      <w:r>
        <w:fldChar w:fldCharType="begin"/>
      </w:r>
      <w:r>
        <w:instrText xml:space="preserve"> XE "</w:instrText>
      </w:r>
      <w:r w:rsidRPr="002D3504">
        <w:rPr>
          <w:rFonts w:eastAsiaTheme="minorHAnsi"/>
        </w:rPr>
        <w:instrText>City Loop</w:instrText>
      </w:r>
      <w:r>
        <w:instrText xml:space="preserve">" \r "BP2PubTrans2" </w:instrText>
      </w:r>
      <w:r>
        <w:fldChar w:fldCharType="end"/>
      </w:r>
    </w:p>
    <w:bookmarkEnd w:id="15"/>
    <w:p w:rsidR="007A09DB" w:rsidRPr="00993161" w:rsidRDefault="007A09DB" w:rsidP="00993161">
      <w:pPr>
        <w:pStyle w:val="Tableheading"/>
        <w:rPr>
          <w:rFonts w:eastAsiaTheme="minorHAnsi"/>
        </w:rPr>
      </w:pPr>
      <w:r w:rsidRPr="004513AF">
        <w:rPr>
          <w:rFonts w:eastAsiaTheme="minorHAnsi"/>
        </w:rPr>
        <w:t xml:space="preserve">Table </w:t>
      </w:r>
      <w:r>
        <w:rPr>
          <w:rFonts w:eastAsiaTheme="minorHAnsi"/>
        </w:rPr>
        <w:t>1</w:t>
      </w:r>
      <w:r w:rsidRPr="004513AF">
        <w:rPr>
          <w:rFonts w:eastAsiaTheme="minorHAnsi"/>
        </w:rPr>
        <w:t>.</w:t>
      </w:r>
      <w:r>
        <w:rPr>
          <w:rFonts w:eastAsiaTheme="minorHAnsi"/>
        </w:rPr>
        <w:t>1</w:t>
      </w:r>
      <w:r w:rsidRPr="004513AF">
        <w:rPr>
          <w:rFonts w:eastAsiaTheme="minorHAnsi"/>
        </w:rPr>
        <w:t xml:space="preserve">: </w:t>
      </w:r>
      <w:r w:rsidRPr="004513AF">
        <w:rPr>
          <w:rFonts w:eastAsiaTheme="minorHAnsi"/>
        </w:rPr>
        <w:tab/>
      </w:r>
      <w:r>
        <w:rPr>
          <w:rFonts w:eastAsiaTheme="minorHAnsi"/>
        </w:rPr>
        <w:t xml:space="preserve">Funding allocation for the Melbourne </w:t>
      </w:r>
      <w:r w:rsidRPr="00616EA0">
        <w:rPr>
          <w:rFonts w:eastAsiaTheme="minorHAnsi"/>
        </w:rPr>
        <w:t xml:space="preserve">Metro Tunnel </w:t>
      </w:r>
    </w:p>
    <w:tbl>
      <w:tblPr>
        <w:tblW w:w="7765" w:type="dxa"/>
        <w:tblInd w:w="45" w:type="dxa"/>
        <w:tblBorders>
          <w:bottom w:val="single" w:sz="12" w:space="0" w:color="auto"/>
        </w:tblBorders>
        <w:tblLayout w:type="fixed"/>
        <w:tblCellMar>
          <w:left w:w="45" w:type="dxa"/>
          <w:right w:w="45" w:type="dxa"/>
        </w:tblCellMar>
        <w:tblLook w:val="0000" w:firstRow="0" w:lastRow="0" w:firstColumn="0" w:lastColumn="0" w:noHBand="0" w:noVBand="0"/>
      </w:tblPr>
      <w:tblGrid>
        <w:gridCol w:w="2430"/>
        <w:gridCol w:w="1067"/>
        <w:gridCol w:w="1067"/>
        <w:gridCol w:w="1067"/>
        <w:gridCol w:w="1067"/>
        <w:gridCol w:w="1067"/>
      </w:tblGrid>
      <w:tr w:rsidR="007A09DB" w:rsidRPr="00993161" w:rsidTr="00993161">
        <w:trPr>
          <w:cantSplit/>
          <w:tblHeader/>
        </w:trPr>
        <w:tc>
          <w:tcPr>
            <w:tcW w:w="2430" w:type="dxa"/>
            <w:tcBorders>
              <w:bottom w:val="nil"/>
            </w:tcBorders>
            <w:shd w:val="solid" w:color="000000" w:fill="auto"/>
            <w:vAlign w:val="bottom"/>
          </w:tcPr>
          <w:p w:rsidR="007A09DB" w:rsidRPr="00993161" w:rsidRDefault="007A09DB" w:rsidP="00993161">
            <w:pPr>
              <w:autoSpaceDE w:val="0"/>
              <w:autoSpaceDN w:val="0"/>
              <w:adjustRightInd w:val="0"/>
              <w:spacing w:after="0"/>
              <w:jc w:val="center"/>
              <w:rPr>
                <w:rFonts w:ascii="Calibri" w:eastAsiaTheme="minorEastAsia" w:hAnsi="Calibri" w:cs="Calibri"/>
                <w:i/>
                <w:iCs/>
                <w:color w:val="FFFFFF"/>
                <w:sz w:val="19"/>
                <w:szCs w:val="19"/>
                <w:lang w:eastAsia="en-AU"/>
              </w:rPr>
            </w:pPr>
          </w:p>
        </w:tc>
        <w:tc>
          <w:tcPr>
            <w:tcW w:w="1067" w:type="dxa"/>
            <w:tcBorders>
              <w:bottom w:val="nil"/>
            </w:tcBorders>
            <w:shd w:val="solid" w:color="000000" w:fill="auto"/>
            <w:vAlign w:val="bottom"/>
          </w:tcPr>
          <w:p w:rsidR="007A09DB" w:rsidRPr="00993161" w:rsidRDefault="007A09DB" w:rsidP="00993161">
            <w:pPr>
              <w:autoSpaceDE w:val="0"/>
              <w:autoSpaceDN w:val="0"/>
              <w:adjustRightInd w:val="0"/>
              <w:spacing w:after="0"/>
              <w:jc w:val="right"/>
              <w:rPr>
                <w:rFonts w:ascii="Calibri" w:eastAsiaTheme="minorEastAsia" w:hAnsi="Calibri" w:cs="Calibri"/>
                <w:i/>
                <w:iCs/>
                <w:color w:val="FFFFFF"/>
                <w:sz w:val="19"/>
                <w:szCs w:val="19"/>
                <w:lang w:eastAsia="en-AU"/>
              </w:rPr>
            </w:pPr>
            <w:r w:rsidRPr="00993161">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993161">
              <w:rPr>
                <w:rFonts w:ascii="Calibri" w:eastAsiaTheme="minorEastAsia" w:hAnsi="Calibri" w:cs="Calibri"/>
                <w:i/>
                <w:iCs/>
                <w:color w:val="FFFFFF"/>
                <w:sz w:val="19"/>
                <w:szCs w:val="19"/>
                <w:lang w:eastAsia="en-AU"/>
              </w:rPr>
              <w:t>17</w:t>
            </w:r>
          </w:p>
        </w:tc>
        <w:tc>
          <w:tcPr>
            <w:tcW w:w="1067" w:type="dxa"/>
            <w:tcBorders>
              <w:bottom w:val="nil"/>
            </w:tcBorders>
            <w:shd w:val="solid" w:color="000000" w:fill="auto"/>
            <w:vAlign w:val="bottom"/>
          </w:tcPr>
          <w:p w:rsidR="007A09DB" w:rsidRPr="00993161" w:rsidRDefault="007A09DB" w:rsidP="00993161">
            <w:pPr>
              <w:autoSpaceDE w:val="0"/>
              <w:autoSpaceDN w:val="0"/>
              <w:adjustRightInd w:val="0"/>
              <w:spacing w:after="0"/>
              <w:jc w:val="right"/>
              <w:rPr>
                <w:rFonts w:ascii="Calibri" w:eastAsiaTheme="minorEastAsia" w:hAnsi="Calibri" w:cs="Calibri"/>
                <w:i/>
                <w:iCs/>
                <w:color w:val="FFFFFF"/>
                <w:sz w:val="19"/>
                <w:szCs w:val="19"/>
                <w:lang w:eastAsia="en-AU"/>
              </w:rPr>
            </w:pPr>
            <w:r w:rsidRPr="00993161">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993161">
              <w:rPr>
                <w:rFonts w:ascii="Calibri" w:eastAsiaTheme="minorEastAsia" w:hAnsi="Calibri" w:cs="Calibri"/>
                <w:i/>
                <w:iCs/>
                <w:color w:val="FFFFFF"/>
                <w:sz w:val="19"/>
                <w:szCs w:val="19"/>
                <w:lang w:eastAsia="en-AU"/>
              </w:rPr>
              <w:t>18</w:t>
            </w:r>
          </w:p>
        </w:tc>
        <w:tc>
          <w:tcPr>
            <w:tcW w:w="1067" w:type="dxa"/>
            <w:tcBorders>
              <w:bottom w:val="nil"/>
            </w:tcBorders>
            <w:shd w:val="solid" w:color="000000" w:fill="auto"/>
            <w:vAlign w:val="bottom"/>
          </w:tcPr>
          <w:p w:rsidR="007A09DB" w:rsidRPr="00993161" w:rsidRDefault="007A09DB" w:rsidP="00993161">
            <w:pPr>
              <w:autoSpaceDE w:val="0"/>
              <w:autoSpaceDN w:val="0"/>
              <w:adjustRightInd w:val="0"/>
              <w:spacing w:after="0"/>
              <w:jc w:val="right"/>
              <w:rPr>
                <w:rFonts w:ascii="Calibri" w:eastAsiaTheme="minorEastAsia" w:hAnsi="Calibri" w:cs="Calibri"/>
                <w:i/>
                <w:iCs/>
                <w:color w:val="FFFFFF"/>
                <w:sz w:val="19"/>
                <w:szCs w:val="19"/>
                <w:lang w:eastAsia="en-AU"/>
              </w:rPr>
            </w:pPr>
            <w:r w:rsidRPr="00993161">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993161">
              <w:rPr>
                <w:rFonts w:ascii="Calibri" w:eastAsiaTheme="minorEastAsia" w:hAnsi="Calibri" w:cs="Calibri"/>
                <w:i/>
                <w:iCs/>
                <w:color w:val="FFFFFF"/>
                <w:sz w:val="19"/>
                <w:szCs w:val="19"/>
                <w:lang w:eastAsia="en-AU"/>
              </w:rPr>
              <w:t>19</w:t>
            </w:r>
          </w:p>
        </w:tc>
        <w:tc>
          <w:tcPr>
            <w:tcW w:w="1067" w:type="dxa"/>
            <w:tcBorders>
              <w:bottom w:val="nil"/>
            </w:tcBorders>
            <w:shd w:val="solid" w:color="000000" w:fill="auto"/>
            <w:vAlign w:val="bottom"/>
          </w:tcPr>
          <w:p w:rsidR="007A09DB" w:rsidRPr="00993161" w:rsidRDefault="007A09DB" w:rsidP="00993161">
            <w:pPr>
              <w:autoSpaceDE w:val="0"/>
              <w:autoSpaceDN w:val="0"/>
              <w:adjustRightInd w:val="0"/>
              <w:spacing w:after="0"/>
              <w:jc w:val="right"/>
              <w:rPr>
                <w:rFonts w:ascii="Calibri" w:eastAsiaTheme="minorEastAsia" w:hAnsi="Calibri" w:cs="Calibri"/>
                <w:i/>
                <w:iCs/>
                <w:color w:val="FFFFFF"/>
                <w:sz w:val="19"/>
                <w:szCs w:val="19"/>
                <w:lang w:eastAsia="en-AU"/>
              </w:rPr>
            </w:pPr>
            <w:r w:rsidRPr="00993161">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993161">
              <w:rPr>
                <w:rFonts w:ascii="Calibri" w:eastAsiaTheme="minorEastAsia" w:hAnsi="Calibri" w:cs="Calibri"/>
                <w:i/>
                <w:iCs/>
                <w:color w:val="FFFFFF"/>
                <w:sz w:val="19"/>
                <w:szCs w:val="19"/>
                <w:lang w:eastAsia="en-AU"/>
              </w:rPr>
              <w:t>20</w:t>
            </w:r>
          </w:p>
        </w:tc>
        <w:tc>
          <w:tcPr>
            <w:tcW w:w="1067" w:type="dxa"/>
            <w:tcBorders>
              <w:bottom w:val="nil"/>
            </w:tcBorders>
            <w:shd w:val="solid" w:color="000000" w:fill="auto"/>
            <w:vAlign w:val="bottom"/>
          </w:tcPr>
          <w:p w:rsidR="007A09DB" w:rsidRPr="00993161" w:rsidRDefault="007A09DB" w:rsidP="00993161">
            <w:pPr>
              <w:autoSpaceDE w:val="0"/>
              <w:autoSpaceDN w:val="0"/>
              <w:adjustRightInd w:val="0"/>
              <w:spacing w:after="0"/>
              <w:jc w:val="right"/>
              <w:rPr>
                <w:rFonts w:ascii="Calibri" w:eastAsiaTheme="minorEastAsia" w:hAnsi="Calibri" w:cs="Calibri"/>
                <w:i/>
                <w:iCs/>
                <w:color w:val="FFFFFF"/>
                <w:sz w:val="19"/>
                <w:szCs w:val="19"/>
                <w:lang w:eastAsia="en-AU"/>
              </w:rPr>
            </w:pPr>
            <w:r w:rsidRPr="00993161">
              <w:rPr>
                <w:rFonts w:ascii="Calibri" w:eastAsiaTheme="minorEastAsia" w:hAnsi="Calibri" w:cs="Calibri"/>
                <w:i/>
                <w:iCs/>
                <w:color w:val="FFFFFF"/>
                <w:sz w:val="19"/>
                <w:szCs w:val="19"/>
                <w:lang w:eastAsia="en-AU"/>
              </w:rPr>
              <w:t>TEI</w:t>
            </w:r>
          </w:p>
        </w:tc>
      </w:tr>
      <w:tr w:rsidR="007A09DB" w:rsidRPr="00993161" w:rsidTr="00993161">
        <w:trPr>
          <w:cantSplit/>
        </w:trPr>
        <w:tc>
          <w:tcPr>
            <w:tcW w:w="2430" w:type="dxa"/>
            <w:tcBorders>
              <w:bottom w:val="single" w:sz="12" w:space="0" w:color="auto"/>
            </w:tcBorders>
            <w:shd w:val="clear" w:color="auto" w:fill="FFFFFF"/>
          </w:tcPr>
          <w:p w:rsidR="007A09DB" w:rsidRPr="00993161" w:rsidRDefault="007A09DB" w:rsidP="00993161">
            <w:pPr>
              <w:autoSpaceDE w:val="0"/>
              <w:autoSpaceDN w:val="0"/>
              <w:adjustRightInd w:val="0"/>
              <w:spacing w:after="0"/>
              <w:ind w:left="227" w:hanging="227"/>
              <w:rPr>
                <w:rFonts w:ascii="Calibri" w:eastAsiaTheme="minorEastAsia" w:hAnsi="Calibri" w:cs="Calibri"/>
                <w:color w:val="000000"/>
                <w:sz w:val="19"/>
                <w:szCs w:val="19"/>
                <w:lang w:eastAsia="en-AU"/>
              </w:rPr>
            </w:pPr>
            <w:r w:rsidRPr="00993161">
              <w:rPr>
                <w:rFonts w:ascii="Calibri" w:eastAsiaTheme="minorEastAsia" w:hAnsi="Calibri" w:cs="Calibri"/>
                <w:color w:val="000000"/>
                <w:sz w:val="19"/>
                <w:szCs w:val="19"/>
                <w:lang w:eastAsia="en-AU"/>
              </w:rPr>
              <w:t>$</w:t>
            </w:r>
            <w:r>
              <w:rPr>
                <w:rFonts w:ascii="Calibri" w:eastAsiaTheme="minorEastAsia" w:hAnsi="Calibri" w:cs="Calibri"/>
                <w:color w:val="000000"/>
                <w:sz w:val="19"/>
                <w:szCs w:val="19"/>
                <w:lang w:eastAsia="en-AU"/>
              </w:rPr>
              <w:t> million</w:t>
            </w:r>
          </w:p>
        </w:tc>
        <w:tc>
          <w:tcPr>
            <w:tcW w:w="1067" w:type="dxa"/>
            <w:tcBorders>
              <w:bottom w:val="single" w:sz="12" w:space="0" w:color="auto"/>
            </w:tcBorders>
            <w:shd w:val="clear" w:color="auto" w:fill="FFFFFF"/>
          </w:tcPr>
          <w:p w:rsidR="007A09DB" w:rsidRPr="00993161" w:rsidRDefault="007A09DB" w:rsidP="00993161">
            <w:pPr>
              <w:autoSpaceDE w:val="0"/>
              <w:autoSpaceDN w:val="0"/>
              <w:adjustRightInd w:val="0"/>
              <w:spacing w:after="0"/>
              <w:jc w:val="right"/>
              <w:rPr>
                <w:rFonts w:ascii="Calibri" w:eastAsiaTheme="minorEastAsia" w:hAnsi="Calibri" w:cs="Calibri"/>
                <w:color w:val="000000"/>
                <w:sz w:val="19"/>
                <w:szCs w:val="19"/>
                <w:lang w:eastAsia="en-AU"/>
              </w:rPr>
            </w:pPr>
            <w:r>
              <w:rPr>
                <w:rFonts w:ascii="Calibri" w:eastAsiaTheme="minorEastAsia" w:hAnsi="Calibri" w:cs="Calibri"/>
                <w:color w:val="000000"/>
                <w:sz w:val="19"/>
                <w:szCs w:val="19"/>
                <w:lang w:eastAsia="en-AU"/>
              </w:rPr>
              <w:t>782</w:t>
            </w:r>
          </w:p>
        </w:tc>
        <w:tc>
          <w:tcPr>
            <w:tcW w:w="1067" w:type="dxa"/>
            <w:tcBorders>
              <w:bottom w:val="single" w:sz="12" w:space="0" w:color="auto"/>
            </w:tcBorders>
            <w:shd w:val="clear" w:color="auto" w:fill="FFFFFF"/>
          </w:tcPr>
          <w:p w:rsidR="007A09DB" w:rsidRPr="00993161" w:rsidRDefault="007A09DB" w:rsidP="00993161">
            <w:pPr>
              <w:autoSpaceDE w:val="0"/>
              <w:autoSpaceDN w:val="0"/>
              <w:adjustRightInd w:val="0"/>
              <w:spacing w:after="0"/>
              <w:jc w:val="right"/>
              <w:rPr>
                <w:rFonts w:ascii="Calibri" w:eastAsiaTheme="minorEastAsia" w:hAnsi="Calibri" w:cs="Calibri"/>
                <w:color w:val="000000"/>
                <w:sz w:val="19"/>
                <w:szCs w:val="19"/>
                <w:lang w:eastAsia="en-AU"/>
              </w:rPr>
            </w:pPr>
            <w:r>
              <w:rPr>
                <w:rFonts w:ascii="Calibri" w:eastAsiaTheme="minorEastAsia" w:hAnsi="Calibri" w:cs="Calibri"/>
                <w:color w:val="000000"/>
                <w:sz w:val="19"/>
                <w:szCs w:val="19"/>
                <w:lang w:eastAsia="en-AU"/>
              </w:rPr>
              <w:t>705</w:t>
            </w:r>
          </w:p>
        </w:tc>
        <w:tc>
          <w:tcPr>
            <w:tcW w:w="1067" w:type="dxa"/>
            <w:tcBorders>
              <w:bottom w:val="single" w:sz="12" w:space="0" w:color="auto"/>
            </w:tcBorders>
            <w:shd w:val="clear" w:color="auto" w:fill="FFFFFF"/>
          </w:tcPr>
          <w:p w:rsidR="007A09DB" w:rsidRPr="00993161" w:rsidRDefault="007A09DB" w:rsidP="00993161">
            <w:pPr>
              <w:autoSpaceDE w:val="0"/>
              <w:autoSpaceDN w:val="0"/>
              <w:adjustRightInd w:val="0"/>
              <w:spacing w:after="0"/>
              <w:jc w:val="right"/>
              <w:rPr>
                <w:rFonts w:ascii="Calibri" w:eastAsiaTheme="minorEastAsia" w:hAnsi="Calibri" w:cs="Calibri"/>
                <w:color w:val="000000"/>
                <w:sz w:val="19"/>
                <w:szCs w:val="19"/>
                <w:lang w:eastAsia="en-AU"/>
              </w:rPr>
            </w:pPr>
            <w:r>
              <w:rPr>
                <w:rFonts w:ascii="Calibri" w:eastAsiaTheme="minorEastAsia" w:hAnsi="Calibri" w:cs="Calibri"/>
                <w:color w:val="000000"/>
                <w:sz w:val="19"/>
                <w:szCs w:val="19"/>
                <w:lang w:eastAsia="en-AU"/>
              </w:rPr>
              <w:t>667</w:t>
            </w:r>
          </w:p>
        </w:tc>
        <w:tc>
          <w:tcPr>
            <w:tcW w:w="1067" w:type="dxa"/>
            <w:tcBorders>
              <w:bottom w:val="single" w:sz="12" w:space="0" w:color="auto"/>
            </w:tcBorders>
            <w:shd w:val="clear" w:color="auto" w:fill="FFFFFF"/>
          </w:tcPr>
          <w:p w:rsidR="007A09DB" w:rsidRPr="00993161" w:rsidRDefault="007A09DB" w:rsidP="00993161">
            <w:pPr>
              <w:autoSpaceDE w:val="0"/>
              <w:autoSpaceDN w:val="0"/>
              <w:adjustRightInd w:val="0"/>
              <w:spacing w:after="0"/>
              <w:jc w:val="right"/>
              <w:rPr>
                <w:rFonts w:ascii="Calibri" w:eastAsiaTheme="minorEastAsia" w:hAnsi="Calibri" w:cs="Calibri"/>
                <w:color w:val="000000"/>
                <w:sz w:val="19"/>
                <w:szCs w:val="19"/>
                <w:lang w:eastAsia="en-AU"/>
              </w:rPr>
            </w:pPr>
            <w:r>
              <w:rPr>
                <w:rFonts w:ascii="Calibri" w:eastAsiaTheme="minorEastAsia" w:hAnsi="Calibri" w:cs="Calibri"/>
                <w:color w:val="000000"/>
                <w:sz w:val="19"/>
                <w:szCs w:val="19"/>
                <w:lang w:eastAsia="en-AU"/>
              </w:rPr>
              <w:t>706</w:t>
            </w:r>
          </w:p>
        </w:tc>
        <w:tc>
          <w:tcPr>
            <w:tcW w:w="1067" w:type="dxa"/>
            <w:tcBorders>
              <w:bottom w:val="single" w:sz="12" w:space="0" w:color="auto"/>
            </w:tcBorders>
            <w:shd w:val="clear" w:color="auto" w:fill="FFFFFF"/>
          </w:tcPr>
          <w:p w:rsidR="007A09DB" w:rsidRPr="00993161" w:rsidRDefault="007A09DB" w:rsidP="00993161">
            <w:pPr>
              <w:autoSpaceDE w:val="0"/>
              <w:autoSpaceDN w:val="0"/>
              <w:adjustRightInd w:val="0"/>
              <w:spacing w:after="0"/>
              <w:jc w:val="right"/>
              <w:rPr>
                <w:rFonts w:ascii="Calibri" w:eastAsiaTheme="minorEastAsia" w:hAnsi="Calibri" w:cs="Calibri"/>
                <w:color w:val="000000"/>
                <w:sz w:val="19"/>
                <w:szCs w:val="19"/>
                <w:lang w:eastAsia="en-AU"/>
              </w:rPr>
            </w:pPr>
            <w:r w:rsidRPr="00993161">
              <w:rPr>
                <w:rFonts w:ascii="Calibri" w:eastAsiaTheme="minorEastAsia" w:hAnsi="Calibri" w:cs="Calibri"/>
                <w:color w:val="000000"/>
                <w:sz w:val="19"/>
                <w:szCs w:val="19"/>
                <w:lang w:eastAsia="en-AU"/>
              </w:rPr>
              <w:t>10 900</w:t>
            </w:r>
          </w:p>
        </w:tc>
      </w:tr>
    </w:tbl>
    <w:p w:rsidR="007A09DB" w:rsidRPr="004513AF" w:rsidRDefault="007A09DB" w:rsidP="00811454">
      <w:pPr>
        <w:pStyle w:val="Source"/>
        <w:rPr>
          <w:rFonts w:eastAsiaTheme="minorHAnsi"/>
        </w:rPr>
      </w:pPr>
      <w:r w:rsidRPr="004513AF">
        <w:rPr>
          <w:rFonts w:eastAsiaTheme="minorHAnsi"/>
        </w:rPr>
        <w:t>Source: Department of Treasury and Finance</w:t>
      </w:r>
      <w:r w:rsidR="00FF6229">
        <w:rPr>
          <w:rFonts w:eastAsiaTheme="minorHAnsi"/>
        </w:rPr>
        <w:fldChar w:fldCharType="begin"/>
      </w:r>
      <w:r w:rsidR="00FF6229">
        <w:instrText xml:space="preserve"> XE "</w:instrText>
      </w:r>
      <w:r w:rsidR="00FF6229" w:rsidRPr="00E45549">
        <w:rPr>
          <w:rFonts w:eastAsiaTheme="minorHAnsi"/>
        </w:rPr>
        <w:instrText>Melbourne Metro Tunnel</w:instrText>
      </w:r>
      <w:r w:rsidR="00FF6229">
        <w:instrText xml:space="preserve">" \r "BP2Metro1" </w:instrText>
      </w:r>
      <w:r w:rsidR="00FF6229">
        <w:rPr>
          <w:rFonts w:eastAsiaTheme="minorHAnsi"/>
        </w:rPr>
        <w:fldChar w:fldCharType="end"/>
      </w:r>
    </w:p>
    <w:bookmarkEnd w:id="12"/>
    <w:p w:rsidR="007A09DB" w:rsidRDefault="007A09DB" w:rsidP="00DC3810">
      <w:pPr>
        <w:pStyle w:val="Heading4"/>
        <w:rPr>
          <w:rFonts w:eastAsiaTheme="minorHAnsi"/>
        </w:rPr>
      </w:pPr>
      <w:r>
        <w:rPr>
          <w:rFonts w:eastAsiaTheme="minorHAnsi"/>
        </w:rPr>
        <w:t>Regional public transport</w:t>
      </w:r>
    </w:p>
    <w:p w:rsidR="007A09DB" w:rsidRDefault="007A09DB" w:rsidP="006A104E">
      <w:r>
        <w:rPr>
          <w:rFonts w:eastAsiaTheme="minorHAnsi"/>
        </w:rPr>
        <w:t xml:space="preserve">The Government’s regional public transport investment </w:t>
      </w:r>
      <w:r>
        <w:t xml:space="preserve">will deliver a better public transport network and develop local transport solutions to improve travel for passengers. The </w:t>
      </w:r>
      <w:r w:rsidRPr="004E18C8">
        <w:rPr>
          <w:i/>
        </w:rPr>
        <w:t>2016</w:t>
      </w:r>
      <w:r>
        <w:rPr>
          <w:i/>
        </w:rPr>
        <w:noBreakHyphen/>
      </w:r>
      <w:r w:rsidRPr="004E18C8">
        <w:rPr>
          <w:i/>
        </w:rPr>
        <w:t>17 Budget</w:t>
      </w:r>
      <w:r>
        <w:t xml:space="preserve"> includes $1.3 billion for a range of measures to better connect people and businesses in regional Victoria. </w:t>
      </w:r>
    </w:p>
    <w:p w:rsidR="007A09DB" w:rsidRDefault="007A09DB" w:rsidP="00F02DBE">
      <w:pPr>
        <w:rPr>
          <w:rFonts w:eastAsiaTheme="minorHAnsi"/>
        </w:rPr>
      </w:pPr>
      <w:r>
        <w:rPr>
          <w:rFonts w:eastAsiaTheme="minorHAnsi"/>
        </w:rPr>
        <w:t>T</w:t>
      </w:r>
      <w:r w:rsidRPr="007A0844">
        <w:rPr>
          <w:rFonts w:eastAsiaTheme="minorHAnsi"/>
        </w:rPr>
        <w:t xml:space="preserve">he Ballarat </w:t>
      </w:r>
      <w:r>
        <w:rPr>
          <w:rFonts w:eastAsiaTheme="minorHAnsi"/>
        </w:rPr>
        <w:t>line will receive</w:t>
      </w:r>
      <w:r w:rsidRPr="007A0844">
        <w:rPr>
          <w:rFonts w:eastAsiaTheme="minorHAnsi"/>
        </w:rPr>
        <w:t xml:space="preserve"> $51</w:t>
      </w:r>
      <w:r>
        <w:rPr>
          <w:rFonts w:eastAsiaTheme="minorHAnsi"/>
        </w:rPr>
        <w:t>8 million</w:t>
      </w:r>
      <w:r w:rsidRPr="007A0844">
        <w:rPr>
          <w:rFonts w:eastAsiaTheme="minorHAnsi"/>
        </w:rPr>
        <w:t xml:space="preserve"> </w:t>
      </w:r>
      <w:r>
        <w:rPr>
          <w:rFonts w:eastAsiaTheme="minorHAnsi"/>
        </w:rPr>
        <w:t>in upgrades to</w:t>
      </w:r>
      <w:r w:rsidRPr="007A0844">
        <w:rPr>
          <w:rFonts w:eastAsiaTheme="minorHAnsi"/>
        </w:rPr>
        <w:t xml:space="preserve"> address demand, punctuality and reliability issues</w:t>
      </w:r>
      <w:r>
        <w:rPr>
          <w:rFonts w:eastAsiaTheme="minorHAnsi"/>
        </w:rPr>
        <w:t xml:space="preserve"> on the line.</w:t>
      </w:r>
      <w:r w:rsidRPr="007A0844">
        <w:rPr>
          <w:rFonts w:eastAsiaTheme="minorHAnsi"/>
        </w:rPr>
        <w:t xml:space="preserve"> These infrastructure works will also have flow on improvements </w:t>
      </w:r>
      <w:r>
        <w:rPr>
          <w:rFonts w:eastAsiaTheme="minorHAnsi"/>
        </w:rPr>
        <w:t>in Melbourne’s Western suburbs as well as to the Geelong and Seymour train lines</w:t>
      </w:r>
      <w:r w:rsidRPr="007A0844">
        <w:rPr>
          <w:rFonts w:eastAsiaTheme="minorHAnsi"/>
        </w:rPr>
        <w:t>.</w:t>
      </w:r>
    </w:p>
    <w:p w:rsidR="007A09DB" w:rsidRDefault="007A09DB" w:rsidP="00C3374A">
      <w:pPr>
        <w:rPr>
          <w:rFonts w:eastAsiaTheme="minorHAnsi"/>
        </w:rPr>
      </w:pPr>
      <w:r>
        <w:rPr>
          <w:rFonts w:eastAsiaTheme="minorHAnsi"/>
        </w:rPr>
        <w:t xml:space="preserve">To meet growing demand, </w:t>
      </w:r>
      <w:r w:rsidRPr="007A0844">
        <w:rPr>
          <w:rFonts w:eastAsiaTheme="minorHAnsi"/>
        </w:rPr>
        <w:t>27 new VLocity carriages</w:t>
      </w:r>
      <w:r w:rsidRPr="00C3374A">
        <w:rPr>
          <w:rFonts w:eastAsiaTheme="minorHAnsi"/>
        </w:rPr>
        <w:t xml:space="preserve"> </w:t>
      </w:r>
      <w:r>
        <w:rPr>
          <w:rFonts w:eastAsiaTheme="minorHAnsi"/>
        </w:rPr>
        <w:t>will be added to th</w:t>
      </w:r>
      <w:r w:rsidRPr="00B117F8">
        <w:rPr>
          <w:rFonts w:eastAsiaTheme="minorHAnsi"/>
        </w:rPr>
        <w:t>e regional network.</w:t>
      </w:r>
      <w:r w:rsidRPr="007A0844">
        <w:rPr>
          <w:rFonts w:eastAsiaTheme="minorHAnsi"/>
        </w:rPr>
        <w:t xml:space="preserve"> </w:t>
      </w:r>
      <w:r>
        <w:rPr>
          <w:rFonts w:eastAsiaTheme="minorHAnsi"/>
        </w:rPr>
        <w:t>This investment of $280 million in new carriages and the upgrades to the Ballarat line will result in</w:t>
      </w:r>
      <w:r w:rsidRPr="007A0844">
        <w:rPr>
          <w:rFonts w:eastAsiaTheme="minorHAnsi"/>
        </w:rPr>
        <w:t xml:space="preserve"> two extra peak services on the Ballarat line and an additional peak service on the Seymour line</w:t>
      </w:r>
      <w:r>
        <w:rPr>
          <w:rFonts w:eastAsiaTheme="minorHAnsi"/>
        </w:rPr>
        <w:t>.</w:t>
      </w:r>
      <w:r w:rsidRPr="007A0844">
        <w:rPr>
          <w:rFonts w:eastAsiaTheme="minorHAnsi"/>
        </w:rPr>
        <w:t xml:space="preserve"> </w:t>
      </w:r>
    </w:p>
    <w:p w:rsidR="007A09DB" w:rsidRPr="007A0844" w:rsidRDefault="007A09DB" w:rsidP="006A104E">
      <w:pPr>
        <w:rPr>
          <w:rFonts w:eastAsiaTheme="minorHAnsi"/>
        </w:rPr>
      </w:pPr>
      <w:r>
        <w:rPr>
          <w:rFonts w:eastAsiaTheme="minorHAnsi"/>
        </w:rPr>
        <w:t>The Ballarat,</w:t>
      </w:r>
      <w:r w:rsidRPr="00325935">
        <w:rPr>
          <w:rFonts w:eastAsiaTheme="minorHAnsi"/>
        </w:rPr>
        <w:t xml:space="preserve"> </w:t>
      </w:r>
      <w:r>
        <w:rPr>
          <w:rFonts w:eastAsiaTheme="minorHAnsi"/>
        </w:rPr>
        <w:t>Bendigo, Geelong, Gippsland,</w:t>
      </w:r>
      <w:r w:rsidRPr="00325935">
        <w:rPr>
          <w:rFonts w:eastAsiaTheme="minorHAnsi"/>
        </w:rPr>
        <w:t xml:space="preserve"> </w:t>
      </w:r>
      <w:r>
        <w:rPr>
          <w:rFonts w:eastAsiaTheme="minorHAnsi"/>
        </w:rPr>
        <w:t>North East, Shepparton and Warrnambool lines will receive over $186 million for extra services, track and station upgrades.</w:t>
      </w:r>
    </w:p>
    <w:p w:rsidR="007A09DB" w:rsidRDefault="007A09DB" w:rsidP="006A104E">
      <w:pPr>
        <w:rPr>
          <w:rFonts w:eastAsiaTheme="minorHAnsi"/>
        </w:rPr>
      </w:pPr>
      <w:r>
        <w:rPr>
          <w:rFonts w:eastAsiaTheme="minorHAnsi"/>
        </w:rPr>
        <w:t xml:space="preserve">To </w:t>
      </w:r>
      <w:r w:rsidRPr="007A0844">
        <w:rPr>
          <w:rFonts w:eastAsiaTheme="minorHAnsi"/>
        </w:rPr>
        <w:t>support train punctuality and improve freight</w:t>
      </w:r>
      <w:r>
        <w:rPr>
          <w:rFonts w:eastAsiaTheme="minorHAnsi"/>
        </w:rPr>
        <w:t xml:space="preserve"> across regional Victoria, </w:t>
      </w:r>
      <w:r w:rsidRPr="007A0844">
        <w:rPr>
          <w:rFonts w:eastAsiaTheme="minorHAnsi"/>
        </w:rPr>
        <w:t>$141</w:t>
      </w:r>
      <w:r>
        <w:rPr>
          <w:rFonts w:eastAsiaTheme="minorHAnsi"/>
        </w:rPr>
        <w:t> million</w:t>
      </w:r>
      <w:r w:rsidRPr="007A0844">
        <w:rPr>
          <w:rFonts w:eastAsiaTheme="minorHAnsi"/>
        </w:rPr>
        <w:t xml:space="preserve"> </w:t>
      </w:r>
      <w:r>
        <w:rPr>
          <w:rFonts w:eastAsiaTheme="minorHAnsi"/>
        </w:rPr>
        <w:t xml:space="preserve">will </w:t>
      </w:r>
      <w:r w:rsidRPr="007A0844">
        <w:rPr>
          <w:rFonts w:eastAsiaTheme="minorHAnsi"/>
        </w:rPr>
        <w:t>address the backlog of major periodic maintenance works</w:t>
      </w:r>
      <w:r>
        <w:rPr>
          <w:rFonts w:eastAsiaTheme="minorHAnsi"/>
        </w:rPr>
        <w:t xml:space="preserve">, with a further $198 million </w:t>
      </w:r>
      <w:r>
        <w:rPr>
          <w:rFonts w:eastAsiaTheme="minorHAnsi"/>
        </w:rPr>
        <w:lastRenderedPageBreak/>
        <w:t>for V/Line to continue meeting service standards.</w:t>
      </w:r>
      <w:r>
        <w:rPr>
          <w:rFonts w:eastAsiaTheme="minorHAnsi"/>
        </w:rPr>
        <w:fldChar w:fldCharType="begin"/>
      </w:r>
      <w:r>
        <w:instrText xml:space="preserve"> XE "</w:instrText>
      </w:r>
      <w:r w:rsidRPr="00C710C7">
        <w:rPr>
          <w:rFonts w:eastAsiaTheme="minorHAnsi"/>
        </w:rPr>
        <w:instrText>Public transport</w:instrText>
      </w:r>
      <w:r>
        <w:instrText xml:space="preserve">" \r "BP2PubTrans1" </w:instrText>
      </w:r>
      <w:r>
        <w:rPr>
          <w:rFonts w:eastAsiaTheme="minorHAnsi"/>
        </w:rPr>
        <w:fldChar w:fldCharType="end"/>
      </w:r>
    </w:p>
    <w:p w:rsidR="007A09DB" w:rsidRDefault="007A09DB" w:rsidP="00357C3F">
      <w:pPr>
        <w:pStyle w:val="Heading3"/>
        <w:rPr>
          <w:rFonts w:eastAsiaTheme="minorHAnsi"/>
        </w:rPr>
      </w:pPr>
      <w:bookmarkStart w:id="16" w:name="BP2Monash1"/>
      <w:bookmarkEnd w:id="14"/>
      <w:r>
        <w:rPr>
          <w:rFonts w:eastAsiaTheme="minorHAnsi"/>
        </w:rPr>
        <w:t>Roads</w:t>
      </w:r>
    </w:p>
    <w:p w:rsidR="007A09DB" w:rsidRDefault="007A09DB" w:rsidP="00DC3810">
      <w:pPr>
        <w:rPr>
          <w:rFonts w:eastAsiaTheme="minorHAnsi"/>
        </w:rPr>
      </w:pPr>
      <w:r>
        <w:rPr>
          <w:rFonts w:eastAsiaTheme="minorHAnsi"/>
        </w:rPr>
        <w:t xml:space="preserve">Roads form the backbone of Victoria’s transport system. The </w:t>
      </w:r>
      <w:r w:rsidRPr="0034525E">
        <w:rPr>
          <w:rFonts w:eastAsiaTheme="minorHAnsi"/>
          <w:i/>
        </w:rPr>
        <w:t>2016</w:t>
      </w:r>
      <w:r>
        <w:rPr>
          <w:rFonts w:eastAsiaTheme="minorHAnsi"/>
          <w:i/>
        </w:rPr>
        <w:noBreakHyphen/>
      </w:r>
      <w:r w:rsidRPr="0034525E">
        <w:rPr>
          <w:rFonts w:eastAsiaTheme="minorHAnsi"/>
          <w:i/>
        </w:rPr>
        <w:t>17 Budget</w:t>
      </w:r>
      <w:r>
        <w:rPr>
          <w:rFonts w:eastAsiaTheme="minorHAnsi"/>
        </w:rPr>
        <w:t xml:space="preserve"> provides $7.0 billion for Victoria’s road network, ensuring people and freight can move freely across Victoria.</w:t>
      </w:r>
    </w:p>
    <w:p w:rsidR="007A09DB" w:rsidRDefault="007A09DB" w:rsidP="00DC3810">
      <w:pPr>
        <w:rPr>
          <w:rFonts w:eastAsiaTheme="minorHAnsi"/>
        </w:rPr>
      </w:pPr>
      <w:r w:rsidRPr="00F05B30">
        <w:rPr>
          <w:rFonts w:eastAsiaTheme="minorHAnsi"/>
        </w:rPr>
        <w:t>The Western Distributor</w:t>
      </w:r>
      <w:r>
        <w:rPr>
          <w:rFonts w:eastAsiaTheme="minorHAnsi"/>
        </w:rPr>
        <w:fldChar w:fldCharType="begin"/>
      </w:r>
      <w:r>
        <w:instrText xml:space="preserve"> XE "</w:instrText>
      </w:r>
      <w:r w:rsidRPr="00B26E27">
        <w:rPr>
          <w:rFonts w:eastAsiaTheme="minorHAnsi"/>
        </w:rPr>
        <w:instrText>Western Distributor</w:instrText>
      </w:r>
      <w:r>
        <w:instrText xml:space="preserve">" </w:instrText>
      </w:r>
      <w:r>
        <w:rPr>
          <w:rFonts w:eastAsiaTheme="minorHAnsi"/>
        </w:rPr>
        <w:fldChar w:fldCharType="end"/>
      </w:r>
      <w:r w:rsidRPr="00F05B30">
        <w:rPr>
          <w:rFonts w:eastAsiaTheme="minorHAnsi"/>
        </w:rPr>
        <w:t xml:space="preserve"> project</w:t>
      </w:r>
      <w:r w:rsidRPr="00EE10C7">
        <w:rPr>
          <w:rFonts w:eastAsiaTheme="minorHAnsi"/>
        </w:rPr>
        <w:t>, including the Monash Freeway Upgrade and Webb Dock Access Improvement Works</w:t>
      </w:r>
      <w:r>
        <w:rPr>
          <w:rFonts w:eastAsiaTheme="minorHAnsi"/>
        </w:rPr>
        <w:t>,</w:t>
      </w:r>
      <w:r w:rsidRPr="00F05B30">
        <w:rPr>
          <w:rFonts w:eastAsiaTheme="minorHAnsi"/>
        </w:rPr>
        <w:t xml:space="preserve"> will receive $1.</w:t>
      </w:r>
      <w:r>
        <w:rPr>
          <w:rFonts w:eastAsiaTheme="minorHAnsi"/>
        </w:rPr>
        <w:t>46 billion</w:t>
      </w:r>
      <w:r w:rsidRPr="00F05B30">
        <w:rPr>
          <w:rFonts w:eastAsiaTheme="minorHAnsi"/>
        </w:rPr>
        <w:t xml:space="preserve"> over four years. The $5.5</w:t>
      </w:r>
      <w:r>
        <w:rPr>
          <w:rFonts w:eastAsiaTheme="minorHAnsi"/>
        </w:rPr>
        <w:t> billion</w:t>
      </w:r>
      <w:r w:rsidRPr="00F05B30">
        <w:rPr>
          <w:rFonts w:eastAsiaTheme="minorHAnsi"/>
        </w:rPr>
        <w:t xml:space="preserve"> project </w:t>
      </w:r>
      <w:r w:rsidRPr="008D24ED">
        <w:rPr>
          <w:rFonts w:eastAsiaTheme="minorHAnsi"/>
        </w:rPr>
        <w:t>is anticipated to be funded through a combination of tolls on the new road connections, an extensi</w:t>
      </w:r>
      <w:r>
        <w:rPr>
          <w:rFonts w:eastAsiaTheme="minorHAnsi"/>
        </w:rPr>
        <w:t>on to the CityLink concession and</w:t>
      </w:r>
      <w:r w:rsidRPr="008D24ED">
        <w:rPr>
          <w:rFonts w:eastAsiaTheme="minorHAnsi"/>
        </w:rPr>
        <w:t xml:space="preserve"> government contribution</w:t>
      </w:r>
      <w:r>
        <w:rPr>
          <w:rFonts w:eastAsiaTheme="minorHAnsi"/>
        </w:rPr>
        <w:t>s. The Government continues to negotiate</w:t>
      </w:r>
      <w:r w:rsidRPr="008D24ED">
        <w:rPr>
          <w:rFonts w:eastAsiaTheme="minorHAnsi"/>
        </w:rPr>
        <w:t xml:space="preserve"> with Transurban under the Market</w:t>
      </w:r>
      <w:r>
        <w:rPr>
          <w:rFonts w:eastAsiaTheme="minorHAnsi"/>
        </w:rPr>
        <w:noBreakHyphen/>
      </w:r>
      <w:r w:rsidRPr="008D24ED">
        <w:rPr>
          <w:rFonts w:eastAsiaTheme="minorHAnsi"/>
        </w:rPr>
        <w:t>led Proposal Framework to deliver the project.</w:t>
      </w:r>
    </w:p>
    <w:p w:rsidR="007A09DB" w:rsidRDefault="007A09DB" w:rsidP="00DC3810">
      <w:pPr>
        <w:rPr>
          <w:rFonts w:eastAsiaTheme="minorHAnsi"/>
        </w:rPr>
      </w:pPr>
      <w:r>
        <w:rPr>
          <w:rFonts w:eastAsiaTheme="minorHAnsi"/>
        </w:rPr>
        <w:t xml:space="preserve">The project will cut travel time by 20 minutes from Melbourne’s west and Geelong, remove up to 6 000 trucks from the West Gate Bridge and create thousands of jobs. </w:t>
      </w:r>
    </w:p>
    <w:p w:rsidR="007A09DB" w:rsidRDefault="007A09DB" w:rsidP="001A7DB6">
      <w:pPr>
        <w:rPr>
          <w:rFonts w:eastAsiaTheme="minorHAnsi"/>
        </w:rPr>
      </w:pPr>
      <w:bookmarkStart w:id="17" w:name="BP2PoM1"/>
      <w:r>
        <w:rPr>
          <w:rFonts w:eastAsiaTheme="minorHAnsi"/>
        </w:rPr>
        <w:t>The project will w</w:t>
      </w:r>
      <w:r w:rsidRPr="001A7DB6">
        <w:rPr>
          <w:rFonts w:eastAsiaTheme="minorHAnsi"/>
        </w:rPr>
        <w:t xml:space="preserve">iden the West Gate Freeway from </w:t>
      </w:r>
      <w:r>
        <w:rPr>
          <w:rFonts w:eastAsiaTheme="minorHAnsi"/>
        </w:rPr>
        <w:t>eight</w:t>
      </w:r>
      <w:r w:rsidRPr="001A7DB6">
        <w:rPr>
          <w:rFonts w:eastAsiaTheme="minorHAnsi"/>
        </w:rPr>
        <w:t xml:space="preserve"> to 12 lanes between the M80 and Williamstown Road</w:t>
      </w:r>
      <w:r>
        <w:rPr>
          <w:rFonts w:eastAsiaTheme="minorHAnsi"/>
        </w:rPr>
        <w:t xml:space="preserve">. It will also build a tunnel under Yarraville, </w:t>
      </w:r>
      <w:r w:rsidRPr="001A7DB6">
        <w:rPr>
          <w:rFonts w:eastAsiaTheme="minorHAnsi"/>
        </w:rPr>
        <w:t>a second river crossing over the Maribyrnong</w:t>
      </w:r>
      <w:r>
        <w:rPr>
          <w:rFonts w:eastAsiaTheme="minorHAnsi"/>
        </w:rPr>
        <w:t xml:space="preserve"> River and c</w:t>
      </w:r>
      <w:r w:rsidRPr="001A7DB6">
        <w:rPr>
          <w:rFonts w:eastAsiaTheme="minorHAnsi"/>
        </w:rPr>
        <w:t>onstruct an elevated road along Footscray Road with direct links to the Port of Melbourne</w:t>
      </w:r>
      <w:r>
        <w:rPr>
          <w:rFonts w:eastAsiaTheme="minorHAnsi"/>
        </w:rPr>
        <w:t>.</w:t>
      </w:r>
    </w:p>
    <w:p w:rsidR="007A09DB" w:rsidRDefault="007A09DB" w:rsidP="001A7DB6">
      <w:pPr>
        <w:rPr>
          <w:rFonts w:eastAsiaTheme="minorHAnsi"/>
        </w:rPr>
      </w:pPr>
      <w:r>
        <w:rPr>
          <w:rFonts w:eastAsiaTheme="minorHAnsi"/>
        </w:rPr>
        <w:t xml:space="preserve">In addition, </w:t>
      </w:r>
      <w:r w:rsidRPr="008D24ED">
        <w:rPr>
          <w:rFonts w:eastAsiaTheme="minorHAnsi"/>
        </w:rPr>
        <w:t xml:space="preserve">the Monash Freeway </w:t>
      </w:r>
      <w:r>
        <w:rPr>
          <w:rFonts w:eastAsiaTheme="minorHAnsi"/>
        </w:rPr>
        <w:t xml:space="preserve">will be widened </w:t>
      </w:r>
      <w:r w:rsidRPr="008D24ED">
        <w:rPr>
          <w:rFonts w:eastAsiaTheme="minorHAnsi"/>
        </w:rPr>
        <w:t>from the EastLink interchange to Clyde Road in Berwick</w:t>
      </w:r>
      <w:r>
        <w:rPr>
          <w:rFonts w:eastAsiaTheme="minorHAnsi"/>
        </w:rPr>
        <w:t>,</w:t>
      </w:r>
      <w:r w:rsidRPr="008D24ED">
        <w:rPr>
          <w:rFonts w:eastAsiaTheme="minorHAnsi"/>
        </w:rPr>
        <w:t xml:space="preserve"> and provid</w:t>
      </w:r>
      <w:r>
        <w:rPr>
          <w:rFonts w:eastAsiaTheme="minorHAnsi"/>
        </w:rPr>
        <w:t>e</w:t>
      </w:r>
      <w:r w:rsidRPr="008D24ED">
        <w:rPr>
          <w:rFonts w:eastAsiaTheme="minorHAnsi"/>
        </w:rPr>
        <w:t xml:space="preserve"> a network</w:t>
      </w:r>
      <w:r>
        <w:rPr>
          <w:rFonts w:eastAsiaTheme="minorHAnsi"/>
        </w:rPr>
        <w:noBreakHyphen/>
      </w:r>
      <w:r w:rsidRPr="008D24ED">
        <w:rPr>
          <w:rFonts w:eastAsiaTheme="minorHAnsi"/>
        </w:rPr>
        <w:t>wide solution to reduce congestion along the M1 from Geelong to Pakenham.</w:t>
      </w:r>
    </w:p>
    <w:p w:rsidR="007A09DB" w:rsidRPr="00DC3810" w:rsidRDefault="007A09DB" w:rsidP="00E6027A">
      <w:pPr>
        <w:rPr>
          <w:rFonts w:eastAsiaTheme="minorHAnsi"/>
        </w:rPr>
      </w:pPr>
      <w:r>
        <w:rPr>
          <w:rFonts w:eastAsiaTheme="minorHAnsi"/>
        </w:rPr>
        <w:t>Hoddle Street</w:t>
      </w:r>
      <w:r>
        <w:rPr>
          <w:rFonts w:eastAsiaTheme="minorHAnsi"/>
        </w:rPr>
        <w:fldChar w:fldCharType="begin"/>
      </w:r>
      <w:r>
        <w:instrText xml:space="preserve"> XE "</w:instrText>
      </w:r>
      <w:r w:rsidRPr="00E67DB0">
        <w:rPr>
          <w:rFonts w:eastAsiaTheme="minorHAnsi"/>
        </w:rPr>
        <w:instrText>Hoddle Street</w:instrText>
      </w:r>
      <w:r>
        <w:instrText xml:space="preserve">" </w:instrText>
      </w:r>
      <w:r>
        <w:rPr>
          <w:rFonts w:eastAsiaTheme="minorHAnsi"/>
        </w:rPr>
        <w:fldChar w:fldCharType="end"/>
      </w:r>
      <w:r>
        <w:rPr>
          <w:rFonts w:eastAsiaTheme="minorHAnsi"/>
        </w:rPr>
        <w:t xml:space="preserve"> will also receive $58 million</w:t>
      </w:r>
      <w:r w:rsidRPr="002079C7">
        <w:rPr>
          <w:rFonts w:eastAsiaTheme="minorHAnsi"/>
        </w:rPr>
        <w:t xml:space="preserve"> to </w:t>
      </w:r>
      <w:r>
        <w:rPr>
          <w:rFonts w:eastAsiaTheme="minorHAnsi"/>
        </w:rPr>
        <w:t>improve</w:t>
      </w:r>
      <w:r w:rsidRPr="002079C7">
        <w:rPr>
          <w:rFonts w:eastAsiaTheme="minorHAnsi"/>
        </w:rPr>
        <w:t xml:space="preserve"> travel times on one of Melbourne</w:t>
      </w:r>
      <w:r>
        <w:rPr>
          <w:rFonts w:eastAsiaTheme="minorHAnsi"/>
        </w:rPr>
        <w:t>’</w:t>
      </w:r>
      <w:r w:rsidRPr="002079C7">
        <w:rPr>
          <w:rFonts w:eastAsiaTheme="minorHAnsi"/>
        </w:rPr>
        <w:t>s most congested road corridors, including a continuous flow intersection at Swan Street.</w:t>
      </w:r>
    </w:p>
    <w:p w:rsidR="007A09DB" w:rsidRDefault="007A09DB" w:rsidP="00DC3810">
      <w:pPr>
        <w:rPr>
          <w:rFonts w:eastAsiaTheme="minorHAnsi"/>
        </w:rPr>
      </w:pPr>
      <w:r>
        <w:rPr>
          <w:rFonts w:eastAsiaTheme="minorHAnsi"/>
        </w:rPr>
        <w:t>The budget provides $286 million to upgrade Thompsons Road</w:t>
      </w:r>
      <w:r>
        <w:rPr>
          <w:rFonts w:eastAsiaTheme="minorHAnsi"/>
        </w:rPr>
        <w:fldChar w:fldCharType="begin"/>
      </w:r>
      <w:r>
        <w:instrText xml:space="preserve"> XE "</w:instrText>
      </w:r>
      <w:r w:rsidRPr="009662D8">
        <w:rPr>
          <w:rFonts w:eastAsiaTheme="minorHAnsi"/>
        </w:rPr>
        <w:instrText>Thompsons Road</w:instrText>
      </w:r>
      <w:r>
        <w:instrText xml:space="preserve">" </w:instrText>
      </w:r>
      <w:r>
        <w:rPr>
          <w:rFonts w:eastAsiaTheme="minorHAnsi"/>
        </w:rPr>
        <w:fldChar w:fldCharType="end"/>
      </w:r>
      <w:r>
        <w:rPr>
          <w:rFonts w:eastAsiaTheme="minorHAnsi"/>
        </w:rPr>
        <w:t xml:space="preserve"> and Yan Yean Road</w:t>
      </w:r>
      <w:r>
        <w:rPr>
          <w:rFonts w:eastAsiaTheme="minorHAnsi"/>
        </w:rPr>
        <w:fldChar w:fldCharType="begin"/>
      </w:r>
      <w:r>
        <w:instrText xml:space="preserve"> XE "</w:instrText>
      </w:r>
      <w:r w:rsidRPr="00B26E27">
        <w:rPr>
          <w:rFonts w:eastAsiaTheme="minorHAnsi"/>
        </w:rPr>
        <w:instrText>Yan Yean Road</w:instrText>
      </w:r>
      <w:r>
        <w:instrText xml:space="preserve">" </w:instrText>
      </w:r>
      <w:r>
        <w:rPr>
          <w:rFonts w:eastAsiaTheme="minorHAnsi"/>
        </w:rPr>
        <w:fldChar w:fldCharType="end"/>
      </w:r>
      <w:r>
        <w:rPr>
          <w:rFonts w:eastAsiaTheme="minorHAnsi"/>
        </w:rPr>
        <w:t>, dramatically increasing traffic flow, and $103 million to complete the Drysdale Bypass</w:t>
      </w:r>
      <w:r>
        <w:rPr>
          <w:rFonts w:eastAsiaTheme="minorHAnsi"/>
        </w:rPr>
        <w:fldChar w:fldCharType="begin"/>
      </w:r>
      <w:r>
        <w:instrText xml:space="preserve"> XE "</w:instrText>
      </w:r>
      <w:r w:rsidRPr="00F7473A">
        <w:rPr>
          <w:rFonts w:eastAsiaTheme="minorHAnsi"/>
        </w:rPr>
        <w:instrText>Drysdale Bypass</w:instrText>
      </w:r>
      <w:r>
        <w:instrText xml:space="preserve">" </w:instrText>
      </w:r>
      <w:r>
        <w:rPr>
          <w:rFonts w:eastAsiaTheme="minorHAnsi"/>
        </w:rPr>
        <w:fldChar w:fldCharType="end"/>
      </w:r>
      <w:r>
        <w:rPr>
          <w:rFonts w:eastAsiaTheme="minorHAnsi"/>
        </w:rPr>
        <w:t>.</w:t>
      </w:r>
    </w:p>
    <w:p w:rsidR="007A09DB" w:rsidRDefault="007A09DB" w:rsidP="00DC3810">
      <w:pPr>
        <w:rPr>
          <w:rFonts w:eastAsiaTheme="minorHAnsi"/>
        </w:rPr>
      </w:pPr>
      <w:r>
        <w:rPr>
          <w:rFonts w:eastAsiaTheme="minorHAnsi"/>
        </w:rPr>
        <w:t>Plenty Road, Dohertys Road and Hallam Road will also receive $228 million to reduce travel times on these key outer suburban roads.</w:t>
      </w:r>
      <w:r w:rsidR="00FF6229">
        <w:rPr>
          <w:rFonts w:eastAsiaTheme="minorHAnsi"/>
        </w:rPr>
        <w:fldChar w:fldCharType="begin"/>
      </w:r>
      <w:r w:rsidR="00FF6229">
        <w:instrText xml:space="preserve"> XE "</w:instrText>
      </w:r>
      <w:r w:rsidR="00FF6229" w:rsidRPr="002E2B15">
        <w:rPr>
          <w:rFonts w:eastAsiaTheme="minorHAnsi"/>
        </w:rPr>
        <w:instrText>Monash Freeway</w:instrText>
      </w:r>
      <w:r w:rsidR="00FF6229">
        <w:instrText xml:space="preserve">" \r "BP2Monash1" </w:instrText>
      </w:r>
      <w:r w:rsidR="00FF6229">
        <w:rPr>
          <w:rFonts w:eastAsiaTheme="minorHAnsi"/>
        </w:rPr>
        <w:fldChar w:fldCharType="end"/>
      </w:r>
      <w:r w:rsidR="0078635B">
        <w:rPr>
          <w:rFonts w:eastAsiaTheme="minorHAnsi"/>
        </w:rPr>
        <w:fldChar w:fldCharType="begin"/>
      </w:r>
      <w:r w:rsidR="0078635B">
        <w:instrText xml:space="preserve"> XE "</w:instrText>
      </w:r>
      <w:r w:rsidR="0078635B">
        <w:rPr>
          <w:rFonts w:eastAsiaTheme="minorHAnsi"/>
        </w:rPr>
        <w:instrText>Roads</w:instrText>
      </w:r>
      <w:r w:rsidR="0078635B">
        <w:instrText xml:space="preserve">" \r "BP2Roads1" </w:instrText>
      </w:r>
      <w:r w:rsidR="0078635B">
        <w:rPr>
          <w:rFonts w:eastAsiaTheme="minorHAnsi"/>
        </w:rPr>
        <w:fldChar w:fldCharType="end"/>
      </w:r>
    </w:p>
    <w:p w:rsidR="007A09DB" w:rsidRPr="00CB0A31" w:rsidRDefault="007A09DB" w:rsidP="00CB0A31">
      <w:pPr>
        <w:pStyle w:val="Heading4"/>
        <w:rPr>
          <w:rFonts w:eastAsiaTheme="minorHAnsi"/>
        </w:rPr>
      </w:pPr>
      <w:bookmarkStart w:id="18" w:name="BP2RoadSafety1"/>
      <w:bookmarkEnd w:id="16"/>
      <w:bookmarkEnd w:id="13"/>
      <w:r>
        <w:rPr>
          <w:rFonts w:eastAsiaTheme="minorHAnsi"/>
        </w:rPr>
        <w:t>Road safety</w:t>
      </w:r>
    </w:p>
    <w:p w:rsidR="007A09DB" w:rsidRPr="00C5214E" w:rsidRDefault="007A09DB" w:rsidP="00580F45">
      <w:pPr>
        <w:rPr>
          <w:rFonts w:eastAsiaTheme="minorHAnsi"/>
        </w:rPr>
      </w:pPr>
      <w:r>
        <w:rPr>
          <w:rFonts w:eastAsiaTheme="minorHAnsi"/>
        </w:rPr>
        <w:t xml:space="preserve">Victoria is a world leader in road safety. The </w:t>
      </w:r>
      <w:r w:rsidRPr="00B117F8">
        <w:rPr>
          <w:rFonts w:eastAsiaTheme="minorHAnsi"/>
          <w:i/>
        </w:rPr>
        <w:t>2016</w:t>
      </w:r>
      <w:r>
        <w:rPr>
          <w:rFonts w:eastAsiaTheme="minorHAnsi"/>
          <w:i/>
        </w:rPr>
        <w:noBreakHyphen/>
      </w:r>
      <w:r w:rsidRPr="00B117F8">
        <w:rPr>
          <w:rFonts w:eastAsiaTheme="minorHAnsi"/>
          <w:i/>
        </w:rPr>
        <w:t>17 Budget</w:t>
      </w:r>
      <w:r>
        <w:rPr>
          <w:rFonts w:eastAsiaTheme="minorHAnsi"/>
        </w:rPr>
        <w:t xml:space="preserve"> invests $427 million</w:t>
      </w:r>
      <w:r w:rsidRPr="00AA186D">
        <w:rPr>
          <w:rFonts w:eastAsiaTheme="minorHAnsi"/>
        </w:rPr>
        <w:t xml:space="preserve"> </w:t>
      </w:r>
      <w:r w:rsidRPr="00C5214E">
        <w:rPr>
          <w:rFonts w:eastAsiaTheme="minorHAnsi"/>
        </w:rPr>
        <w:t xml:space="preserve">in </w:t>
      </w:r>
      <w:r>
        <w:rPr>
          <w:rFonts w:eastAsiaTheme="minorHAnsi"/>
        </w:rPr>
        <w:t xml:space="preserve">road </w:t>
      </w:r>
      <w:r w:rsidRPr="00C5214E">
        <w:rPr>
          <w:rFonts w:eastAsiaTheme="minorHAnsi"/>
        </w:rPr>
        <w:t>safety</w:t>
      </w:r>
      <w:r>
        <w:rPr>
          <w:rFonts w:eastAsiaTheme="minorHAnsi"/>
        </w:rPr>
        <w:t xml:space="preserve"> to</w:t>
      </w:r>
      <w:r w:rsidRPr="00C5214E">
        <w:rPr>
          <w:rFonts w:eastAsiaTheme="minorHAnsi"/>
        </w:rPr>
        <w:t xml:space="preserve"> </w:t>
      </w:r>
      <w:r>
        <w:rPr>
          <w:rFonts w:eastAsiaTheme="minorHAnsi"/>
        </w:rPr>
        <w:t>help Victorians get home safely</w:t>
      </w:r>
      <w:r w:rsidRPr="00C5214E">
        <w:rPr>
          <w:rFonts w:eastAsiaTheme="minorHAnsi"/>
        </w:rPr>
        <w:t>.</w:t>
      </w:r>
      <w:r>
        <w:rPr>
          <w:rFonts w:eastAsiaTheme="minorHAnsi"/>
        </w:rPr>
        <w:t xml:space="preserve"> This includes funding to </w:t>
      </w:r>
      <w:r w:rsidRPr="00C5214E">
        <w:rPr>
          <w:rFonts w:eastAsiaTheme="minorHAnsi"/>
        </w:rPr>
        <w:t xml:space="preserve">restore and replace unsafe, </w:t>
      </w:r>
      <w:r>
        <w:rPr>
          <w:rFonts w:eastAsiaTheme="minorHAnsi"/>
        </w:rPr>
        <w:t>deteriorating roads around the S</w:t>
      </w:r>
      <w:r w:rsidRPr="00C5214E">
        <w:rPr>
          <w:rFonts w:eastAsiaTheme="minorHAnsi"/>
        </w:rPr>
        <w:t>tate</w:t>
      </w:r>
      <w:r>
        <w:rPr>
          <w:rFonts w:eastAsiaTheme="minorHAnsi"/>
        </w:rPr>
        <w:t xml:space="preserve"> and includes funding for infrastructure investment in </w:t>
      </w:r>
      <w:r w:rsidRPr="00961090">
        <w:rPr>
          <w:rFonts w:eastAsiaTheme="minorHAnsi"/>
        </w:rPr>
        <w:t xml:space="preserve">rural roads </w:t>
      </w:r>
      <w:r>
        <w:rPr>
          <w:rFonts w:eastAsiaTheme="minorHAnsi"/>
        </w:rPr>
        <w:t xml:space="preserve">to prevent accidents </w:t>
      </w:r>
      <w:r>
        <w:rPr>
          <w:rFonts w:cs="Helv"/>
          <w:color w:val="000000"/>
          <w:lang w:eastAsia="en-AU"/>
        </w:rPr>
        <w:t xml:space="preserve">and </w:t>
      </w:r>
      <w:r w:rsidRPr="00ED00E2">
        <w:rPr>
          <w:rFonts w:cs="Helv"/>
          <w:color w:val="000000"/>
          <w:lang w:eastAsia="en-AU"/>
        </w:rPr>
        <w:t xml:space="preserve">create safer </w:t>
      </w:r>
      <w:r>
        <w:rPr>
          <w:rFonts w:cs="Helv"/>
          <w:color w:val="000000"/>
          <w:lang w:eastAsia="en-AU"/>
        </w:rPr>
        <w:t xml:space="preserve">journeys. </w:t>
      </w:r>
    </w:p>
    <w:p w:rsidR="007A09DB" w:rsidRDefault="007A09DB" w:rsidP="00783BAB">
      <w:pPr>
        <w:rPr>
          <w:rFonts w:eastAsiaTheme="minorHAnsi"/>
        </w:rPr>
      </w:pPr>
      <w:r w:rsidRPr="00C236D5">
        <w:rPr>
          <w:rFonts w:eastAsiaTheme="minorHAnsi"/>
        </w:rPr>
        <w:t>This includes safety infrastructure such as flexible barrier treatments, tactile edge and centre line treatments</w:t>
      </w:r>
      <w:r>
        <w:rPr>
          <w:rFonts w:eastAsiaTheme="minorHAnsi"/>
        </w:rPr>
        <w:t>, as well as enhanced</w:t>
      </w:r>
      <w:r w:rsidRPr="00AA186D">
        <w:rPr>
          <w:rFonts w:eastAsiaTheme="minorHAnsi"/>
        </w:rPr>
        <w:t xml:space="preserve"> infrastructure</w:t>
      </w:r>
      <w:r>
        <w:rPr>
          <w:rFonts w:eastAsiaTheme="minorHAnsi"/>
        </w:rPr>
        <w:t xml:space="preserve"> for</w:t>
      </w:r>
      <w:r w:rsidRPr="00AA186D">
        <w:rPr>
          <w:rFonts w:eastAsiaTheme="minorHAnsi"/>
        </w:rPr>
        <w:t xml:space="preserve"> safer travel speeds</w:t>
      </w:r>
      <w:r>
        <w:rPr>
          <w:rFonts w:eastAsiaTheme="minorHAnsi"/>
        </w:rPr>
        <w:t xml:space="preserve"> where serious casualties occur.</w:t>
      </w:r>
      <w:r>
        <w:rPr>
          <w:rFonts w:eastAsiaTheme="minorHAnsi"/>
        </w:rPr>
        <w:fldChar w:fldCharType="begin"/>
      </w:r>
      <w:r>
        <w:instrText xml:space="preserve"> XE "</w:instrText>
      </w:r>
      <w:r w:rsidRPr="003956D9">
        <w:rPr>
          <w:rFonts w:eastAsiaTheme="minorHAnsi"/>
        </w:rPr>
        <w:instrText>Road safety</w:instrText>
      </w:r>
      <w:r>
        <w:instrText xml:space="preserve">" \r "BP2RoadSafety1" </w:instrText>
      </w:r>
      <w:r>
        <w:rPr>
          <w:rFonts w:eastAsiaTheme="minorHAnsi"/>
        </w:rPr>
        <w:fldChar w:fldCharType="end"/>
      </w:r>
      <w:r>
        <w:rPr>
          <w:rFonts w:eastAsiaTheme="minorHAnsi"/>
        </w:rPr>
        <w:t xml:space="preserve"> </w:t>
      </w:r>
    </w:p>
    <w:p w:rsidR="007A09DB" w:rsidRPr="00024836" w:rsidRDefault="007A09DB" w:rsidP="00024836">
      <w:pPr>
        <w:pStyle w:val="Heading3"/>
        <w:rPr>
          <w:rFonts w:eastAsiaTheme="minorHAnsi"/>
        </w:rPr>
      </w:pPr>
      <w:bookmarkStart w:id="19" w:name="BP2FutInfrFund"/>
      <w:bookmarkEnd w:id="18"/>
      <w:r>
        <w:rPr>
          <w:rFonts w:eastAsiaTheme="minorHAnsi"/>
        </w:rPr>
        <w:lastRenderedPageBreak/>
        <w:t>Future i</w:t>
      </w:r>
      <w:r w:rsidRPr="00024836">
        <w:rPr>
          <w:rFonts w:eastAsiaTheme="minorHAnsi"/>
        </w:rPr>
        <w:t xml:space="preserve">nfrastructure funding </w:t>
      </w:r>
    </w:p>
    <w:p w:rsidR="007A09DB" w:rsidRDefault="007A09DB" w:rsidP="002E0C79">
      <w:pPr>
        <w:rPr>
          <w:rFonts w:eastAsiaTheme="minorHAnsi"/>
        </w:rPr>
      </w:pPr>
      <w:r>
        <w:t xml:space="preserve">The Government is ensuring that its investment in infrastructure is financially sustainable. The Government’s infrastructure program is fully funded, and there is capacity for additional investment in the future through prudent borrowing and fair Commonwealth contributions to the costs of Victorian infrastructure. </w:t>
      </w:r>
    </w:p>
    <w:p w:rsidR="007A09DB" w:rsidRDefault="007A09DB" w:rsidP="007800B1">
      <w:pPr>
        <w:rPr>
          <w:rFonts w:eastAsiaTheme="minorHAnsi"/>
        </w:rPr>
      </w:pPr>
      <w:r w:rsidRPr="00D83398">
        <w:rPr>
          <w:rFonts w:eastAsiaTheme="minorHAnsi"/>
        </w:rPr>
        <w:t>Net debt</w:t>
      </w:r>
      <w:r>
        <w:rPr>
          <w:rFonts w:eastAsiaTheme="minorHAnsi"/>
        </w:rPr>
        <w:fldChar w:fldCharType="begin"/>
      </w:r>
      <w:r>
        <w:instrText xml:space="preserve"> XE "</w:instrText>
      </w:r>
      <w:r w:rsidRPr="006004B8">
        <w:rPr>
          <w:rFonts w:eastAsiaTheme="minorHAnsi"/>
        </w:rPr>
        <w:instrText>Debt:</w:instrText>
      </w:r>
      <w:r w:rsidRPr="006004B8">
        <w:instrText>Net debt</w:instrText>
      </w:r>
      <w:r>
        <w:instrText xml:space="preserve">" </w:instrText>
      </w:r>
      <w:r>
        <w:rPr>
          <w:rFonts w:eastAsiaTheme="minorHAnsi"/>
        </w:rPr>
        <w:fldChar w:fldCharType="end"/>
      </w:r>
      <w:r w:rsidRPr="00D83398">
        <w:rPr>
          <w:rFonts w:eastAsiaTheme="minorHAnsi"/>
        </w:rPr>
        <w:t xml:space="preserve"> is projected to be </w:t>
      </w:r>
      <w:r>
        <w:rPr>
          <w:rFonts w:eastAsiaTheme="minorHAnsi"/>
        </w:rPr>
        <w:t>4.8 per cent</w:t>
      </w:r>
      <w:r w:rsidRPr="00D83398">
        <w:rPr>
          <w:rFonts w:eastAsiaTheme="minorHAnsi"/>
        </w:rPr>
        <w:t xml:space="preserve"> of GSP</w:t>
      </w:r>
      <w:r>
        <w:fldChar w:fldCharType="begin"/>
      </w:r>
      <w:r>
        <w:instrText xml:space="preserve"> XE "Gross state product" </w:instrText>
      </w:r>
      <w:r>
        <w:fldChar w:fldCharType="end"/>
      </w:r>
      <w:r w:rsidRPr="00D83398">
        <w:rPr>
          <w:rFonts w:eastAsiaTheme="minorHAnsi"/>
        </w:rPr>
        <w:t xml:space="preserve"> at June 2020.</w:t>
      </w:r>
      <w:r>
        <w:rPr>
          <w:rFonts w:eastAsiaTheme="minorHAnsi"/>
        </w:rPr>
        <w:t xml:space="preserve"> </w:t>
      </w:r>
      <w:r w:rsidRPr="00DB7F7D">
        <w:rPr>
          <w:rFonts w:eastAsiaTheme="minorHAnsi"/>
        </w:rPr>
        <w:t>The Government will consider opportunities to leverage its strong balance sheet and take advantage of current low interest rates, with prudent increases in debt to invest in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noBreakHyphen/>
      </w:r>
      <w:r w:rsidRPr="00DB7F7D">
        <w:rPr>
          <w:rFonts w:eastAsiaTheme="minorHAnsi"/>
        </w:rPr>
        <w:t>enhancing infrastruc</w:t>
      </w:r>
      <w:r>
        <w:rPr>
          <w:rFonts w:eastAsiaTheme="minorHAnsi"/>
        </w:rPr>
        <w:t>ture, consistent with the State’</w:t>
      </w:r>
      <w:r w:rsidRPr="00DB7F7D">
        <w:rPr>
          <w:rFonts w:eastAsiaTheme="minorHAnsi"/>
        </w:rPr>
        <w:t>s triple</w:t>
      </w:r>
      <w:r>
        <w:rPr>
          <w:rFonts w:eastAsiaTheme="minorHAnsi"/>
        </w:rPr>
        <w:noBreakHyphen/>
      </w:r>
      <w:r w:rsidRPr="00DB7F7D">
        <w:rPr>
          <w:rFonts w:eastAsiaTheme="minorHAnsi"/>
        </w:rPr>
        <w:t>A credit rating</w:t>
      </w:r>
      <w:r>
        <w:rPr>
          <w:rFonts w:eastAsiaTheme="minorHAnsi"/>
        </w:rP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rPr>
          <w:rFonts w:eastAsiaTheme="minorHAnsi"/>
        </w:rPr>
        <w:fldChar w:fldCharType="end"/>
      </w:r>
      <w:r w:rsidRPr="00DB7F7D">
        <w:rPr>
          <w:rFonts w:eastAsiaTheme="minorHAnsi"/>
        </w:rPr>
        <w:t>.</w:t>
      </w:r>
      <w:r>
        <w:rPr>
          <w:rFonts w:eastAsiaTheme="minorHAnsi"/>
        </w:rPr>
        <w:t xml:space="preserve"> </w:t>
      </w:r>
    </w:p>
    <w:p w:rsidR="007A09DB" w:rsidRDefault="007A09DB" w:rsidP="007800B1">
      <w:pPr>
        <w:rPr>
          <w:rFonts w:eastAsiaTheme="minorHAnsi"/>
        </w:rPr>
      </w:pPr>
      <w:r>
        <w:rPr>
          <w:rFonts w:eastAsiaTheme="minorHAnsi"/>
        </w:rPr>
        <w:t>Maintaining net debt</w:t>
      </w:r>
      <w:r>
        <w:rPr>
          <w:rFonts w:eastAsiaTheme="minorHAnsi"/>
        </w:rPr>
        <w:fldChar w:fldCharType="begin"/>
      </w:r>
      <w:r>
        <w:instrText xml:space="preserve"> XE "Debt</w:instrText>
      </w:r>
      <w:r w:rsidRPr="00655DD5">
        <w:instrText>:Net debt</w:instrText>
      </w:r>
      <w:r>
        <w:instrText xml:space="preserve">" </w:instrText>
      </w:r>
      <w:r>
        <w:rPr>
          <w:rFonts w:eastAsiaTheme="minorHAnsi"/>
        </w:rPr>
        <w:fldChar w:fldCharType="end"/>
      </w:r>
      <w:r>
        <w:rPr>
          <w:rFonts w:eastAsiaTheme="minorHAnsi"/>
        </w:rPr>
        <w:t xml:space="preserve"> at around 6 per cent of GSP</w:t>
      </w:r>
      <w:r>
        <w:fldChar w:fldCharType="begin"/>
      </w:r>
      <w:r>
        <w:instrText xml:space="preserve"> XE "Gross state product" </w:instrText>
      </w:r>
      <w:r>
        <w:fldChar w:fldCharType="end"/>
      </w:r>
      <w:r>
        <w:rPr>
          <w:rFonts w:eastAsiaTheme="minorHAnsi"/>
        </w:rPr>
        <w:t xml:space="preserve"> will provide capacity for additional capital investment by around $16 billion over the next 10 years to fund further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t xml:space="preserve"> enhancing infrastructure projects (see Chart 1.2).</w:t>
      </w:r>
    </w:p>
    <w:p w:rsidR="007A09DB" w:rsidRDefault="007A09DB" w:rsidP="00C71262">
      <w:pPr>
        <w:pStyle w:val="Chartheading"/>
        <w:rPr>
          <w:rFonts w:eastAsiaTheme="minorHAnsi"/>
        </w:rPr>
      </w:pPr>
      <w:r>
        <w:rPr>
          <w:rFonts w:eastAsiaTheme="minorHAnsi"/>
        </w:rPr>
        <w:t xml:space="preserve">Chart 1.2: </w:t>
      </w:r>
      <w:r>
        <w:rPr>
          <w:rFonts w:eastAsiaTheme="minorHAnsi"/>
        </w:rPr>
        <w:tab/>
        <w:t>I</w:t>
      </w:r>
      <w:r w:rsidRPr="00D83398">
        <w:rPr>
          <w:rFonts w:eastAsiaTheme="minorHAnsi"/>
        </w:rPr>
        <w:t xml:space="preserve">nvestment capacity from increasing </w:t>
      </w:r>
      <w:r>
        <w:rPr>
          <w:rFonts w:eastAsiaTheme="minorHAnsi"/>
        </w:rPr>
        <w:t xml:space="preserve">general government sector </w:t>
      </w:r>
      <w:r w:rsidRPr="00D83398">
        <w:rPr>
          <w:rFonts w:eastAsiaTheme="minorHAnsi"/>
        </w:rPr>
        <w:t>net debt to 6</w:t>
      </w:r>
      <w:r>
        <w:rPr>
          <w:rFonts w:eastAsiaTheme="minorHAnsi"/>
        </w:rPr>
        <w:t> per cent</w:t>
      </w:r>
      <w:r w:rsidRPr="00D83398">
        <w:rPr>
          <w:rFonts w:eastAsiaTheme="minorHAnsi"/>
        </w:rPr>
        <w:t xml:space="preserve"> of GSP</w:t>
      </w:r>
    </w:p>
    <w:p w:rsidR="007A09DB" w:rsidRPr="00993161" w:rsidRDefault="00D71529" w:rsidP="00993161">
      <w:pPr>
        <w:pStyle w:val="Chartpara"/>
      </w:pPr>
      <w:r>
        <w:rPr>
          <w:noProof/>
          <w:lang w:eastAsia="en-AU"/>
        </w:rPr>
        <w:pict>
          <v:shape id="_x0000_i1026" type="#_x0000_t75" style="width:380.5pt;height:229.5pt">
            <v:imagedata r:id="rId18" o:title=""/>
          </v:shape>
        </w:pict>
      </w:r>
    </w:p>
    <w:p w:rsidR="007A09DB" w:rsidRDefault="007A09DB" w:rsidP="00993161">
      <w:pPr>
        <w:pStyle w:val="Source"/>
        <w:rPr>
          <w:rFonts w:eastAsiaTheme="minorHAnsi"/>
        </w:rPr>
      </w:pPr>
      <w:r w:rsidRPr="000F0DD2">
        <w:rPr>
          <w:rFonts w:eastAsiaTheme="minorHAnsi"/>
        </w:rPr>
        <w:t>Source</w:t>
      </w:r>
      <w:r>
        <w:rPr>
          <w:rFonts w:eastAsiaTheme="minorHAnsi"/>
        </w:rPr>
        <w:t>:</w:t>
      </w:r>
      <w:r w:rsidRPr="000F0DD2">
        <w:rPr>
          <w:rFonts w:eastAsiaTheme="minorHAnsi"/>
        </w:rPr>
        <w:t xml:space="preserve"> Department of Treasury and Finance</w:t>
      </w:r>
      <w:r w:rsidR="0078635B">
        <w:rPr>
          <w:rFonts w:eastAsiaTheme="minorHAnsi"/>
        </w:rPr>
        <w:fldChar w:fldCharType="begin"/>
      </w:r>
      <w:r w:rsidR="0078635B">
        <w:instrText xml:space="preserve"> XE "</w:instrText>
      </w:r>
      <w:r w:rsidR="0078635B" w:rsidRPr="008D1D27">
        <w:rPr>
          <w:rFonts w:eastAsiaTheme="minorHAnsi"/>
        </w:rPr>
        <w:instrText>Future infrastructure funding</w:instrText>
      </w:r>
      <w:r w:rsidR="0078635B">
        <w:instrText xml:space="preserve">" \r "BP2FutInfrFund" </w:instrText>
      </w:r>
      <w:r w:rsidR="0078635B">
        <w:rPr>
          <w:rFonts w:eastAsiaTheme="minorHAnsi"/>
        </w:rPr>
        <w:fldChar w:fldCharType="end"/>
      </w:r>
    </w:p>
    <w:bookmarkEnd w:id="19"/>
    <w:p w:rsidR="007A09DB" w:rsidRDefault="007A09DB" w:rsidP="00024836">
      <w:pPr>
        <w:pStyle w:val="Heading3"/>
        <w:rPr>
          <w:rFonts w:eastAsiaTheme="minorHAnsi"/>
        </w:rPr>
      </w:pPr>
      <w:r>
        <w:rPr>
          <w:rFonts w:eastAsiaTheme="minorHAnsi"/>
        </w:rPr>
        <w:t>Making better use of the State’s balance sheet</w:t>
      </w:r>
    </w:p>
    <w:p w:rsidR="007A09DB" w:rsidRDefault="007A09DB" w:rsidP="00497305">
      <w:pPr>
        <w:autoSpaceDE w:val="0"/>
        <w:autoSpaceDN w:val="0"/>
        <w:adjustRightInd w:val="0"/>
        <w:rPr>
          <w:rFonts w:eastAsiaTheme="minorHAnsi" w:cs="Garamond"/>
          <w:color w:val="000000"/>
          <w:szCs w:val="22"/>
        </w:rPr>
      </w:pPr>
      <w:r>
        <w:rPr>
          <w:rFonts w:eastAsiaTheme="minorHAnsi" w:cs="Garamond"/>
          <w:color w:val="000000"/>
          <w:szCs w:val="22"/>
        </w:rPr>
        <w:t>The Government is using the State’s resources wisely by recycling assets to fund new infrastructure. The Port of Melbourne medium</w:t>
      </w:r>
      <w:r>
        <w:rPr>
          <w:rFonts w:eastAsiaTheme="minorHAnsi" w:cs="Garamond"/>
          <w:color w:val="000000"/>
          <w:szCs w:val="22"/>
        </w:rPr>
        <w:noBreakHyphen/>
        <w:t>term lease will generate billions of dollars for reinvestment in new infrastructure.</w:t>
      </w:r>
    </w:p>
    <w:p w:rsidR="007A09DB" w:rsidRDefault="007A09DB" w:rsidP="00497305">
      <w:pPr>
        <w:autoSpaceDE w:val="0"/>
        <w:autoSpaceDN w:val="0"/>
        <w:adjustRightInd w:val="0"/>
        <w:rPr>
          <w:rFonts w:eastAsiaTheme="minorHAnsi" w:cs="Garamond"/>
          <w:color w:val="000000"/>
          <w:szCs w:val="22"/>
        </w:rPr>
      </w:pPr>
      <w:r w:rsidRPr="00E77C5A">
        <w:rPr>
          <w:rFonts w:eastAsiaTheme="minorHAnsi" w:cs="Garamond"/>
          <w:color w:val="000000"/>
          <w:szCs w:val="22"/>
        </w:rPr>
        <w:t>Lease proceeds will go to the Victorian Transport Fund</w:t>
      </w:r>
      <w:r>
        <w:rPr>
          <w:rFonts w:eastAsiaTheme="minorHAnsi" w:cs="Garamond"/>
          <w:color w:val="000000"/>
          <w:szCs w:val="22"/>
        </w:rPr>
        <w:fldChar w:fldCharType="begin"/>
      </w:r>
      <w:r>
        <w:instrText xml:space="preserve"> XE "</w:instrText>
      </w:r>
      <w:r w:rsidRPr="005326EA">
        <w:rPr>
          <w:rFonts w:eastAsiaTheme="minorHAnsi" w:cs="Garamond"/>
          <w:color w:val="000000"/>
          <w:szCs w:val="22"/>
        </w:rPr>
        <w:instrText>Victorian Transport Fund</w:instrText>
      </w:r>
      <w:r>
        <w:instrText xml:space="preserve">" </w:instrText>
      </w:r>
      <w:r>
        <w:rPr>
          <w:rFonts w:eastAsiaTheme="minorHAnsi" w:cs="Garamond"/>
          <w:color w:val="000000"/>
          <w:szCs w:val="22"/>
        </w:rPr>
        <w:fldChar w:fldCharType="end"/>
      </w:r>
      <w:r w:rsidRPr="00E77C5A">
        <w:rPr>
          <w:rFonts w:eastAsiaTheme="minorHAnsi" w:cs="Garamond"/>
          <w:color w:val="000000"/>
          <w:szCs w:val="22"/>
        </w:rPr>
        <w:t xml:space="preserve"> to be initially invested until needed to fund the removal of the 50 worst level crossings </w:t>
      </w:r>
      <w:r w:rsidRPr="00E77C5A">
        <w:rPr>
          <w:rFonts w:eastAsiaTheme="minorHAnsi" w:cs="Garamond"/>
          <w:color w:val="000000"/>
          <w:szCs w:val="22"/>
        </w:rPr>
        <w:lastRenderedPageBreak/>
        <w:t>in Metropolitan Melbourne and other infrastructure initiatives in our cities and regions. The initial investment will reduce State debt.</w:t>
      </w:r>
      <w:r w:rsidR="00D9023F">
        <w:rPr>
          <w:rFonts w:eastAsiaTheme="minorHAnsi" w:cs="Garamond"/>
          <w:color w:val="000000"/>
          <w:szCs w:val="22"/>
        </w:rPr>
        <w:fldChar w:fldCharType="begin"/>
      </w:r>
      <w:r w:rsidR="00D9023F">
        <w:instrText xml:space="preserve"> XE "</w:instrText>
      </w:r>
      <w:r w:rsidR="00D9023F" w:rsidRPr="008E55C1">
        <w:rPr>
          <w:rFonts w:eastAsiaTheme="minorHAnsi"/>
        </w:rPr>
        <w:instrText>Port of Melbourne</w:instrText>
      </w:r>
      <w:r w:rsidR="00D9023F">
        <w:instrText xml:space="preserve">" \r "BP2PoM1" </w:instrText>
      </w:r>
      <w:r w:rsidR="00D9023F">
        <w:rPr>
          <w:rFonts w:eastAsiaTheme="minorHAnsi" w:cs="Garamond"/>
          <w:color w:val="000000"/>
          <w:szCs w:val="22"/>
        </w:rPr>
        <w:fldChar w:fldCharType="end"/>
      </w:r>
    </w:p>
    <w:bookmarkEnd w:id="17"/>
    <w:p w:rsidR="007A09DB" w:rsidRDefault="007A09DB" w:rsidP="00497305">
      <w:pPr>
        <w:autoSpaceDE w:val="0"/>
        <w:autoSpaceDN w:val="0"/>
        <w:adjustRightInd w:val="0"/>
        <w:rPr>
          <w:rFonts w:eastAsiaTheme="minorHAnsi" w:cs="Garamond"/>
          <w:color w:val="000000"/>
          <w:szCs w:val="22"/>
        </w:rPr>
      </w:pPr>
      <w:r>
        <w:rPr>
          <w:rFonts w:eastAsiaTheme="minorHAnsi" w:cs="Garamond"/>
          <w:color w:val="000000"/>
          <w:szCs w:val="22"/>
        </w:rPr>
        <w:t>The Fund will also support projects that help improve access to the Port. At least 10 per cent of the Fund will go to projects in rural and regional Victoria.</w:t>
      </w:r>
    </w:p>
    <w:p w:rsidR="007A09DB" w:rsidRDefault="007A09DB" w:rsidP="00497305">
      <w:pPr>
        <w:autoSpaceDE w:val="0"/>
        <w:autoSpaceDN w:val="0"/>
        <w:adjustRightInd w:val="0"/>
        <w:rPr>
          <w:rFonts w:eastAsiaTheme="minorHAnsi" w:cs="Garamond"/>
          <w:szCs w:val="22"/>
        </w:rPr>
      </w:pPr>
      <w:r>
        <w:rPr>
          <w:rFonts w:eastAsiaTheme="minorHAnsi" w:cs="Garamond"/>
          <w:color w:val="000000"/>
          <w:szCs w:val="22"/>
        </w:rPr>
        <w:t xml:space="preserve">Other resources </w:t>
      </w:r>
      <w:r w:rsidRPr="001F0288">
        <w:rPr>
          <w:rFonts w:eastAsiaTheme="minorHAnsi" w:cs="Garamond"/>
          <w:szCs w:val="22"/>
        </w:rPr>
        <w:t xml:space="preserve">currently tied up in mature assets can be recycled to build new assets for the benefit of the community and to </w:t>
      </w:r>
      <w:r>
        <w:rPr>
          <w:rFonts w:eastAsiaTheme="minorHAnsi" w:cs="Garamond"/>
          <w:szCs w:val="22"/>
        </w:rPr>
        <w:t>achieve</w:t>
      </w:r>
      <w:r w:rsidRPr="001F0288">
        <w:rPr>
          <w:rFonts w:eastAsiaTheme="minorHAnsi" w:cs="Garamond"/>
          <w:szCs w:val="22"/>
        </w:rPr>
        <w:t xml:space="preserve"> policy outcomes</w:t>
      </w:r>
      <w:r>
        <w:rPr>
          <w:rFonts w:eastAsiaTheme="minorHAnsi" w:cs="Garamond"/>
          <w:szCs w:val="22"/>
        </w:rPr>
        <w:t xml:space="preserve"> that benefit all Victorians</w:t>
      </w:r>
      <w:r w:rsidRPr="001F0288">
        <w:rPr>
          <w:rFonts w:eastAsiaTheme="minorHAnsi" w:cs="Garamond"/>
          <w:szCs w:val="22"/>
        </w:rPr>
        <w:t>. The Government will continue to optim</w:t>
      </w:r>
      <w:r>
        <w:rPr>
          <w:rFonts w:eastAsiaTheme="minorHAnsi" w:cs="Garamond"/>
          <w:szCs w:val="22"/>
        </w:rPr>
        <w:t>ise the management of the State’</w:t>
      </w:r>
      <w:r w:rsidRPr="001F0288">
        <w:rPr>
          <w:rFonts w:eastAsiaTheme="minorHAnsi" w:cs="Garamond"/>
          <w:szCs w:val="22"/>
        </w:rPr>
        <w:t>s balance sheet. This will be the basis for reform to improve the ongoing efficiency and effectiveness of the State</w:t>
      </w:r>
      <w:r>
        <w:rPr>
          <w:rFonts w:eastAsiaTheme="minorHAnsi" w:cs="Garamond"/>
          <w:szCs w:val="22"/>
        </w:rPr>
        <w:t>’</w:t>
      </w:r>
      <w:r w:rsidRPr="001F0288">
        <w:rPr>
          <w:rFonts w:eastAsiaTheme="minorHAnsi" w:cs="Garamond"/>
          <w:szCs w:val="22"/>
        </w:rPr>
        <w:t xml:space="preserve">s </w:t>
      </w:r>
      <w:r>
        <w:rPr>
          <w:rFonts w:eastAsiaTheme="minorHAnsi" w:cs="Garamond"/>
          <w:szCs w:val="22"/>
        </w:rPr>
        <w:t xml:space="preserve">asset </w:t>
      </w:r>
      <w:r w:rsidRPr="001F0288">
        <w:rPr>
          <w:rFonts w:eastAsiaTheme="minorHAnsi" w:cs="Garamond"/>
          <w:szCs w:val="22"/>
        </w:rPr>
        <w:t>holdings.</w:t>
      </w:r>
    </w:p>
    <w:p w:rsidR="007A09DB" w:rsidRDefault="007A09DB">
      <w:pPr>
        <w:spacing w:after="0"/>
        <w:rPr>
          <w:rFonts w:ascii="Calibri" w:eastAsiaTheme="minorHAnsi" w:hAnsi="Calibri"/>
          <w:b/>
          <w:i/>
          <w:kern w:val="28"/>
          <w:sz w:val="24"/>
          <w:szCs w:val="22"/>
        </w:rPr>
      </w:pPr>
      <w:r>
        <w:rPr>
          <w:rFonts w:eastAsiaTheme="minorHAnsi"/>
        </w:rPr>
        <w:br w:type="page"/>
      </w:r>
    </w:p>
    <w:p w:rsidR="007A09DB" w:rsidRDefault="007A09DB" w:rsidP="00774935">
      <w:pPr>
        <w:pStyle w:val="Heading3"/>
        <w:rPr>
          <w:rFonts w:eastAsiaTheme="minorHAnsi"/>
        </w:rPr>
      </w:pPr>
      <w:r>
        <w:rPr>
          <w:rFonts w:eastAsiaTheme="minorHAnsi"/>
        </w:rPr>
        <w:lastRenderedPageBreak/>
        <w:t>Commonwealth funding of Victorian infrastructure</w:t>
      </w:r>
    </w:p>
    <w:p w:rsidR="007A09DB" w:rsidRDefault="007A09DB" w:rsidP="00774935">
      <w:pPr>
        <w:rPr>
          <w:rFonts w:eastAsiaTheme="minorHAnsi"/>
        </w:rPr>
      </w:pPr>
      <w:r w:rsidRPr="002D598C">
        <w:rPr>
          <w:rFonts w:eastAsiaTheme="minorHAnsi"/>
        </w:rPr>
        <w:t>On 8 April 2016, the Commonwealth Government confirmed in writing that the $1.5</w:t>
      </w:r>
      <w:r>
        <w:rPr>
          <w:rFonts w:eastAsiaTheme="minorHAnsi"/>
        </w:rPr>
        <w:t> billion</w:t>
      </w:r>
      <w:r w:rsidRPr="002D598C">
        <w:rPr>
          <w:rFonts w:eastAsiaTheme="minorHAnsi"/>
        </w:rPr>
        <w:t xml:space="preserve"> </w:t>
      </w:r>
      <w:r w:rsidRPr="008F3923">
        <w:rPr>
          <w:rFonts w:eastAsiaTheme="minorHAnsi"/>
        </w:rPr>
        <w:t xml:space="preserve">previously allocated for </w:t>
      </w:r>
      <w:r>
        <w:rPr>
          <w:rFonts w:eastAsiaTheme="minorHAnsi"/>
        </w:rPr>
        <w:t xml:space="preserve">the former </w:t>
      </w:r>
      <w:r w:rsidRPr="008F3923">
        <w:rPr>
          <w:rFonts w:eastAsiaTheme="minorHAnsi"/>
        </w:rPr>
        <w:t>East West Link</w:t>
      </w:r>
      <w:r>
        <w:rPr>
          <w:rFonts w:eastAsiaTheme="minorHAnsi"/>
        </w:rPr>
        <w:t xml:space="preserve"> project</w:t>
      </w:r>
      <w:r w:rsidRPr="008F3923">
        <w:rPr>
          <w:rFonts w:eastAsiaTheme="minorHAnsi"/>
        </w:rPr>
        <w:t xml:space="preserve"> </w:t>
      </w:r>
      <w:r w:rsidRPr="00EE10C7">
        <w:rPr>
          <w:rFonts w:eastAsiaTheme="minorHAnsi"/>
        </w:rPr>
        <w:t>will be retained by the State and allocated to other projects, over and above funding separately committed by the Commonwealth Government. The State has accepted the offer and confirmed that it will work to finalise implementation arrangements.</w:t>
      </w:r>
      <w:r w:rsidRPr="002D598C">
        <w:rPr>
          <w:rFonts w:eastAsiaTheme="minorHAnsi"/>
        </w:rPr>
        <w:t xml:space="preserve"> </w:t>
      </w:r>
    </w:p>
    <w:p w:rsidR="007A09DB" w:rsidRDefault="007A09DB" w:rsidP="00774935">
      <w:pPr>
        <w:rPr>
          <w:rFonts w:eastAsiaTheme="minorHAnsi"/>
        </w:rPr>
      </w:pPr>
      <w:r w:rsidRPr="008F3923">
        <w:rPr>
          <w:rFonts w:eastAsiaTheme="minorHAnsi"/>
        </w:rPr>
        <w:t>However, this step alone will not address the clear Commonwealth under</w:t>
      </w:r>
      <w:r>
        <w:rPr>
          <w:rFonts w:eastAsiaTheme="minorHAnsi"/>
        </w:rPr>
        <w:noBreakHyphen/>
      </w:r>
      <w:r w:rsidRPr="008F3923">
        <w:rPr>
          <w:rFonts w:eastAsiaTheme="minorHAnsi"/>
        </w:rPr>
        <w:t>investment in Victoria.</w:t>
      </w:r>
      <w:r>
        <w:rPr>
          <w:rFonts w:eastAsiaTheme="minorHAnsi"/>
        </w:rPr>
        <w:t xml:space="preserve"> </w:t>
      </w:r>
      <w:r w:rsidRPr="008F3923">
        <w:rPr>
          <w:rFonts w:eastAsiaTheme="minorHAnsi"/>
        </w:rPr>
        <w:t>Victoria is currently expecting to receive only around 9</w:t>
      </w:r>
      <w:r>
        <w:rPr>
          <w:rFonts w:eastAsiaTheme="minorHAnsi"/>
        </w:rPr>
        <w:t> per cent</w:t>
      </w:r>
      <w:r w:rsidRPr="008F3923">
        <w:rPr>
          <w:rFonts w:eastAsiaTheme="minorHAnsi"/>
        </w:rPr>
        <w:t xml:space="preserve"> of the Commonwealth</w:t>
      </w:r>
      <w:r>
        <w:rPr>
          <w:rFonts w:eastAsiaTheme="minorHAnsi"/>
        </w:rPr>
        <w:t>’</w:t>
      </w:r>
      <w:r w:rsidRPr="008F3923">
        <w:rPr>
          <w:rFonts w:eastAsiaTheme="minorHAnsi"/>
        </w:rPr>
        <w:t xml:space="preserve">s infrastructure grants on average over </w:t>
      </w:r>
      <w:r>
        <w:rPr>
          <w:rFonts w:eastAsiaTheme="minorHAnsi"/>
        </w:rPr>
        <w:t xml:space="preserve">the </w:t>
      </w:r>
      <w:r w:rsidRPr="008F3923">
        <w:rPr>
          <w:rFonts w:eastAsiaTheme="minorHAnsi"/>
        </w:rPr>
        <w:t>five years from 2014</w:t>
      </w:r>
      <w:r>
        <w:rPr>
          <w:rFonts w:eastAsiaTheme="minorHAnsi"/>
        </w:rPr>
        <w:noBreakHyphen/>
      </w:r>
      <w:r w:rsidRPr="008F3923">
        <w:rPr>
          <w:rFonts w:eastAsiaTheme="minorHAnsi"/>
        </w:rPr>
        <w:t>15 to 2018</w:t>
      </w:r>
      <w:r>
        <w:rPr>
          <w:rFonts w:eastAsiaTheme="minorHAnsi"/>
        </w:rPr>
        <w:noBreakHyphen/>
      </w:r>
      <w:r w:rsidRPr="008F3923">
        <w:rPr>
          <w:rFonts w:eastAsiaTheme="minorHAnsi"/>
        </w:rPr>
        <w:t>19, relative to a population share of around 25</w:t>
      </w:r>
      <w:r>
        <w:rPr>
          <w:rFonts w:eastAsiaTheme="minorHAnsi"/>
        </w:rPr>
        <w:t xml:space="preserve"> per cent. </w:t>
      </w:r>
    </w:p>
    <w:p w:rsidR="007A09DB" w:rsidRDefault="007A09DB" w:rsidP="008027D7">
      <w:pPr>
        <w:pStyle w:val="Heading1"/>
        <w:rPr>
          <w:rFonts w:eastAsiaTheme="minorHAnsi"/>
        </w:rPr>
      </w:pPr>
      <w:bookmarkStart w:id="20" w:name="_Toc449123051"/>
      <w:bookmarkStart w:id="21" w:name="BP2FamV1"/>
      <w:r>
        <w:rPr>
          <w:rFonts w:eastAsiaTheme="minorHAnsi"/>
        </w:rPr>
        <w:t>Addressing family violence</w:t>
      </w:r>
      <w:bookmarkEnd w:id="20"/>
      <w:r>
        <w:rPr>
          <w:rFonts w:eastAsiaTheme="minorHAnsi"/>
        </w:rPr>
        <w:t xml:space="preserve"> </w:t>
      </w:r>
    </w:p>
    <w:p w:rsidR="007A09DB" w:rsidRDefault="007A09DB" w:rsidP="000A101A">
      <w:pPr>
        <w:rPr>
          <w:rFonts w:eastAsiaTheme="minorHAnsi"/>
        </w:rPr>
      </w:pPr>
      <w:r>
        <w:rPr>
          <w:rFonts w:eastAsiaTheme="minorHAnsi"/>
        </w:rPr>
        <w:t xml:space="preserve">Family violence is Victoria’s number one law and order issue. It is the leading contributor to death, disability and injury among Australian women under the age of 45. The </w:t>
      </w:r>
      <w:r w:rsidRPr="001C1316">
        <w:rPr>
          <w:rFonts w:eastAsiaTheme="minorHAnsi"/>
          <w:i/>
        </w:rPr>
        <w:t>2016</w:t>
      </w:r>
      <w:r>
        <w:rPr>
          <w:rFonts w:eastAsiaTheme="minorHAnsi"/>
          <w:i/>
        </w:rPr>
        <w:noBreakHyphen/>
      </w:r>
      <w:r w:rsidRPr="001C1316">
        <w:rPr>
          <w:rFonts w:eastAsiaTheme="minorHAnsi"/>
          <w:i/>
        </w:rPr>
        <w:t>17 Budget</w:t>
      </w:r>
      <w:r>
        <w:rPr>
          <w:rFonts w:eastAsiaTheme="minorHAnsi"/>
        </w:rPr>
        <w:t xml:space="preserve"> provides $572 million to begin the development of a world</w:t>
      </w:r>
      <w:r>
        <w:rPr>
          <w:rFonts w:eastAsiaTheme="minorHAnsi"/>
        </w:rPr>
        <w:noBreakHyphen/>
        <w:t xml:space="preserve">class family violence system and meet urgent service demand. </w:t>
      </w:r>
    </w:p>
    <w:p w:rsidR="007A09DB" w:rsidRDefault="007A09DB" w:rsidP="00453C73">
      <w:pPr>
        <w:rPr>
          <w:rFonts w:eastAsiaTheme="minorHAnsi"/>
        </w:rPr>
      </w:pPr>
      <w:r>
        <w:rPr>
          <w:rFonts w:eastAsiaTheme="minorHAnsi"/>
        </w:rPr>
        <w:t>For years, victims of family violence have been saying that the current system is broken. In response, the Government established Australia’s first Royal Commission into Family Violence</w:t>
      </w:r>
      <w:r>
        <w:rPr>
          <w:rFonts w:eastAsiaTheme="minorHAnsi"/>
        </w:rPr>
        <w:fldChar w:fldCharType="begin"/>
      </w:r>
      <w:r>
        <w:instrText xml:space="preserve"> XE "</w:instrText>
      </w:r>
      <w:r w:rsidRPr="00B117AA">
        <w:rPr>
          <w:rFonts w:eastAsiaTheme="minorHAnsi"/>
        </w:rPr>
        <w:instrText>Family Violence:</w:instrText>
      </w:r>
      <w:r w:rsidRPr="00B117AA">
        <w:instrText>Royal Commission</w:instrText>
      </w:r>
      <w:r>
        <w:instrText xml:space="preserve">" </w:instrText>
      </w:r>
      <w:r>
        <w:rPr>
          <w:rFonts w:eastAsiaTheme="minorHAnsi"/>
        </w:rPr>
        <w:fldChar w:fldCharType="end"/>
      </w:r>
      <w:r>
        <w:rPr>
          <w:rFonts w:eastAsiaTheme="minorHAnsi"/>
        </w:rPr>
        <w:t xml:space="preserve">. </w:t>
      </w:r>
    </w:p>
    <w:p w:rsidR="007A09DB" w:rsidRDefault="007A09DB" w:rsidP="00453C73">
      <w:pPr>
        <w:rPr>
          <w:rFonts w:eastAsiaTheme="minorHAnsi"/>
        </w:rPr>
      </w:pPr>
      <w:r>
        <w:rPr>
          <w:rFonts w:eastAsiaTheme="minorHAnsi"/>
        </w:rPr>
        <w:t>The Royal Commission released its final report in March 2016, and made 227 recommendations to transform the way family violence is addressed in Victoria. The Government is committed to implementing every one of these recommendations, and will deliver a two</w:t>
      </w:r>
      <w:r>
        <w:rPr>
          <w:rFonts w:eastAsiaTheme="minorHAnsi"/>
        </w:rPr>
        <w:noBreakHyphen/>
        <w:t>stage family violence package.</w:t>
      </w:r>
    </w:p>
    <w:p w:rsidR="007A09DB" w:rsidRDefault="007A09DB" w:rsidP="00453C73">
      <w:pPr>
        <w:rPr>
          <w:rFonts w:eastAsiaTheme="minorHAnsi"/>
        </w:rPr>
      </w:pPr>
      <w:r>
        <w:rPr>
          <w:rFonts w:eastAsiaTheme="minorHAnsi"/>
        </w:rPr>
        <w:t>As part of the first stage, the Government will immediately inject a funding boost of $572 million over three years to implement some of the recommendations, including key programs and support services facing urgent demand.</w:t>
      </w:r>
    </w:p>
    <w:p w:rsidR="007A09DB" w:rsidRDefault="007A09DB" w:rsidP="00453C73">
      <w:pPr>
        <w:rPr>
          <w:rFonts w:eastAsiaTheme="minorHAnsi"/>
        </w:rPr>
      </w:pPr>
      <w:r>
        <w:rPr>
          <w:rFonts w:eastAsiaTheme="minorHAnsi"/>
        </w:rPr>
        <w:t>This includes $152 million over three years for a Family Violence Housing Blitz to</w:t>
      </w:r>
      <w:r w:rsidRPr="005B5266">
        <w:t xml:space="preserve"> </w:t>
      </w:r>
      <w:r>
        <w:rPr>
          <w:rFonts w:eastAsiaTheme="minorHAnsi"/>
        </w:rPr>
        <w:t>keep families safe. This will deliver up to 18</w:t>
      </w:r>
      <w:r w:rsidRPr="005B5266">
        <w:rPr>
          <w:rFonts w:eastAsiaTheme="minorHAnsi"/>
        </w:rPr>
        <w:t>0 new units of crisis accommodation and 40 upgrades of existing crisis accommodation</w:t>
      </w:r>
      <w:r>
        <w:rPr>
          <w:rFonts w:eastAsiaTheme="minorHAnsi"/>
        </w:rPr>
        <w:t xml:space="preserve"> services. It includes</w:t>
      </w:r>
      <w:r w:rsidRPr="00E86C0C">
        <w:rPr>
          <w:rFonts w:eastAsiaTheme="minorHAnsi"/>
        </w:rPr>
        <w:t xml:space="preserve"> </w:t>
      </w:r>
      <w:r>
        <w:rPr>
          <w:rFonts w:eastAsiaTheme="minorHAnsi"/>
        </w:rPr>
        <w:t>$56 million to help family violence victims live in homes that are safe, giving them the support and resources they need.</w:t>
      </w:r>
    </w:p>
    <w:p w:rsidR="007A09DB" w:rsidRDefault="007A09DB" w:rsidP="00453C73">
      <w:pPr>
        <w:rPr>
          <w:rFonts w:eastAsiaTheme="minorHAnsi"/>
        </w:rPr>
      </w:pPr>
      <w:r>
        <w:rPr>
          <w:rFonts w:eastAsiaTheme="minorHAnsi"/>
        </w:rPr>
        <w:t>Family violence victims will receive greater support with an immediate injection of $104 million for counselling and case management services to help victims receive the support they need. To keep children safe from harm, $122 million will be provided to provide intensive support for children in their own home.</w:t>
      </w:r>
    </w:p>
    <w:p w:rsidR="007A09DB" w:rsidRPr="00993161" w:rsidRDefault="007A09DB" w:rsidP="009F372A">
      <w:pPr>
        <w:rPr>
          <w:rFonts w:eastAsiaTheme="minorHAnsi"/>
        </w:rPr>
      </w:pPr>
      <w:r>
        <w:rPr>
          <w:rFonts w:eastAsiaTheme="minorHAnsi"/>
        </w:rPr>
        <w:t>A broader reform package will be released in late 2016. This will include major investment to create a world</w:t>
      </w:r>
      <w:r>
        <w:rPr>
          <w:rFonts w:eastAsiaTheme="minorHAnsi"/>
        </w:rPr>
        <w:noBreakHyphen/>
        <w:t>class system centred around features such as the 17 state wide Support and Safety Hubs and flexible packages that will be co</w:t>
      </w:r>
      <w:r>
        <w:rPr>
          <w:rFonts w:eastAsiaTheme="minorHAnsi"/>
        </w:rPr>
        <w:noBreakHyphen/>
        <w:t>designed with victims, stakeholders and service providers.</w:t>
      </w:r>
      <w:bookmarkEnd w:id="21"/>
      <w:r w:rsidR="0078635B">
        <w:rPr>
          <w:rFonts w:eastAsiaTheme="minorHAnsi"/>
        </w:rPr>
        <w:fldChar w:fldCharType="begin"/>
      </w:r>
      <w:r w:rsidR="0078635B">
        <w:instrText xml:space="preserve"> XE "</w:instrText>
      </w:r>
      <w:r w:rsidR="0078635B" w:rsidRPr="002A1C08">
        <w:rPr>
          <w:rFonts w:eastAsiaTheme="minorHAnsi"/>
        </w:rPr>
        <w:instrText>Family Violence</w:instrText>
      </w:r>
      <w:r w:rsidR="0078635B">
        <w:instrText xml:space="preserve">" \r "BP2FamV1" </w:instrText>
      </w:r>
      <w:r w:rsidR="0078635B">
        <w:rPr>
          <w:rFonts w:eastAsiaTheme="minorHAnsi"/>
        </w:rPr>
        <w:fldChar w:fldCharType="end"/>
      </w:r>
    </w:p>
    <w:p w:rsidR="007A09DB" w:rsidRDefault="007A09DB" w:rsidP="008027D7">
      <w:pPr>
        <w:pStyle w:val="Heading1"/>
        <w:rPr>
          <w:rFonts w:eastAsiaTheme="minorHAnsi"/>
        </w:rPr>
      </w:pPr>
      <w:bookmarkStart w:id="22" w:name="_Toc449123052"/>
      <w:r>
        <w:rPr>
          <w:rFonts w:eastAsiaTheme="minorHAnsi"/>
        </w:rPr>
        <w:lastRenderedPageBreak/>
        <w:t>Providing the services that people need</w:t>
      </w:r>
      <w:bookmarkEnd w:id="22"/>
      <w:r>
        <w:rPr>
          <w:rFonts w:eastAsiaTheme="minorHAnsi"/>
        </w:rPr>
        <w:t xml:space="preserve"> </w:t>
      </w:r>
    </w:p>
    <w:p w:rsidR="007A09DB" w:rsidRDefault="007A09DB" w:rsidP="00DC0618">
      <w:pPr>
        <w:pStyle w:val="Heading2"/>
        <w:rPr>
          <w:rFonts w:eastAsiaTheme="minorHAnsi"/>
        </w:rPr>
      </w:pPr>
      <w:r>
        <w:rPr>
          <w:rFonts w:eastAsiaTheme="minorHAnsi"/>
        </w:rPr>
        <w:t>Health</w:t>
      </w:r>
    </w:p>
    <w:p w:rsidR="007A09DB" w:rsidRDefault="007A09DB" w:rsidP="00EB595C">
      <w:pPr>
        <w:rPr>
          <w:rFonts w:eastAsiaTheme="minorHAnsi"/>
        </w:rPr>
      </w:pPr>
      <w:r>
        <w:rPr>
          <w:rFonts w:eastAsiaTheme="minorHAnsi"/>
        </w:rPr>
        <w:t>Victoria’s growing population</w:t>
      </w:r>
      <w:r>
        <w:rPr>
          <w:rFonts w:eastAsiaTheme="minorHAnsi"/>
        </w:rPr>
        <w:fldChar w:fldCharType="begin"/>
      </w:r>
      <w:r>
        <w:instrText xml:space="preserve"> XE "</w:instrText>
      </w:r>
      <w:r w:rsidRPr="00474263">
        <w:rPr>
          <w:rFonts w:eastAsiaTheme="minorHAnsi"/>
        </w:rPr>
        <w:instrText>Population</w:instrText>
      </w:r>
      <w:r w:rsidR="00C1395D">
        <w:rPr>
          <w:rFonts w:eastAsiaTheme="minorHAnsi"/>
        </w:rPr>
        <w:instrText>:Growth</w:instrText>
      </w:r>
      <w:r>
        <w:instrText xml:space="preserve">" </w:instrText>
      </w:r>
      <w:r>
        <w:rPr>
          <w:rFonts w:eastAsiaTheme="minorHAnsi"/>
        </w:rPr>
        <w:fldChar w:fldCharType="end"/>
      </w:r>
      <w:r>
        <w:rPr>
          <w:rFonts w:eastAsiaTheme="minorHAnsi"/>
        </w:rPr>
        <w:t xml:space="preserve"> needs a stronger 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Pr>
          <w:rFonts w:eastAsiaTheme="minorHAnsi"/>
        </w:rPr>
        <w:t xml:space="preserve"> system that is able to meet people’s needs. Access to reliable and efficient 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Pr>
          <w:rFonts w:eastAsiaTheme="minorHAnsi"/>
        </w:rPr>
        <w:t xml:space="preserve"> will ensure that Victorians continue to enjoy a high quality of life. Following on from the Government’s first budget, this budget invests $2.9 billion in health, including $335 million to tackle elective surgery waiting lists. </w:t>
      </w:r>
    </w:p>
    <w:p w:rsidR="007A09DB" w:rsidRDefault="007A09DB" w:rsidP="00EB595C">
      <w:pPr>
        <w:rPr>
          <w:rFonts w:eastAsiaTheme="minorHAnsi"/>
        </w:rPr>
      </w:pPr>
      <w:r>
        <w:rPr>
          <w:rFonts w:eastAsiaTheme="minorHAnsi"/>
        </w:rPr>
        <w:t>Over $980 million will be invested in new and upgraded health facilities and associated infrastructure as well as vital health equipment to increase the capacity of our hospitals</w:t>
      </w:r>
      <w:r>
        <w:rPr>
          <w:rFonts w:eastAsiaTheme="minorHAnsi"/>
        </w:rPr>
        <w:fldChar w:fldCharType="begin"/>
      </w:r>
      <w:r>
        <w:instrText xml:space="preserve"> XE "</w:instrText>
      </w:r>
      <w:r w:rsidRPr="00682EE3">
        <w:instrText>Health:Hospitals</w:instrText>
      </w:r>
      <w:r>
        <w:instrText xml:space="preserve">" </w:instrText>
      </w:r>
      <w:r>
        <w:rPr>
          <w:rFonts w:eastAsiaTheme="minorHAnsi"/>
        </w:rPr>
        <w:fldChar w:fldCharType="end"/>
      </w:r>
      <w:r>
        <w:rPr>
          <w:rFonts w:eastAsiaTheme="minorHAnsi"/>
        </w:rPr>
        <w:t xml:space="preserve"> and health networks and strengthening mental health facilities.</w:t>
      </w:r>
    </w:p>
    <w:p w:rsidR="007A09DB" w:rsidRDefault="007A09DB" w:rsidP="00EB595C">
      <w:pPr>
        <w:rPr>
          <w:rFonts w:eastAsiaTheme="minorHAnsi"/>
        </w:rPr>
      </w:pPr>
      <w:r>
        <w:rPr>
          <w:rFonts w:eastAsiaTheme="minorHAnsi"/>
        </w:rPr>
        <w:t>Work will begin on Australia’s first specialist stand–alone heart hospital, with $135 million for the Victorian Heart Hospital</w:t>
      </w:r>
      <w:r w:rsidR="0078635B">
        <w:rPr>
          <w:rFonts w:eastAsiaTheme="minorHAnsi"/>
        </w:rPr>
        <w:fldChar w:fldCharType="begin"/>
      </w:r>
      <w:r w:rsidR="0078635B">
        <w:instrText xml:space="preserve"> XE "</w:instrText>
      </w:r>
      <w:r w:rsidR="0078635B" w:rsidRPr="008229FF">
        <w:rPr>
          <w:rFonts w:eastAsiaTheme="minorHAnsi"/>
        </w:rPr>
        <w:instrText>Victorian Heart Hospital</w:instrText>
      </w:r>
      <w:r w:rsidR="0078635B">
        <w:instrText xml:space="preserve">" </w:instrText>
      </w:r>
      <w:r w:rsidR="0078635B">
        <w:rPr>
          <w:rFonts w:eastAsiaTheme="minorHAnsi"/>
        </w:rPr>
        <w:fldChar w:fldCharType="end"/>
      </w:r>
      <w:r>
        <w:rPr>
          <w:rFonts w:eastAsiaTheme="minorHAnsi"/>
        </w:rPr>
        <w:t xml:space="preserve"> at Monash University in Clayton. In addition:</w:t>
      </w:r>
    </w:p>
    <w:p w:rsidR="007A09DB" w:rsidRDefault="007A09DB" w:rsidP="00993161">
      <w:pPr>
        <w:pStyle w:val="BulletText"/>
        <w:rPr>
          <w:rFonts w:eastAsiaTheme="minorHAnsi"/>
        </w:rPr>
      </w:pPr>
      <w:r>
        <w:rPr>
          <w:rFonts w:eastAsiaTheme="minorHAnsi"/>
        </w:rPr>
        <w:t>$169 million to redevelop the Goulburn Valley Health Shepparton campus including new wards and the expansion of the emergency department;</w:t>
      </w:r>
    </w:p>
    <w:p w:rsidR="007A09DB" w:rsidRDefault="007A09DB" w:rsidP="0046240E">
      <w:pPr>
        <w:pStyle w:val="BulletText"/>
        <w:rPr>
          <w:rFonts w:eastAsiaTheme="minorHAnsi"/>
        </w:rPr>
      </w:pPr>
      <w:r w:rsidRPr="0046240E">
        <w:rPr>
          <w:rFonts w:eastAsiaTheme="minorHAnsi"/>
        </w:rPr>
        <w:t>$61</w:t>
      </w:r>
      <w:r>
        <w:rPr>
          <w:rFonts w:eastAsiaTheme="minorHAnsi"/>
        </w:rPr>
        <w:t> million</w:t>
      </w:r>
      <w:r w:rsidRPr="0046240E">
        <w:rPr>
          <w:rFonts w:eastAsiaTheme="minorHAnsi"/>
        </w:rPr>
        <w:t xml:space="preserve"> will be spent on major infrastructure works at the Footscray and Sunshine hospital sites</w:t>
      </w:r>
      <w:r>
        <w:rPr>
          <w:rFonts w:eastAsiaTheme="minorHAnsi"/>
        </w:rPr>
        <w:t>;</w:t>
      </w:r>
    </w:p>
    <w:p w:rsidR="007A09DB" w:rsidRDefault="007A09DB" w:rsidP="004A04DF">
      <w:pPr>
        <w:pStyle w:val="BulletText"/>
        <w:rPr>
          <w:rFonts w:eastAsiaTheme="minorHAnsi"/>
        </w:rPr>
      </w:pPr>
      <w:r w:rsidRPr="004A04DF">
        <w:rPr>
          <w:rFonts w:eastAsiaTheme="minorHAnsi"/>
        </w:rPr>
        <w:t>$60</w:t>
      </w:r>
      <w:r>
        <w:rPr>
          <w:rFonts w:eastAsiaTheme="minorHAnsi"/>
        </w:rPr>
        <w:t> million</w:t>
      </w:r>
      <w:r w:rsidRPr="004A04DF">
        <w:rPr>
          <w:rFonts w:eastAsiaTheme="minorHAnsi"/>
        </w:rPr>
        <w:t xml:space="preserve"> for aged care including maintaining capacity and providing access to residential aged care services to meet demand; </w:t>
      </w:r>
    </w:p>
    <w:p w:rsidR="007A09DB" w:rsidRDefault="007A09DB" w:rsidP="004A04DF">
      <w:pPr>
        <w:pStyle w:val="BulletText"/>
        <w:rPr>
          <w:rFonts w:eastAsiaTheme="minorHAnsi"/>
        </w:rPr>
      </w:pPr>
      <w:r>
        <w:rPr>
          <w:rFonts w:eastAsiaTheme="minorHAnsi"/>
        </w:rPr>
        <w:t>$59 million is being contributed to the redevelopment of Orygen Youth Mental Health in Parkville, a major clinical and research facility for younger people across Victoria with serious mental illness;</w:t>
      </w:r>
    </w:p>
    <w:p w:rsidR="007A09DB" w:rsidRDefault="007A09DB" w:rsidP="0046240E">
      <w:pPr>
        <w:pStyle w:val="BulletText"/>
        <w:rPr>
          <w:rFonts w:eastAsiaTheme="minorHAnsi"/>
        </w:rPr>
      </w:pPr>
      <w:r>
        <w:rPr>
          <w:rFonts w:eastAsiaTheme="minorHAnsi"/>
        </w:rPr>
        <w:t>$41 million for works across the Austin Hospital campus in Heidelberg;</w:t>
      </w:r>
    </w:p>
    <w:p w:rsidR="007A09DB" w:rsidRDefault="007A09DB" w:rsidP="00993161">
      <w:pPr>
        <w:pStyle w:val="BulletText"/>
        <w:rPr>
          <w:rFonts w:eastAsiaTheme="minorHAnsi"/>
        </w:rPr>
      </w:pPr>
      <w:r>
        <w:rPr>
          <w:rFonts w:eastAsiaTheme="minorHAnsi"/>
        </w:rPr>
        <w:t>$17 million for a new day surgery centre in Broadmeadows, taking pressure off the Northern Hospital; and</w:t>
      </w:r>
    </w:p>
    <w:p w:rsidR="007A09DB" w:rsidRDefault="007A09DB" w:rsidP="0046240E">
      <w:pPr>
        <w:pStyle w:val="BulletText"/>
        <w:rPr>
          <w:rFonts w:eastAsiaTheme="minorHAnsi"/>
        </w:rPr>
      </w:pPr>
      <w:r>
        <w:rPr>
          <w:rFonts w:eastAsiaTheme="minorHAnsi"/>
        </w:rPr>
        <w:t xml:space="preserve">$10 million for a new Breast Cancer Centre </w:t>
      </w:r>
      <w:r w:rsidRPr="0046240E">
        <w:rPr>
          <w:rFonts w:eastAsiaTheme="minorHAnsi"/>
        </w:rPr>
        <w:t>at the Maroondah Hospital precinct</w:t>
      </w:r>
      <w:r>
        <w:rPr>
          <w:rFonts w:eastAsiaTheme="minorHAnsi"/>
        </w:rPr>
        <w:t>.</w:t>
      </w:r>
    </w:p>
    <w:p w:rsidR="007A09DB" w:rsidRDefault="007A09DB" w:rsidP="00B26B01">
      <w:pPr>
        <w:rPr>
          <w:rFonts w:eastAsiaTheme="minorHAnsi"/>
        </w:rPr>
      </w:pPr>
      <w:r>
        <w:rPr>
          <w:rFonts w:eastAsiaTheme="minorHAnsi"/>
        </w:rPr>
        <w:t>Funding of $247 million is provided for a range of mental health services</w:t>
      </w:r>
      <w:r>
        <w:rPr>
          <w:rFonts w:eastAsiaTheme="minorHAnsi"/>
        </w:rPr>
        <w:fldChar w:fldCharType="begin"/>
      </w:r>
      <w:r>
        <w:instrText xml:space="preserve"> XE "</w:instrText>
      </w:r>
      <w:r w:rsidR="0078635B">
        <w:instrText>Mental h</w:instrText>
      </w:r>
      <w:r w:rsidRPr="00175AF8">
        <w:rPr>
          <w:rFonts w:eastAsiaTheme="minorHAnsi"/>
        </w:rPr>
        <w:instrText>ealth</w:instrText>
      </w:r>
      <w:r w:rsidR="00F97CC3">
        <w:rPr>
          <w:rFonts w:eastAsiaTheme="minorHAnsi"/>
        </w:rPr>
        <w:instrText xml:space="preserve"> </w:instrText>
      </w:r>
      <w:r w:rsidR="00F97CC3" w:rsidRPr="00175AF8">
        <w:instrText>services</w:instrText>
      </w:r>
      <w:r>
        <w:instrText xml:space="preserve">" </w:instrText>
      </w:r>
      <w:r>
        <w:rPr>
          <w:rFonts w:eastAsiaTheme="minorHAnsi"/>
        </w:rPr>
        <w:fldChar w:fldCharType="end"/>
      </w:r>
      <w:r w:rsidR="0078635B">
        <w:rPr>
          <w:rFonts w:eastAsiaTheme="minorHAnsi"/>
        </w:rPr>
        <w:fldChar w:fldCharType="begin"/>
      </w:r>
      <w:r w:rsidR="0078635B">
        <w:instrText xml:space="preserve"> XE "H</w:instrText>
      </w:r>
      <w:r w:rsidR="0078635B" w:rsidRPr="00175AF8">
        <w:rPr>
          <w:rFonts w:eastAsiaTheme="minorHAnsi"/>
        </w:rPr>
        <w:instrText>ealth:</w:instrText>
      </w:r>
      <w:r w:rsidR="0078635B" w:rsidRPr="00175AF8">
        <w:instrText>Services</w:instrText>
      </w:r>
      <w:r w:rsidR="0078635B">
        <w:instrText xml:space="preserve">" </w:instrText>
      </w:r>
      <w:r w:rsidR="0078635B">
        <w:rPr>
          <w:rFonts w:eastAsiaTheme="minorHAnsi"/>
        </w:rPr>
        <w:fldChar w:fldCharType="end"/>
      </w:r>
      <w:r>
        <w:rPr>
          <w:rFonts w:eastAsiaTheme="minorHAnsi"/>
        </w:rPr>
        <w:t>, including $28 million for expanding suicide prevention initiatives to reach out to people who need support. Investment in these services ensures continued support for the ongoing mental health and wellbeing of vulnerable Victorians.</w:t>
      </w:r>
    </w:p>
    <w:p w:rsidR="007A09DB" w:rsidRPr="00B26B01" w:rsidRDefault="007A09DB" w:rsidP="00B26B01">
      <w:pPr>
        <w:rPr>
          <w:rFonts w:eastAsiaTheme="minorHAnsi"/>
        </w:rPr>
      </w:pPr>
      <w:r>
        <w:rPr>
          <w:rFonts w:eastAsiaTheme="minorHAnsi"/>
        </w:rPr>
        <w:t xml:space="preserve">The Government is also investing $143 million in ambulance services to expand and improve response times, expand services and support paramedics’ health and wellbeing. </w:t>
      </w:r>
    </w:p>
    <w:p w:rsidR="007A09DB" w:rsidRDefault="007A09DB" w:rsidP="00DC0618">
      <w:pPr>
        <w:pStyle w:val="Heading2"/>
        <w:rPr>
          <w:rFonts w:eastAsiaTheme="minorHAnsi"/>
        </w:rPr>
      </w:pPr>
      <w:bookmarkStart w:id="23" w:name="BP2EdSchool1"/>
      <w:r>
        <w:rPr>
          <w:rFonts w:eastAsiaTheme="minorHAnsi"/>
        </w:rPr>
        <w:t xml:space="preserve">Education </w:t>
      </w:r>
    </w:p>
    <w:p w:rsidR="007A09DB" w:rsidRPr="00085C19" w:rsidRDefault="007A09DB" w:rsidP="00A10410">
      <w:r w:rsidRPr="00085C19">
        <w:t xml:space="preserve">The </w:t>
      </w:r>
      <w:r w:rsidRPr="00085C19">
        <w:rPr>
          <w:i/>
        </w:rPr>
        <w:t>2016</w:t>
      </w:r>
      <w:r>
        <w:rPr>
          <w:i/>
        </w:rPr>
        <w:noBreakHyphen/>
      </w:r>
      <w:r w:rsidRPr="00085C19">
        <w:rPr>
          <w:i/>
        </w:rPr>
        <w:t>17 Budget</w:t>
      </w:r>
      <w:r w:rsidRPr="00085C19">
        <w:t xml:space="preserve"> continues Victoria</w:t>
      </w:r>
      <w:r>
        <w:t>’</w:t>
      </w:r>
      <w:r w:rsidRPr="00085C19">
        <w:t>s Education State transformation with a $</w:t>
      </w:r>
      <w:r>
        <w:t>924 million</w:t>
      </w:r>
      <w:r w:rsidRPr="00085C19">
        <w:t xml:space="preserve"> investment in school infrastructure. </w:t>
      </w:r>
    </w:p>
    <w:p w:rsidR="007A09DB" w:rsidRDefault="007A09DB" w:rsidP="00A10410">
      <w:r w:rsidRPr="00085C19">
        <w:t>Victorian schools</w:t>
      </w:r>
      <w:r>
        <w:fldChar w:fldCharType="begin"/>
      </w:r>
      <w:r>
        <w:instrText xml:space="preserve"> XE "</w:instrText>
      </w:r>
      <w:r w:rsidRPr="00593B40">
        <w:instrText>Schools</w:instrText>
      </w:r>
      <w:r>
        <w:instrText xml:space="preserve">" </w:instrText>
      </w:r>
      <w:r>
        <w:fldChar w:fldCharType="end"/>
      </w:r>
      <w:r w:rsidRPr="00085C19">
        <w:t xml:space="preserve"> </w:t>
      </w:r>
      <w:r>
        <w:t xml:space="preserve">across the state </w:t>
      </w:r>
      <w:r w:rsidRPr="00085C19">
        <w:t xml:space="preserve">will be </w:t>
      </w:r>
      <w:r>
        <w:t>renovated, rebuilt and</w:t>
      </w:r>
      <w:r w:rsidRPr="00085C19">
        <w:t xml:space="preserve"> maintained under an extensive and revitalised school building program</w:t>
      </w:r>
      <w:r>
        <w:t xml:space="preserve">. </w:t>
      </w:r>
      <w:r w:rsidRPr="00085C19">
        <w:t xml:space="preserve">To meet growing </w:t>
      </w:r>
      <w:r w:rsidRPr="00085C19">
        <w:lastRenderedPageBreak/>
        <w:t xml:space="preserve">demand, new schools will be built around Victoria, </w:t>
      </w:r>
      <w:r>
        <w:t>and</w:t>
      </w:r>
      <w:r w:rsidRPr="00085C19">
        <w:t xml:space="preserve"> growing schools provided with new relocatable classrooms.</w:t>
      </w:r>
    </w:p>
    <w:p w:rsidR="007A09DB" w:rsidRDefault="007A09DB" w:rsidP="00A10410">
      <w:r>
        <w:t>Initiatives include:</w:t>
      </w:r>
    </w:p>
    <w:p w:rsidR="007A09DB" w:rsidRDefault="007A09DB" w:rsidP="00005B33">
      <w:pPr>
        <w:pStyle w:val="BulletText"/>
      </w:pPr>
      <w:r>
        <w:t xml:space="preserve">$287 million to fund land acquisition and construction for new schools; </w:t>
      </w:r>
    </w:p>
    <w:p w:rsidR="007A09DB" w:rsidRDefault="007A09DB" w:rsidP="00005B33">
      <w:pPr>
        <w:pStyle w:val="BulletText"/>
      </w:pPr>
      <w:r>
        <w:t>$385 million for upgrades to schools in poor condition or with poor functionality; and</w:t>
      </w:r>
    </w:p>
    <w:p w:rsidR="007A09DB" w:rsidRDefault="007A09DB" w:rsidP="00005B33">
      <w:pPr>
        <w:pStyle w:val="BulletText"/>
      </w:pPr>
      <w:r>
        <w:t>$64 million for relocatable classrooms to alleviate immediate pressure in overcrowded schools.</w:t>
      </w:r>
    </w:p>
    <w:p w:rsidR="007A09DB" w:rsidRDefault="007A09DB" w:rsidP="00005B33">
      <w:pPr>
        <w:pStyle w:val="BulletText"/>
        <w:numPr>
          <w:ilvl w:val="0"/>
          <w:numId w:val="0"/>
        </w:numPr>
      </w:pPr>
      <w:r>
        <w:t>The Government is also investing $92 million for the establishment of Tech Schools</w:t>
      </w:r>
      <w:r>
        <w:fldChar w:fldCharType="begin"/>
      </w:r>
      <w:r>
        <w:instrText xml:space="preserve"> XE "</w:instrText>
      </w:r>
      <w:r w:rsidRPr="00E324CB">
        <w:instrText>Tech Schools</w:instrText>
      </w:r>
      <w:r>
        <w:instrText xml:space="preserve">" </w:instrText>
      </w:r>
      <w:r>
        <w:fldChar w:fldCharType="end"/>
      </w:r>
      <w:r>
        <w:t xml:space="preserve"> across the State. Up to 100 secondary schools in disadvantaged areas across Victoria will receive</w:t>
      </w:r>
      <w:r w:rsidRPr="00790525">
        <w:t xml:space="preserve"> </w:t>
      </w:r>
      <w:r>
        <w:t>$18 million for purpose</w:t>
      </w:r>
      <w:r>
        <w:noBreakHyphen/>
        <w:t>built consultation rooms to deliver general practitioner doctor services. Teachers will also be supported with $76 million for notebook computers to support planning, assessment and reporting.</w:t>
      </w:r>
    </w:p>
    <w:p w:rsidR="007A09DB" w:rsidRDefault="007A09DB" w:rsidP="00005B33">
      <w:r>
        <w:t xml:space="preserve">The </w:t>
      </w:r>
      <w:r w:rsidRPr="00CF75B8">
        <w:rPr>
          <w:i/>
        </w:rPr>
        <w:t>2016</w:t>
      </w:r>
      <w:r>
        <w:rPr>
          <w:i/>
        </w:rPr>
        <w:noBreakHyphen/>
      </w:r>
      <w:r w:rsidRPr="00CF75B8">
        <w:rPr>
          <w:i/>
        </w:rPr>
        <w:t>17 Budget</w:t>
      </w:r>
      <w:r>
        <w:t xml:space="preserve"> invests $151 million in early childhood</w:t>
      </w:r>
      <w:r>
        <w:fldChar w:fldCharType="begin"/>
      </w:r>
      <w:r>
        <w:instrText xml:space="preserve"> XE "</w:instrText>
      </w:r>
      <w:r w:rsidRPr="003A2C09">
        <w:instrText>Early childhood:Education</w:instrText>
      </w:r>
      <w:r>
        <w:instrText xml:space="preserve">" </w:instrText>
      </w:r>
      <w:r>
        <w:fldChar w:fldCharType="end"/>
      </w:r>
      <w:r>
        <w:t xml:space="preserve"> development, including $133 million for Maternal and Child Health services and $10 million to construct new early learning facilities in growth areas.</w:t>
      </w:r>
    </w:p>
    <w:p w:rsidR="007A09DB" w:rsidRPr="005B4244" w:rsidRDefault="007A09DB" w:rsidP="00005B33">
      <w:r>
        <w:t>Continuing the Government’s focus on a strong and responsive training</w:t>
      </w:r>
      <w:r>
        <w:fldChar w:fldCharType="begin"/>
      </w:r>
      <w:r>
        <w:instrText xml:space="preserve"> XE "</w:instrText>
      </w:r>
      <w:r w:rsidRPr="00CA33C7">
        <w:rPr>
          <w:rFonts w:eastAsiaTheme="minorHAnsi"/>
        </w:rPr>
        <w:instrText>Training</w:instrText>
      </w:r>
      <w:r>
        <w:instrText xml:space="preserve">" </w:instrText>
      </w:r>
      <w:r>
        <w:fldChar w:fldCharType="end"/>
      </w:r>
      <w:r>
        <w:t xml:space="preserve"> system, the </w:t>
      </w:r>
      <w:r>
        <w:rPr>
          <w:i/>
        </w:rPr>
        <w:t>2016</w:t>
      </w:r>
      <w:r>
        <w:rPr>
          <w:i/>
        </w:rPr>
        <w:noBreakHyphen/>
      </w:r>
      <w:r w:rsidRPr="006B38EB">
        <w:rPr>
          <w:i/>
        </w:rPr>
        <w:t>17 Budget</w:t>
      </w:r>
      <w:r>
        <w:t xml:space="preserve"> provides funding of $49 million to support higher education, training</w:t>
      </w:r>
      <w:r>
        <w:fldChar w:fldCharType="begin"/>
      </w:r>
      <w:r>
        <w:instrText xml:space="preserve"> XE "</w:instrText>
      </w:r>
      <w:r w:rsidRPr="00CA33C7">
        <w:rPr>
          <w:rFonts w:eastAsiaTheme="minorHAnsi"/>
        </w:rPr>
        <w:instrText>Training</w:instrText>
      </w:r>
      <w:r>
        <w:instrText xml:space="preserve">" </w:instrText>
      </w:r>
      <w:r>
        <w:fldChar w:fldCharType="end"/>
      </w:r>
      <w:r>
        <w:t xml:space="preserve"> and skills. </w:t>
      </w:r>
      <w:r w:rsidRPr="00346D6B">
        <w:t>Fundi</w:t>
      </w:r>
      <w:r>
        <w:t>ng of $21 million will support s</w:t>
      </w:r>
      <w:r w:rsidRPr="00346D6B">
        <w:t>enior secondary school students to continue practical vocational and trade based learning through structured workplace learning placements, and ongoing operation of Trade Training Centres in schools.</w:t>
      </w:r>
      <w:r>
        <w:fldChar w:fldCharType="begin"/>
      </w:r>
      <w:r>
        <w:instrText xml:space="preserve"> XE "</w:instrText>
      </w:r>
      <w:r w:rsidRPr="00453490">
        <w:rPr>
          <w:rFonts w:eastAsiaTheme="minorHAnsi"/>
        </w:rPr>
        <w:instrText>Education:</w:instrText>
      </w:r>
      <w:r w:rsidRPr="00453490">
        <w:instrText>Schools</w:instrText>
      </w:r>
      <w:r>
        <w:instrText xml:space="preserve">" \r "BP2EdSchool1" </w:instrText>
      </w:r>
      <w:r>
        <w:fldChar w:fldCharType="end"/>
      </w:r>
    </w:p>
    <w:bookmarkEnd w:id="23"/>
    <w:p w:rsidR="007A09DB" w:rsidRDefault="007A09DB" w:rsidP="00DC0618">
      <w:pPr>
        <w:pStyle w:val="Heading2"/>
        <w:rPr>
          <w:rFonts w:eastAsiaTheme="minorHAnsi"/>
        </w:rPr>
      </w:pPr>
      <w:r>
        <w:rPr>
          <w:rFonts w:eastAsiaTheme="minorHAnsi"/>
        </w:rPr>
        <w:t xml:space="preserve">Police </w:t>
      </w:r>
    </w:p>
    <w:p w:rsidR="007A09DB" w:rsidRPr="00BC166B" w:rsidRDefault="007A09DB" w:rsidP="00BC166B">
      <w:r>
        <w:t xml:space="preserve">The safety of all Victorians is paramount. </w:t>
      </w:r>
      <w:r w:rsidRPr="00BC166B">
        <w:t xml:space="preserve">Victoria Police will be strengthened, further enhancing the safety of Victorians. The </w:t>
      </w:r>
      <w:r w:rsidRPr="00BC166B">
        <w:rPr>
          <w:i/>
        </w:rPr>
        <w:t>201</w:t>
      </w:r>
      <w:r>
        <w:rPr>
          <w:i/>
        </w:rPr>
        <w:t>6</w:t>
      </w:r>
      <w:r>
        <w:rPr>
          <w:i/>
        </w:rPr>
        <w:noBreakHyphen/>
        <w:t>17</w:t>
      </w:r>
      <w:r w:rsidRPr="00BC166B">
        <w:rPr>
          <w:i/>
        </w:rPr>
        <w:t xml:space="preserve"> Budget</w:t>
      </w:r>
      <w:r w:rsidRPr="00BC166B">
        <w:t xml:space="preserve"> provides an additional </w:t>
      </w:r>
      <w:r>
        <w:t>$540 million</w:t>
      </w:r>
      <w:r w:rsidRPr="00BC166B">
        <w:t xml:space="preserve"> to boost police capacity, preventing crime and prosecuting perpetrators. </w:t>
      </w:r>
      <w:r>
        <w:t>This funding will add 406</w:t>
      </w:r>
      <w:r w:rsidRPr="00BC166B">
        <w:t xml:space="preserve"> sworn police officers and 5</w:t>
      </w:r>
      <w:r>
        <w:t>2</w:t>
      </w:r>
      <w:r w:rsidRPr="00BC166B">
        <w:t xml:space="preserve"> specialist staff to the force, as well as technology upgrades and expanded forensic capability. </w:t>
      </w:r>
      <w:r>
        <w:t>In addition, funding of $37 million is being provided to build seven new police stations in regional Victoria and upgrade a further 15 stations. These new stations and refurbishments will ensure regional police are working in modern facilities, to better support victims, hold perpetrators to account and assist officers in carrying out their critical work.</w:t>
      </w:r>
      <w:r w:rsidR="0078635B">
        <w:fldChar w:fldCharType="begin"/>
      </w:r>
      <w:r w:rsidR="0078635B">
        <w:instrText xml:space="preserve"> XE "</w:instrText>
      </w:r>
      <w:r w:rsidR="0078635B" w:rsidRPr="00EE79AF">
        <w:rPr>
          <w:rFonts w:eastAsiaTheme="minorHAnsi"/>
        </w:rPr>
        <w:instrText>Police</w:instrText>
      </w:r>
      <w:r w:rsidR="0078635B">
        <w:instrText xml:space="preserve">" </w:instrText>
      </w:r>
      <w:r w:rsidR="0078635B">
        <w:fldChar w:fldCharType="end"/>
      </w:r>
      <w:r>
        <w:t xml:space="preserve"> </w:t>
      </w:r>
    </w:p>
    <w:p w:rsidR="007A09DB" w:rsidRDefault="007A09DB" w:rsidP="00DC0618">
      <w:pPr>
        <w:pStyle w:val="Heading2"/>
        <w:rPr>
          <w:rFonts w:eastAsiaTheme="minorHAnsi"/>
        </w:rPr>
      </w:pPr>
      <w:r>
        <w:rPr>
          <w:rFonts w:eastAsiaTheme="minorHAnsi"/>
        </w:rPr>
        <w:t>Emergency services</w:t>
      </w:r>
    </w:p>
    <w:p w:rsidR="007A09DB" w:rsidRPr="00F40AA8" w:rsidRDefault="007A09DB" w:rsidP="00993161">
      <w:pPr>
        <w:rPr>
          <w:highlight w:val="yellow"/>
        </w:rPr>
      </w:pPr>
      <w:r w:rsidRPr="005B4244">
        <w:t xml:space="preserve">The Government continues to invest in the men and women </w:t>
      </w:r>
      <w:r>
        <w:t>who work in</w:t>
      </w:r>
      <w:r w:rsidRPr="005B4244">
        <w:t xml:space="preserve"> emergency services to provide them with the skills and resources they need to do their job. The </w:t>
      </w:r>
      <w:r w:rsidRPr="005B4244">
        <w:rPr>
          <w:i/>
        </w:rPr>
        <w:t>2016</w:t>
      </w:r>
      <w:r>
        <w:rPr>
          <w:i/>
        </w:rPr>
        <w:noBreakHyphen/>
      </w:r>
      <w:r w:rsidRPr="005B4244">
        <w:rPr>
          <w:i/>
        </w:rPr>
        <w:t xml:space="preserve">17 Budget </w:t>
      </w:r>
      <w:r>
        <w:t>provides</w:t>
      </w:r>
      <w:r w:rsidRPr="005B4244">
        <w:t xml:space="preserve"> </w:t>
      </w:r>
      <w:r w:rsidRPr="004C209B">
        <w:t>$</w:t>
      </w:r>
      <w:r>
        <w:t>228 million</w:t>
      </w:r>
      <w:r w:rsidRPr="005B4244">
        <w:t xml:space="preserve"> to support emergency services</w:t>
      </w:r>
      <w:r>
        <w:t>, including $81 million</w:t>
      </w:r>
      <w:r w:rsidRPr="004C209B">
        <w:t xml:space="preserve"> </w:t>
      </w:r>
      <w:r>
        <w:t>to audit and upgrade six training</w:t>
      </w:r>
      <w:r>
        <w:fldChar w:fldCharType="begin"/>
      </w:r>
      <w:r>
        <w:instrText xml:space="preserve"> XE "</w:instrText>
      </w:r>
      <w:r w:rsidRPr="00CA33C7">
        <w:rPr>
          <w:rFonts w:eastAsiaTheme="minorHAnsi"/>
        </w:rPr>
        <w:instrText>Training</w:instrText>
      </w:r>
      <w:r>
        <w:instrText xml:space="preserve">" </w:instrText>
      </w:r>
      <w:r>
        <w:fldChar w:fldCharType="end"/>
      </w:r>
      <w:r>
        <w:t xml:space="preserve"> facilities and decommission the site of the former Fiskville Training College.</w:t>
      </w:r>
      <w:r w:rsidRPr="00064DBA">
        <w:rPr>
          <w:rFonts w:eastAsiaTheme="minorHAnsi"/>
        </w:rPr>
        <w:t xml:space="preserve"> </w:t>
      </w:r>
      <w:r>
        <w:rPr>
          <w:rFonts w:eastAsiaTheme="minorHAnsi"/>
        </w:rPr>
        <w:fldChar w:fldCharType="begin"/>
      </w:r>
      <w:r>
        <w:instrText xml:space="preserve"> XE "</w:instrText>
      </w:r>
      <w:r w:rsidRPr="00486660">
        <w:rPr>
          <w:rFonts w:eastAsiaTheme="minorHAnsi"/>
        </w:rPr>
        <w:instrText>Emergency services</w:instrText>
      </w:r>
      <w:r>
        <w:instrText xml:space="preserve">" </w:instrText>
      </w:r>
      <w:r>
        <w:rPr>
          <w:rFonts w:eastAsiaTheme="minorHAnsi"/>
        </w:rPr>
        <w:fldChar w:fldCharType="end"/>
      </w:r>
    </w:p>
    <w:p w:rsidR="007A09DB" w:rsidRDefault="007A09DB">
      <w:pPr>
        <w:spacing w:after="0"/>
        <w:rPr>
          <w:rFonts w:ascii="Calibri" w:eastAsiaTheme="minorHAnsi" w:hAnsi="Calibri"/>
          <w:b/>
          <w:caps/>
          <w:sz w:val="26"/>
          <w:szCs w:val="22"/>
        </w:rPr>
      </w:pPr>
      <w:r>
        <w:rPr>
          <w:rFonts w:eastAsiaTheme="minorHAnsi"/>
        </w:rPr>
        <w:br w:type="page"/>
      </w:r>
    </w:p>
    <w:p w:rsidR="007A09DB" w:rsidRDefault="007A09DB" w:rsidP="008027D7">
      <w:pPr>
        <w:pStyle w:val="Heading1"/>
        <w:rPr>
          <w:rFonts w:eastAsiaTheme="minorHAnsi"/>
        </w:rPr>
      </w:pPr>
      <w:bookmarkStart w:id="24" w:name="_Toc449123053"/>
      <w:bookmarkStart w:id="25" w:name="BP2FinMgmt"/>
      <w:bookmarkStart w:id="26" w:name="BP2NetDebt1"/>
      <w:r>
        <w:rPr>
          <w:rFonts w:eastAsiaTheme="minorHAnsi"/>
        </w:rPr>
        <w:lastRenderedPageBreak/>
        <w:t>Responsible financial management</w:t>
      </w:r>
      <w:bookmarkEnd w:id="24"/>
    </w:p>
    <w:p w:rsidR="007A09DB" w:rsidRDefault="007A09DB" w:rsidP="00382443">
      <w:r>
        <w:t xml:space="preserve">The </w:t>
      </w:r>
      <w:r w:rsidRPr="003E6496">
        <w:rPr>
          <w:i/>
        </w:rPr>
        <w:t>201</w:t>
      </w:r>
      <w:r>
        <w:rPr>
          <w:i/>
        </w:rPr>
        <w:t>6</w:t>
      </w:r>
      <w:r>
        <w:rPr>
          <w:i/>
        </w:rPr>
        <w:noBreakHyphen/>
        <w:t>17</w:t>
      </w:r>
      <w:r w:rsidRPr="003E6496">
        <w:rPr>
          <w:i/>
        </w:rPr>
        <w:t xml:space="preserve"> Budget</w:t>
      </w:r>
      <w:r>
        <w:t xml:space="preserve"> invests in services and infrastructure for all Victorians while maintaining a responsible fiscal position.</w:t>
      </w:r>
      <w:r w:rsidRPr="00506808">
        <w:t xml:space="preserve"> </w:t>
      </w:r>
    </w:p>
    <w:p w:rsidR="007A09DB" w:rsidRDefault="007A09DB" w:rsidP="005D1496">
      <w:bookmarkStart w:id="27" w:name="BP2OpSur1"/>
      <w:r>
        <w:t>The general government sector operating surplus (net result from transactions) is estimated to be $2.9 billion in 2016</w:t>
      </w:r>
      <w:r>
        <w:noBreakHyphen/>
        <w:t>17</w:t>
      </w:r>
      <w:r w:rsidRPr="004513AF">
        <w:rPr>
          <w:rFonts w:eastAsiaTheme="minorHAnsi"/>
        </w:rPr>
        <w:t>, with strong operating surpluses averaging $</w:t>
      </w:r>
      <w:r>
        <w:rPr>
          <w:rFonts w:eastAsiaTheme="minorHAnsi"/>
        </w:rPr>
        <w:t>2.1 billion</w:t>
      </w:r>
      <w:r w:rsidRPr="004513AF">
        <w:rPr>
          <w:rFonts w:eastAsiaTheme="minorHAnsi"/>
        </w:rPr>
        <w:t xml:space="preserve"> across the forward estimates.</w:t>
      </w:r>
      <w:r>
        <w:rPr>
          <w:rFonts w:eastAsiaTheme="minorHAnsi"/>
        </w:rPr>
        <w:t xml:space="preserve"> </w:t>
      </w:r>
      <w:r w:rsidRPr="003807C6">
        <w:t>These surpluses reflect the Government</w:t>
      </w:r>
      <w:r>
        <w:t>’</w:t>
      </w:r>
      <w:r w:rsidRPr="003807C6">
        <w:t>s commitment to provide high quality services for all Victorians in a fiscally responsible manner</w:t>
      </w:r>
      <w:r>
        <w:t xml:space="preserve">. </w:t>
      </w:r>
      <w:r w:rsidRPr="003807C6">
        <w:t>Revenue g</w:t>
      </w:r>
      <w:r>
        <w:t>rowth is expected to average 3.4 per cent</w:t>
      </w:r>
      <w:r w:rsidRPr="003807C6">
        <w:t xml:space="preserve"> a year over the budget and forward estimates, exceeding average expense growth of 3.3</w:t>
      </w:r>
      <w:r>
        <w:t> per cent</w:t>
      </w:r>
      <w:r w:rsidRPr="003807C6">
        <w:t xml:space="preserve"> a year.</w:t>
      </w:r>
    </w:p>
    <w:p w:rsidR="007A09DB" w:rsidRDefault="007A09DB" w:rsidP="00C1582E">
      <w:r>
        <w:t xml:space="preserve">The </w:t>
      </w:r>
      <w:r>
        <w:rPr>
          <w:i/>
        </w:rPr>
        <w:t>2016</w:t>
      </w:r>
      <w:r>
        <w:rPr>
          <w:i/>
        </w:rPr>
        <w:noBreakHyphen/>
        <w:t>17</w:t>
      </w:r>
      <w:r w:rsidRPr="00782731">
        <w:rPr>
          <w:i/>
        </w:rPr>
        <w:t> Budget</w:t>
      </w:r>
      <w:r>
        <w:t xml:space="preserve"> funds $6.8 billion of new output initiatives and retains government infrastructure investment</w:t>
      </w:r>
      <w:r>
        <w:fldChar w:fldCharType="begin"/>
      </w:r>
      <w:r>
        <w:instrText xml:space="preserve"> XE "</w:instrText>
      </w:r>
      <w:r w:rsidRPr="00A643A4">
        <w:instrText>Infrastructure investment:Government infrastructure investment</w:instrText>
      </w:r>
      <w:r>
        <w:instrText xml:space="preserve">" </w:instrText>
      </w:r>
      <w:r>
        <w:fldChar w:fldCharType="end"/>
      </w:r>
      <w:r>
        <w:t xml:space="preserve"> at historically high levels. Estimated government infrastructure investment</w:t>
      </w:r>
      <w:r>
        <w:fldChar w:fldCharType="begin"/>
      </w:r>
      <w:r>
        <w:instrText xml:space="preserve"> XE "</w:instrText>
      </w:r>
      <w:r w:rsidRPr="00A643A4">
        <w:instrText>Infrastructure investment:Government infrastructure investment</w:instrText>
      </w:r>
      <w:r>
        <w:instrText xml:space="preserve">" </w:instrText>
      </w:r>
      <w:r>
        <w:fldChar w:fldCharType="end"/>
      </w:r>
      <w:r>
        <w:t xml:space="preserve"> over the budget and forward estimates averages $7.4 billion a year. The </w:t>
      </w:r>
      <w:r w:rsidRPr="00782731">
        <w:rPr>
          <w:i/>
        </w:rPr>
        <w:t>201</w:t>
      </w:r>
      <w:r>
        <w:rPr>
          <w:i/>
        </w:rPr>
        <w:t>6</w:t>
      </w:r>
      <w:r>
        <w:rPr>
          <w:i/>
        </w:rPr>
        <w:noBreakHyphen/>
        <w:t>17</w:t>
      </w:r>
      <w:r w:rsidRPr="00782731">
        <w:rPr>
          <w:i/>
        </w:rPr>
        <w:t> Budget</w:t>
      </w:r>
      <w:r>
        <w:t xml:space="preserve"> includes up to $12.4 billion total estimated investment in new asset initiatives that will improve the long</w:t>
      </w:r>
      <w:r>
        <w:noBreakHyphen/>
        <w:t>term productivity</w:t>
      </w:r>
      <w:r>
        <w:fldChar w:fldCharType="begin"/>
      </w:r>
      <w:r>
        <w:instrText xml:space="preserve"> XE "</w:instrText>
      </w:r>
      <w:r w:rsidRPr="001E4096">
        <w:rPr>
          <w:rFonts w:eastAsiaTheme="minorHAnsi"/>
        </w:rPr>
        <w:instrText>Productivity</w:instrText>
      </w:r>
      <w:r>
        <w:instrText xml:space="preserve">" </w:instrText>
      </w:r>
      <w:r>
        <w:fldChar w:fldCharType="end"/>
      </w:r>
      <w:r>
        <w:t xml:space="preserve"> and liveability of Melbourne and regional Victoria.</w:t>
      </w:r>
    </w:p>
    <w:p w:rsidR="007A09DB" w:rsidRPr="008166F7" w:rsidRDefault="007A09DB" w:rsidP="005D1496">
      <w:bookmarkStart w:id="28" w:name="BP2TripleA"/>
      <w:r>
        <w:t>The Government’s infrastructure investment program is fully funded and will ensure Victoria keeps pace with its rapidly growing population</w:t>
      </w:r>
      <w:r>
        <w:rPr>
          <w:rFonts w:eastAsiaTheme="minorHAnsi"/>
        </w:rPr>
        <w:fldChar w:fldCharType="begin"/>
      </w:r>
      <w:r>
        <w:instrText xml:space="preserve"> XE "</w:instrText>
      </w:r>
      <w:r w:rsidRPr="00474263">
        <w:rPr>
          <w:rFonts w:eastAsiaTheme="minorHAnsi"/>
        </w:rPr>
        <w:instrText>Population</w:instrText>
      </w:r>
      <w:r>
        <w:rPr>
          <w:rFonts w:eastAsiaTheme="minorHAnsi"/>
        </w:rPr>
        <w:instrText>:Growth</w:instrText>
      </w:r>
      <w:r>
        <w:instrText xml:space="preserve">" </w:instrText>
      </w:r>
      <w:r>
        <w:rPr>
          <w:rFonts w:eastAsiaTheme="minorHAnsi"/>
        </w:rPr>
        <w:fldChar w:fldCharType="end"/>
      </w:r>
      <w:r>
        <w:t>. Moreover, the Government’s commitment to maintaining service levels has been achieved while keeping net debt at sustainable levels. The Government remains committed to maintaining Victoria’s triple</w:t>
      </w:r>
      <w:r>
        <w:noBreakHyphen/>
        <w:t>A credit rating with net debt now projected to fall to 4.8 per cent of GSP</w:t>
      </w:r>
      <w:r>
        <w:fldChar w:fldCharType="begin"/>
      </w:r>
      <w:r>
        <w:instrText xml:space="preserve"> XE "Gross state product" </w:instrText>
      </w:r>
      <w:r>
        <w:fldChar w:fldCharType="end"/>
      </w:r>
      <w:r>
        <w:t xml:space="preserve"> by the end of the budget and forward estimates period.</w:t>
      </w:r>
    </w:p>
    <w:p w:rsidR="007A09DB" w:rsidRDefault="007A09DB" w:rsidP="00314DA6">
      <w:pPr>
        <w:pStyle w:val="Tableheading"/>
        <w:rPr>
          <w:rFonts w:ascii="Times New Roman" w:hAnsi="Times New Roman"/>
          <w:i/>
          <w:sz w:val="20"/>
          <w:lang w:eastAsia="en-AU"/>
        </w:rPr>
      </w:pPr>
      <w:r w:rsidRPr="004513AF">
        <w:rPr>
          <w:rFonts w:eastAsiaTheme="minorHAnsi"/>
        </w:rPr>
        <w:t xml:space="preserve">Table </w:t>
      </w:r>
      <w:r>
        <w:rPr>
          <w:rFonts w:eastAsiaTheme="minorHAnsi"/>
        </w:rPr>
        <w:t>1</w:t>
      </w:r>
      <w:r w:rsidRPr="004513AF">
        <w:rPr>
          <w:rFonts w:eastAsiaTheme="minorHAnsi"/>
        </w:rPr>
        <w:t>.</w:t>
      </w:r>
      <w:r>
        <w:rPr>
          <w:rFonts w:eastAsiaTheme="minorHAnsi"/>
        </w:rPr>
        <w:t>2</w:t>
      </w:r>
      <w:r w:rsidRPr="004513AF">
        <w:rPr>
          <w:rFonts w:eastAsiaTheme="minorHAnsi"/>
        </w:rPr>
        <w:t xml:space="preserve">: </w:t>
      </w:r>
      <w:r w:rsidRPr="004513AF">
        <w:rPr>
          <w:rFonts w:eastAsiaTheme="minorHAnsi"/>
        </w:rPr>
        <w:tab/>
        <w:t>General government fiscal aggregates</w:t>
      </w:r>
    </w:p>
    <w:tbl>
      <w:tblPr>
        <w:tblW w:w="7764" w:type="dxa"/>
        <w:tblInd w:w="45" w:type="dxa"/>
        <w:tblLayout w:type="fixed"/>
        <w:tblCellMar>
          <w:left w:w="45" w:type="dxa"/>
          <w:right w:w="45" w:type="dxa"/>
        </w:tblCellMar>
        <w:tblLook w:val="0000" w:firstRow="0" w:lastRow="0" w:firstColumn="0" w:lastColumn="0" w:noHBand="0" w:noVBand="0"/>
      </w:tblPr>
      <w:tblGrid>
        <w:gridCol w:w="2070"/>
        <w:gridCol w:w="720"/>
        <w:gridCol w:w="829"/>
        <w:gridCol w:w="829"/>
        <w:gridCol w:w="829"/>
        <w:gridCol w:w="829"/>
        <w:gridCol w:w="829"/>
        <w:gridCol w:w="829"/>
      </w:tblGrid>
      <w:tr w:rsidR="007A09DB" w:rsidRPr="00314DA6" w:rsidTr="00314DA6">
        <w:tc>
          <w:tcPr>
            <w:tcW w:w="2070" w:type="dxa"/>
            <w:shd w:val="solid" w:color="000000" w:fill="auto"/>
          </w:tcPr>
          <w:p w:rsidR="007A09DB" w:rsidRPr="00314DA6" w:rsidRDefault="007A09DB" w:rsidP="00314DA6">
            <w:pPr>
              <w:autoSpaceDE w:val="0"/>
              <w:autoSpaceDN w:val="0"/>
              <w:adjustRightInd w:val="0"/>
              <w:spacing w:after="0"/>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 xml:space="preserve"> </w:t>
            </w:r>
          </w:p>
        </w:tc>
        <w:tc>
          <w:tcPr>
            <w:tcW w:w="720" w:type="dxa"/>
            <w:shd w:val="solid" w:color="000000" w:fill="auto"/>
          </w:tcPr>
          <w:p w:rsidR="007A09DB" w:rsidRPr="00314DA6" w:rsidRDefault="007A09DB" w:rsidP="00314DA6">
            <w:pPr>
              <w:autoSpaceDE w:val="0"/>
              <w:autoSpaceDN w:val="0"/>
              <w:adjustRightInd w:val="0"/>
              <w:spacing w:after="0"/>
              <w:jc w:val="center"/>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Unit of</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2014</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15</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2015</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16</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2016</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17</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2017</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18</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2018</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19</w:t>
            </w:r>
          </w:p>
        </w:tc>
        <w:tc>
          <w:tcPr>
            <w:tcW w:w="829" w:type="dxa"/>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2019</w:t>
            </w:r>
            <w:r>
              <w:rPr>
                <w:rFonts w:ascii="Calibri" w:eastAsiaTheme="minorEastAsia" w:hAnsi="Calibri" w:cs="Calibri"/>
                <w:i/>
                <w:iCs/>
                <w:color w:val="FFFFFF"/>
                <w:sz w:val="17"/>
                <w:szCs w:val="19"/>
                <w:lang w:eastAsia="en-AU"/>
              </w:rPr>
              <w:noBreakHyphen/>
            </w:r>
            <w:r w:rsidRPr="00314DA6">
              <w:rPr>
                <w:rFonts w:ascii="Calibri" w:eastAsiaTheme="minorEastAsia" w:hAnsi="Calibri" w:cs="Calibri"/>
                <w:i/>
                <w:iCs/>
                <w:color w:val="FFFFFF"/>
                <w:sz w:val="17"/>
                <w:szCs w:val="19"/>
                <w:lang w:eastAsia="en-AU"/>
              </w:rPr>
              <w:t>20</w:t>
            </w:r>
          </w:p>
        </w:tc>
      </w:tr>
      <w:tr w:rsidR="007A09DB" w:rsidRPr="00314DA6" w:rsidTr="00314DA6">
        <w:tc>
          <w:tcPr>
            <w:tcW w:w="2070" w:type="dxa"/>
            <w:tcBorders>
              <w:bottom w:val="nil"/>
            </w:tcBorders>
            <w:shd w:val="solid" w:color="000000" w:fill="auto"/>
          </w:tcPr>
          <w:p w:rsidR="007A09DB" w:rsidRPr="00314DA6" w:rsidRDefault="007A09DB" w:rsidP="00314DA6">
            <w:pPr>
              <w:autoSpaceDE w:val="0"/>
              <w:autoSpaceDN w:val="0"/>
              <w:adjustRightInd w:val="0"/>
              <w:spacing w:after="0"/>
              <w:rPr>
                <w:rFonts w:ascii="Calibri" w:eastAsiaTheme="minorEastAsia" w:hAnsi="Calibri" w:cs="Calibri"/>
                <w:i/>
                <w:iCs/>
                <w:color w:val="FFFFFF"/>
                <w:sz w:val="17"/>
                <w:szCs w:val="19"/>
                <w:lang w:eastAsia="en-AU"/>
              </w:rPr>
            </w:pPr>
          </w:p>
        </w:tc>
        <w:tc>
          <w:tcPr>
            <w:tcW w:w="720" w:type="dxa"/>
            <w:tcBorders>
              <w:bottom w:val="nil"/>
            </w:tcBorders>
            <w:shd w:val="solid" w:color="000000" w:fill="auto"/>
          </w:tcPr>
          <w:p w:rsidR="007A09DB" w:rsidRPr="00314DA6" w:rsidRDefault="007A09DB" w:rsidP="00314DA6">
            <w:pPr>
              <w:autoSpaceDE w:val="0"/>
              <w:autoSpaceDN w:val="0"/>
              <w:adjustRightInd w:val="0"/>
              <w:spacing w:after="0"/>
              <w:jc w:val="center"/>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measure</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actual</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revised</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budget</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estimate</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estimate</w:t>
            </w:r>
          </w:p>
        </w:tc>
        <w:tc>
          <w:tcPr>
            <w:tcW w:w="829" w:type="dxa"/>
            <w:tcBorders>
              <w:bottom w:val="nil"/>
            </w:tcBorders>
            <w:shd w:val="solid" w:color="000000" w:fill="auto"/>
          </w:tcPr>
          <w:p w:rsidR="007A09DB" w:rsidRPr="00314DA6" w:rsidRDefault="007A09DB" w:rsidP="00314DA6">
            <w:pPr>
              <w:autoSpaceDE w:val="0"/>
              <w:autoSpaceDN w:val="0"/>
              <w:adjustRightInd w:val="0"/>
              <w:spacing w:after="0"/>
              <w:jc w:val="right"/>
              <w:rPr>
                <w:rFonts w:ascii="Calibri" w:eastAsiaTheme="minorEastAsia" w:hAnsi="Calibri" w:cs="Calibri"/>
                <w:i/>
                <w:iCs/>
                <w:color w:val="FFFFFF"/>
                <w:sz w:val="17"/>
                <w:szCs w:val="19"/>
                <w:lang w:eastAsia="en-AU"/>
              </w:rPr>
            </w:pPr>
            <w:r w:rsidRPr="00314DA6">
              <w:rPr>
                <w:rFonts w:ascii="Calibri" w:eastAsiaTheme="minorEastAsia" w:hAnsi="Calibri" w:cs="Calibri"/>
                <w:i/>
                <w:iCs/>
                <w:color w:val="FFFFFF"/>
                <w:sz w:val="17"/>
                <w:szCs w:val="19"/>
                <w:lang w:eastAsia="en-AU"/>
              </w:rPr>
              <w:t>estimate</w:t>
            </w:r>
          </w:p>
        </w:tc>
      </w:tr>
      <w:tr w:rsidR="007A09DB" w:rsidRPr="00314DA6" w:rsidTr="00314DA6">
        <w:tc>
          <w:tcPr>
            <w:tcW w:w="2070" w:type="dxa"/>
            <w:tcBorders>
              <w:bottom w:val="nil"/>
            </w:tcBorders>
            <w:shd w:val="clear" w:color="auto" w:fill="FFFFFF"/>
          </w:tcPr>
          <w:p w:rsidR="007A09DB" w:rsidRPr="00314DA6" w:rsidRDefault="007A09DB" w:rsidP="00314DA6">
            <w:pPr>
              <w:autoSpaceDE w:val="0"/>
              <w:autoSpaceDN w:val="0"/>
              <w:adjustRightInd w:val="0"/>
              <w:spacing w:after="0"/>
              <w:ind w:left="227" w:hanging="227"/>
              <w:rPr>
                <w:rFonts w:ascii="Calibri" w:eastAsiaTheme="minorEastAsia" w:hAnsi="Calibri" w:cs="Calibri"/>
                <w:color w:val="000000"/>
                <w:sz w:val="17"/>
                <w:szCs w:val="19"/>
                <w:lang w:eastAsia="en-AU"/>
              </w:rPr>
            </w:pPr>
            <w:r w:rsidRPr="00314DA6">
              <w:rPr>
                <w:rFonts w:ascii="Calibri" w:eastAsiaTheme="minorEastAsia" w:hAnsi="Calibri" w:cs="Calibri"/>
                <w:color w:val="000000"/>
                <w:sz w:val="17"/>
                <w:szCs w:val="19"/>
                <w:lang w:eastAsia="en-AU"/>
              </w:rPr>
              <w:t>Net result from transactions</w:t>
            </w:r>
          </w:p>
        </w:tc>
        <w:tc>
          <w:tcPr>
            <w:tcW w:w="720" w:type="dxa"/>
            <w:tcBorders>
              <w:bottom w:val="nil"/>
            </w:tcBorders>
            <w:shd w:val="clear" w:color="auto" w:fill="FFFFFF"/>
          </w:tcPr>
          <w:p w:rsidR="007A09DB" w:rsidRPr="00314DA6" w:rsidRDefault="007A09DB" w:rsidP="00314DA6">
            <w:pPr>
              <w:autoSpaceDE w:val="0"/>
              <w:autoSpaceDN w:val="0"/>
              <w:adjustRightInd w:val="0"/>
              <w:spacing w:after="0"/>
              <w:jc w:val="center"/>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w:t>
            </w:r>
            <w:r>
              <w:rPr>
                <w:rFonts w:ascii="Calibri" w:eastAsiaTheme="minorEastAsia" w:hAnsi="Calibri" w:cs="Calibri"/>
                <w:color w:val="000000"/>
                <w:sz w:val="17"/>
                <w:szCs w:val="19"/>
                <w:lang w:eastAsia="en-AU"/>
              </w:rPr>
              <w:t> billion</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1.2 </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1.9 </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2.9 </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1.8 </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2.1 </w:t>
            </w:r>
          </w:p>
        </w:tc>
        <w:tc>
          <w:tcPr>
            <w:tcW w:w="829" w:type="dxa"/>
            <w:tcBorders>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2.5 </w:t>
            </w:r>
          </w:p>
        </w:tc>
      </w:tr>
      <w:tr w:rsidR="007A09DB" w:rsidRPr="00314DA6" w:rsidTr="00314DA6">
        <w:tc>
          <w:tcPr>
            <w:tcW w:w="2070" w:type="dxa"/>
            <w:tcBorders>
              <w:top w:val="nil"/>
              <w:bottom w:val="nil"/>
            </w:tcBorders>
            <w:shd w:val="clear" w:color="auto" w:fill="FFFFFF"/>
          </w:tcPr>
          <w:p w:rsidR="007A09DB" w:rsidRPr="00314DA6" w:rsidRDefault="007A09DB" w:rsidP="00314DA6">
            <w:pPr>
              <w:autoSpaceDE w:val="0"/>
              <w:autoSpaceDN w:val="0"/>
              <w:adjustRightInd w:val="0"/>
              <w:spacing w:after="0"/>
              <w:ind w:left="227" w:hanging="227"/>
              <w:rPr>
                <w:rFonts w:ascii="Calibri" w:eastAsiaTheme="minorEastAsia" w:hAnsi="Calibri" w:cs="Calibri"/>
                <w:color w:val="000000"/>
                <w:sz w:val="17"/>
                <w:szCs w:val="19"/>
                <w:vertAlign w:val="superscript"/>
                <w:lang w:eastAsia="en-AU"/>
              </w:rPr>
            </w:pPr>
            <w:r w:rsidRPr="00314DA6">
              <w:rPr>
                <w:rFonts w:ascii="Calibri" w:eastAsiaTheme="minorEastAsia" w:hAnsi="Calibri" w:cs="Calibri"/>
                <w:color w:val="000000"/>
                <w:sz w:val="17"/>
                <w:szCs w:val="19"/>
                <w:lang w:eastAsia="en-AU"/>
              </w:rPr>
              <w:t xml:space="preserve">Government infrastructure investment </w:t>
            </w:r>
            <w:r w:rsidRPr="00314DA6">
              <w:rPr>
                <w:rFonts w:ascii="Calibri" w:eastAsiaTheme="minorEastAsia" w:hAnsi="Calibri" w:cs="Calibri"/>
                <w:color w:val="000000"/>
                <w:sz w:val="17"/>
                <w:szCs w:val="19"/>
                <w:vertAlign w:val="superscript"/>
                <w:lang w:eastAsia="en-AU"/>
              </w:rPr>
              <w:t>(a)(b)</w:t>
            </w:r>
          </w:p>
        </w:tc>
        <w:tc>
          <w:tcPr>
            <w:tcW w:w="720" w:type="dxa"/>
            <w:tcBorders>
              <w:top w:val="nil"/>
              <w:bottom w:val="nil"/>
            </w:tcBorders>
            <w:shd w:val="clear" w:color="auto" w:fill="FFFFFF"/>
          </w:tcPr>
          <w:p w:rsidR="007A09DB" w:rsidRPr="00314DA6" w:rsidRDefault="007A09DB" w:rsidP="00314DA6">
            <w:pPr>
              <w:autoSpaceDE w:val="0"/>
              <w:autoSpaceDN w:val="0"/>
              <w:adjustRightInd w:val="0"/>
              <w:spacing w:after="0"/>
              <w:jc w:val="center"/>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w:t>
            </w:r>
            <w:r>
              <w:rPr>
                <w:rFonts w:ascii="Calibri" w:eastAsiaTheme="minorEastAsia" w:hAnsi="Calibri" w:cs="Calibri"/>
                <w:color w:val="000000"/>
                <w:sz w:val="17"/>
                <w:szCs w:val="19"/>
                <w:lang w:eastAsia="en-AU"/>
              </w:rPr>
              <w:t> billion</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4.6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4.5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7.5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7.7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7.4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7.1 </w:t>
            </w:r>
          </w:p>
        </w:tc>
      </w:tr>
      <w:tr w:rsidR="007A09DB" w:rsidRPr="00314DA6" w:rsidTr="00314DA6">
        <w:tc>
          <w:tcPr>
            <w:tcW w:w="2070" w:type="dxa"/>
            <w:tcBorders>
              <w:top w:val="nil"/>
              <w:bottom w:val="nil"/>
            </w:tcBorders>
            <w:shd w:val="clear" w:color="auto" w:fill="FFFFFF"/>
          </w:tcPr>
          <w:p w:rsidR="007A09DB" w:rsidRPr="00314DA6" w:rsidRDefault="007A09DB" w:rsidP="0088152A">
            <w:pPr>
              <w:autoSpaceDE w:val="0"/>
              <w:autoSpaceDN w:val="0"/>
              <w:adjustRightInd w:val="0"/>
              <w:spacing w:after="0"/>
              <w:ind w:left="227" w:hanging="227"/>
              <w:rPr>
                <w:rFonts w:ascii="Calibri" w:eastAsiaTheme="minorEastAsia" w:hAnsi="Calibri" w:cs="Calibri"/>
                <w:color w:val="000000"/>
                <w:sz w:val="17"/>
                <w:szCs w:val="19"/>
                <w:lang w:eastAsia="en-AU"/>
              </w:rPr>
            </w:pPr>
            <w:r w:rsidRPr="00314DA6">
              <w:rPr>
                <w:rFonts w:ascii="Calibri" w:eastAsiaTheme="minorEastAsia" w:hAnsi="Calibri" w:cs="Calibri"/>
                <w:color w:val="000000"/>
                <w:sz w:val="17"/>
                <w:szCs w:val="19"/>
                <w:lang w:eastAsia="en-AU"/>
              </w:rPr>
              <w:t>Net debt</w:t>
            </w:r>
          </w:p>
        </w:tc>
        <w:tc>
          <w:tcPr>
            <w:tcW w:w="720" w:type="dxa"/>
            <w:tcBorders>
              <w:top w:val="nil"/>
              <w:bottom w:val="nil"/>
            </w:tcBorders>
            <w:shd w:val="clear" w:color="auto" w:fill="FFFFFF"/>
          </w:tcPr>
          <w:p w:rsidR="007A09DB" w:rsidRPr="00314DA6" w:rsidRDefault="007A09DB" w:rsidP="00314DA6">
            <w:pPr>
              <w:autoSpaceDE w:val="0"/>
              <w:autoSpaceDN w:val="0"/>
              <w:adjustRightInd w:val="0"/>
              <w:spacing w:after="0"/>
              <w:jc w:val="center"/>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w:t>
            </w:r>
            <w:r>
              <w:rPr>
                <w:rFonts w:ascii="Calibri" w:eastAsiaTheme="minorEastAsia" w:hAnsi="Calibri" w:cs="Calibri"/>
                <w:color w:val="000000"/>
                <w:sz w:val="17"/>
                <w:szCs w:val="19"/>
                <w:lang w:eastAsia="en-AU"/>
              </w:rPr>
              <w:t> billion</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22.3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22.5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18.6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20.9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22.3 </w:t>
            </w:r>
          </w:p>
        </w:tc>
        <w:tc>
          <w:tcPr>
            <w:tcW w:w="829" w:type="dxa"/>
            <w:tcBorders>
              <w:top w:val="nil"/>
              <w:bottom w:val="nil"/>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22.2 </w:t>
            </w:r>
          </w:p>
        </w:tc>
      </w:tr>
      <w:tr w:rsidR="007A09DB" w:rsidRPr="00314DA6" w:rsidTr="00314DA6">
        <w:tc>
          <w:tcPr>
            <w:tcW w:w="2070" w:type="dxa"/>
            <w:tcBorders>
              <w:top w:val="nil"/>
              <w:bottom w:val="single" w:sz="12" w:space="0" w:color="auto"/>
            </w:tcBorders>
            <w:shd w:val="clear" w:color="auto" w:fill="FFFFFF"/>
          </w:tcPr>
          <w:p w:rsidR="007A09DB" w:rsidRPr="00314DA6" w:rsidRDefault="007A09DB" w:rsidP="0088152A">
            <w:pPr>
              <w:autoSpaceDE w:val="0"/>
              <w:autoSpaceDN w:val="0"/>
              <w:adjustRightInd w:val="0"/>
              <w:spacing w:after="0"/>
              <w:ind w:left="227" w:hanging="227"/>
              <w:rPr>
                <w:rFonts w:ascii="Calibri" w:eastAsiaTheme="minorEastAsia" w:hAnsi="Calibri" w:cs="Calibri"/>
                <w:color w:val="000000"/>
                <w:sz w:val="17"/>
                <w:szCs w:val="19"/>
                <w:lang w:eastAsia="en-AU"/>
              </w:rPr>
            </w:pPr>
            <w:r w:rsidRPr="00314DA6">
              <w:rPr>
                <w:rFonts w:ascii="Calibri" w:eastAsiaTheme="minorEastAsia" w:hAnsi="Calibri" w:cs="Calibri"/>
                <w:color w:val="000000"/>
                <w:sz w:val="17"/>
                <w:szCs w:val="19"/>
                <w:lang w:eastAsia="en-AU"/>
              </w:rPr>
              <w:t>Net debt to GSP</w:t>
            </w:r>
          </w:p>
        </w:tc>
        <w:tc>
          <w:tcPr>
            <w:tcW w:w="720"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center"/>
              <w:rPr>
                <w:rFonts w:ascii="Calibri" w:eastAsiaTheme="minorEastAsia" w:hAnsi="Calibri" w:cs="Calibri"/>
                <w:color w:val="000000"/>
                <w:sz w:val="17"/>
                <w:szCs w:val="19"/>
                <w:lang w:eastAsia="en-AU"/>
              </w:rPr>
            </w:pPr>
            <w:r w:rsidRPr="00314DA6">
              <w:rPr>
                <w:rFonts w:ascii="Calibri" w:eastAsiaTheme="minorEastAsia" w:hAnsi="Calibri" w:cs="Calibri"/>
                <w:color w:val="000000"/>
                <w:sz w:val="17"/>
                <w:szCs w:val="19"/>
                <w:lang w:eastAsia="en-AU"/>
              </w:rPr>
              <w:t>per cent</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6.2 </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5.9 </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4.7 </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5.0 </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5.1 </w:t>
            </w:r>
          </w:p>
        </w:tc>
        <w:tc>
          <w:tcPr>
            <w:tcW w:w="829" w:type="dxa"/>
            <w:tcBorders>
              <w:top w:val="nil"/>
              <w:bottom w:val="single" w:sz="12" w:space="0" w:color="auto"/>
            </w:tcBorders>
            <w:shd w:val="clear" w:color="auto" w:fill="FFFFFF"/>
          </w:tcPr>
          <w:p w:rsidR="007A09DB" w:rsidRPr="00314DA6" w:rsidRDefault="007A09DB" w:rsidP="00314DA6">
            <w:pPr>
              <w:autoSpaceDE w:val="0"/>
              <w:autoSpaceDN w:val="0"/>
              <w:adjustRightInd w:val="0"/>
              <w:spacing w:after="0"/>
              <w:jc w:val="right"/>
              <w:rPr>
                <w:rFonts w:ascii="Calibri" w:eastAsiaTheme="minorEastAsia" w:hAnsi="Calibri" w:cs="Calibri"/>
                <w:color w:val="000000"/>
                <w:sz w:val="19"/>
                <w:szCs w:val="19"/>
                <w:lang w:eastAsia="en-AU"/>
              </w:rPr>
            </w:pPr>
            <w:r w:rsidRPr="00314DA6">
              <w:rPr>
                <w:rFonts w:ascii="Calibri" w:eastAsiaTheme="minorEastAsia" w:hAnsi="Calibri" w:cs="Calibri"/>
                <w:color w:val="000000"/>
                <w:sz w:val="17"/>
                <w:szCs w:val="19"/>
                <w:lang w:eastAsia="en-AU"/>
              </w:rPr>
              <w:t xml:space="preserve">4.8 </w:t>
            </w:r>
          </w:p>
        </w:tc>
      </w:tr>
    </w:tbl>
    <w:p w:rsidR="007A09DB" w:rsidRPr="004513AF" w:rsidRDefault="007A09DB" w:rsidP="00AD5335">
      <w:pPr>
        <w:pStyle w:val="Source"/>
        <w:rPr>
          <w:rFonts w:eastAsiaTheme="minorHAnsi"/>
        </w:rPr>
      </w:pPr>
      <w:r w:rsidRPr="004513AF">
        <w:rPr>
          <w:rFonts w:eastAsiaTheme="minorHAnsi"/>
        </w:rPr>
        <w:t>Source: Department of Treasury and Finance</w:t>
      </w:r>
    </w:p>
    <w:p w:rsidR="007A09DB" w:rsidRPr="004513AF" w:rsidRDefault="007A09DB" w:rsidP="00AD5335">
      <w:pPr>
        <w:pStyle w:val="Notes"/>
        <w:rPr>
          <w:rFonts w:eastAsiaTheme="minorHAnsi"/>
        </w:rPr>
      </w:pPr>
      <w:r w:rsidRPr="004513AF">
        <w:rPr>
          <w:rFonts w:eastAsiaTheme="minorHAnsi"/>
        </w:rPr>
        <w:t>Notes:</w:t>
      </w:r>
    </w:p>
    <w:p w:rsidR="007A09DB" w:rsidRPr="004513AF" w:rsidRDefault="007A09DB" w:rsidP="00AD5335">
      <w:pPr>
        <w:pStyle w:val="Notes"/>
        <w:rPr>
          <w:rFonts w:eastAsiaTheme="minorHAnsi"/>
        </w:rPr>
      </w:pPr>
      <w:r w:rsidRPr="004513AF">
        <w:rPr>
          <w:rFonts w:eastAsiaTheme="minorHAnsi"/>
        </w:rPr>
        <w:t>(a)</w:t>
      </w:r>
      <w:r w:rsidRPr="004513AF">
        <w:rPr>
          <w:rFonts w:eastAsiaTheme="minorHAnsi"/>
        </w:rPr>
        <w:tab/>
        <w:t>Includes general government net infrastructu</w:t>
      </w:r>
      <w:r>
        <w:rPr>
          <w:rFonts w:eastAsiaTheme="minorHAnsi"/>
        </w:rPr>
        <w:t>re investment and estimated cash</w:t>
      </w:r>
      <w:r w:rsidRPr="004513AF">
        <w:rPr>
          <w:rFonts w:eastAsiaTheme="minorHAnsi"/>
        </w:rPr>
        <w:t xml:space="preserve">flows for </w:t>
      </w:r>
      <w:r w:rsidRPr="00FF536B">
        <w:rPr>
          <w:rFonts w:eastAsiaTheme="minorHAnsi"/>
          <w:i w:val="0"/>
        </w:rPr>
        <w:t>Partnerships Victoria</w:t>
      </w:r>
      <w:r w:rsidRPr="004513AF">
        <w:rPr>
          <w:rFonts w:eastAsiaTheme="minorHAnsi"/>
        </w:rPr>
        <w:t xml:space="preserve"> projects.</w:t>
      </w:r>
    </w:p>
    <w:p w:rsidR="007A09DB" w:rsidRPr="004513AF" w:rsidRDefault="007A09DB" w:rsidP="00AD5335">
      <w:pPr>
        <w:pStyle w:val="Notes"/>
        <w:rPr>
          <w:rFonts w:eastAsiaTheme="minorHAnsi"/>
        </w:rPr>
      </w:pPr>
      <w:r w:rsidRPr="004513AF">
        <w:rPr>
          <w:rFonts w:eastAsiaTheme="minorHAnsi"/>
        </w:rPr>
        <w:t>(b)</w:t>
      </w:r>
      <w:r w:rsidRPr="004513AF">
        <w:rPr>
          <w:rFonts w:eastAsiaTheme="minorHAnsi"/>
        </w:rPr>
        <w:tab/>
        <w:t>Excludes the impact</w:t>
      </w:r>
      <w:r w:rsidR="00241F81">
        <w:rPr>
          <w:rFonts w:eastAsiaTheme="minorHAnsi"/>
        </w:rPr>
        <w:t xml:space="preserve"> </w:t>
      </w:r>
      <w:r w:rsidRPr="004513AF">
        <w:rPr>
          <w:rFonts w:eastAsiaTheme="minorHAnsi"/>
        </w:rPr>
        <w:t>of the medium</w:t>
      </w:r>
      <w:r>
        <w:rPr>
          <w:rFonts w:eastAsiaTheme="minorHAnsi"/>
        </w:rPr>
        <w:noBreakHyphen/>
      </w:r>
      <w:r w:rsidRPr="004513AF">
        <w:rPr>
          <w:rFonts w:eastAsiaTheme="minorHAnsi"/>
        </w:rPr>
        <w:t>term lease over the operations of the Port of Melbourne.</w:t>
      </w:r>
    </w:p>
    <w:p w:rsidR="007A09DB" w:rsidRDefault="007A09DB" w:rsidP="00AD5335">
      <w:pPr>
        <w:pStyle w:val="Source"/>
      </w:pPr>
    </w:p>
    <w:p w:rsidR="007A09DB" w:rsidRDefault="007A09DB">
      <w:pPr>
        <w:spacing w:after="0"/>
      </w:pPr>
      <w:r>
        <w:br w:type="page"/>
      </w:r>
    </w:p>
    <w:p w:rsidR="007A09DB" w:rsidRDefault="007A09DB" w:rsidP="00382443">
      <w:pPr>
        <w:rPr>
          <w:rFonts w:ascii="Calibri" w:hAnsi="Calibri"/>
          <w:b/>
        </w:rPr>
      </w:pPr>
      <w:r w:rsidRPr="00A178EE">
        <w:lastRenderedPageBreak/>
        <w:t xml:space="preserve">The </w:t>
      </w:r>
      <w:r w:rsidRPr="00B75255">
        <w:rPr>
          <w:i/>
        </w:rPr>
        <w:t>201</w:t>
      </w:r>
      <w:r>
        <w:rPr>
          <w:i/>
        </w:rPr>
        <w:t>6</w:t>
      </w:r>
      <w:r>
        <w:rPr>
          <w:i/>
        </w:rPr>
        <w:noBreakHyphen/>
        <w:t>17</w:t>
      </w:r>
      <w:r w:rsidRPr="00B75255">
        <w:rPr>
          <w:i/>
        </w:rPr>
        <w:t> Budget</w:t>
      </w:r>
      <w:r w:rsidRPr="00A178EE">
        <w:t xml:space="preserve"> reflects the Government</w:t>
      </w:r>
      <w:r>
        <w:t>’s long</w:t>
      </w:r>
      <w:r>
        <w:noBreakHyphen/>
      </w:r>
      <w:r w:rsidRPr="00A178EE">
        <w:t>term financial management objectives (</w:t>
      </w:r>
      <w:r>
        <w:t>Table 1.3</w:t>
      </w:r>
      <w:r w:rsidRPr="00A178EE">
        <w:t xml:space="preserve">). </w:t>
      </w:r>
    </w:p>
    <w:p w:rsidR="007A09DB" w:rsidRPr="00BF4F50" w:rsidRDefault="007A09DB" w:rsidP="00C41EB7">
      <w:pPr>
        <w:pStyle w:val="Tableheading"/>
      </w:pPr>
      <w:r>
        <w:t>Table 1.3</w:t>
      </w:r>
      <w:r w:rsidRPr="00A178EE">
        <w:t>:</w:t>
      </w:r>
      <w:r w:rsidRPr="00A178EE">
        <w:tab/>
        <w:t>Long</w:t>
      </w:r>
      <w:r>
        <w:noBreakHyphen/>
      </w:r>
      <w:r w:rsidRPr="00A178EE">
        <w:t>term financial management objectives</w:t>
      </w:r>
      <w:r w:rsidRPr="00BF4F50">
        <w:t xml:space="preserve"> </w:t>
      </w:r>
    </w:p>
    <w:tbl>
      <w:tblPr>
        <w:tblW w:w="7767" w:type="dxa"/>
        <w:tblInd w:w="43" w:type="dxa"/>
        <w:tblLayout w:type="fixed"/>
        <w:tblCellMar>
          <w:left w:w="43" w:type="dxa"/>
          <w:right w:w="43" w:type="dxa"/>
        </w:tblCellMar>
        <w:tblLook w:val="0000" w:firstRow="0" w:lastRow="0" w:firstColumn="0" w:lastColumn="0" w:noHBand="0" w:noVBand="0"/>
      </w:tblPr>
      <w:tblGrid>
        <w:gridCol w:w="3060"/>
        <w:gridCol w:w="4707"/>
      </w:tblGrid>
      <w:tr w:rsidR="007A09DB" w:rsidRPr="00692D40" w:rsidTr="00692D40">
        <w:trPr>
          <w:cantSplit/>
          <w:tblHeader/>
        </w:trPr>
        <w:tc>
          <w:tcPr>
            <w:tcW w:w="3060" w:type="dxa"/>
            <w:tcBorders>
              <w:bottom w:val="single" w:sz="6" w:space="0" w:color="auto"/>
            </w:tcBorders>
            <w:shd w:val="solid" w:color="000000" w:fill="auto"/>
            <w:vAlign w:val="bottom"/>
          </w:tcPr>
          <w:p w:rsidR="007A09DB" w:rsidRPr="00692D40" w:rsidRDefault="007A09DB" w:rsidP="00692D40">
            <w:pPr>
              <w:pStyle w:val="Tabletextheadingleft"/>
              <w:rPr>
                <w:rFonts w:eastAsiaTheme="minorEastAsia"/>
                <w:color w:val="FFFFFF"/>
                <w:sz w:val="19"/>
                <w:lang w:eastAsia="en-AU"/>
              </w:rPr>
            </w:pPr>
            <w:r w:rsidRPr="00692D40">
              <w:rPr>
                <w:rFonts w:eastAsiaTheme="minorEastAsia"/>
                <w:color w:val="FFFFFF"/>
                <w:sz w:val="19"/>
                <w:lang w:eastAsia="en-AU"/>
              </w:rPr>
              <w:t>Priority</w:t>
            </w:r>
          </w:p>
        </w:tc>
        <w:tc>
          <w:tcPr>
            <w:tcW w:w="4707" w:type="dxa"/>
            <w:tcBorders>
              <w:bottom w:val="single" w:sz="6" w:space="0" w:color="auto"/>
            </w:tcBorders>
            <w:shd w:val="solid" w:color="000000" w:fill="auto"/>
            <w:vAlign w:val="bottom"/>
          </w:tcPr>
          <w:p w:rsidR="007A09DB" w:rsidRPr="00692D40" w:rsidRDefault="007A09DB" w:rsidP="00692D40">
            <w:pPr>
              <w:pStyle w:val="Tabletextheadingleft"/>
              <w:rPr>
                <w:rFonts w:eastAsiaTheme="minorEastAsia"/>
                <w:color w:val="FFFFFF"/>
                <w:sz w:val="19"/>
                <w:lang w:eastAsia="en-AU"/>
              </w:rPr>
            </w:pPr>
            <w:r w:rsidRPr="00692D40">
              <w:rPr>
                <w:rFonts w:eastAsiaTheme="minorEastAsia"/>
                <w:color w:val="FFFFFF"/>
                <w:sz w:val="19"/>
                <w:lang w:eastAsia="en-AU"/>
              </w:rPr>
              <w:t>Objective</w:t>
            </w:r>
          </w:p>
        </w:tc>
      </w:tr>
      <w:tr w:rsidR="007A09DB" w:rsidRPr="00692D40" w:rsidTr="00692D40">
        <w:trPr>
          <w:cantSplit/>
        </w:trPr>
        <w:tc>
          <w:tcPr>
            <w:tcW w:w="3060" w:type="dxa"/>
            <w:tcBorders>
              <w:top w:val="single" w:sz="6" w:space="0" w:color="auto"/>
              <w:left w:val="nil"/>
              <w:right w:val="nil"/>
            </w:tcBorders>
            <w:shd w:val="solid" w:color="FFFFFF" w:fill="FFFFFF"/>
          </w:tcPr>
          <w:p w:rsidR="007A09DB" w:rsidRPr="00692D40" w:rsidRDefault="007A09DB" w:rsidP="00A525FE">
            <w:pPr>
              <w:pStyle w:val="Tabletextnoindent"/>
              <w:ind w:left="227" w:hanging="227"/>
              <w:rPr>
                <w:b/>
                <w:sz w:val="19"/>
              </w:rPr>
            </w:pPr>
            <w:r w:rsidRPr="00692D40">
              <w:rPr>
                <w:b/>
                <w:sz w:val="19"/>
              </w:rPr>
              <w:t>Sound financial management</w:t>
            </w:r>
          </w:p>
        </w:tc>
        <w:tc>
          <w:tcPr>
            <w:tcW w:w="4707" w:type="dxa"/>
            <w:tcBorders>
              <w:top w:val="single" w:sz="6" w:space="0" w:color="auto"/>
              <w:left w:val="nil"/>
              <w:right w:val="nil"/>
            </w:tcBorders>
            <w:shd w:val="solid" w:color="FFFFFF" w:fill="FFFFFF"/>
          </w:tcPr>
          <w:p w:rsidR="007A09DB" w:rsidRPr="00692D40" w:rsidRDefault="007A09DB" w:rsidP="0078635B">
            <w:pPr>
              <w:pStyle w:val="Tabletextnoindent"/>
              <w:rPr>
                <w:sz w:val="19"/>
              </w:rPr>
            </w:pPr>
            <w:r w:rsidRPr="00692D40">
              <w:rPr>
                <w:sz w:val="19"/>
              </w:rPr>
              <w:t>Victoria</w:t>
            </w:r>
            <w:r>
              <w:rPr>
                <w:sz w:val="19"/>
              </w:rPr>
              <w:t>’</w:t>
            </w:r>
            <w:r w:rsidRPr="00692D40">
              <w:rPr>
                <w:sz w:val="19"/>
              </w:rPr>
              <w:t>s finances will be managed in a responsible manner to provide capacity to fund services and infrastructure at levels consistent with maintaining a triple</w:t>
            </w:r>
            <w:r>
              <w:rPr>
                <w:sz w:val="19"/>
              </w:rPr>
              <w:noBreakHyphen/>
            </w:r>
            <w:r w:rsidRPr="00692D40">
              <w:rPr>
                <w:sz w:val="19"/>
              </w:rPr>
              <w:t>A credit rating</w:t>
            </w:r>
          </w:p>
        </w:tc>
      </w:tr>
      <w:tr w:rsidR="007A09DB" w:rsidRPr="00692D40" w:rsidTr="00692D40">
        <w:trPr>
          <w:cantSplit/>
        </w:trPr>
        <w:tc>
          <w:tcPr>
            <w:tcW w:w="3060" w:type="dxa"/>
            <w:tcBorders>
              <w:top w:val="nil"/>
              <w:left w:val="nil"/>
              <w:right w:val="nil"/>
            </w:tcBorders>
            <w:shd w:val="solid" w:color="FFFFFF" w:fill="FFFFFF"/>
          </w:tcPr>
          <w:p w:rsidR="007A09DB" w:rsidRPr="00692D40" w:rsidRDefault="007A09DB" w:rsidP="00692D40">
            <w:pPr>
              <w:pStyle w:val="Tabletextnoindent"/>
              <w:ind w:left="227" w:hanging="227"/>
              <w:rPr>
                <w:b/>
                <w:sz w:val="19"/>
              </w:rPr>
            </w:pPr>
            <w:r w:rsidRPr="00692D40">
              <w:rPr>
                <w:b/>
                <w:sz w:val="19"/>
              </w:rPr>
              <w:t>Improving services</w:t>
            </w:r>
          </w:p>
        </w:tc>
        <w:tc>
          <w:tcPr>
            <w:tcW w:w="4707" w:type="dxa"/>
            <w:tcBorders>
              <w:top w:val="nil"/>
              <w:left w:val="nil"/>
              <w:right w:val="nil"/>
            </w:tcBorders>
            <w:shd w:val="solid" w:color="FFFFFF" w:fill="FFFFFF"/>
          </w:tcPr>
          <w:p w:rsidR="007A09DB" w:rsidRPr="00692D40" w:rsidRDefault="007A09DB" w:rsidP="00692D40">
            <w:pPr>
              <w:pStyle w:val="Tabletextnoindent"/>
              <w:rPr>
                <w:sz w:val="19"/>
              </w:rPr>
            </w:pPr>
            <w:r>
              <w:rPr>
                <w:sz w:val="19"/>
              </w:rPr>
              <w:t>Public services will improve over time.</w:t>
            </w:r>
          </w:p>
        </w:tc>
      </w:tr>
      <w:tr w:rsidR="007A09DB" w:rsidRPr="00692D40" w:rsidTr="00692D40">
        <w:trPr>
          <w:cantSplit/>
        </w:trPr>
        <w:tc>
          <w:tcPr>
            <w:tcW w:w="3060" w:type="dxa"/>
            <w:tcBorders>
              <w:top w:val="nil"/>
              <w:left w:val="nil"/>
              <w:right w:val="nil"/>
            </w:tcBorders>
            <w:shd w:val="solid" w:color="FFFFFF" w:fill="FFFFFF"/>
          </w:tcPr>
          <w:p w:rsidR="007A09DB" w:rsidRPr="00692D40" w:rsidRDefault="007A09DB" w:rsidP="00692D40">
            <w:pPr>
              <w:pStyle w:val="Tabletextnoindent"/>
              <w:ind w:left="227" w:hanging="227"/>
              <w:rPr>
                <w:b/>
                <w:sz w:val="19"/>
              </w:rPr>
            </w:pPr>
            <w:r w:rsidRPr="00692D40">
              <w:rPr>
                <w:b/>
                <w:sz w:val="19"/>
              </w:rPr>
              <w:t>Building infrastructure</w:t>
            </w:r>
          </w:p>
        </w:tc>
        <w:tc>
          <w:tcPr>
            <w:tcW w:w="4707" w:type="dxa"/>
            <w:tcBorders>
              <w:top w:val="nil"/>
              <w:left w:val="nil"/>
              <w:right w:val="nil"/>
            </w:tcBorders>
            <w:shd w:val="solid" w:color="FFFFFF" w:fill="FFFFFF"/>
          </w:tcPr>
          <w:p w:rsidR="007A09DB" w:rsidRPr="00692D40" w:rsidRDefault="007A09DB" w:rsidP="00692D40">
            <w:pPr>
              <w:pStyle w:val="Tabletextnoindent"/>
              <w:rPr>
                <w:sz w:val="19"/>
              </w:rPr>
            </w:pPr>
            <w:r>
              <w:rPr>
                <w:sz w:val="19"/>
              </w:rPr>
              <w:t>Public infrastructure will grow steadily over time to meet the needs of a growing population.</w:t>
            </w:r>
          </w:p>
        </w:tc>
      </w:tr>
      <w:tr w:rsidR="007A09DB" w:rsidRPr="00692D40" w:rsidTr="00692D40">
        <w:trPr>
          <w:cantSplit/>
        </w:trPr>
        <w:tc>
          <w:tcPr>
            <w:tcW w:w="3060" w:type="dxa"/>
            <w:tcBorders>
              <w:top w:val="nil"/>
              <w:left w:val="nil"/>
              <w:bottom w:val="single" w:sz="12" w:space="0" w:color="auto"/>
              <w:right w:val="nil"/>
            </w:tcBorders>
            <w:shd w:val="solid" w:color="FFFFFF" w:fill="FFFFFF"/>
          </w:tcPr>
          <w:p w:rsidR="007A09DB" w:rsidRPr="00692D40" w:rsidRDefault="007A09DB" w:rsidP="00692D40">
            <w:pPr>
              <w:pStyle w:val="Tabletextnoindent"/>
              <w:ind w:left="227" w:hanging="227"/>
              <w:rPr>
                <w:b/>
                <w:sz w:val="19"/>
              </w:rPr>
            </w:pPr>
            <w:r w:rsidRPr="00692D40">
              <w:rPr>
                <w:b/>
                <w:sz w:val="19"/>
              </w:rPr>
              <w:t>Efficient use of public resources</w:t>
            </w:r>
          </w:p>
        </w:tc>
        <w:tc>
          <w:tcPr>
            <w:tcW w:w="4707" w:type="dxa"/>
            <w:tcBorders>
              <w:top w:val="nil"/>
              <w:left w:val="nil"/>
              <w:bottom w:val="single" w:sz="12" w:space="0" w:color="auto"/>
              <w:right w:val="nil"/>
            </w:tcBorders>
            <w:shd w:val="solid" w:color="FFFFFF" w:fill="FFFFFF"/>
          </w:tcPr>
          <w:p w:rsidR="007A09DB" w:rsidRPr="00692D40" w:rsidRDefault="007A09DB" w:rsidP="00692D40">
            <w:pPr>
              <w:pStyle w:val="Tabletextnoindent"/>
              <w:rPr>
                <w:sz w:val="19"/>
              </w:rPr>
            </w:pPr>
            <w:r w:rsidRPr="00692D40">
              <w:rPr>
                <w:sz w:val="19"/>
              </w:rPr>
              <w:t>Public sector resources will be invested in services and infrastructure to maximise the economic, social and environmental benefits.</w:t>
            </w:r>
          </w:p>
        </w:tc>
      </w:tr>
    </w:tbl>
    <w:p w:rsidR="007A09DB" w:rsidRDefault="0078635B" w:rsidP="00382443">
      <w:pPr>
        <w:pStyle w:val="Source"/>
      </w:pPr>
      <w:r>
        <w:fldChar w:fldCharType="begin"/>
      </w:r>
      <w:r>
        <w:instrText xml:space="preserve"> XE "</w:instrText>
      </w:r>
      <w:r w:rsidRPr="0061040B">
        <w:instrText>Triple-A credit rating</w:instrText>
      </w:r>
      <w:r>
        <w:instrText xml:space="preserve">" \r "BP2TripleA" </w:instrText>
      </w:r>
      <w:r>
        <w:fldChar w:fldCharType="end"/>
      </w:r>
    </w:p>
    <w:bookmarkEnd w:id="28"/>
    <w:p w:rsidR="007A09DB" w:rsidRDefault="007A09DB" w:rsidP="00382443">
      <w:pPr>
        <w:pStyle w:val="BulletText"/>
        <w:numPr>
          <w:ilvl w:val="0"/>
          <w:numId w:val="0"/>
        </w:numPr>
      </w:pPr>
      <w:r>
        <w:t>The targets in Table 1.4 measure progress towards these long</w:t>
      </w:r>
      <w:r>
        <w:noBreakHyphen/>
        <w:t xml:space="preserve">term financial management objectives. </w:t>
      </w:r>
    </w:p>
    <w:p w:rsidR="007A09DB" w:rsidRPr="00BF4F50" w:rsidRDefault="007A09DB" w:rsidP="00382443">
      <w:pPr>
        <w:pStyle w:val="Tableheading"/>
      </w:pPr>
      <w:r w:rsidRPr="00A178EE">
        <w:t>Table 1.</w:t>
      </w:r>
      <w:r>
        <w:t>4</w:t>
      </w:r>
      <w:r w:rsidRPr="00A178EE">
        <w:t>:</w:t>
      </w:r>
      <w:r w:rsidRPr="00A178EE">
        <w:tab/>
      </w:r>
      <w:r>
        <w:t xml:space="preserve">Financial measures and targets for </w:t>
      </w:r>
      <w:r>
        <w:rPr>
          <w:i/>
        </w:rPr>
        <w:t>2016</w:t>
      </w:r>
      <w:r>
        <w:rPr>
          <w:i/>
        </w:rPr>
        <w:noBreakHyphen/>
      </w:r>
      <w:r w:rsidRPr="00F11535">
        <w:rPr>
          <w:i/>
        </w:rPr>
        <w:t>1</w:t>
      </w:r>
      <w:r>
        <w:rPr>
          <w:i/>
        </w:rPr>
        <w:t>7</w:t>
      </w:r>
      <w:r w:rsidRPr="00F11535">
        <w:rPr>
          <w:i/>
        </w:rPr>
        <w:t xml:space="preserve"> Budget</w:t>
      </w:r>
      <w:r w:rsidRPr="00BF4F50">
        <w:t xml:space="preserve"> </w:t>
      </w:r>
    </w:p>
    <w:tbl>
      <w:tblPr>
        <w:tblW w:w="0" w:type="auto"/>
        <w:tblInd w:w="29" w:type="dxa"/>
        <w:tblBorders>
          <w:bottom w:val="single" w:sz="12" w:space="0" w:color="auto"/>
        </w:tblBorders>
        <w:tblLayout w:type="fixed"/>
        <w:tblCellMar>
          <w:left w:w="43" w:type="dxa"/>
          <w:right w:w="43" w:type="dxa"/>
        </w:tblCellMar>
        <w:tblLook w:val="0000" w:firstRow="0" w:lastRow="0" w:firstColumn="0" w:lastColumn="0" w:noHBand="0" w:noVBand="0"/>
      </w:tblPr>
      <w:tblGrid>
        <w:gridCol w:w="2477"/>
        <w:gridCol w:w="5241"/>
      </w:tblGrid>
      <w:tr w:rsidR="007A09DB" w:rsidRPr="00BF4F50" w:rsidTr="000C0CAB">
        <w:trPr>
          <w:trHeight w:val="262"/>
        </w:trPr>
        <w:tc>
          <w:tcPr>
            <w:tcW w:w="2477" w:type="dxa"/>
            <w:tcBorders>
              <w:top w:val="single" w:sz="6" w:space="0" w:color="000000"/>
              <w:left w:val="single" w:sz="6" w:space="0" w:color="000000"/>
              <w:bottom w:val="single" w:sz="6" w:space="0" w:color="000000"/>
            </w:tcBorders>
            <w:shd w:val="solid" w:color="000000" w:fill="auto"/>
          </w:tcPr>
          <w:p w:rsidR="007A09DB" w:rsidRPr="00BF4F50" w:rsidRDefault="007A09DB" w:rsidP="000C0CAB">
            <w:pPr>
              <w:pStyle w:val="Tabletextheadingleft"/>
              <w:rPr>
                <w:rFonts w:eastAsiaTheme="minorEastAsia"/>
                <w:lang w:eastAsia="en-AU"/>
              </w:rPr>
            </w:pPr>
            <w:r w:rsidRPr="00BF4F50">
              <w:rPr>
                <w:rFonts w:eastAsiaTheme="minorEastAsia"/>
                <w:lang w:eastAsia="en-AU"/>
              </w:rPr>
              <w:t xml:space="preserve">Financial </w:t>
            </w:r>
            <w:r w:rsidRPr="00BF4F50">
              <w:rPr>
                <w:rFonts w:eastAsiaTheme="minorEastAsia"/>
              </w:rPr>
              <w:t>measures</w:t>
            </w:r>
          </w:p>
        </w:tc>
        <w:tc>
          <w:tcPr>
            <w:tcW w:w="5241" w:type="dxa"/>
            <w:tcBorders>
              <w:top w:val="single" w:sz="6" w:space="0" w:color="000000"/>
              <w:bottom w:val="single" w:sz="6" w:space="0" w:color="000000"/>
              <w:right w:val="single" w:sz="6" w:space="0" w:color="000000"/>
            </w:tcBorders>
            <w:shd w:val="solid" w:color="000000" w:fill="auto"/>
          </w:tcPr>
          <w:p w:rsidR="007A09DB" w:rsidRPr="00BF4F50" w:rsidRDefault="007A09DB" w:rsidP="000C0CAB">
            <w:pPr>
              <w:pStyle w:val="Tabletextheadingleft"/>
              <w:rPr>
                <w:rFonts w:eastAsiaTheme="minorEastAsia"/>
                <w:lang w:eastAsia="en-AU"/>
              </w:rPr>
            </w:pPr>
            <w:r>
              <w:rPr>
                <w:rFonts w:eastAsiaTheme="minorEastAsia"/>
                <w:lang w:eastAsia="en-AU"/>
              </w:rPr>
              <w:t>Target</w:t>
            </w:r>
          </w:p>
        </w:tc>
      </w:tr>
      <w:tr w:rsidR="007A09DB" w:rsidRPr="00BF4F50" w:rsidTr="000C0CAB">
        <w:trPr>
          <w:trHeight w:val="523"/>
        </w:trPr>
        <w:tc>
          <w:tcPr>
            <w:tcW w:w="2477" w:type="dxa"/>
            <w:tcBorders>
              <w:top w:val="single" w:sz="6" w:space="0" w:color="000000"/>
            </w:tcBorders>
            <w:shd w:val="solid" w:color="FFFFFF" w:fill="auto"/>
          </w:tcPr>
          <w:p w:rsidR="007A09DB" w:rsidRPr="00A178EE" w:rsidRDefault="007A09DB" w:rsidP="00A525FE">
            <w:pPr>
              <w:pStyle w:val="Tabletextnoindent"/>
              <w:rPr>
                <w:b/>
              </w:rPr>
            </w:pPr>
            <w:r w:rsidRPr="00A178EE">
              <w:rPr>
                <w:b/>
              </w:rPr>
              <w:t>Net debt</w:t>
            </w:r>
          </w:p>
        </w:tc>
        <w:tc>
          <w:tcPr>
            <w:tcW w:w="5241" w:type="dxa"/>
            <w:tcBorders>
              <w:top w:val="single" w:sz="6" w:space="0" w:color="000000"/>
            </w:tcBorders>
          </w:tcPr>
          <w:p w:rsidR="007A09DB" w:rsidRPr="00BF4F50" w:rsidRDefault="007A09DB" w:rsidP="00244626">
            <w:pPr>
              <w:pStyle w:val="Tabletextnoindent"/>
            </w:pPr>
            <w:r w:rsidRPr="00A178EE">
              <w:t>General government net debt</w:t>
            </w:r>
            <w:r>
              <w:fldChar w:fldCharType="begin"/>
            </w:r>
            <w:r>
              <w:instrText xml:space="preserve"> XE "</w:instrText>
            </w:r>
            <w:r w:rsidRPr="00FB332E">
              <w:instrText>Debt:General government net debt</w:instrText>
            </w:r>
            <w:r>
              <w:instrText xml:space="preserve">" </w:instrText>
            </w:r>
            <w:r>
              <w:fldChar w:fldCharType="end"/>
            </w:r>
            <w:r w:rsidRPr="00A178EE">
              <w:t xml:space="preserve"> as a percentage of GSP to be maintained at a sustainable level over the medium</w:t>
            </w:r>
            <w:r>
              <w:t xml:space="preserve"> </w:t>
            </w:r>
            <w:r w:rsidRPr="00A178EE">
              <w:t>term.</w:t>
            </w:r>
            <w:r>
              <w:t xml:space="preserve"> </w:t>
            </w:r>
          </w:p>
        </w:tc>
      </w:tr>
      <w:tr w:rsidR="007A09DB" w:rsidRPr="00BF4F50" w:rsidTr="000C0CAB">
        <w:trPr>
          <w:trHeight w:val="243"/>
        </w:trPr>
        <w:tc>
          <w:tcPr>
            <w:tcW w:w="2477" w:type="dxa"/>
            <w:shd w:val="solid" w:color="FFFFFF" w:fill="auto"/>
          </w:tcPr>
          <w:p w:rsidR="007A09DB" w:rsidRPr="00BF4F50" w:rsidRDefault="007A09DB" w:rsidP="000C0CAB">
            <w:pPr>
              <w:pStyle w:val="Tabletextnoindent"/>
              <w:rPr>
                <w:b/>
              </w:rPr>
            </w:pPr>
            <w:r w:rsidRPr="00BF4F50">
              <w:rPr>
                <w:b/>
              </w:rPr>
              <w:t>Superannuation liabilities</w:t>
            </w:r>
          </w:p>
        </w:tc>
        <w:tc>
          <w:tcPr>
            <w:tcW w:w="5241" w:type="dxa"/>
          </w:tcPr>
          <w:p w:rsidR="007A09DB" w:rsidRPr="00BF4F50" w:rsidRDefault="007A09DB" w:rsidP="00064DBA">
            <w:pPr>
              <w:pStyle w:val="Tabletextnoindent"/>
            </w:pPr>
            <w:r w:rsidRPr="00BF4F50">
              <w:t>Fully fund the unfunded superannuation liability</w:t>
            </w:r>
            <w:r>
              <w:fldChar w:fldCharType="begin"/>
            </w:r>
            <w:r>
              <w:instrText xml:space="preserve"> XE "</w:instrText>
            </w:r>
            <w:r w:rsidRPr="00D34997">
              <w:instrText>Superannuation:</w:instrText>
            </w:r>
            <w:r>
              <w:instrText xml:space="preserve">Liability" </w:instrText>
            </w:r>
            <w:r>
              <w:fldChar w:fldCharType="end"/>
            </w:r>
            <w:r w:rsidRPr="00BF4F50">
              <w:t xml:space="preserve"> by 2035.</w:t>
            </w:r>
          </w:p>
        </w:tc>
      </w:tr>
      <w:tr w:rsidR="007A09DB" w:rsidRPr="00BF4F50" w:rsidTr="000C0CAB">
        <w:trPr>
          <w:trHeight w:val="538"/>
        </w:trPr>
        <w:tc>
          <w:tcPr>
            <w:tcW w:w="2477" w:type="dxa"/>
            <w:shd w:val="solid" w:color="FFFFFF" w:fill="auto"/>
          </w:tcPr>
          <w:p w:rsidR="007A09DB" w:rsidRPr="00BF4F50" w:rsidRDefault="007A09DB" w:rsidP="000C0CAB">
            <w:pPr>
              <w:pStyle w:val="Tabletextnoindent"/>
              <w:rPr>
                <w:b/>
              </w:rPr>
            </w:pPr>
            <w:r w:rsidRPr="00BF4F50">
              <w:rPr>
                <w:b/>
              </w:rPr>
              <w:t>Operating surplus</w:t>
            </w:r>
          </w:p>
        </w:tc>
        <w:tc>
          <w:tcPr>
            <w:tcW w:w="5241" w:type="dxa"/>
          </w:tcPr>
          <w:p w:rsidR="007A09DB" w:rsidRPr="00BF4F50" w:rsidRDefault="007A09DB" w:rsidP="00C1395D">
            <w:pPr>
              <w:pStyle w:val="Tabletextnoindent"/>
            </w:pPr>
            <w:r w:rsidRPr="00BF4F50">
              <w:t xml:space="preserve">A net operating surplus consistent with </w:t>
            </w:r>
            <w:r>
              <w:t xml:space="preserve">maintaining general government net </w:t>
            </w:r>
            <w:r w:rsidRPr="00BF4F50">
              <w:t xml:space="preserve">debt </w:t>
            </w:r>
            <w:r>
              <w:t>at a sustainable level over the medium term</w:t>
            </w:r>
            <w:r w:rsidRPr="00BF4F50">
              <w:t>.</w:t>
            </w:r>
          </w:p>
        </w:tc>
      </w:tr>
    </w:tbl>
    <w:p w:rsidR="007A09DB" w:rsidRDefault="007A09DB" w:rsidP="00244626">
      <w:pPr>
        <w:pStyle w:val="Notes"/>
      </w:pPr>
    </w:p>
    <w:p w:rsidR="007A09DB" w:rsidRDefault="007A09DB" w:rsidP="004300CB">
      <w:r>
        <w:t xml:space="preserve">Chapter 4 </w:t>
      </w:r>
      <w:r w:rsidRPr="00506808">
        <w:rPr>
          <w:i/>
        </w:rPr>
        <w:t>Budget Position and Outlook</w:t>
      </w:r>
      <w:r>
        <w:t xml:space="preserve"> sets out the budget position for 2016</w:t>
      </w:r>
      <w:r>
        <w:noBreakHyphen/>
        <w:t>17 and the forward estimate years (2017</w:t>
      </w:r>
      <w:r>
        <w:noBreakHyphen/>
        <w:t>18 to 2019</w:t>
      </w:r>
      <w:r>
        <w:noBreakHyphen/>
        <w:t>20).</w:t>
      </w:r>
      <w:r>
        <w:fldChar w:fldCharType="begin"/>
      </w:r>
      <w:r>
        <w:instrText xml:space="preserve"> XE "</w:instrText>
      </w:r>
      <w:r w:rsidRPr="003A13B2">
        <w:rPr>
          <w:rFonts w:eastAsiaTheme="minorHAnsi"/>
        </w:rPr>
        <w:instrText>Debt:</w:instrText>
      </w:r>
      <w:r w:rsidRPr="003A13B2">
        <w:instrText>Net debt</w:instrText>
      </w:r>
      <w:r>
        <w:instrText xml:space="preserve">" \r "BP2NetDebt1" </w:instrText>
      </w:r>
      <w:r>
        <w:fldChar w:fldCharType="end"/>
      </w:r>
      <w:r>
        <w:fldChar w:fldCharType="begin"/>
      </w:r>
      <w:r>
        <w:instrText xml:space="preserve"> XE "</w:instrText>
      </w:r>
      <w:r w:rsidRPr="00B15453">
        <w:rPr>
          <w:rFonts w:eastAsiaTheme="minorHAnsi"/>
        </w:rPr>
        <w:instrText>Financial management</w:instrText>
      </w:r>
      <w:r>
        <w:instrText xml:space="preserve">" \r "BP2FinMgmt" </w:instrText>
      </w:r>
      <w:r>
        <w:fldChar w:fldCharType="end"/>
      </w:r>
      <w:r w:rsidR="00C1395D">
        <w:fldChar w:fldCharType="begin"/>
      </w:r>
      <w:r w:rsidR="00C1395D">
        <w:instrText xml:space="preserve"> XE "</w:instrText>
      </w:r>
      <w:r w:rsidR="00C1395D" w:rsidRPr="003C687D">
        <w:instrText>Operating surplus</w:instrText>
      </w:r>
      <w:r w:rsidR="00C1395D">
        <w:instrText xml:space="preserve">" \r "BP2OpSur1" </w:instrText>
      </w:r>
      <w:r w:rsidR="00C1395D">
        <w:fldChar w:fldCharType="end"/>
      </w:r>
      <w:r>
        <w:t xml:space="preserve"> </w:t>
      </w:r>
      <w:bookmarkEnd w:id="25"/>
    </w:p>
    <w:bookmarkEnd w:id="26"/>
    <w:bookmarkEnd w:id="27"/>
    <w:p w:rsidR="007A09DB" w:rsidRDefault="007A09DB" w:rsidP="00382443"/>
    <w:p w:rsidR="007A09DB" w:rsidRDefault="007A09DB" w:rsidP="00614836">
      <w:pPr>
        <w:rPr>
          <w:rFonts w:eastAsiaTheme="minorHAnsi"/>
        </w:rPr>
        <w:sectPr w:rsidR="007A09DB" w:rsidSect="00AE778A">
          <w:footerReference w:type="even" r:id="rId19"/>
          <w:footerReference w:type="default" r:id="rId20"/>
          <w:type w:val="oddPage"/>
          <w:pgSz w:w="9979" w:h="14181" w:code="138"/>
          <w:pgMar w:top="1138" w:right="1138" w:bottom="1138" w:left="1138" w:header="720" w:footer="432" w:gutter="0"/>
          <w:pgNumType w:start="1"/>
          <w:cols w:space="708"/>
          <w:docGrid w:linePitch="360"/>
        </w:sectPr>
      </w:pPr>
    </w:p>
    <w:p w:rsidR="007A09DB" w:rsidRDefault="007A09DB" w:rsidP="00062624">
      <w:pPr>
        <w:pStyle w:val="ChapterHeading"/>
      </w:pPr>
      <w:bookmarkStart w:id="29" w:name="_Toc449123054"/>
      <w:r>
        <w:lastRenderedPageBreak/>
        <w:t xml:space="preserve">Chapter 2 – </w:t>
      </w:r>
      <w:r w:rsidRPr="0039308E">
        <w:t>Economic context</w:t>
      </w:r>
      <w:bookmarkEnd w:id="29"/>
    </w:p>
    <w:p w:rsidR="007A09DB" w:rsidRDefault="007A09DB" w:rsidP="008A34B8">
      <w:pPr>
        <w:pStyle w:val="HighlightBoxBullet"/>
        <w:numPr>
          <w:ilvl w:val="0"/>
          <w:numId w:val="4"/>
        </w:numPr>
      </w:pPr>
      <w:bookmarkStart w:id="30" w:name="BP2GSPGrowth1"/>
      <w:r>
        <w:t>Victoria’s diverse economy is well positioned to take advantage of the transition away from mining investment as the prime driver of Australia’s economic growth</w:t>
      </w:r>
      <w:r>
        <w:fldChar w:fldCharType="begin"/>
      </w:r>
      <w:r>
        <w:instrText xml:space="preserve"> XE "</w:instrText>
      </w:r>
      <w:r w:rsidRPr="007F391C">
        <w:rPr>
          <w:rFonts w:eastAsiaTheme="minorHAnsi"/>
        </w:rPr>
        <w:instrText>Economic growth</w:instrText>
      </w:r>
      <w:r>
        <w:rPr>
          <w:rFonts w:eastAsiaTheme="minorHAnsi"/>
        </w:rPr>
        <w:instrText>:Australia</w:instrText>
      </w:r>
      <w:r>
        <w:instrText xml:space="preserve">" </w:instrText>
      </w:r>
      <w:r>
        <w:fldChar w:fldCharType="end"/>
      </w:r>
      <w:r>
        <w:t xml:space="preserve">. </w:t>
      </w:r>
    </w:p>
    <w:p w:rsidR="007A09DB" w:rsidRDefault="007A09DB" w:rsidP="008A34B8">
      <w:pPr>
        <w:pStyle w:val="HighlightBoxBullet"/>
        <w:numPr>
          <w:ilvl w:val="0"/>
          <w:numId w:val="4"/>
        </w:numPr>
      </w:pPr>
      <w:r>
        <w:t xml:space="preserve">Victoria currently has Australia’s strongest growth in state final demand. </w:t>
      </w:r>
      <w:r w:rsidRPr="00B94F6A">
        <w:t xml:space="preserve">Real gross state product (GSP) growth is forecast to </w:t>
      </w:r>
      <w:r>
        <w:t>stay above trend at 3 per cent in 2016</w:t>
      </w:r>
      <w:r>
        <w:noBreakHyphen/>
        <w:t>17</w:t>
      </w:r>
      <w:r w:rsidRPr="00B94F6A">
        <w:t>.</w:t>
      </w:r>
      <w:r>
        <w:t xml:space="preserve"> </w:t>
      </w:r>
    </w:p>
    <w:p w:rsidR="007A09DB" w:rsidRDefault="007A09DB" w:rsidP="008A34B8">
      <w:pPr>
        <w:pStyle w:val="HighlightBoxBullet"/>
        <w:numPr>
          <w:ilvl w:val="0"/>
          <w:numId w:val="4"/>
        </w:numPr>
      </w:pPr>
      <w:r>
        <w:t>After remaining flat since the global financial crisis, GSP</w:t>
      </w:r>
      <w:r>
        <w:fldChar w:fldCharType="begin"/>
      </w:r>
      <w:r>
        <w:instrText xml:space="preserve"> XE "Gross state product" </w:instrText>
      </w:r>
      <w:r>
        <w:fldChar w:fldCharType="end"/>
      </w:r>
      <w:r>
        <w:t xml:space="preserve"> per capita is expected to grow over the forward estimates.</w:t>
      </w:r>
    </w:p>
    <w:p w:rsidR="007A09DB" w:rsidRDefault="007A09DB" w:rsidP="008A34B8">
      <w:pPr>
        <w:pStyle w:val="HighlightBoxBullet"/>
        <w:numPr>
          <w:ilvl w:val="0"/>
          <w:numId w:val="4"/>
        </w:numPr>
      </w:pPr>
      <w:r>
        <w:t>Household consumption and business investment</w:t>
      </w:r>
      <w:r>
        <w:fldChar w:fldCharType="begin"/>
      </w:r>
      <w:r>
        <w:instrText xml:space="preserve"> XE "</w:instrText>
      </w:r>
      <w:r w:rsidRPr="008F4853">
        <w:rPr>
          <w:rFonts w:eastAsiaTheme="minorHAnsi"/>
        </w:rPr>
        <w:instrText>Business investment</w:instrText>
      </w:r>
      <w:r>
        <w:instrText xml:space="preserve">" </w:instrText>
      </w:r>
      <w:r>
        <w:fldChar w:fldCharType="end"/>
      </w:r>
      <w:r>
        <w:t xml:space="preserve"> are expected to remain above trend in 2016</w:t>
      </w:r>
      <w:r>
        <w:noBreakHyphen/>
        <w:t>17, supported by continued low interest rates.</w:t>
      </w:r>
    </w:p>
    <w:p w:rsidR="007A09DB" w:rsidRDefault="007A09DB" w:rsidP="008A34B8">
      <w:pPr>
        <w:pStyle w:val="HighlightBoxBullet"/>
        <w:numPr>
          <w:ilvl w:val="0"/>
          <w:numId w:val="4"/>
        </w:numPr>
      </w:pPr>
      <w:r>
        <w:t>Dwelling investment</w:t>
      </w:r>
      <w:r>
        <w:fldChar w:fldCharType="begin"/>
      </w:r>
      <w:r>
        <w:instrText xml:space="preserve"> XE "</w:instrText>
      </w:r>
      <w:r w:rsidRPr="00746A14">
        <w:instrText>Dwelling investment</w:instrText>
      </w:r>
      <w:r>
        <w:instrText xml:space="preserve">" </w:instrText>
      </w:r>
      <w:r>
        <w:fldChar w:fldCharType="end"/>
      </w:r>
      <w:r>
        <w:t xml:space="preserve"> is forecast to ease back to trend in 2016</w:t>
      </w:r>
      <w:r>
        <w:noBreakHyphen/>
        <w:t>17, following a period of strong growth in line with buoyant sentiment in the property market overall.</w:t>
      </w:r>
    </w:p>
    <w:p w:rsidR="007A09DB" w:rsidRDefault="007A09DB" w:rsidP="008A34B8">
      <w:pPr>
        <w:pStyle w:val="HighlightBoxBullet"/>
        <w:numPr>
          <w:ilvl w:val="0"/>
          <w:numId w:val="4"/>
        </w:numPr>
      </w:pPr>
      <w:r>
        <w:t>Labour market conditions</w:t>
      </w:r>
      <w:r>
        <w:fldChar w:fldCharType="begin"/>
      </w:r>
      <w:r>
        <w:instrText xml:space="preserve"> XE "</w:instrText>
      </w:r>
      <w:r w:rsidRPr="005E485B">
        <w:instrText>Labour market:Conditions</w:instrText>
      </w:r>
      <w:r>
        <w:instrText xml:space="preserve">" </w:instrText>
      </w:r>
      <w:r>
        <w:fldChar w:fldCharType="end"/>
      </w:r>
      <w:r>
        <w:t xml:space="preserve"> have continued to improve, with Victoria’s jobs growth</w:t>
      </w:r>
      <w:r>
        <w:fldChar w:fldCharType="begin"/>
      </w:r>
      <w:r>
        <w:instrText xml:space="preserve"> XE "</w:instrText>
      </w:r>
      <w:r w:rsidRPr="00F63DCB">
        <w:instrText>Jobs:Growth</w:instrText>
      </w:r>
      <w:r>
        <w:instrText xml:space="preserve">" </w:instrText>
      </w:r>
      <w:r>
        <w:fldChar w:fldCharType="end"/>
      </w:r>
      <w:r>
        <w:t xml:space="preserve"> leading the nation in 2015. Further improvements are expected in 2016</w:t>
      </w:r>
      <w:r>
        <w:noBreakHyphen/>
        <w:t>17 with the unemployment rate</w:t>
      </w:r>
      <w:r>
        <w:fldChar w:fldCharType="begin"/>
      </w:r>
      <w:r>
        <w:instrText xml:space="preserve"> XE "</w:instrText>
      </w:r>
      <w:r w:rsidRPr="00053B18">
        <w:instrText>Unemployment:Unemployment rate</w:instrText>
      </w:r>
      <w:r>
        <w:instrText xml:space="preserve">" </w:instrText>
      </w:r>
      <w:r>
        <w:fldChar w:fldCharType="end"/>
      </w:r>
      <w:r>
        <w:t xml:space="preserve"> continuing to decline.</w:t>
      </w:r>
    </w:p>
    <w:p w:rsidR="007A09DB" w:rsidRPr="00B342E4" w:rsidRDefault="007A09DB" w:rsidP="008A34B8">
      <w:pPr>
        <w:pStyle w:val="HighlightBoxBullet"/>
        <w:numPr>
          <w:ilvl w:val="0"/>
          <w:numId w:val="4"/>
        </w:numPr>
      </w:pPr>
      <w:r w:rsidRPr="00B94F6A">
        <w:t>Population growth</w:t>
      </w:r>
      <w:r>
        <w:rPr>
          <w:rFonts w:eastAsiaTheme="minorHAnsi"/>
        </w:rPr>
        <w:fldChar w:fldCharType="begin"/>
      </w:r>
      <w:r>
        <w:instrText xml:space="preserve"> XE "</w:instrText>
      </w:r>
      <w:r w:rsidRPr="00474263">
        <w:rPr>
          <w:rFonts w:eastAsiaTheme="minorHAnsi"/>
        </w:rPr>
        <w:instrText>Population</w:instrText>
      </w:r>
      <w:r>
        <w:rPr>
          <w:rFonts w:eastAsiaTheme="minorHAnsi"/>
        </w:rPr>
        <w:instrText>:Growth</w:instrText>
      </w:r>
      <w:r>
        <w:instrText xml:space="preserve">" </w:instrText>
      </w:r>
      <w:r>
        <w:rPr>
          <w:rFonts w:eastAsiaTheme="minorHAnsi"/>
        </w:rPr>
        <w:fldChar w:fldCharType="end"/>
      </w:r>
      <w:r w:rsidRPr="00B94F6A">
        <w:t xml:space="preserve"> is </w:t>
      </w:r>
      <w:r>
        <w:t xml:space="preserve">estimated to remain above the Australian average </w:t>
      </w:r>
      <w:r w:rsidRPr="00B94F6A">
        <w:t>as Victoria continues to att</w:t>
      </w:r>
      <w:r>
        <w:t>ract a high share of migrants from interstate and overseas.</w:t>
      </w:r>
    </w:p>
    <w:p w:rsidR="007A09DB" w:rsidRPr="00B342E4" w:rsidRDefault="007A09DB" w:rsidP="00B342E4">
      <w:pPr>
        <w:pStyle w:val="Heading1"/>
        <w:rPr>
          <w:rFonts w:eastAsiaTheme="minorHAnsi"/>
        </w:rPr>
      </w:pPr>
      <w:bookmarkStart w:id="31" w:name="_Toc449123055"/>
      <w:bookmarkStart w:id="32" w:name="BPVicEcoConditions1"/>
      <w:r>
        <w:rPr>
          <w:rFonts w:eastAsiaTheme="minorHAnsi"/>
        </w:rPr>
        <w:t>Victorian economic conditions and outlook</w:t>
      </w:r>
      <w:bookmarkEnd w:id="31"/>
    </w:p>
    <w:p w:rsidR="007A09DB" w:rsidRDefault="007A09DB" w:rsidP="00B342E4">
      <w:r>
        <w:rPr>
          <w:rFonts w:eastAsiaTheme="minorHAnsi"/>
        </w:rPr>
        <w:fldChar w:fldCharType="begin"/>
      </w:r>
      <w:r>
        <w:instrText xml:space="preserve"> XE "</w:instrText>
      </w:r>
      <w:r w:rsidRPr="007F391C">
        <w:rPr>
          <w:rFonts w:eastAsiaTheme="minorHAnsi"/>
        </w:rPr>
        <w:instrText>Economic conditions</w:instrText>
      </w:r>
      <w:r>
        <w:instrText xml:space="preserve">" </w:instrText>
      </w:r>
      <w:r>
        <w:rPr>
          <w:rFonts w:eastAsiaTheme="minorHAnsi"/>
        </w:rPr>
        <w:fldChar w:fldCharType="end"/>
      </w:r>
      <w:r>
        <w:t>Victoria’s economy continues to improve, reflecting its diversity and resilience in response to shifting national and state conditions. The transition away from mining investment as the main driver of national economic growth</w:t>
      </w:r>
      <w:r>
        <w:fldChar w:fldCharType="begin"/>
      </w:r>
      <w:r>
        <w:instrText xml:space="preserve"> XE "</w:instrText>
      </w:r>
      <w:r w:rsidRPr="007F391C">
        <w:rPr>
          <w:rFonts w:eastAsiaTheme="minorHAnsi"/>
        </w:rPr>
        <w:instrText>Economic growth</w:instrText>
      </w:r>
      <w:r>
        <w:rPr>
          <w:rFonts w:eastAsiaTheme="minorHAnsi"/>
        </w:rPr>
        <w:instrText>:National</w:instrText>
      </w:r>
      <w:r>
        <w:instrText xml:space="preserve">" </w:instrText>
      </w:r>
      <w:r>
        <w:fldChar w:fldCharType="end"/>
      </w:r>
      <w:r>
        <w:t xml:space="preserve"> is well under way, and Victoria now has Australia’s strongest growth in state final demand.</w:t>
      </w:r>
    </w:p>
    <w:p w:rsidR="007A09DB" w:rsidRDefault="007A09DB" w:rsidP="00B342E4">
      <w:r>
        <w:t>H</w:t>
      </w:r>
      <w:r w:rsidRPr="00A37498">
        <w:t xml:space="preserve">ousehold consumption and dwelling investment </w:t>
      </w:r>
      <w:r>
        <w:t xml:space="preserve">have remained solid, supported by </w:t>
      </w:r>
      <w:r w:rsidRPr="00A37498">
        <w:t>low interest rates</w:t>
      </w:r>
      <w:r>
        <w:t xml:space="preserve">, together with </w:t>
      </w:r>
      <w:r w:rsidRPr="00A37498">
        <w:t xml:space="preserve">strong asset price </w:t>
      </w:r>
      <w:r>
        <w:t xml:space="preserve">and population growth. </w:t>
      </w:r>
    </w:p>
    <w:p w:rsidR="007A09DB" w:rsidRDefault="007A09DB" w:rsidP="00B342E4">
      <w:r w:rsidRPr="0086426D">
        <w:t>The State</w:t>
      </w:r>
      <w:r>
        <w:t>’</w:t>
      </w:r>
      <w:r w:rsidRPr="0086426D">
        <w:t>s diverse industry structure, its highly skilled workforce and high population growth</w:t>
      </w:r>
      <w:r>
        <w:fldChar w:fldCharType="begin"/>
      </w:r>
      <w:r>
        <w:instrText xml:space="preserve"> XE "</w:instrText>
      </w:r>
      <w:r w:rsidRPr="00474263">
        <w:rPr>
          <w:rFonts w:eastAsiaTheme="minorHAnsi"/>
        </w:rPr>
        <w:instrText>Population:</w:instrText>
      </w:r>
      <w:r w:rsidRPr="00474263">
        <w:instrText>Growth</w:instrText>
      </w:r>
      <w:r>
        <w:instrText xml:space="preserve">" </w:instrText>
      </w:r>
      <w:r>
        <w:fldChar w:fldCharType="end"/>
      </w:r>
      <w:r w:rsidRPr="0086426D">
        <w:t xml:space="preserve"> will help Victoria adapt to global challenges and take advantage of emerging opportunities.</w:t>
      </w:r>
    </w:p>
    <w:p w:rsidR="007A09DB" w:rsidRDefault="007A09DB" w:rsidP="00B342E4">
      <w:r>
        <w:lastRenderedPageBreak/>
        <w:t>Ongoing structural change</w:t>
      </w:r>
      <w:r>
        <w:fldChar w:fldCharType="begin"/>
      </w:r>
      <w:r>
        <w:instrText xml:space="preserve"> XE "</w:instrText>
      </w:r>
      <w:r w:rsidRPr="00127CA7">
        <w:instrText>Structural change</w:instrText>
      </w:r>
      <w:r>
        <w:instrText xml:space="preserve">" </w:instrText>
      </w:r>
      <w:r>
        <w:fldChar w:fldCharType="end"/>
      </w:r>
      <w:r>
        <w:t xml:space="preserve"> is a feature of the Victorian economy. Over the past 20 years, the services sector has increased its share of the economy while the goods sector has declined in relative importance.</w:t>
      </w:r>
    </w:p>
    <w:p w:rsidR="007A09DB" w:rsidRDefault="007A09DB">
      <w:pPr>
        <w:spacing w:after="0"/>
      </w:pPr>
      <w:r>
        <w:br w:type="page"/>
      </w:r>
    </w:p>
    <w:p w:rsidR="007A09DB" w:rsidRDefault="007A09DB" w:rsidP="00B342E4">
      <w:pPr>
        <w:rPr>
          <w:rFonts w:eastAsiaTheme="minorHAnsi"/>
        </w:rPr>
      </w:pPr>
      <w:r w:rsidRPr="00C31523">
        <w:rPr>
          <w:rFonts w:eastAsiaTheme="minorHAnsi"/>
        </w:rPr>
        <w:lastRenderedPageBreak/>
        <w:t xml:space="preserve">Table 2.1 sets out the economic forecasts for the </w:t>
      </w:r>
      <w:r w:rsidRPr="005D46FE">
        <w:rPr>
          <w:i/>
        </w:rPr>
        <w:t>201</w:t>
      </w:r>
      <w:r>
        <w:rPr>
          <w:i/>
        </w:rPr>
        <w:t>6</w:t>
      </w:r>
      <w:r>
        <w:rPr>
          <w:i/>
        </w:rPr>
        <w:noBreakHyphen/>
        <w:t>17</w:t>
      </w:r>
      <w:r w:rsidRPr="005D46FE">
        <w:rPr>
          <w:i/>
        </w:rPr>
        <w:t xml:space="preserve"> Budget</w:t>
      </w:r>
      <w:r w:rsidRPr="00C31523">
        <w:rPr>
          <w:rFonts w:eastAsiaTheme="minorHAnsi"/>
        </w:rPr>
        <w:t xml:space="preserve">. The </w:t>
      </w:r>
      <w:r>
        <w:rPr>
          <w:rFonts w:eastAsiaTheme="minorHAnsi"/>
        </w:rPr>
        <w:t xml:space="preserve">forecasts </w:t>
      </w:r>
      <w:r w:rsidRPr="00C31523">
        <w:rPr>
          <w:rFonts w:eastAsiaTheme="minorHAnsi"/>
        </w:rPr>
        <w:t>are projected to revert towards trend over the final two years of the forward estimates.</w:t>
      </w:r>
    </w:p>
    <w:p w:rsidR="007A09DB" w:rsidRDefault="007A09DB" w:rsidP="00B342E4">
      <w:pPr>
        <w:pStyle w:val="Tableheading"/>
        <w:rPr>
          <w:rFonts w:eastAsiaTheme="minorHAnsi"/>
        </w:rPr>
      </w:pPr>
      <w:r>
        <w:rPr>
          <w:rFonts w:eastAsiaTheme="minorHAnsi"/>
        </w:rPr>
        <w:t>Table 2.1:</w:t>
      </w:r>
      <w:r>
        <w:rPr>
          <w:rFonts w:eastAsiaTheme="minorHAnsi"/>
        </w:rPr>
        <w:tab/>
        <w:t>Victorian economic forecasts</w:t>
      </w:r>
      <w:r w:rsidRPr="008739EF">
        <w:rPr>
          <w:vertAlign w:val="superscript"/>
        </w:rPr>
        <w:t>(a)</w:t>
      </w:r>
    </w:p>
    <w:p w:rsidR="007A09DB" w:rsidRPr="00A47F20" w:rsidRDefault="007A09DB" w:rsidP="00DD0E3B">
      <w:pPr>
        <w:pStyle w:val="million"/>
      </w:pPr>
      <w:r w:rsidRPr="00B527E0">
        <w:t>(per cent</w:t>
      </w:r>
      <w:r>
        <w:t>)</w:t>
      </w:r>
    </w:p>
    <w:tbl>
      <w:tblPr>
        <w:tblW w:w="7776" w:type="dxa"/>
        <w:tblInd w:w="28" w:type="dxa"/>
        <w:tblLayout w:type="fixed"/>
        <w:tblCellMar>
          <w:left w:w="45" w:type="dxa"/>
          <w:right w:w="45" w:type="dxa"/>
        </w:tblCellMar>
        <w:tblLook w:val="0000" w:firstRow="0" w:lastRow="0" w:firstColumn="0" w:lastColumn="0" w:noHBand="0" w:noVBand="0"/>
      </w:tblPr>
      <w:tblGrid>
        <w:gridCol w:w="2267"/>
        <w:gridCol w:w="918"/>
        <w:gridCol w:w="918"/>
        <w:gridCol w:w="918"/>
        <w:gridCol w:w="918"/>
        <w:gridCol w:w="918"/>
        <w:gridCol w:w="919"/>
      </w:tblGrid>
      <w:tr w:rsidR="007A09DB" w:rsidRPr="00606654" w:rsidTr="00122EA6">
        <w:tc>
          <w:tcPr>
            <w:tcW w:w="2267" w:type="dxa"/>
            <w:tcBorders>
              <w:top w:val="single" w:sz="6" w:space="0" w:color="000000"/>
              <w:left w:val="single" w:sz="6" w:space="0" w:color="000000"/>
              <w:bottom w:val="nil"/>
              <w:right w:val="nil"/>
            </w:tcBorders>
            <w:shd w:val="clear" w:color="auto" w:fill="000000"/>
          </w:tcPr>
          <w:p w:rsidR="007A09DB" w:rsidRPr="00606654" w:rsidRDefault="007A09DB" w:rsidP="00606654">
            <w:pPr>
              <w:pStyle w:val="Tabletextheading"/>
              <w:rPr>
                <w:rFonts w:eastAsiaTheme="minorEastAsia"/>
                <w:sz w:val="19"/>
                <w:lang w:eastAsia="en-AU"/>
              </w:rPr>
            </w:pPr>
          </w:p>
        </w:tc>
        <w:tc>
          <w:tcPr>
            <w:tcW w:w="918" w:type="dxa"/>
            <w:tcBorders>
              <w:top w:val="single" w:sz="6" w:space="0" w:color="000000"/>
              <w:left w:val="nil"/>
              <w:bottom w:val="nil"/>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2014</w:t>
            </w:r>
            <w:r>
              <w:rPr>
                <w:rFonts w:eastAsiaTheme="minorEastAsia"/>
                <w:sz w:val="19"/>
                <w:lang w:eastAsia="en-AU"/>
              </w:rPr>
              <w:noBreakHyphen/>
            </w:r>
            <w:r w:rsidRPr="00606654">
              <w:rPr>
                <w:rFonts w:eastAsiaTheme="minorEastAsia"/>
                <w:sz w:val="19"/>
                <w:lang w:eastAsia="en-AU"/>
              </w:rPr>
              <w:t>15</w:t>
            </w:r>
          </w:p>
        </w:tc>
        <w:tc>
          <w:tcPr>
            <w:tcW w:w="918" w:type="dxa"/>
            <w:tcBorders>
              <w:top w:val="single" w:sz="6" w:space="0" w:color="000000"/>
              <w:left w:val="nil"/>
              <w:bottom w:val="nil"/>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2015</w:t>
            </w:r>
            <w:r>
              <w:rPr>
                <w:rFonts w:eastAsiaTheme="minorEastAsia"/>
                <w:sz w:val="19"/>
                <w:lang w:eastAsia="en-AU"/>
              </w:rPr>
              <w:noBreakHyphen/>
            </w:r>
            <w:r w:rsidRPr="00606654">
              <w:rPr>
                <w:rFonts w:eastAsiaTheme="minorEastAsia"/>
                <w:sz w:val="19"/>
                <w:lang w:eastAsia="en-AU"/>
              </w:rPr>
              <w:t>16</w:t>
            </w:r>
          </w:p>
        </w:tc>
        <w:tc>
          <w:tcPr>
            <w:tcW w:w="918" w:type="dxa"/>
            <w:tcBorders>
              <w:top w:val="single" w:sz="6" w:space="0" w:color="000000"/>
              <w:left w:val="nil"/>
              <w:bottom w:val="nil"/>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2016</w:t>
            </w:r>
            <w:r>
              <w:rPr>
                <w:rFonts w:eastAsiaTheme="minorEastAsia"/>
                <w:sz w:val="19"/>
                <w:lang w:eastAsia="en-AU"/>
              </w:rPr>
              <w:noBreakHyphen/>
            </w:r>
            <w:r w:rsidRPr="00606654">
              <w:rPr>
                <w:rFonts w:eastAsiaTheme="minorEastAsia"/>
                <w:sz w:val="19"/>
                <w:lang w:eastAsia="en-AU"/>
              </w:rPr>
              <w:t>17</w:t>
            </w:r>
          </w:p>
        </w:tc>
        <w:tc>
          <w:tcPr>
            <w:tcW w:w="918" w:type="dxa"/>
            <w:tcBorders>
              <w:top w:val="single" w:sz="6" w:space="0" w:color="000000"/>
              <w:left w:val="nil"/>
              <w:bottom w:val="nil"/>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2017</w:t>
            </w:r>
            <w:r>
              <w:rPr>
                <w:rFonts w:eastAsiaTheme="minorEastAsia"/>
                <w:sz w:val="19"/>
                <w:lang w:eastAsia="en-AU"/>
              </w:rPr>
              <w:noBreakHyphen/>
            </w:r>
            <w:r w:rsidRPr="00606654">
              <w:rPr>
                <w:rFonts w:eastAsiaTheme="minorEastAsia"/>
                <w:sz w:val="19"/>
                <w:lang w:eastAsia="en-AU"/>
              </w:rPr>
              <w:t>18</w:t>
            </w:r>
          </w:p>
        </w:tc>
        <w:tc>
          <w:tcPr>
            <w:tcW w:w="918" w:type="dxa"/>
            <w:tcBorders>
              <w:top w:val="single" w:sz="6" w:space="0" w:color="000000"/>
              <w:left w:val="nil"/>
              <w:bottom w:val="nil"/>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2018</w:t>
            </w:r>
            <w:r>
              <w:rPr>
                <w:rFonts w:eastAsiaTheme="minorEastAsia"/>
                <w:sz w:val="19"/>
                <w:lang w:eastAsia="en-AU"/>
              </w:rPr>
              <w:noBreakHyphen/>
            </w:r>
            <w:r w:rsidRPr="00606654">
              <w:rPr>
                <w:rFonts w:eastAsiaTheme="minorEastAsia"/>
                <w:sz w:val="19"/>
                <w:lang w:eastAsia="en-AU"/>
              </w:rPr>
              <w:t>19</w:t>
            </w:r>
          </w:p>
        </w:tc>
        <w:tc>
          <w:tcPr>
            <w:tcW w:w="919" w:type="dxa"/>
            <w:tcBorders>
              <w:top w:val="single" w:sz="6" w:space="0" w:color="000000"/>
              <w:left w:val="nil"/>
              <w:bottom w:val="nil"/>
              <w:right w:val="single" w:sz="6" w:space="0" w:color="000000"/>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2019</w:t>
            </w:r>
            <w:r>
              <w:rPr>
                <w:rFonts w:eastAsiaTheme="minorEastAsia"/>
                <w:sz w:val="19"/>
                <w:lang w:eastAsia="en-AU"/>
              </w:rPr>
              <w:noBreakHyphen/>
            </w:r>
            <w:r w:rsidRPr="00606654">
              <w:rPr>
                <w:rFonts w:eastAsiaTheme="minorEastAsia"/>
                <w:sz w:val="19"/>
                <w:lang w:eastAsia="en-AU"/>
              </w:rPr>
              <w:t>20</w:t>
            </w:r>
          </w:p>
        </w:tc>
      </w:tr>
      <w:tr w:rsidR="007A09DB" w:rsidRPr="00606654" w:rsidTr="00122EA6">
        <w:tc>
          <w:tcPr>
            <w:tcW w:w="2267" w:type="dxa"/>
            <w:tcBorders>
              <w:top w:val="nil"/>
              <w:left w:val="single" w:sz="6" w:space="0" w:color="000000"/>
              <w:bottom w:val="single" w:sz="6" w:space="0" w:color="000000"/>
              <w:right w:val="nil"/>
            </w:tcBorders>
            <w:shd w:val="clear" w:color="auto" w:fill="000000"/>
          </w:tcPr>
          <w:p w:rsidR="007A09DB" w:rsidRPr="00606654" w:rsidRDefault="007A09DB" w:rsidP="00606654">
            <w:pPr>
              <w:pStyle w:val="Tabletextheading"/>
              <w:rPr>
                <w:rFonts w:eastAsiaTheme="minorEastAsia"/>
                <w:iCs/>
                <w:sz w:val="19"/>
                <w:lang w:eastAsia="en-AU"/>
              </w:rPr>
            </w:pPr>
            <w:r w:rsidRPr="00606654">
              <w:rPr>
                <w:rFonts w:eastAsiaTheme="minorEastAsia"/>
                <w:iCs/>
                <w:sz w:val="19"/>
                <w:lang w:eastAsia="en-AU"/>
              </w:rPr>
              <w:t xml:space="preserve"> </w:t>
            </w:r>
          </w:p>
        </w:tc>
        <w:tc>
          <w:tcPr>
            <w:tcW w:w="918" w:type="dxa"/>
            <w:tcBorders>
              <w:top w:val="nil"/>
              <w:left w:val="nil"/>
              <w:bottom w:val="single" w:sz="6" w:space="0" w:color="000000"/>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actual</w:t>
            </w:r>
          </w:p>
        </w:tc>
        <w:tc>
          <w:tcPr>
            <w:tcW w:w="918" w:type="dxa"/>
            <w:tcBorders>
              <w:top w:val="nil"/>
              <w:left w:val="nil"/>
              <w:bottom w:val="single" w:sz="6" w:space="0" w:color="000000"/>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forecast</w:t>
            </w:r>
          </w:p>
        </w:tc>
        <w:tc>
          <w:tcPr>
            <w:tcW w:w="918" w:type="dxa"/>
            <w:tcBorders>
              <w:top w:val="nil"/>
              <w:left w:val="nil"/>
              <w:bottom w:val="single" w:sz="6" w:space="0" w:color="000000"/>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forecast</w:t>
            </w:r>
          </w:p>
        </w:tc>
        <w:tc>
          <w:tcPr>
            <w:tcW w:w="918" w:type="dxa"/>
            <w:tcBorders>
              <w:top w:val="nil"/>
              <w:left w:val="nil"/>
              <w:bottom w:val="single" w:sz="6" w:space="0" w:color="000000"/>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forecast</w:t>
            </w:r>
          </w:p>
        </w:tc>
        <w:tc>
          <w:tcPr>
            <w:tcW w:w="918" w:type="dxa"/>
            <w:tcBorders>
              <w:top w:val="nil"/>
              <w:left w:val="nil"/>
              <w:bottom w:val="single" w:sz="6" w:space="0" w:color="000000"/>
              <w:right w:val="nil"/>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projection</w:t>
            </w:r>
          </w:p>
        </w:tc>
        <w:tc>
          <w:tcPr>
            <w:tcW w:w="919" w:type="dxa"/>
            <w:tcBorders>
              <w:top w:val="nil"/>
              <w:left w:val="nil"/>
              <w:bottom w:val="single" w:sz="6" w:space="0" w:color="000000"/>
              <w:right w:val="single" w:sz="6" w:space="0" w:color="000000"/>
            </w:tcBorders>
            <w:shd w:val="clear" w:color="auto" w:fill="000000"/>
          </w:tcPr>
          <w:p w:rsidR="007A09DB" w:rsidRPr="00606654" w:rsidRDefault="007A09DB" w:rsidP="00606654">
            <w:pPr>
              <w:pStyle w:val="Tabletextheading"/>
              <w:rPr>
                <w:rFonts w:eastAsiaTheme="minorEastAsia"/>
                <w:sz w:val="19"/>
                <w:lang w:eastAsia="en-AU"/>
              </w:rPr>
            </w:pPr>
            <w:r w:rsidRPr="00606654">
              <w:rPr>
                <w:rFonts w:eastAsiaTheme="minorEastAsia"/>
                <w:sz w:val="19"/>
                <w:lang w:eastAsia="en-AU"/>
              </w:rPr>
              <w:t>projection</w:t>
            </w:r>
          </w:p>
        </w:tc>
      </w:tr>
      <w:tr w:rsidR="007A09DB" w:rsidRPr="00606654" w:rsidTr="00122EA6">
        <w:tc>
          <w:tcPr>
            <w:tcW w:w="2267" w:type="dxa"/>
            <w:tcBorders>
              <w:top w:val="single" w:sz="6" w:space="0" w:color="000000"/>
              <w:left w:val="nil"/>
              <w:bottom w:val="nil"/>
              <w:right w:val="nil"/>
            </w:tcBorders>
          </w:tcPr>
          <w:p w:rsidR="007A09DB" w:rsidRPr="00606654" w:rsidRDefault="007A09DB" w:rsidP="00CC5883">
            <w:pPr>
              <w:pStyle w:val="Tabletext"/>
              <w:rPr>
                <w:rFonts w:eastAsiaTheme="minorEastAsia"/>
                <w:lang w:eastAsia="en-AU"/>
              </w:rPr>
            </w:pPr>
            <w:r w:rsidRPr="00606654">
              <w:rPr>
                <w:rFonts w:eastAsiaTheme="minorEastAsia"/>
                <w:lang w:eastAsia="en-AU"/>
              </w:rPr>
              <w:t>Real gross state product</w:t>
            </w:r>
          </w:p>
        </w:tc>
        <w:tc>
          <w:tcPr>
            <w:tcW w:w="918"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2.5</w:t>
            </w:r>
          </w:p>
        </w:tc>
        <w:tc>
          <w:tcPr>
            <w:tcW w:w="918"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3.00</w:t>
            </w:r>
          </w:p>
        </w:tc>
        <w:tc>
          <w:tcPr>
            <w:tcW w:w="918"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3.00</w:t>
            </w:r>
          </w:p>
        </w:tc>
        <w:tc>
          <w:tcPr>
            <w:tcW w:w="918"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2.75</w:t>
            </w:r>
          </w:p>
        </w:tc>
        <w:tc>
          <w:tcPr>
            <w:tcW w:w="918"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2.75</w:t>
            </w:r>
          </w:p>
        </w:tc>
        <w:tc>
          <w:tcPr>
            <w:tcW w:w="919" w:type="dxa"/>
            <w:tcBorders>
              <w:top w:val="single" w:sz="6" w:space="0" w:color="000000"/>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2.75</w:t>
            </w:r>
          </w:p>
        </w:tc>
      </w:tr>
      <w:tr w:rsidR="007A09DB" w:rsidRPr="00606654" w:rsidTr="00122EA6">
        <w:tc>
          <w:tcPr>
            <w:tcW w:w="2267" w:type="dxa"/>
            <w:tcBorders>
              <w:top w:val="nil"/>
              <w:left w:val="nil"/>
              <w:bottom w:val="nil"/>
              <w:right w:val="nil"/>
            </w:tcBorders>
          </w:tcPr>
          <w:p w:rsidR="007A09DB" w:rsidRPr="00606654" w:rsidRDefault="007A09DB" w:rsidP="00122EA6">
            <w:pPr>
              <w:pStyle w:val="Tabletext"/>
              <w:rPr>
                <w:rFonts w:eastAsiaTheme="minorEastAsia"/>
                <w:lang w:eastAsia="en-AU"/>
              </w:rPr>
            </w:pPr>
            <w:r w:rsidRPr="00606654">
              <w:rPr>
                <w:rFonts w:eastAsiaTheme="minorEastAsia"/>
                <w:lang w:eastAsia="en-AU"/>
              </w:rPr>
              <w:t>Employment</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2.1</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2.00</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1.75</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1.50</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1.50</w:t>
            </w:r>
          </w:p>
        </w:tc>
        <w:tc>
          <w:tcPr>
            <w:tcW w:w="919"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1.50</w:t>
            </w:r>
          </w:p>
        </w:tc>
      </w:tr>
      <w:tr w:rsidR="007A09DB" w:rsidRPr="00606654" w:rsidTr="00122EA6">
        <w:tc>
          <w:tcPr>
            <w:tcW w:w="2267" w:type="dxa"/>
            <w:tcBorders>
              <w:top w:val="nil"/>
              <w:left w:val="nil"/>
              <w:bottom w:val="nil"/>
              <w:right w:val="nil"/>
            </w:tcBorders>
          </w:tcPr>
          <w:p w:rsidR="007A09DB" w:rsidRPr="00606654" w:rsidRDefault="007A09DB" w:rsidP="00122EA6">
            <w:pPr>
              <w:pStyle w:val="Tabletext"/>
              <w:rPr>
                <w:rFonts w:eastAsiaTheme="minorEastAsia"/>
                <w:vertAlign w:val="superscript"/>
                <w:lang w:eastAsia="en-AU"/>
              </w:rPr>
            </w:pPr>
            <w:r w:rsidRPr="00606654">
              <w:rPr>
                <w:rFonts w:eastAsiaTheme="minorEastAsia"/>
                <w:lang w:eastAsia="en-AU"/>
              </w:rPr>
              <w:t xml:space="preserve">Unemployment rate </w:t>
            </w:r>
            <w:r w:rsidRPr="00606654">
              <w:rPr>
                <w:rFonts w:eastAsiaTheme="minorEastAsia"/>
                <w:vertAlign w:val="superscript"/>
                <w:lang w:eastAsia="en-AU"/>
              </w:rPr>
              <w:t>(b)</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6.4</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6.00</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5.75</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5.75</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5.50</w:t>
            </w:r>
          </w:p>
        </w:tc>
        <w:tc>
          <w:tcPr>
            <w:tcW w:w="919"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5.50</w:t>
            </w:r>
          </w:p>
        </w:tc>
      </w:tr>
      <w:tr w:rsidR="007A09DB" w:rsidRPr="00606654" w:rsidTr="00122EA6">
        <w:tc>
          <w:tcPr>
            <w:tcW w:w="2267" w:type="dxa"/>
            <w:tcBorders>
              <w:top w:val="nil"/>
              <w:left w:val="nil"/>
              <w:bottom w:val="nil"/>
              <w:right w:val="nil"/>
            </w:tcBorders>
          </w:tcPr>
          <w:p w:rsidR="007A09DB" w:rsidRPr="00606654" w:rsidRDefault="007A09DB" w:rsidP="00122EA6">
            <w:pPr>
              <w:pStyle w:val="Tabletext"/>
              <w:rPr>
                <w:rFonts w:eastAsiaTheme="minorEastAsia"/>
                <w:vertAlign w:val="superscript"/>
                <w:lang w:eastAsia="en-AU"/>
              </w:rPr>
            </w:pPr>
            <w:r w:rsidRPr="00606654">
              <w:rPr>
                <w:rFonts w:eastAsiaTheme="minorEastAsia"/>
                <w:lang w:eastAsia="en-AU"/>
              </w:rPr>
              <w:t xml:space="preserve">Consumer price index </w:t>
            </w:r>
            <w:r w:rsidRPr="00606654">
              <w:rPr>
                <w:rFonts w:eastAsiaTheme="minorEastAsia"/>
                <w:vertAlign w:val="superscript"/>
                <w:lang w:eastAsia="en-AU"/>
              </w:rPr>
              <w:t>(c)</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1.4</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2.00</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2.25</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2.50</w:t>
            </w:r>
          </w:p>
        </w:tc>
        <w:tc>
          <w:tcPr>
            <w:tcW w:w="918"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2.50</w:t>
            </w:r>
          </w:p>
        </w:tc>
        <w:tc>
          <w:tcPr>
            <w:tcW w:w="919" w:type="dxa"/>
            <w:tcBorders>
              <w:top w:val="nil"/>
              <w:left w:val="nil"/>
              <w:bottom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2.50</w:t>
            </w:r>
          </w:p>
        </w:tc>
      </w:tr>
      <w:tr w:rsidR="007A09DB" w:rsidRPr="00606654" w:rsidTr="00122EA6">
        <w:tc>
          <w:tcPr>
            <w:tcW w:w="2267" w:type="dxa"/>
            <w:tcBorders>
              <w:top w:val="nil"/>
              <w:left w:val="nil"/>
              <w:right w:val="nil"/>
            </w:tcBorders>
          </w:tcPr>
          <w:p w:rsidR="007A09DB" w:rsidRPr="00606654" w:rsidRDefault="007A09DB" w:rsidP="00122EA6">
            <w:pPr>
              <w:pStyle w:val="Tabletext"/>
              <w:rPr>
                <w:rFonts w:eastAsiaTheme="minorEastAsia"/>
                <w:vertAlign w:val="superscript"/>
                <w:lang w:eastAsia="en-AU"/>
              </w:rPr>
            </w:pPr>
            <w:r w:rsidRPr="00606654">
              <w:rPr>
                <w:rFonts w:eastAsiaTheme="minorEastAsia"/>
                <w:lang w:eastAsia="en-AU"/>
              </w:rPr>
              <w:t xml:space="preserve">Wage price index </w:t>
            </w:r>
            <w:r w:rsidRPr="00606654">
              <w:rPr>
                <w:rFonts w:eastAsiaTheme="minorEastAsia"/>
                <w:vertAlign w:val="superscript"/>
                <w:lang w:eastAsia="en-AU"/>
              </w:rPr>
              <w:t>(d)</w:t>
            </w:r>
          </w:p>
        </w:tc>
        <w:tc>
          <w:tcPr>
            <w:tcW w:w="918"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2.7</w:t>
            </w:r>
          </w:p>
        </w:tc>
        <w:tc>
          <w:tcPr>
            <w:tcW w:w="918"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2.50</w:t>
            </w:r>
          </w:p>
        </w:tc>
        <w:tc>
          <w:tcPr>
            <w:tcW w:w="918"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2.75</w:t>
            </w:r>
          </w:p>
        </w:tc>
        <w:tc>
          <w:tcPr>
            <w:tcW w:w="918"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3.00</w:t>
            </w:r>
          </w:p>
        </w:tc>
        <w:tc>
          <w:tcPr>
            <w:tcW w:w="918"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3.25</w:t>
            </w:r>
          </w:p>
        </w:tc>
        <w:tc>
          <w:tcPr>
            <w:tcW w:w="919" w:type="dxa"/>
            <w:tcBorders>
              <w:top w:val="nil"/>
              <w:left w:val="nil"/>
              <w:right w:val="nil"/>
            </w:tcBorders>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3.50</w:t>
            </w:r>
          </w:p>
        </w:tc>
      </w:tr>
      <w:tr w:rsidR="007A09DB" w:rsidRPr="00606654" w:rsidTr="00122EA6">
        <w:tc>
          <w:tcPr>
            <w:tcW w:w="2267" w:type="dxa"/>
            <w:tcBorders>
              <w:top w:val="nil"/>
              <w:left w:val="nil"/>
              <w:bottom w:val="single" w:sz="12" w:space="0" w:color="000000"/>
              <w:right w:val="nil"/>
            </w:tcBorders>
            <w:shd w:val="clear" w:color="auto" w:fill="auto"/>
          </w:tcPr>
          <w:p w:rsidR="007A09DB" w:rsidRPr="00606654" w:rsidRDefault="007A09DB" w:rsidP="00122EA6">
            <w:pPr>
              <w:pStyle w:val="Tabletext"/>
              <w:rPr>
                <w:rFonts w:eastAsiaTheme="minorEastAsia"/>
                <w:vertAlign w:val="superscript"/>
                <w:lang w:eastAsia="en-AU"/>
              </w:rPr>
            </w:pPr>
            <w:r w:rsidRPr="00606654">
              <w:rPr>
                <w:rFonts w:eastAsiaTheme="minorEastAsia"/>
                <w:lang w:eastAsia="en-AU"/>
              </w:rPr>
              <w:t xml:space="preserve">Population </w:t>
            </w:r>
            <w:r w:rsidRPr="00606654">
              <w:rPr>
                <w:rFonts w:eastAsiaTheme="minorEastAsia"/>
                <w:vertAlign w:val="superscript"/>
                <w:lang w:eastAsia="en-AU"/>
              </w:rPr>
              <w:t>(e)</w:t>
            </w:r>
          </w:p>
        </w:tc>
        <w:tc>
          <w:tcPr>
            <w:tcW w:w="918"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1.7</w:t>
            </w:r>
          </w:p>
        </w:tc>
        <w:tc>
          <w:tcPr>
            <w:tcW w:w="918"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1.8</w:t>
            </w:r>
          </w:p>
        </w:tc>
        <w:tc>
          <w:tcPr>
            <w:tcW w:w="918"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1.8</w:t>
            </w:r>
          </w:p>
        </w:tc>
        <w:tc>
          <w:tcPr>
            <w:tcW w:w="918"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1.8</w:t>
            </w:r>
          </w:p>
        </w:tc>
        <w:tc>
          <w:tcPr>
            <w:tcW w:w="918"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1.8</w:t>
            </w:r>
          </w:p>
        </w:tc>
        <w:tc>
          <w:tcPr>
            <w:tcW w:w="919" w:type="dxa"/>
            <w:tcBorders>
              <w:top w:val="nil"/>
              <w:left w:val="nil"/>
              <w:bottom w:val="single" w:sz="12" w:space="0" w:color="000000"/>
              <w:right w:val="nil"/>
            </w:tcBorders>
            <w:shd w:val="clear" w:color="auto" w:fill="auto"/>
          </w:tcPr>
          <w:p w:rsidR="007A09DB" w:rsidRPr="00606654" w:rsidRDefault="007A09DB" w:rsidP="00122EA6">
            <w:pPr>
              <w:pStyle w:val="TableofFigures"/>
              <w:rPr>
                <w:rFonts w:eastAsiaTheme="minorEastAsia"/>
                <w:sz w:val="19"/>
                <w:lang w:eastAsia="en-AU"/>
              </w:rPr>
            </w:pPr>
            <w:r w:rsidRPr="00606654">
              <w:rPr>
                <w:rFonts w:eastAsiaTheme="minorEastAsia"/>
                <w:sz w:val="19"/>
                <w:lang w:eastAsia="en-AU"/>
              </w:rPr>
              <w:t>1.8</w:t>
            </w:r>
          </w:p>
        </w:tc>
      </w:tr>
    </w:tbl>
    <w:p w:rsidR="007A09DB" w:rsidRDefault="007A09DB" w:rsidP="00DD0E3B">
      <w:pPr>
        <w:pStyle w:val="Source"/>
      </w:pPr>
      <w:r>
        <w:t>Sources: Department of Treasury and Finance; Australian Bureau of Statistics</w:t>
      </w:r>
    </w:p>
    <w:p w:rsidR="007A09DB" w:rsidRDefault="007A09DB" w:rsidP="00DD0E3B">
      <w:pPr>
        <w:pStyle w:val="Notes"/>
      </w:pPr>
      <w:r>
        <w:t>Notes:</w:t>
      </w:r>
    </w:p>
    <w:p w:rsidR="007A09DB" w:rsidRDefault="007A09DB" w:rsidP="00DD0E3B">
      <w:pPr>
        <w:pStyle w:val="Notes"/>
      </w:pPr>
      <w:r>
        <w:t>(a)</w:t>
      </w:r>
      <w:r>
        <w:tab/>
        <w:t>Percentage change in year</w:t>
      </w:r>
      <w:r>
        <w:noBreakHyphen/>
        <w:t xml:space="preserve">average compared with previous year, except </w:t>
      </w:r>
      <w:r w:rsidRPr="00AE6AB5">
        <w:t>for the unemployment</w:t>
      </w:r>
      <w:r>
        <w:t xml:space="preserve"> rate (see note (b)) and population (see note (e)). Forecasts are rounded to the nearest 0.25 percentage points, except for population (see note (e)).</w:t>
      </w:r>
    </w:p>
    <w:p w:rsidR="007A09DB" w:rsidRDefault="007A09DB" w:rsidP="00DD0E3B">
      <w:pPr>
        <w:pStyle w:val="Notes"/>
      </w:pPr>
      <w:r>
        <w:tab/>
        <w:t>Projections for 2018</w:t>
      </w:r>
      <w:r>
        <w:noBreakHyphen/>
        <w:t>19 and 2019</w:t>
      </w:r>
      <w:r>
        <w:noBreakHyphen/>
        <w:t xml:space="preserve">20 represent trend rates, </w:t>
      </w:r>
      <w:r w:rsidRPr="00FE5300">
        <w:t>except for the wage price index which shows a path towards trend in 2019</w:t>
      </w:r>
      <w:r>
        <w:noBreakHyphen/>
      </w:r>
      <w:r w:rsidRPr="00FE5300">
        <w:t>20.</w:t>
      </w:r>
    </w:p>
    <w:p w:rsidR="007A09DB" w:rsidRDefault="007A09DB" w:rsidP="00DD0E3B">
      <w:pPr>
        <w:pStyle w:val="Notes"/>
      </w:pPr>
      <w:r>
        <w:tab/>
        <w:t>The key assumptions underlying the economic forecasts include: interest rates that follow movements in market expectations in the short term, and stabilise thereafter; a trade</w:t>
      </w:r>
      <w:r>
        <w:noBreakHyphen/>
        <w:t>weighted index of 62.1; and oil prices that follow the path suggested by oil futures.</w:t>
      </w:r>
    </w:p>
    <w:p w:rsidR="007A09DB" w:rsidRDefault="007A09DB" w:rsidP="00DD0E3B">
      <w:pPr>
        <w:pStyle w:val="Notes"/>
      </w:pPr>
      <w:r>
        <w:t>(b)</w:t>
      </w:r>
      <w:r>
        <w:tab/>
        <w:t>Year</w:t>
      </w:r>
      <w:r>
        <w:noBreakHyphen/>
        <w:t>average.</w:t>
      </w:r>
    </w:p>
    <w:p w:rsidR="007A09DB" w:rsidRDefault="007A09DB" w:rsidP="00DD0E3B">
      <w:pPr>
        <w:pStyle w:val="Notes"/>
      </w:pPr>
      <w:r>
        <w:t>(c)</w:t>
      </w:r>
      <w:r>
        <w:tab/>
        <w:t>Melbourne consumer price index</w:t>
      </w:r>
      <w:r>
        <w:fldChar w:fldCharType="begin"/>
      </w:r>
      <w:r>
        <w:instrText xml:space="preserve"> XE "</w:instrText>
      </w:r>
      <w:r w:rsidRPr="00396261">
        <w:instrText>Inflation:Consumer price index</w:instrText>
      </w:r>
      <w:r>
        <w:instrText xml:space="preserve">" </w:instrText>
      </w:r>
      <w:r>
        <w:fldChar w:fldCharType="end"/>
      </w:r>
      <w:r>
        <w:t>.</w:t>
      </w:r>
    </w:p>
    <w:p w:rsidR="007A09DB" w:rsidRDefault="007A09DB" w:rsidP="00DD0E3B">
      <w:pPr>
        <w:pStyle w:val="Notes"/>
      </w:pPr>
      <w:r>
        <w:t>(d)</w:t>
      </w:r>
      <w:r>
        <w:tab/>
      </w:r>
      <w:r w:rsidRPr="007030B8">
        <w:t>Wage Price Index, Victoria (based on total hourly rates</w:t>
      </w:r>
      <w:r w:rsidRPr="00EF6F5F">
        <w:t xml:space="preserve"> of pay, excluding bonuses).</w:t>
      </w:r>
    </w:p>
    <w:p w:rsidR="007A09DB" w:rsidRDefault="007A09DB" w:rsidP="00DD0E3B">
      <w:pPr>
        <w:pStyle w:val="Notes"/>
      </w:pPr>
      <w:r>
        <w:t>(e)</w:t>
      </w:r>
      <w:r>
        <w:tab/>
        <w:t>Percentage change over the year to 30 June. Forecasts are rounded to the nearest 0.1 percentage point.</w:t>
      </w:r>
    </w:p>
    <w:p w:rsidR="007A09DB" w:rsidRDefault="007A09DB" w:rsidP="00DD0E3B">
      <w:pPr>
        <w:pStyle w:val="Notes"/>
      </w:pPr>
    </w:p>
    <w:p w:rsidR="007A09DB" w:rsidRDefault="007A09DB" w:rsidP="00DD0E3B">
      <w:pPr>
        <w:pStyle w:val="Heading2"/>
        <w:rPr>
          <w:rFonts w:eastAsiaTheme="minorHAnsi"/>
        </w:rPr>
      </w:pPr>
      <w:bookmarkStart w:id="33" w:name="BP2VicEcoGSPGrowth1"/>
      <w:r>
        <w:rPr>
          <w:rFonts w:eastAsiaTheme="minorHAnsi"/>
        </w:rPr>
        <w:t>Gross state product</w:t>
      </w:r>
    </w:p>
    <w:p w:rsidR="007A09DB" w:rsidRDefault="007A09DB" w:rsidP="00DD0E3B">
      <w:pPr>
        <w:rPr>
          <w:rFonts w:eastAsiaTheme="minorHAnsi"/>
        </w:rPr>
      </w:pPr>
      <w:r>
        <w:rPr>
          <w:rFonts w:eastAsiaTheme="minorHAnsi"/>
        </w:rPr>
        <w:t>Victoria’s real GSP growth is forecast to be 3.0 per cent in 2016</w:t>
      </w:r>
      <w:r>
        <w:rPr>
          <w:rFonts w:eastAsiaTheme="minorHAnsi"/>
        </w:rPr>
        <w:noBreakHyphen/>
        <w:t>17, the same as in 2015</w:t>
      </w:r>
      <w:r>
        <w:rPr>
          <w:rFonts w:eastAsiaTheme="minorHAnsi"/>
        </w:rPr>
        <w:noBreakHyphen/>
        <w:t xml:space="preserve">16. The Victorian economy has benefited from a lower exchange rate and low interest rates, which have created favourable conditions for businesses and consumers. </w:t>
      </w:r>
    </w:p>
    <w:p w:rsidR="007A09DB" w:rsidRDefault="007A09DB" w:rsidP="00DD0E3B">
      <w:pPr>
        <w:rPr>
          <w:rFonts w:eastAsiaTheme="minorHAnsi"/>
        </w:rPr>
      </w:pPr>
      <w:r>
        <w:rPr>
          <w:rFonts w:eastAsiaTheme="minorHAnsi"/>
        </w:rPr>
        <w:t>Solid consumption growth is being supported by low interest rates and wealth effects flowing from growth in the value of housing assets. Further, t</w:t>
      </w:r>
      <w:r w:rsidRPr="000119DE">
        <w:rPr>
          <w:rFonts w:eastAsiaTheme="minorHAnsi"/>
        </w:rPr>
        <w:t xml:space="preserve">he household savings ratio has generally been declining in recent years, after peaking during the global financial crisis. </w:t>
      </w:r>
      <w:r>
        <w:rPr>
          <w:rFonts w:eastAsiaTheme="minorHAnsi"/>
        </w:rPr>
        <w:t>With stronger</w:t>
      </w:r>
      <w:r w:rsidRPr="000119DE">
        <w:rPr>
          <w:rFonts w:eastAsiaTheme="minorHAnsi"/>
        </w:rPr>
        <w:t xml:space="preserve"> consumer</w:t>
      </w:r>
      <w:r w:rsidRPr="00A773FE">
        <w:rPr>
          <w:rFonts w:eastAsiaTheme="minorHAnsi"/>
        </w:rPr>
        <w:t xml:space="preserve"> sentiment</w:t>
      </w:r>
      <w:r>
        <w:rPr>
          <w:rFonts w:eastAsiaTheme="minorHAnsi"/>
        </w:rPr>
        <w:fldChar w:fldCharType="begin"/>
      </w:r>
      <w:r>
        <w:instrText xml:space="preserve"> XE "</w:instrText>
      </w:r>
      <w:r w:rsidRPr="00474088">
        <w:rPr>
          <w:rFonts w:eastAsiaTheme="minorHAnsi"/>
        </w:rPr>
        <w:instrText>Consumer sentiment</w:instrText>
      </w:r>
      <w:r>
        <w:instrText xml:space="preserve">" </w:instrText>
      </w:r>
      <w:r>
        <w:rPr>
          <w:rFonts w:eastAsiaTheme="minorHAnsi"/>
        </w:rPr>
        <w:fldChar w:fldCharType="end"/>
      </w:r>
      <w:r w:rsidRPr="00A773FE">
        <w:rPr>
          <w:rFonts w:eastAsiaTheme="minorHAnsi"/>
        </w:rPr>
        <w:t xml:space="preserve">, the savings ratio is expected to continue </w:t>
      </w:r>
      <w:r>
        <w:rPr>
          <w:rFonts w:eastAsiaTheme="minorHAnsi"/>
        </w:rPr>
        <w:t xml:space="preserve">to fall in the medium term, supporting solid consumption growth </w:t>
      </w:r>
      <w:r w:rsidRPr="00A773FE">
        <w:rPr>
          <w:rFonts w:eastAsiaTheme="minorHAnsi"/>
        </w:rPr>
        <w:t>despite below trend wages growth.</w:t>
      </w:r>
      <w:r>
        <w:rPr>
          <w:rFonts w:eastAsiaTheme="minorHAnsi"/>
        </w:rPr>
        <w:fldChar w:fldCharType="begin"/>
      </w:r>
      <w:r>
        <w:instrText xml:space="preserve"> XE "</w:instrText>
      </w:r>
      <w:r w:rsidRPr="0040488A">
        <w:instrText>Gross state product:Growth</w:instrText>
      </w:r>
      <w:r>
        <w:instrText xml:space="preserve">" \r "BP2GSPGrowth1" </w:instrText>
      </w:r>
      <w:r>
        <w:rPr>
          <w:rFonts w:eastAsiaTheme="minorHAnsi"/>
        </w:rPr>
        <w:fldChar w:fldCharType="end"/>
      </w:r>
    </w:p>
    <w:bookmarkEnd w:id="30"/>
    <w:p w:rsidR="007A09DB" w:rsidRDefault="007A09DB">
      <w:pPr>
        <w:spacing w:after="0"/>
        <w:rPr>
          <w:rFonts w:eastAsiaTheme="minorHAnsi"/>
        </w:rPr>
      </w:pPr>
      <w:r>
        <w:rPr>
          <w:rFonts w:eastAsiaTheme="minorHAnsi"/>
        </w:rPr>
        <w:br w:type="page"/>
      </w:r>
    </w:p>
    <w:p w:rsidR="007A09DB" w:rsidRDefault="007A09DB" w:rsidP="00DD0E3B">
      <w:pPr>
        <w:rPr>
          <w:rFonts w:eastAsiaTheme="minorHAnsi"/>
        </w:rPr>
      </w:pPr>
      <w:r>
        <w:rPr>
          <w:rFonts w:eastAsiaTheme="minorHAnsi"/>
        </w:rPr>
        <w:lastRenderedPageBreak/>
        <w:t>Dwelling investment</w:t>
      </w:r>
      <w:r>
        <w:rPr>
          <w:rFonts w:eastAsiaTheme="minorHAnsi"/>
        </w:rPr>
        <w:fldChar w:fldCharType="begin"/>
      </w:r>
      <w:r>
        <w:instrText xml:space="preserve"> XE "</w:instrText>
      </w:r>
      <w:r w:rsidRPr="00746A14">
        <w:instrText>Dwelling investment</w:instrText>
      </w:r>
      <w:r>
        <w:instrText xml:space="preserve">" </w:instrText>
      </w:r>
      <w:r>
        <w:rPr>
          <w:rFonts w:eastAsiaTheme="minorHAnsi"/>
        </w:rPr>
        <w:fldChar w:fldCharType="end"/>
      </w:r>
      <w:r>
        <w:rPr>
          <w:rFonts w:eastAsiaTheme="minorHAnsi"/>
        </w:rPr>
        <w:t xml:space="preserve"> grew strongly in 2014</w:t>
      </w:r>
      <w:r>
        <w:rPr>
          <w:rFonts w:eastAsiaTheme="minorHAnsi"/>
        </w:rPr>
        <w:noBreakHyphen/>
        <w:t>15 and 2015</w:t>
      </w:r>
      <w:r>
        <w:rPr>
          <w:rFonts w:eastAsiaTheme="minorHAnsi"/>
        </w:rPr>
        <w:noBreakHyphen/>
        <w:t xml:space="preserve">16, and </w:t>
      </w:r>
      <w:r w:rsidRPr="005E13C9">
        <w:rPr>
          <w:rFonts w:eastAsiaTheme="minorHAnsi"/>
        </w:rPr>
        <w:t xml:space="preserve">Victoria had the highest number </w:t>
      </w:r>
      <w:r>
        <w:rPr>
          <w:rFonts w:eastAsiaTheme="minorHAnsi"/>
        </w:rPr>
        <w:t xml:space="preserve">of </w:t>
      </w:r>
      <w:r w:rsidRPr="005E13C9">
        <w:rPr>
          <w:rFonts w:eastAsiaTheme="minorHAnsi"/>
        </w:rPr>
        <w:t xml:space="preserve">dwelling approvals over the past </w:t>
      </w:r>
      <w:r>
        <w:rPr>
          <w:rFonts w:eastAsiaTheme="minorHAnsi"/>
        </w:rPr>
        <w:t>twelve months</w:t>
      </w:r>
      <w:r w:rsidRPr="005E13C9">
        <w:rPr>
          <w:rFonts w:eastAsiaTheme="minorHAnsi"/>
        </w:rPr>
        <w:t>. Dwelling</w:t>
      </w:r>
      <w:r>
        <w:rPr>
          <w:rFonts w:eastAsiaTheme="minorHAnsi"/>
        </w:rPr>
        <w:t xml:space="preserve"> investment is forecast to revert to trend growth in 2016</w:t>
      </w:r>
      <w:r>
        <w:rPr>
          <w:rFonts w:eastAsiaTheme="minorHAnsi"/>
        </w:rPr>
        <w:noBreakHyphen/>
        <w:t>17 as the property market moderates.</w:t>
      </w:r>
    </w:p>
    <w:p w:rsidR="007A09DB" w:rsidRDefault="007A09DB" w:rsidP="00DD0E3B">
      <w:pPr>
        <w:rPr>
          <w:rFonts w:eastAsiaTheme="minorHAnsi"/>
        </w:rPr>
      </w:pPr>
      <w:r>
        <w:rPr>
          <w:rFonts w:eastAsiaTheme="minorHAnsi"/>
        </w:rPr>
        <w:t>Business investment grew strongly in 2014</w:t>
      </w:r>
      <w:r>
        <w:rPr>
          <w:rFonts w:eastAsiaTheme="minorHAnsi"/>
        </w:rPr>
        <w:noBreakHyphen/>
        <w:t>15 and 2015</w:t>
      </w:r>
      <w:r>
        <w:rPr>
          <w:rFonts w:eastAsiaTheme="minorHAnsi"/>
        </w:rPr>
        <w:noBreakHyphen/>
        <w:t>16, with growth in Victoria exceeding that of the national average for the past two calendar years. Growth is expected to moderate in 2016</w:t>
      </w:r>
      <w:r>
        <w:rPr>
          <w:rFonts w:eastAsiaTheme="minorHAnsi"/>
        </w:rPr>
        <w:noBreakHyphen/>
        <w:t>17, yet still remain above trend, and return to trend in the following years. Low borrowing costs and solid demand should support capital expenditure.</w:t>
      </w:r>
    </w:p>
    <w:p w:rsidR="007A09DB" w:rsidRDefault="007A09DB" w:rsidP="00AF04D3">
      <w:pPr>
        <w:rPr>
          <w:rFonts w:eastAsiaTheme="minorHAnsi"/>
        </w:rPr>
      </w:pPr>
      <w:r>
        <w:rPr>
          <w:rFonts w:eastAsiaTheme="minorHAnsi"/>
        </w:rPr>
        <w:t>Merchandise export growth is expected to increase in 2016</w:t>
      </w:r>
      <w:r>
        <w:rPr>
          <w:rFonts w:eastAsiaTheme="minorHAnsi"/>
        </w:rPr>
        <w:noBreakHyphen/>
        <w:t>17, benefiting from rising demand from the Asian middle class combined with a lower dollar, with Victoria remaining Australia’s largest exporter of food and fibre</w:t>
      </w:r>
      <w:r>
        <w:rPr>
          <w:rFonts w:eastAsiaTheme="minorHAnsi"/>
        </w:rPr>
        <w:fldChar w:fldCharType="begin"/>
      </w:r>
      <w:r>
        <w:instrText xml:space="preserve"> XE "</w:instrText>
      </w:r>
      <w:r w:rsidRPr="007B0A87">
        <w:rPr>
          <w:rFonts w:eastAsiaTheme="minorHAnsi"/>
        </w:rPr>
        <w:instrText>Food and fibre</w:instrText>
      </w:r>
      <w:r>
        <w:instrText xml:space="preserve">" </w:instrText>
      </w:r>
      <w:r>
        <w:rPr>
          <w:rFonts w:eastAsiaTheme="minorHAnsi"/>
        </w:rPr>
        <w:fldChar w:fldCharType="end"/>
      </w:r>
      <w:r>
        <w:rPr>
          <w:rFonts w:eastAsiaTheme="minorHAnsi"/>
        </w:rPr>
        <w:t>. Service exports growth is also expected to remain robust in 2016</w:t>
      </w:r>
      <w:r>
        <w:rPr>
          <w:rFonts w:eastAsiaTheme="minorHAnsi"/>
        </w:rPr>
        <w:noBreakHyphen/>
        <w:t>17, with continuing high levels of inbound tourists and students.</w:t>
      </w:r>
    </w:p>
    <w:p w:rsidR="007A09DB" w:rsidRDefault="007A09DB" w:rsidP="00DD0E3B">
      <w:pPr>
        <w:rPr>
          <w:rFonts w:eastAsiaTheme="minorHAnsi"/>
        </w:rPr>
      </w:pPr>
      <w:r>
        <w:rPr>
          <w:rFonts w:eastAsiaTheme="minorHAnsi"/>
        </w:rPr>
        <w:t>Growth in imported goods and services are both forecast to slowly pick up in 2016</w:t>
      </w:r>
      <w:r>
        <w:rPr>
          <w:rFonts w:eastAsiaTheme="minorHAnsi"/>
        </w:rPr>
        <w:noBreakHyphen/>
        <w:t>17 due to solid consumption and economic growth</w:t>
      </w:r>
      <w:r>
        <w:rPr>
          <w:rFonts w:eastAsiaTheme="minorHAnsi"/>
        </w:rPr>
        <w:fldChar w:fldCharType="begin"/>
      </w:r>
      <w:r>
        <w:instrText xml:space="preserve"> XE "</w:instrText>
      </w:r>
      <w:r w:rsidRPr="007F391C">
        <w:rPr>
          <w:rFonts w:eastAsiaTheme="minorHAnsi"/>
        </w:rPr>
        <w:instrText>Economic growth</w:instrText>
      </w:r>
      <w:r>
        <w:instrText xml:space="preserve">" </w:instrText>
      </w:r>
      <w:r>
        <w:rPr>
          <w:rFonts w:eastAsiaTheme="minorHAnsi"/>
        </w:rPr>
        <w:fldChar w:fldCharType="end"/>
      </w:r>
      <w:r>
        <w:rPr>
          <w:rFonts w:eastAsiaTheme="minorHAnsi"/>
        </w:rPr>
        <w:t>.</w:t>
      </w:r>
      <w:r>
        <w:rPr>
          <w:rFonts w:eastAsiaTheme="minorHAnsi"/>
        </w:rPr>
        <w:fldChar w:fldCharType="begin"/>
      </w:r>
      <w:r>
        <w:instrText xml:space="preserve"> XE "</w:instrText>
      </w:r>
      <w:r w:rsidRPr="00DC2F3C">
        <w:rPr>
          <w:rFonts w:eastAsiaTheme="minorHAnsi"/>
        </w:rPr>
        <w:instrText>Gross state product</w:instrText>
      </w:r>
      <w:r>
        <w:instrText xml:space="preserve">" \r "BP2VicEcoGSPGrowth1" </w:instrText>
      </w:r>
      <w:r>
        <w:rPr>
          <w:rFonts w:eastAsiaTheme="minorHAnsi"/>
        </w:rPr>
        <w:fldChar w:fldCharType="end"/>
      </w:r>
    </w:p>
    <w:bookmarkEnd w:id="33"/>
    <w:p w:rsidR="007A09DB" w:rsidRDefault="007A09DB" w:rsidP="00D52A35">
      <w:pPr>
        <w:pStyle w:val="Heading2"/>
        <w:rPr>
          <w:rFonts w:eastAsiaTheme="minorHAnsi"/>
        </w:rPr>
      </w:pPr>
      <w:r>
        <w:rPr>
          <w:rFonts w:eastAsiaTheme="minorHAnsi"/>
        </w:rPr>
        <w:t xml:space="preserve">Other </w:t>
      </w:r>
      <w:r w:rsidRPr="00D52A35">
        <w:rPr>
          <w:rFonts w:eastAsiaTheme="minorHAnsi"/>
        </w:rPr>
        <w:t>economic</w:t>
      </w:r>
      <w:r>
        <w:rPr>
          <w:rFonts w:eastAsiaTheme="minorHAnsi"/>
        </w:rPr>
        <w:t xml:space="preserve"> indicators</w:t>
      </w:r>
    </w:p>
    <w:p w:rsidR="007A09DB" w:rsidRDefault="007A09DB" w:rsidP="00D52A35">
      <w:pPr>
        <w:pStyle w:val="Heading3"/>
        <w:rPr>
          <w:rFonts w:eastAsiaTheme="minorHAnsi"/>
        </w:rPr>
      </w:pPr>
      <w:r>
        <w:rPr>
          <w:rFonts w:eastAsiaTheme="minorHAnsi"/>
        </w:rPr>
        <w:t>Prices and wages</w:t>
      </w:r>
    </w:p>
    <w:p w:rsidR="007A09DB" w:rsidRPr="00C12420" w:rsidRDefault="007A09DB" w:rsidP="00C12420">
      <w:pPr>
        <w:rPr>
          <w:rFonts w:eastAsiaTheme="minorHAnsi"/>
        </w:rPr>
      </w:pP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Pr>
          <w:rFonts w:eastAsiaTheme="minorHAnsi"/>
        </w:rPr>
        <w:t>Inflation</w:t>
      </w:r>
      <w:r>
        <w:rPr>
          <w:rFonts w:eastAsiaTheme="minorHAnsi"/>
        </w:rPr>
        <w:fldChar w:fldCharType="begin"/>
      </w:r>
      <w:r>
        <w:instrText xml:space="preserve"> XE "</w:instrText>
      </w:r>
      <w:r w:rsidRPr="00E67DB0">
        <w:rPr>
          <w:rFonts w:eastAsiaTheme="minorHAnsi"/>
        </w:rPr>
        <w:instrText>Inflation</w:instrText>
      </w:r>
      <w:r>
        <w:instrText xml:space="preserve">" </w:instrText>
      </w:r>
      <w:r>
        <w:rPr>
          <w:rFonts w:eastAsiaTheme="minorHAnsi"/>
        </w:rPr>
        <w:fldChar w:fldCharType="end"/>
      </w:r>
      <w:r>
        <w:rPr>
          <w:rFonts w:eastAsiaTheme="minorHAnsi"/>
        </w:rPr>
        <w:t xml:space="preserve"> in Melbourne is expected to pick up slightly in 2016</w:t>
      </w:r>
      <w:r>
        <w:rPr>
          <w:rFonts w:eastAsiaTheme="minorHAnsi"/>
        </w:rPr>
        <w:noBreakHyphen/>
        <w:t xml:space="preserve">17, from the bottom of the Reserve Bank’s national target band of </w:t>
      </w:r>
      <w:r w:rsidRPr="00F03B25">
        <w:rPr>
          <w:rFonts w:eastAsiaTheme="minorHAnsi"/>
        </w:rPr>
        <w:t>2</w:t>
      </w:r>
      <w:r>
        <w:rPr>
          <w:rFonts w:eastAsiaTheme="minorHAnsi"/>
        </w:rPr>
        <w:noBreakHyphen/>
      </w:r>
      <w:r w:rsidRPr="00F03B25">
        <w:rPr>
          <w:rFonts w:eastAsiaTheme="minorHAnsi"/>
        </w:rPr>
        <w:t>3</w:t>
      </w:r>
      <w:r>
        <w:rPr>
          <w:rFonts w:eastAsiaTheme="minorHAnsi"/>
        </w:rPr>
        <w:t> per cent</w:t>
      </w:r>
      <w:r w:rsidRPr="00F03B25">
        <w:rPr>
          <w:rFonts w:eastAsiaTheme="minorHAnsi"/>
        </w:rPr>
        <w:t>.</w:t>
      </w:r>
      <w:r>
        <w:rPr>
          <w:rFonts w:eastAsiaTheme="minorHAnsi"/>
        </w:rPr>
        <w:t xml:space="preserve"> The near</w:t>
      </w:r>
      <w:r>
        <w:rPr>
          <w:rFonts w:eastAsiaTheme="minorHAnsi"/>
        </w:rPr>
        <w:noBreakHyphen/>
        <w:t xml:space="preserve">term outlook </w:t>
      </w:r>
      <w:r w:rsidRPr="00C12420">
        <w:rPr>
          <w:rFonts w:eastAsiaTheme="minorHAnsi"/>
        </w:rPr>
        <w:t xml:space="preserve">has fallen </w:t>
      </w:r>
      <w:r>
        <w:rPr>
          <w:rFonts w:eastAsiaTheme="minorHAnsi"/>
        </w:rPr>
        <w:t xml:space="preserve">in recent months, reflecting lower oil prices. </w:t>
      </w:r>
      <w:r w:rsidRPr="00C12420">
        <w:rPr>
          <w:rFonts w:eastAsiaTheme="minorHAnsi"/>
        </w:rPr>
        <w:t xml:space="preserve">In subsequent years, </w:t>
      </w:r>
      <w:r>
        <w:rPr>
          <w:rFonts w:eastAsiaTheme="minorHAnsi"/>
        </w:rPr>
        <w:t xml:space="preserve">inflation </w:t>
      </w:r>
      <w:r w:rsidRPr="00C12420">
        <w:rPr>
          <w:rFonts w:eastAsiaTheme="minorHAnsi"/>
        </w:rPr>
        <w:t>is projected to return to 2.5</w:t>
      </w:r>
      <w:r>
        <w:rPr>
          <w:rFonts w:eastAsiaTheme="minorHAnsi"/>
        </w:rPr>
        <w:t> per cent</w:t>
      </w:r>
      <w:r w:rsidRPr="00C12420">
        <w:rPr>
          <w:rFonts w:eastAsiaTheme="minorHAnsi"/>
        </w:rPr>
        <w:t xml:space="preserve">. This reflects the gradual improvement in the domestic economy, with an expected easing of spare capacity </w:t>
      </w:r>
      <w:r>
        <w:rPr>
          <w:rFonts w:eastAsiaTheme="minorHAnsi"/>
        </w:rPr>
        <w:t xml:space="preserve">and the </w:t>
      </w:r>
      <w:r w:rsidRPr="00C12420">
        <w:rPr>
          <w:rFonts w:eastAsiaTheme="minorHAnsi"/>
        </w:rPr>
        <w:t>return of moderate price pressures.</w:t>
      </w:r>
      <w:r>
        <w:rPr>
          <w:rFonts w:eastAsiaTheme="minorHAnsi"/>
        </w:rPr>
        <w:t xml:space="preserve"> </w:t>
      </w:r>
    </w:p>
    <w:p w:rsidR="007A09DB" w:rsidRDefault="007A09DB" w:rsidP="00C31523">
      <w:pPr>
        <w:rPr>
          <w:rFonts w:eastAsiaTheme="minorHAnsi"/>
        </w:rPr>
      </w:pPr>
      <w:r>
        <w:rPr>
          <w:rFonts w:eastAsiaTheme="minorHAnsi"/>
        </w:rPr>
        <w:t xml:space="preserve">A </w:t>
      </w:r>
      <w:r w:rsidRPr="007D4F80">
        <w:rPr>
          <w:rFonts w:eastAsiaTheme="minorHAnsi"/>
        </w:rPr>
        <w:t xml:space="preserve">gradual pickup in the pace of wages growth </w:t>
      </w:r>
      <w:r>
        <w:rPr>
          <w:rFonts w:eastAsiaTheme="minorHAnsi"/>
        </w:rPr>
        <w:t xml:space="preserve">is forecast to occur </w:t>
      </w:r>
      <w:r w:rsidRPr="007D4F80">
        <w:rPr>
          <w:rFonts w:eastAsiaTheme="minorHAnsi"/>
        </w:rPr>
        <w:t>from 201</w:t>
      </w:r>
      <w:r>
        <w:rPr>
          <w:rFonts w:eastAsiaTheme="minorHAnsi"/>
        </w:rPr>
        <w:t>6</w:t>
      </w:r>
      <w:r>
        <w:rPr>
          <w:rFonts w:eastAsiaTheme="minorHAnsi"/>
        </w:rPr>
        <w:noBreakHyphen/>
      </w:r>
      <w:r w:rsidRPr="007D4F80">
        <w:rPr>
          <w:rFonts w:eastAsiaTheme="minorHAnsi"/>
        </w:rPr>
        <w:t>1</w:t>
      </w:r>
      <w:r>
        <w:rPr>
          <w:rFonts w:eastAsiaTheme="minorHAnsi"/>
        </w:rPr>
        <w:t xml:space="preserve">7, consistent with falling spare capacity </w:t>
      </w:r>
      <w:r w:rsidRPr="007D4F80">
        <w:rPr>
          <w:rFonts w:eastAsiaTheme="minorHAnsi"/>
        </w:rPr>
        <w:t xml:space="preserve">in </w:t>
      </w:r>
      <w:r>
        <w:rPr>
          <w:rFonts w:eastAsiaTheme="minorHAnsi"/>
        </w:rPr>
        <w:t xml:space="preserve">the </w:t>
      </w:r>
      <w:r w:rsidRPr="007D4F80">
        <w:rPr>
          <w:rFonts w:eastAsiaTheme="minorHAnsi"/>
        </w:rPr>
        <w:t xml:space="preserve">labour market </w:t>
      </w:r>
      <w:r>
        <w:rPr>
          <w:rFonts w:eastAsiaTheme="minorHAnsi"/>
        </w:rPr>
        <w:t xml:space="preserve">and the inflation rate moving </w:t>
      </w:r>
      <w:r w:rsidRPr="007D4F80">
        <w:rPr>
          <w:rFonts w:eastAsiaTheme="minorHAnsi"/>
        </w:rPr>
        <w:t>back towards the middle of the Reserve Bank</w:t>
      </w:r>
      <w:r>
        <w:rPr>
          <w:rFonts w:eastAsiaTheme="minorHAnsi"/>
        </w:rPr>
        <w:t>’</w:t>
      </w:r>
      <w:r w:rsidRPr="007D4F80">
        <w:rPr>
          <w:rFonts w:eastAsiaTheme="minorHAnsi"/>
        </w:rPr>
        <w:t xml:space="preserve">s </w:t>
      </w:r>
      <w:r>
        <w:rPr>
          <w:rFonts w:eastAsiaTheme="minorHAnsi"/>
        </w:rPr>
        <w:t>national target band.</w:t>
      </w:r>
    </w:p>
    <w:p w:rsidR="007A09DB" w:rsidRDefault="007A09DB" w:rsidP="00C31523">
      <w:pPr>
        <w:pStyle w:val="Heading3"/>
        <w:rPr>
          <w:rFonts w:eastAsiaTheme="minorHAnsi"/>
        </w:rPr>
      </w:pPr>
      <w:bookmarkStart w:id="34" w:name="BP2Population1"/>
      <w:bookmarkStart w:id="35" w:name="BP2Migration1"/>
      <w:r w:rsidRPr="006A27D6">
        <w:rPr>
          <w:rFonts w:eastAsiaTheme="minorHAnsi"/>
        </w:rPr>
        <w:t>Population</w:t>
      </w:r>
    </w:p>
    <w:p w:rsidR="007A09DB" w:rsidRDefault="007A09DB" w:rsidP="00646027">
      <w:pPr>
        <w:rPr>
          <w:rFonts w:eastAsiaTheme="minorHAnsi"/>
        </w:rPr>
      </w:pPr>
      <w:r>
        <w:rPr>
          <w:rFonts w:eastAsiaTheme="minorHAnsi"/>
        </w:rPr>
        <w:t xml:space="preserve">Population growth is expected to remain strong over the forward estimates, driven by high net overseas migration. Victoria’s population grew by 1.7 per cent </w:t>
      </w:r>
      <w:r w:rsidRPr="00646027">
        <w:rPr>
          <w:rFonts w:eastAsiaTheme="minorHAnsi"/>
        </w:rPr>
        <w:t xml:space="preserve">over the year to </w:t>
      </w:r>
      <w:r>
        <w:rPr>
          <w:rFonts w:eastAsiaTheme="minorHAnsi"/>
        </w:rPr>
        <w:t xml:space="preserve">September 2015, the fastest rate of any state. </w:t>
      </w:r>
    </w:p>
    <w:p w:rsidR="007A09DB" w:rsidRDefault="007A09DB" w:rsidP="00C31523">
      <w:pPr>
        <w:rPr>
          <w:rFonts w:eastAsiaTheme="minorHAnsi"/>
        </w:rPr>
      </w:pPr>
      <w:r>
        <w:rPr>
          <w:rFonts w:eastAsiaTheme="minorHAnsi"/>
        </w:rPr>
        <w:t xml:space="preserve">Victoria </w:t>
      </w:r>
      <w:r w:rsidRPr="008E0795">
        <w:rPr>
          <w:rFonts w:eastAsiaTheme="minorHAnsi"/>
        </w:rPr>
        <w:t xml:space="preserve">accounted for </w:t>
      </w:r>
      <w:r>
        <w:rPr>
          <w:rFonts w:eastAsiaTheme="minorHAnsi"/>
        </w:rPr>
        <w:t xml:space="preserve">a third </w:t>
      </w:r>
      <w:r w:rsidRPr="008E0795">
        <w:rPr>
          <w:rFonts w:eastAsiaTheme="minorHAnsi"/>
        </w:rPr>
        <w:t xml:space="preserve">of national net overseas migration </w:t>
      </w:r>
      <w:r>
        <w:rPr>
          <w:rFonts w:eastAsiaTheme="minorHAnsi"/>
        </w:rPr>
        <w:t xml:space="preserve">in </w:t>
      </w:r>
      <w:r w:rsidRPr="008E0795">
        <w:rPr>
          <w:rFonts w:eastAsiaTheme="minorHAnsi"/>
        </w:rPr>
        <w:t>the year to September</w:t>
      </w:r>
      <w:r>
        <w:rPr>
          <w:rFonts w:eastAsiaTheme="minorHAnsi"/>
        </w:rPr>
        <w:t> </w:t>
      </w:r>
      <w:r w:rsidRPr="008E0795">
        <w:rPr>
          <w:rFonts w:eastAsiaTheme="minorHAnsi"/>
        </w:rPr>
        <w:t>2015.</w:t>
      </w:r>
      <w:r>
        <w:rPr>
          <w:rFonts w:eastAsiaTheme="minorHAnsi"/>
        </w:rPr>
        <w:t xml:space="preserve"> Victoria </w:t>
      </w:r>
      <w:r w:rsidRPr="004F4BAC">
        <w:rPr>
          <w:rFonts w:eastAsiaTheme="minorHAnsi"/>
        </w:rPr>
        <w:t>also recorded the highest net interstate migration of all jurisdictions</w:t>
      </w:r>
      <w:r>
        <w:rPr>
          <w:rFonts w:eastAsiaTheme="minorHAnsi"/>
        </w:rPr>
        <w:t>, r</w:t>
      </w:r>
      <w:r w:rsidRPr="004F4BAC">
        <w:rPr>
          <w:rFonts w:eastAsiaTheme="minorHAnsi"/>
        </w:rPr>
        <w:t>eflecting the attractiveness of Victoria as a place to live and confidence in its economic future</w:t>
      </w:r>
      <w:r>
        <w:rPr>
          <w:rFonts w:eastAsiaTheme="minorHAnsi"/>
        </w:rPr>
        <w:t xml:space="preserve"> (see Chart 2.1). Latest </w:t>
      </w:r>
      <w:r w:rsidRPr="001F45BD">
        <w:rPr>
          <w:rFonts w:eastAsiaTheme="minorHAnsi"/>
        </w:rPr>
        <w:t>Australian Bureau of Statistics</w:t>
      </w:r>
      <w:r>
        <w:rPr>
          <w:rFonts w:eastAsiaTheme="minorHAnsi"/>
        </w:rPr>
        <w:t xml:space="preserve"> population projections show that Melbourne’s population could exceed Sydney’s in 2030.</w:t>
      </w:r>
    </w:p>
    <w:p w:rsidR="007A09DB" w:rsidRDefault="007A09DB" w:rsidP="00E8388B">
      <w:pPr>
        <w:pStyle w:val="Chartheading"/>
        <w:spacing w:before="120"/>
        <w:rPr>
          <w:rFonts w:eastAsiaTheme="minorHAnsi"/>
        </w:rPr>
      </w:pPr>
      <w:r>
        <w:rPr>
          <w:rFonts w:eastAsiaTheme="minorHAnsi"/>
        </w:rPr>
        <w:lastRenderedPageBreak/>
        <w:t>Chart 2.1:</w:t>
      </w:r>
      <w:r>
        <w:rPr>
          <w:rFonts w:eastAsiaTheme="minorHAnsi"/>
        </w:rPr>
        <w:tab/>
        <w:t>Annual population growth and net interstate migration</w:t>
      </w:r>
    </w:p>
    <w:p w:rsidR="007A09DB" w:rsidRPr="00DD4F1A" w:rsidRDefault="00D71529" w:rsidP="00DD4F1A">
      <w:pPr>
        <w:pStyle w:val="Chartpara"/>
        <w:rPr>
          <w:rFonts w:eastAsiaTheme="minorHAnsi"/>
        </w:rPr>
      </w:pPr>
      <w:r>
        <w:rPr>
          <w:rFonts w:eastAsiaTheme="minorHAnsi"/>
        </w:rPr>
        <w:pict>
          <v:shape id="_x0000_i1027" type="#_x0000_t75" style="width:382pt;height:255pt">
            <v:imagedata r:id="rId21" o:title=""/>
          </v:shape>
        </w:pict>
      </w:r>
    </w:p>
    <w:p w:rsidR="007A09DB" w:rsidRPr="00E8388B" w:rsidRDefault="007A09DB" w:rsidP="00E8388B">
      <w:pPr>
        <w:pStyle w:val="Source"/>
        <w:rPr>
          <w:rFonts w:eastAsiaTheme="minorHAnsi"/>
        </w:rPr>
      </w:pPr>
      <w:r w:rsidRPr="00E8388B">
        <w:rPr>
          <w:rStyle w:val="SourceChar"/>
          <w:i/>
        </w:rPr>
        <w:t>Sources: Australian Bureau of Statistics; Department of Treasury and Finance</w:t>
      </w:r>
      <w:r>
        <w:rPr>
          <w:rStyle w:val="SourceChar"/>
          <w:i/>
        </w:rPr>
        <w:fldChar w:fldCharType="begin"/>
      </w:r>
      <w:r>
        <w:instrText xml:space="preserve"> XE "E</w:instrText>
      </w:r>
      <w:r w:rsidRPr="00EC2F26">
        <w:rPr>
          <w:rFonts w:eastAsiaTheme="minorHAnsi"/>
        </w:rPr>
        <w:instrText>conomic conditions:</w:instrText>
      </w:r>
      <w:r w:rsidRPr="00EC2F26">
        <w:instrText>Victorian</w:instrText>
      </w:r>
      <w:r>
        <w:instrText xml:space="preserve">" \r "BPVicEcoConditions1" </w:instrText>
      </w:r>
      <w:r>
        <w:rPr>
          <w:rStyle w:val="SourceChar"/>
          <w:i/>
        </w:rPr>
        <w:fldChar w:fldCharType="end"/>
      </w:r>
      <w:r>
        <w:rPr>
          <w:rStyle w:val="SourceChar"/>
          <w:i/>
        </w:rPr>
        <w:fldChar w:fldCharType="begin"/>
      </w:r>
      <w:r>
        <w:instrText xml:space="preserve"> XE "</w:instrText>
      </w:r>
      <w:r w:rsidRPr="002C699B">
        <w:rPr>
          <w:rFonts w:eastAsiaTheme="minorHAnsi"/>
        </w:rPr>
        <w:instrText>Population</w:instrText>
      </w:r>
      <w:r w:rsidR="00FF6229">
        <w:rPr>
          <w:rFonts w:eastAsiaTheme="minorHAnsi"/>
        </w:rPr>
        <w:instrText>:Growth</w:instrText>
      </w:r>
      <w:r>
        <w:instrText xml:space="preserve">" \r "BP2Population1" </w:instrText>
      </w:r>
      <w:r>
        <w:rPr>
          <w:rStyle w:val="SourceChar"/>
          <w:i/>
        </w:rPr>
        <w:fldChar w:fldCharType="end"/>
      </w:r>
      <w:r w:rsidR="00FF6229">
        <w:rPr>
          <w:rStyle w:val="SourceChar"/>
          <w:i/>
        </w:rPr>
        <w:fldChar w:fldCharType="begin"/>
      </w:r>
      <w:r w:rsidR="00FF6229">
        <w:instrText xml:space="preserve"> XE "</w:instrText>
      </w:r>
      <w:r w:rsidR="00FF6229" w:rsidRPr="007D2360">
        <w:rPr>
          <w:rFonts w:eastAsiaTheme="minorHAnsi"/>
        </w:rPr>
        <w:instrText>Migration</w:instrText>
      </w:r>
      <w:r w:rsidR="00FF6229">
        <w:instrText xml:space="preserve">" \r "BP2Migration1" </w:instrText>
      </w:r>
      <w:r w:rsidR="00FF6229">
        <w:rPr>
          <w:rStyle w:val="SourceChar"/>
          <w:i/>
        </w:rPr>
        <w:fldChar w:fldCharType="end"/>
      </w:r>
    </w:p>
    <w:p w:rsidR="007A09DB" w:rsidRDefault="007A09DB" w:rsidP="00C31523">
      <w:pPr>
        <w:pStyle w:val="Heading1"/>
        <w:rPr>
          <w:rFonts w:eastAsiaTheme="minorHAnsi"/>
        </w:rPr>
      </w:pPr>
      <w:bookmarkStart w:id="36" w:name="_Toc449123056"/>
      <w:bookmarkEnd w:id="32"/>
      <w:bookmarkEnd w:id="34"/>
      <w:bookmarkEnd w:id="35"/>
      <w:r>
        <w:rPr>
          <w:rFonts w:eastAsiaTheme="minorHAnsi"/>
        </w:rPr>
        <w:t xml:space="preserve">The Victorian </w:t>
      </w:r>
      <w:r w:rsidRPr="000A595E">
        <w:rPr>
          <w:rFonts w:eastAsiaTheme="minorHAnsi"/>
        </w:rPr>
        <w:t>labour market</w:t>
      </w:r>
      <w:bookmarkEnd w:id="36"/>
    </w:p>
    <w:p w:rsidR="007A09DB" w:rsidRDefault="007A09DB" w:rsidP="00BB4EBA">
      <w:pPr>
        <w:rPr>
          <w:rFonts w:eastAsiaTheme="minorHAnsi"/>
        </w:rPr>
      </w:pPr>
      <w:bookmarkStart w:id="37" w:name="BP2Unemploy2"/>
      <w:r w:rsidRPr="00415902">
        <w:rPr>
          <w:rFonts w:eastAsiaTheme="minorHAnsi"/>
        </w:rPr>
        <w:t>Victorian labour market conditions strengthened in 2015</w:t>
      </w:r>
      <w:r>
        <w:rPr>
          <w:rFonts w:eastAsiaTheme="minorHAnsi"/>
        </w:rPr>
        <w:t xml:space="preserve">, </w:t>
      </w:r>
      <w:r w:rsidRPr="00415902">
        <w:rPr>
          <w:rFonts w:eastAsiaTheme="minorHAnsi"/>
        </w:rPr>
        <w:t>with Victoria</w:t>
      </w:r>
      <w:r>
        <w:rPr>
          <w:rFonts w:eastAsiaTheme="minorHAnsi"/>
        </w:rPr>
        <w:t xml:space="preserve">’s </w:t>
      </w:r>
      <w:r w:rsidRPr="00415902">
        <w:rPr>
          <w:rFonts w:eastAsiaTheme="minorHAnsi"/>
        </w:rPr>
        <w:t>employment growt</w:t>
      </w:r>
      <w:r>
        <w:rPr>
          <w:rFonts w:eastAsiaTheme="minorHAnsi"/>
        </w:rPr>
        <w:t>h</w:t>
      </w:r>
      <w:r>
        <w:rPr>
          <w:rFonts w:eastAsiaTheme="minorHAnsi"/>
        </w:rPr>
        <w:fldChar w:fldCharType="begin"/>
      </w:r>
      <w:r>
        <w:instrText xml:space="preserve"> XE "</w:instrText>
      </w:r>
      <w:r w:rsidRPr="004C7B61">
        <w:rPr>
          <w:rFonts w:eastAsiaTheme="minorHAnsi"/>
        </w:rPr>
        <w:instrText>Employment:</w:instrText>
      </w:r>
      <w:r w:rsidRPr="004C7B61">
        <w:instrText>Growth</w:instrText>
      </w:r>
      <w:r>
        <w:instrText xml:space="preserve">" </w:instrText>
      </w:r>
      <w:r>
        <w:rPr>
          <w:rFonts w:eastAsiaTheme="minorHAnsi"/>
        </w:rPr>
        <w:fldChar w:fldCharType="end"/>
      </w:r>
      <w:r>
        <w:rPr>
          <w:rFonts w:eastAsiaTheme="minorHAnsi"/>
        </w:rPr>
        <w:fldChar w:fldCharType="begin"/>
      </w:r>
      <w:r>
        <w:instrText xml:space="preserve"> XE "Labour market:</w:instrText>
      </w:r>
      <w:r w:rsidRPr="004C7B61">
        <w:rPr>
          <w:rFonts w:eastAsiaTheme="minorHAnsi"/>
        </w:rPr>
        <w:instrText>Employment</w:instrText>
      </w:r>
      <w:r>
        <w:rPr>
          <w:rFonts w:eastAsiaTheme="minorHAnsi"/>
        </w:rPr>
        <w:instrText xml:space="preserve"> g</w:instrText>
      </w:r>
      <w:r w:rsidRPr="004C7B61">
        <w:instrText>rowth</w:instrText>
      </w:r>
      <w:r>
        <w:instrText xml:space="preserve">" </w:instrText>
      </w:r>
      <w:r>
        <w:rPr>
          <w:rFonts w:eastAsiaTheme="minorHAnsi"/>
        </w:rPr>
        <w:fldChar w:fldCharType="end"/>
      </w:r>
      <w:r>
        <w:rPr>
          <w:rFonts w:eastAsiaTheme="minorHAnsi"/>
        </w:rPr>
        <w:t xml:space="preserve"> leading the nation (see Chart </w:t>
      </w:r>
      <w:r w:rsidRPr="00415902">
        <w:rPr>
          <w:rFonts w:eastAsiaTheme="minorHAnsi"/>
        </w:rPr>
        <w:t>2.</w:t>
      </w:r>
      <w:r>
        <w:rPr>
          <w:rFonts w:eastAsiaTheme="minorHAnsi"/>
        </w:rPr>
        <w:t>2</w:t>
      </w:r>
      <w:r w:rsidRPr="00415902">
        <w:rPr>
          <w:rFonts w:eastAsiaTheme="minorHAnsi"/>
        </w:rPr>
        <w:t xml:space="preserve">). After four years of persistent weakness, </w:t>
      </w:r>
      <w:r>
        <w:rPr>
          <w:rFonts w:eastAsiaTheme="minorHAnsi"/>
        </w:rPr>
        <w:t xml:space="preserve">from the latter half of 2015 </w:t>
      </w:r>
      <w:r w:rsidRPr="00415902">
        <w:rPr>
          <w:rFonts w:eastAsiaTheme="minorHAnsi"/>
        </w:rPr>
        <w:t xml:space="preserve">there </w:t>
      </w:r>
      <w:r>
        <w:rPr>
          <w:rFonts w:eastAsiaTheme="minorHAnsi"/>
        </w:rPr>
        <w:t xml:space="preserve">are positive </w:t>
      </w:r>
      <w:r w:rsidRPr="00415902">
        <w:rPr>
          <w:rFonts w:eastAsiaTheme="minorHAnsi"/>
        </w:rPr>
        <w:t>signs of growth in full</w:t>
      </w:r>
      <w:r>
        <w:rPr>
          <w:rFonts w:eastAsiaTheme="minorHAnsi"/>
        </w:rPr>
        <w:noBreakHyphen/>
        <w:t>time employment.</w:t>
      </w:r>
    </w:p>
    <w:p w:rsidR="007A09DB" w:rsidRPr="00415902" w:rsidRDefault="007A09DB" w:rsidP="00BB4EBA">
      <w:pPr>
        <w:rPr>
          <w:rFonts w:eastAsiaTheme="minorHAnsi"/>
        </w:rPr>
      </w:pPr>
      <w:r w:rsidRPr="00415902">
        <w:rPr>
          <w:rFonts w:eastAsiaTheme="minorHAnsi"/>
        </w:rPr>
        <w:t>Labour market conditions</w:t>
      </w:r>
      <w:r>
        <w:rPr>
          <w:rFonts w:eastAsiaTheme="minorHAnsi"/>
        </w:rPr>
        <w:fldChar w:fldCharType="begin"/>
      </w:r>
      <w:r>
        <w:instrText xml:space="preserve"> XE "</w:instrText>
      </w:r>
      <w:r w:rsidRPr="005E485B">
        <w:instrText>Labour market:Conditions</w:instrText>
      </w:r>
      <w:r>
        <w:instrText xml:space="preserve">" </w:instrText>
      </w:r>
      <w:r>
        <w:rPr>
          <w:rFonts w:eastAsiaTheme="minorHAnsi"/>
        </w:rPr>
        <w:fldChar w:fldCharType="end"/>
      </w:r>
      <w:r w:rsidRPr="00415902">
        <w:rPr>
          <w:rFonts w:eastAsiaTheme="minorHAnsi"/>
        </w:rPr>
        <w:t xml:space="preserve"> are expected to continue to improve in 2016</w:t>
      </w:r>
      <w:r>
        <w:rPr>
          <w:rFonts w:eastAsiaTheme="minorHAnsi"/>
        </w:rPr>
        <w:noBreakHyphen/>
      </w:r>
      <w:r w:rsidRPr="00415902">
        <w:rPr>
          <w:rFonts w:eastAsiaTheme="minorHAnsi"/>
        </w:rPr>
        <w:t>17, with employment growing above</w:t>
      </w:r>
      <w:r>
        <w:rPr>
          <w:rFonts w:eastAsiaTheme="minorHAnsi"/>
        </w:rPr>
        <w:t xml:space="preserve"> </w:t>
      </w:r>
      <w:r w:rsidRPr="00415902">
        <w:rPr>
          <w:rFonts w:eastAsiaTheme="minorHAnsi"/>
        </w:rPr>
        <w:t>trend. Employment is then expected to grow a</w:t>
      </w:r>
      <w:r>
        <w:rPr>
          <w:rFonts w:eastAsiaTheme="minorHAnsi"/>
        </w:rPr>
        <w:t xml:space="preserve">t </w:t>
      </w:r>
      <w:r w:rsidRPr="00415902">
        <w:rPr>
          <w:rFonts w:eastAsiaTheme="minorHAnsi"/>
        </w:rPr>
        <w:t>its long</w:t>
      </w:r>
      <w:r>
        <w:rPr>
          <w:rFonts w:eastAsiaTheme="minorHAnsi"/>
        </w:rPr>
        <w:noBreakHyphen/>
      </w:r>
      <w:r w:rsidRPr="00415902">
        <w:rPr>
          <w:rFonts w:eastAsiaTheme="minorHAnsi"/>
        </w:rPr>
        <w:t>run average as consumer spending</w:t>
      </w:r>
      <w:r>
        <w:rPr>
          <w:rFonts w:eastAsiaTheme="minorHAnsi"/>
        </w:rPr>
        <w:fldChar w:fldCharType="begin"/>
      </w:r>
      <w:r>
        <w:instrText xml:space="preserve"> XE "</w:instrText>
      </w:r>
      <w:r w:rsidRPr="00474088">
        <w:rPr>
          <w:rFonts w:eastAsiaTheme="minorHAnsi"/>
        </w:rPr>
        <w:instrText>Consumer spending</w:instrText>
      </w:r>
      <w:r>
        <w:instrText xml:space="preserve">" </w:instrText>
      </w:r>
      <w:r>
        <w:rPr>
          <w:rFonts w:eastAsiaTheme="minorHAnsi"/>
        </w:rPr>
        <w:fldChar w:fldCharType="end"/>
      </w:r>
      <w:r w:rsidRPr="00415902">
        <w:rPr>
          <w:rFonts w:eastAsiaTheme="minorHAnsi"/>
        </w:rPr>
        <w:t xml:space="preserve"> </w:t>
      </w:r>
      <w:r>
        <w:rPr>
          <w:rFonts w:eastAsiaTheme="minorHAnsi"/>
        </w:rPr>
        <w:t>growth returns to trend</w:t>
      </w:r>
      <w:r w:rsidRPr="00415902">
        <w:rPr>
          <w:rFonts w:eastAsiaTheme="minorHAnsi"/>
        </w:rPr>
        <w:t xml:space="preserve">. </w:t>
      </w:r>
    </w:p>
    <w:p w:rsidR="007A09DB" w:rsidRDefault="007A09DB" w:rsidP="00BB4EBA">
      <w:pPr>
        <w:rPr>
          <w:rFonts w:eastAsiaTheme="minorHAnsi"/>
        </w:rPr>
      </w:pPr>
      <w:r w:rsidRPr="00415902">
        <w:rPr>
          <w:rFonts w:eastAsiaTheme="minorHAnsi"/>
        </w:rPr>
        <w:t>Consistent with above</w:t>
      </w:r>
      <w:r>
        <w:rPr>
          <w:rFonts w:eastAsiaTheme="minorHAnsi"/>
        </w:rPr>
        <w:noBreakHyphen/>
      </w:r>
      <w:r w:rsidRPr="00415902">
        <w:rPr>
          <w:rFonts w:eastAsiaTheme="minorHAnsi"/>
        </w:rPr>
        <w:t>trend employment growth</w:t>
      </w:r>
      <w:r>
        <w:rPr>
          <w:rFonts w:eastAsiaTheme="minorHAnsi"/>
        </w:rPr>
        <w:fldChar w:fldCharType="begin"/>
      </w:r>
      <w:r>
        <w:instrText xml:space="preserve"> XE "</w:instrText>
      </w:r>
      <w:r w:rsidRPr="004C7B61">
        <w:rPr>
          <w:rFonts w:eastAsiaTheme="minorHAnsi"/>
        </w:rPr>
        <w:instrText>Employment:</w:instrText>
      </w:r>
      <w:r w:rsidRPr="004C7B61">
        <w:instrText>Growth</w:instrText>
      </w:r>
      <w:r>
        <w:instrText xml:space="preserve">" </w:instrText>
      </w:r>
      <w:r>
        <w:rPr>
          <w:rFonts w:eastAsiaTheme="minorHAnsi"/>
        </w:rPr>
        <w:fldChar w:fldCharType="end"/>
      </w:r>
      <w:r>
        <w:rPr>
          <w:rFonts w:eastAsiaTheme="minorHAnsi"/>
        </w:rPr>
        <w:fldChar w:fldCharType="begin"/>
      </w:r>
      <w:r>
        <w:instrText xml:space="preserve"> XE "Labour market:</w:instrText>
      </w:r>
      <w:r w:rsidRPr="004C7B61">
        <w:rPr>
          <w:rFonts w:eastAsiaTheme="minorHAnsi"/>
        </w:rPr>
        <w:instrText>Employment</w:instrText>
      </w:r>
      <w:r>
        <w:rPr>
          <w:rFonts w:eastAsiaTheme="minorHAnsi"/>
        </w:rPr>
        <w:instrText xml:space="preserve"> g</w:instrText>
      </w:r>
      <w:r w:rsidRPr="004C7B61">
        <w:instrText>rowth</w:instrText>
      </w:r>
      <w:r>
        <w:instrText xml:space="preserve">" </w:instrText>
      </w:r>
      <w:r>
        <w:rPr>
          <w:rFonts w:eastAsiaTheme="minorHAnsi"/>
        </w:rPr>
        <w:fldChar w:fldCharType="end"/>
      </w:r>
      <w:r w:rsidRPr="00415902">
        <w:rPr>
          <w:rFonts w:eastAsiaTheme="minorHAnsi"/>
        </w:rPr>
        <w:t>, the unemployment rate is expected to decline further in 2016</w:t>
      </w:r>
      <w:r>
        <w:rPr>
          <w:rFonts w:eastAsiaTheme="minorHAnsi"/>
        </w:rPr>
        <w:noBreakHyphen/>
      </w:r>
      <w:r w:rsidRPr="00415902">
        <w:rPr>
          <w:rFonts w:eastAsiaTheme="minorHAnsi"/>
        </w:rPr>
        <w:t xml:space="preserve">17, to an average of </w:t>
      </w:r>
      <w:r w:rsidRPr="004617A4">
        <w:rPr>
          <w:rFonts w:eastAsiaTheme="minorHAnsi"/>
        </w:rPr>
        <w:t>5.75</w:t>
      </w:r>
      <w:r>
        <w:rPr>
          <w:rFonts w:eastAsiaTheme="minorHAnsi"/>
        </w:rPr>
        <w:t> per cent</w:t>
      </w:r>
      <w:r w:rsidRPr="00415902">
        <w:rPr>
          <w:rFonts w:eastAsiaTheme="minorHAnsi"/>
        </w:rPr>
        <w:t xml:space="preserve">. Further falls in the unemployment rate are projected to occur gradually as employment </w:t>
      </w:r>
      <w:r>
        <w:rPr>
          <w:rFonts w:eastAsiaTheme="minorHAnsi"/>
        </w:rPr>
        <w:t xml:space="preserve">growth steadies </w:t>
      </w:r>
      <w:r w:rsidRPr="00415902">
        <w:rPr>
          <w:rFonts w:eastAsiaTheme="minorHAnsi"/>
        </w:rPr>
        <w:t>and the participation rate moves low</w:t>
      </w:r>
      <w:r>
        <w:rPr>
          <w:rFonts w:eastAsiaTheme="minorHAnsi"/>
        </w:rPr>
        <w:t>er in line with an ageing population.</w:t>
      </w:r>
    </w:p>
    <w:p w:rsidR="007A09DB" w:rsidRDefault="007A09DB" w:rsidP="00BB4EBA">
      <w:pPr>
        <w:rPr>
          <w:rFonts w:eastAsiaTheme="minorHAnsi"/>
        </w:rPr>
      </w:pPr>
      <w:r>
        <w:rPr>
          <w:rFonts w:eastAsiaTheme="minorHAnsi"/>
        </w:rPr>
        <w:t>There have also been signs of improvement in the youth (15</w:t>
      </w:r>
      <w:r>
        <w:rPr>
          <w:rFonts w:eastAsiaTheme="minorHAnsi"/>
        </w:rPr>
        <w:noBreakHyphen/>
        <w:t>24 years) labour market</w:t>
      </w:r>
      <w:r>
        <w:rPr>
          <w:rFonts w:eastAsiaTheme="minorHAnsi"/>
        </w:rPr>
        <w:fldChar w:fldCharType="begin"/>
      </w:r>
      <w:r>
        <w:instrText xml:space="preserve"> XE "Labour market:</w:instrText>
      </w:r>
      <w:r>
        <w:rPr>
          <w:rFonts w:eastAsiaTheme="minorHAnsi"/>
        </w:rPr>
        <w:instrText>Youth</w:instrText>
      </w:r>
      <w:r>
        <w:instrText xml:space="preserve">" </w:instrText>
      </w:r>
      <w:r>
        <w:rPr>
          <w:rFonts w:eastAsiaTheme="minorHAnsi"/>
        </w:rPr>
        <w:fldChar w:fldCharType="end"/>
      </w:r>
      <w:r>
        <w:rPr>
          <w:rFonts w:eastAsiaTheme="minorHAnsi"/>
        </w:rPr>
        <w:t>. Victoria’s youth unemployment</w:t>
      </w:r>
      <w:r w:rsidR="00D9023F">
        <w:rPr>
          <w:rFonts w:eastAsiaTheme="minorHAnsi"/>
        </w:rPr>
        <w:fldChar w:fldCharType="begin"/>
      </w:r>
      <w:r w:rsidR="00D9023F">
        <w:instrText xml:space="preserve"> XE "Unemployment:</w:instrText>
      </w:r>
      <w:r w:rsidR="00D9023F">
        <w:rPr>
          <w:rFonts w:eastAsiaTheme="minorHAnsi"/>
        </w:rPr>
        <w:instrText>Youth</w:instrText>
      </w:r>
      <w:r w:rsidR="00D9023F">
        <w:instrText xml:space="preserve">" </w:instrText>
      </w:r>
      <w:r w:rsidR="00D9023F">
        <w:rPr>
          <w:rFonts w:eastAsiaTheme="minorHAnsi"/>
        </w:rPr>
        <w:fldChar w:fldCharType="end"/>
      </w:r>
      <w:r>
        <w:rPr>
          <w:rFonts w:eastAsiaTheme="minorHAnsi"/>
        </w:rPr>
        <w:t xml:space="preserve"> rate has fallen from 15.1 per cent to 13.7 per cent over the past year, with the number of unemployed young Victorians decreasing by 9.5 per cent. </w:t>
      </w:r>
    </w:p>
    <w:p w:rsidR="007A09DB" w:rsidRDefault="007A09DB" w:rsidP="00BB4EBA">
      <w:pPr>
        <w:rPr>
          <w:rFonts w:eastAsiaTheme="minorHAnsi"/>
        </w:rPr>
      </w:pPr>
      <w:r>
        <w:rPr>
          <w:rFonts w:eastAsiaTheme="minorHAnsi"/>
        </w:rPr>
        <w:t>Coupled with the improvement in the youth labour market</w:t>
      </w:r>
      <w:r>
        <w:rPr>
          <w:rFonts w:eastAsiaTheme="minorHAnsi"/>
        </w:rPr>
        <w:fldChar w:fldCharType="begin"/>
      </w:r>
      <w:r>
        <w:instrText xml:space="preserve"> XE "Labour market:</w:instrText>
      </w:r>
      <w:r>
        <w:rPr>
          <w:rFonts w:eastAsiaTheme="minorHAnsi"/>
        </w:rPr>
        <w:instrText>Youth</w:instrText>
      </w:r>
      <w:r>
        <w:instrText xml:space="preserve">" </w:instrText>
      </w:r>
      <w:r>
        <w:rPr>
          <w:rFonts w:eastAsiaTheme="minorHAnsi"/>
        </w:rPr>
        <w:fldChar w:fldCharType="end"/>
      </w:r>
      <w:r>
        <w:rPr>
          <w:rFonts w:eastAsiaTheme="minorHAnsi"/>
        </w:rPr>
        <w:t>, Victoria continues to have the highest share of young people in full</w:t>
      </w:r>
      <w:r>
        <w:rPr>
          <w:rFonts w:eastAsiaTheme="minorHAnsi"/>
        </w:rPr>
        <w:noBreakHyphen/>
        <w:t xml:space="preserve">time education of </w:t>
      </w:r>
      <w:r>
        <w:rPr>
          <w:rFonts w:eastAsiaTheme="minorHAnsi"/>
        </w:rPr>
        <w:lastRenderedPageBreak/>
        <w:t xml:space="preserve">all states. This pattern reflects the broader trend in the labour market towards skilled occupations and a greater uptake of higher qualifications. </w:t>
      </w:r>
    </w:p>
    <w:p w:rsidR="007A09DB" w:rsidRDefault="007A09DB" w:rsidP="00BB4EBA">
      <w:pPr>
        <w:pStyle w:val="Chartheading"/>
        <w:rPr>
          <w:rFonts w:eastAsiaTheme="minorHAnsi"/>
        </w:rPr>
      </w:pPr>
      <w:r>
        <w:rPr>
          <w:rFonts w:eastAsiaTheme="minorHAnsi"/>
        </w:rPr>
        <w:t>Chart 2.2:</w:t>
      </w:r>
      <w:r>
        <w:rPr>
          <w:rFonts w:eastAsiaTheme="minorHAnsi"/>
        </w:rPr>
        <w:tab/>
        <w:t>Employment growth by state, 2015</w:t>
      </w:r>
    </w:p>
    <w:p w:rsidR="007A09DB" w:rsidRDefault="00D71529" w:rsidP="00E8388B">
      <w:pPr>
        <w:pStyle w:val="Chartpara"/>
        <w:rPr>
          <w:noProof/>
          <w:lang w:eastAsia="en-AU"/>
        </w:rPr>
      </w:pPr>
      <w:r>
        <w:rPr>
          <w:noProof/>
          <w:lang w:eastAsia="en-AU"/>
        </w:rPr>
        <w:pict>
          <v:shape id="_x0000_i1028" type="#_x0000_t75" style="width:385pt;height:262pt">
            <v:imagedata r:id="rId22" o:title=""/>
          </v:shape>
        </w:pict>
      </w:r>
    </w:p>
    <w:p w:rsidR="007A09DB" w:rsidRDefault="007A09DB" w:rsidP="00E8388B">
      <w:pPr>
        <w:pStyle w:val="Source"/>
        <w:rPr>
          <w:rStyle w:val="SourceChar"/>
          <w:i/>
        </w:rPr>
      </w:pPr>
      <w:r w:rsidRPr="00E8388B">
        <w:rPr>
          <w:rStyle w:val="SourceChar"/>
          <w:i/>
        </w:rPr>
        <w:t>Sources: Australian Bureau of Statistics; Department of Treasury and Finance</w:t>
      </w:r>
    </w:p>
    <w:p w:rsidR="007A09DB" w:rsidRPr="00EF46E7" w:rsidRDefault="007A09DB" w:rsidP="00EF46E7">
      <w:pPr>
        <w:pStyle w:val="Notes"/>
        <w:rPr>
          <w:rFonts w:eastAsiaTheme="minorHAnsi"/>
        </w:rPr>
      </w:pPr>
    </w:p>
    <w:p w:rsidR="007A09DB" w:rsidRDefault="007A09DB" w:rsidP="00403F34">
      <w:pPr>
        <w:rPr>
          <w:rFonts w:eastAsiaTheme="minorHAnsi"/>
        </w:rPr>
      </w:pPr>
      <w:r>
        <w:rPr>
          <w:rFonts w:eastAsiaTheme="minorHAnsi"/>
        </w:rPr>
        <w:t>In recent decades, key structural trends across the national economy include rising female labour force participation</w:t>
      </w:r>
      <w:r>
        <w:rPr>
          <w:rFonts w:eastAsiaTheme="minorHAnsi"/>
        </w:rPr>
        <w:fldChar w:fldCharType="begin"/>
      </w:r>
      <w:r>
        <w:instrText xml:space="preserve"> XE "</w:instrText>
      </w:r>
      <w:r w:rsidRPr="00495035">
        <w:rPr>
          <w:rFonts w:eastAsiaTheme="minorHAnsi"/>
        </w:rPr>
        <w:instrText>Labour force participation</w:instrText>
      </w:r>
      <w:r>
        <w:instrText xml:space="preserve">" </w:instrText>
      </w:r>
      <w:r>
        <w:rPr>
          <w:rFonts w:eastAsiaTheme="minorHAnsi"/>
        </w:rPr>
        <w:fldChar w:fldCharType="end"/>
      </w:r>
      <w:r>
        <w:rPr>
          <w:rFonts w:eastAsiaTheme="minorHAnsi"/>
        </w:rPr>
        <w:fldChar w:fldCharType="begin"/>
      </w:r>
      <w:r>
        <w:instrText xml:space="preserve"> XE "Labour market:</w:instrText>
      </w:r>
      <w:r w:rsidRPr="00495035">
        <w:rPr>
          <w:rFonts w:eastAsiaTheme="minorHAnsi"/>
        </w:rPr>
        <w:instrText>Labour force participation</w:instrText>
      </w:r>
      <w:r>
        <w:instrText xml:space="preserve">" </w:instrText>
      </w:r>
      <w:r>
        <w:rPr>
          <w:rFonts w:eastAsiaTheme="minorHAnsi"/>
        </w:rPr>
        <w:fldChar w:fldCharType="end"/>
      </w:r>
      <w:r>
        <w:rPr>
          <w:rFonts w:eastAsiaTheme="minorHAnsi"/>
        </w:rPr>
        <w:t>, the service sectors emerging as the predominant contributor to jobs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Pr>
          <w:rFonts w:eastAsiaTheme="minorHAnsi"/>
        </w:rPr>
        <w:t xml:space="preserve"> and increasing demand for skilled workers. </w:t>
      </w:r>
    </w:p>
    <w:p w:rsidR="007A09DB" w:rsidRDefault="007A09DB" w:rsidP="00403F34">
      <w:pPr>
        <w:rPr>
          <w:rFonts w:eastAsiaTheme="minorHAnsi"/>
        </w:rPr>
      </w:pPr>
      <w:r>
        <w:rPr>
          <w:rFonts w:eastAsiaTheme="minorHAnsi"/>
        </w:rPr>
        <w:t>The composition of Victoria’s labour market has reflected these trends and is constantly undergoing structural change</w:t>
      </w:r>
      <w:r>
        <w:rPr>
          <w:rFonts w:eastAsiaTheme="minorHAnsi"/>
        </w:rPr>
        <w:fldChar w:fldCharType="begin"/>
      </w:r>
      <w:r>
        <w:instrText xml:space="preserve"> XE "</w:instrText>
      </w:r>
      <w:r w:rsidRPr="00127CA7">
        <w:instrText>Structural change</w:instrText>
      </w:r>
      <w:r>
        <w:instrText xml:space="preserve">" </w:instrText>
      </w:r>
      <w:r>
        <w:rPr>
          <w:rFonts w:eastAsiaTheme="minorHAnsi"/>
        </w:rPr>
        <w:fldChar w:fldCharType="end"/>
      </w:r>
      <w:r>
        <w:rPr>
          <w:rFonts w:eastAsiaTheme="minorHAnsi"/>
        </w:rPr>
        <w:t>, which presents a range of challenges and opportunities. The Government is committed to ensuring Victorians are well positioned to take advantage of these trends.</w:t>
      </w:r>
    </w:p>
    <w:p w:rsidR="007A09DB" w:rsidRPr="00B43640" w:rsidRDefault="007A09DB" w:rsidP="00403F34">
      <w:pPr>
        <w:pStyle w:val="Heading2"/>
        <w:rPr>
          <w:rFonts w:eastAsiaTheme="minorHAnsi"/>
        </w:rPr>
      </w:pPr>
      <w:r>
        <w:rPr>
          <w:rFonts w:eastAsiaTheme="minorHAnsi"/>
        </w:rPr>
        <w:t>Setting up the next generation</w:t>
      </w:r>
    </w:p>
    <w:p w:rsidR="007A09DB" w:rsidRDefault="007A09DB" w:rsidP="00403F34">
      <w:pPr>
        <w:rPr>
          <w:rFonts w:eastAsiaTheme="minorHAnsi"/>
        </w:rPr>
      </w:pPr>
      <w:r w:rsidRPr="00B43640">
        <w:rPr>
          <w:rFonts w:eastAsiaTheme="minorHAnsi"/>
        </w:rPr>
        <w:t>Victoria</w:t>
      </w:r>
      <w:r>
        <w:rPr>
          <w:rFonts w:eastAsiaTheme="minorHAnsi"/>
        </w:rPr>
        <w:t>’</w:t>
      </w:r>
      <w:r w:rsidRPr="00B43640">
        <w:rPr>
          <w:rFonts w:eastAsiaTheme="minorHAnsi"/>
        </w:rPr>
        <w:t xml:space="preserve">s unemployment rate </w:t>
      </w:r>
      <w:r>
        <w:rPr>
          <w:rFonts w:eastAsiaTheme="minorHAnsi"/>
        </w:rPr>
        <w:t xml:space="preserve">of 6.9 per cent in July 2014 </w:t>
      </w:r>
      <w:r w:rsidRPr="00B43640">
        <w:rPr>
          <w:rFonts w:eastAsiaTheme="minorHAnsi"/>
        </w:rPr>
        <w:t>exceeded the immediate post</w:t>
      </w:r>
      <w:r>
        <w:rPr>
          <w:rFonts w:eastAsiaTheme="minorHAnsi"/>
        </w:rPr>
        <w:noBreakHyphen/>
      </w:r>
      <w:r w:rsidRPr="00B43640">
        <w:rPr>
          <w:rFonts w:eastAsiaTheme="minorHAnsi"/>
        </w:rPr>
        <w:t>global financial crisis high and was the culmination of a three</w:t>
      </w:r>
      <w:r>
        <w:rPr>
          <w:rFonts w:eastAsiaTheme="minorHAnsi"/>
        </w:rPr>
        <w:noBreakHyphen/>
      </w:r>
      <w:r w:rsidRPr="00B43640">
        <w:rPr>
          <w:rFonts w:eastAsiaTheme="minorHAnsi"/>
        </w:rPr>
        <w:t>year period in which the unemployment rate trended upwards (see Chart </w:t>
      </w:r>
      <w:r>
        <w:rPr>
          <w:rFonts w:eastAsiaTheme="minorHAnsi"/>
        </w:rPr>
        <w:t>2</w:t>
      </w:r>
      <w:r w:rsidRPr="00B43640">
        <w:rPr>
          <w:rFonts w:eastAsiaTheme="minorHAnsi"/>
        </w:rPr>
        <w:t>.</w:t>
      </w:r>
      <w:r>
        <w:rPr>
          <w:rFonts w:eastAsiaTheme="minorHAnsi"/>
        </w:rPr>
        <w:t>3</w:t>
      </w:r>
      <w:r w:rsidRPr="00B43640">
        <w:rPr>
          <w:rFonts w:eastAsiaTheme="minorHAnsi"/>
        </w:rPr>
        <w:t>).</w:t>
      </w:r>
    </w:p>
    <w:p w:rsidR="007A09DB" w:rsidRDefault="007A09DB" w:rsidP="00403F34">
      <w:pPr>
        <w:pStyle w:val="Chartheading"/>
      </w:pPr>
      <w:r>
        <w:lastRenderedPageBreak/>
        <w:t>Chart 2</w:t>
      </w:r>
      <w:r w:rsidRPr="00C25FC2">
        <w:t>.</w:t>
      </w:r>
      <w:r>
        <w:t>3:</w:t>
      </w:r>
      <w:r>
        <w:tab/>
        <w:t>Victorian and national t</w:t>
      </w:r>
      <w:r w:rsidRPr="00C25FC2">
        <w:t>rend unemployment</w:t>
      </w:r>
      <w:r>
        <w:t xml:space="preserve"> rates</w:t>
      </w:r>
    </w:p>
    <w:p w:rsidR="007A09DB" w:rsidRDefault="00D71529" w:rsidP="00E8388B">
      <w:pPr>
        <w:pStyle w:val="Chartpara"/>
        <w:rPr>
          <w:noProof/>
          <w:lang w:eastAsia="en-AU"/>
        </w:rPr>
      </w:pPr>
      <w:r>
        <w:rPr>
          <w:noProof/>
          <w:lang w:eastAsia="en-AU"/>
        </w:rPr>
        <w:pict>
          <v:shape id="_x0000_i1029" type="#_x0000_t75" style="width:380pt;height:262.5pt">
            <v:imagedata r:id="rId23" o:title=""/>
          </v:shape>
        </w:pict>
      </w:r>
    </w:p>
    <w:p w:rsidR="007A09DB" w:rsidRPr="00E8388B" w:rsidRDefault="007A09DB" w:rsidP="00F271AF">
      <w:pPr>
        <w:rPr>
          <w:rStyle w:val="SourceChar"/>
          <w:rFonts w:eastAsiaTheme="minorHAnsi"/>
        </w:rPr>
      </w:pPr>
      <w:r w:rsidRPr="00FC3872">
        <w:rPr>
          <w:rStyle w:val="SourceChar"/>
        </w:rPr>
        <w:t>Source: Australian Bureau of Statistics</w:t>
      </w:r>
    </w:p>
    <w:p w:rsidR="007A09DB" w:rsidRDefault="007A09DB" w:rsidP="00403F34">
      <w:pPr>
        <w:rPr>
          <w:rFonts w:eastAsiaTheme="minorHAnsi"/>
        </w:rPr>
      </w:pPr>
      <w:r w:rsidRPr="00030791">
        <w:rPr>
          <w:rFonts w:eastAsiaTheme="minorHAnsi"/>
        </w:rPr>
        <w:t>Given the weak labour market conditions that prevailed in Victoria, the Government</w:t>
      </w:r>
      <w:r>
        <w:rPr>
          <w:rFonts w:eastAsiaTheme="minorHAnsi"/>
        </w:rPr>
        <w:t>’</w:t>
      </w:r>
      <w:r w:rsidRPr="00030791">
        <w:rPr>
          <w:rFonts w:eastAsiaTheme="minorHAnsi"/>
        </w:rPr>
        <w:t xml:space="preserve">s </w:t>
      </w:r>
      <w:r w:rsidRPr="00030791">
        <w:rPr>
          <w:rFonts w:eastAsiaTheme="minorHAnsi"/>
          <w:i/>
        </w:rPr>
        <w:t>2015</w:t>
      </w:r>
      <w:r>
        <w:rPr>
          <w:rFonts w:eastAsiaTheme="minorHAnsi"/>
          <w:i/>
        </w:rPr>
        <w:noBreakHyphen/>
      </w:r>
      <w:r w:rsidRPr="00030791">
        <w:rPr>
          <w:rFonts w:eastAsiaTheme="minorHAnsi"/>
          <w:i/>
        </w:rPr>
        <w:t>16 Budget</w:t>
      </w:r>
      <w:r w:rsidRPr="00030791">
        <w:rPr>
          <w:rFonts w:eastAsiaTheme="minorHAnsi"/>
        </w:rPr>
        <w:t xml:space="preserve"> made a series of commitments to support job</w:t>
      </w:r>
      <w:r>
        <w:rPr>
          <w:rFonts w:eastAsiaTheme="minorHAnsi"/>
        </w:rPr>
        <w:t>s</w:t>
      </w:r>
      <w:r w:rsidRPr="00030791">
        <w:rPr>
          <w:rFonts w:eastAsiaTheme="minorHAnsi"/>
        </w:rPr>
        <w:t xml:space="preserve">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sidRPr="00030791">
        <w:rPr>
          <w:rFonts w:eastAsiaTheme="minorHAnsi"/>
        </w:rPr>
        <w:t xml:space="preserve"> in the Victorian economy. This included $100</w:t>
      </w:r>
      <w:r>
        <w:rPr>
          <w:rFonts w:eastAsiaTheme="minorHAnsi"/>
        </w:rPr>
        <w:t> million</w:t>
      </w:r>
      <w:r w:rsidRPr="00030791">
        <w:rPr>
          <w:rFonts w:eastAsiaTheme="minorHAnsi"/>
        </w:rPr>
        <w:t xml:space="preserve"> for the Back to Work </w:t>
      </w:r>
      <w:r>
        <w:rPr>
          <w:rFonts w:eastAsiaTheme="minorHAnsi"/>
        </w:rPr>
        <w:t>Scheme</w:t>
      </w:r>
      <w:r>
        <w:rPr>
          <w:rFonts w:eastAsiaTheme="minorHAnsi"/>
        </w:rPr>
        <w:fldChar w:fldCharType="begin"/>
      </w:r>
      <w:r>
        <w:instrText xml:space="preserve"> XE "</w:instrText>
      </w:r>
      <w:r w:rsidRPr="00F949C6">
        <w:rPr>
          <w:rFonts w:eastAsiaTheme="minorHAnsi"/>
        </w:rPr>
        <w:instrText>Back to Work</w:instrText>
      </w:r>
      <w:r>
        <w:rPr>
          <w:rFonts w:eastAsiaTheme="minorHAnsi"/>
        </w:rPr>
        <w:instrText xml:space="preserve"> </w:instrText>
      </w:r>
      <w:r w:rsidRPr="00F949C6">
        <w:instrText>Scheme</w:instrText>
      </w:r>
      <w:r>
        <w:instrText xml:space="preserve">" </w:instrText>
      </w:r>
      <w:r>
        <w:rPr>
          <w:rFonts w:eastAsiaTheme="minorHAnsi"/>
        </w:rPr>
        <w:fldChar w:fldCharType="end"/>
      </w:r>
      <w:r>
        <w:rPr>
          <w:rFonts w:eastAsiaTheme="minorHAnsi"/>
        </w:rPr>
        <w:t>,</w:t>
      </w:r>
      <w:r w:rsidRPr="00030791">
        <w:rPr>
          <w:rFonts w:eastAsiaTheme="minorHAnsi"/>
        </w:rPr>
        <w:t xml:space="preserve"> $508</w:t>
      </w:r>
      <w:r>
        <w:rPr>
          <w:rFonts w:eastAsiaTheme="minorHAnsi"/>
        </w:rPr>
        <w:t> million</w:t>
      </w:r>
      <w:r w:rsidRPr="00030791">
        <w:rPr>
          <w:rFonts w:eastAsiaTheme="minorHAnsi"/>
        </w:rPr>
        <w:t xml:space="preserve"> for the Premier</w:t>
      </w:r>
      <w:r>
        <w:rPr>
          <w:rFonts w:eastAsiaTheme="minorHAnsi"/>
        </w:rPr>
        <w:t>’</w:t>
      </w:r>
      <w:r w:rsidRPr="00030791">
        <w:rPr>
          <w:rFonts w:eastAsiaTheme="minorHAnsi"/>
        </w:rPr>
        <w:t xml:space="preserve">s Jobs and Investment </w:t>
      </w:r>
      <w:r>
        <w:rPr>
          <w:rFonts w:eastAsiaTheme="minorHAnsi"/>
        </w:rPr>
        <w:t>Fund</w:t>
      </w:r>
      <w:r w:rsidR="0078635B">
        <w:rPr>
          <w:rFonts w:eastAsiaTheme="minorHAnsi"/>
        </w:rPr>
        <w:fldChar w:fldCharType="begin"/>
      </w:r>
      <w:r w:rsidR="0078635B">
        <w:instrText xml:space="preserve"> XE "</w:instrText>
      </w:r>
      <w:r w:rsidR="0078635B" w:rsidRPr="006628BD">
        <w:rPr>
          <w:rFonts w:eastAsiaTheme="minorHAnsi"/>
        </w:rPr>
        <w:instrText>Premier’s Jobs and Investment Fund</w:instrText>
      </w:r>
      <w:r w:rsidR="0078635B">
        <w:instrText xml:space="preserve">" </w:instrText>
      </w:r>
      <w:r w:rsidR="0078635B">
        <w:rPr>
          <w:rFonts w:eastAsiaTheme="minorHAnsi"/>
        </w:rPr>
        <w:fldChar w:fldCharType="end"/>
      </w:r>
      <w:r w:rsidRPr="00030791">
        <w:rPr>
          <w:rFonts w:eastAsiaTheme="minorHAnsi"/>
        </w:rPr>
        <w:t xml:space="preserve"> and $200</w:t>
      </w:r>
      <w:r>
        <w:rPr>
          <w:rFonts w:eastAsiaTheme="minorHAnsi"/>
        </w:rPr>
        <w:t> million</w:t>
      </w:r>
      <w:r w:rsidRPr="00030791">
        <w:rPr>
          <w:rFonts w:eastAsiaTheme="minorHAnsi"/>
        </w:rPr>
        <w:t xml:space="preserve"> for the Regional Jobs Fund</w:t>
      </w:r>
      <w:r w:rsidR="0078635B">
        <w:rPr>
          <w:rFonts w:eastAsiaTheme="minorHAnsi"/>
        </w:rPr>
        <w:fldChar w:fldCharType="begin"/>
      </w:r>
      <w:r w:rsidR="0078635B">
        <w:instrText xml:space="preserve"> XE "</w:instrText>
      </w:r>
      <w:r w:rsidR="0078635B">
        <w:rPr>
          <w:rFonts w:eastAsiaTheme="minorHAnsi"/>
        </w:rPr>
        <w:instrText>Regional Jobs Fund</w:instrText>
      </w:r>
      <w:r w:rsidR="0078635B">
        <w:instrText xml:space="preserve">" </w:instrText>
      </w:r>
      <w:r w:rsidR="0078635B">
        <w:rPr>
          <w:rFonts w:eastAsiaTheme="minorHAnsi"/>
        </w:rPr>
        <w:fldChar w:fldCharType="end"/>
      </w:r>
      <w:r w:rsidRPr="00030791">
        <w:rPr>
          <w:rFonts w:eastAsiaTheme="minorHAnsi"/>
        </w:rPr>
        <w:t>. The Government</w:t>
      </w:r>
      <w:r>
        <w:rPr>
          <w:rFonts w:eastAsiaTheme="minorHAnsi"/>
        </w:rPr>
        <w:t>’</w:t>
      </w:r>
      <w:r w:rsidRPr="00030791">
        <w:rPr>
          <w:rFonts w:eastAsiaTheme="minorHAnsi"/>
        </w:rPr>
        <w:t>s second budget builds and expands on these initiatives to ensure continued strong jobs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sidRPr="00030791">
        <w:rPr>
          <w:rFonts w:eastAsiaTheme="minorHAnsi"/>
        </w:rPr>
        <w:t xml:space="preserve"> in Victoria.</w:t>
      </w:r>
    </w:p>
    <w:p w:rsidR="007A09DB" w:rsidRDefault="007A09DB" w:rsidP="00403F34">
      <w:pPr>
        <w:rPr>
          <w:rFonts w:eastAsiaTheme="minorHAnsi"/>
        </w:rPr>
      </w:pPr>
      <w:r w:rsidRPr="005C564A">
        <w:rPr>
          <w:rFonts w:eastAsiaTheme="minorHAnsi"/>
        </w:rPr>
        <w:t xml:space="preserve">The labour market subsequently improved in 2015, with </w:t>
      </w:r>
      <w:r>
        <w:rPr>
          <w:rFonts w:eastAsiaTheme="minorHAnsi"/>
        </w:rPr>
        <w:t xml:space="preserve">Victorian </w:t>
      </w:r>
      <w:r w:rsidRPr="005C564A">
        <w:rPr>
          <w:rFonts w:eastAsiaTheme="minorHAnsi"/>
        </w:rPr>
        <w:t>jobs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sidRPr="005C564A">
        <w:rPr>
          <w:rFonts w:eastAsiaTheme="minorHAnsi"/>
        </w:rPr>
        <w:t xml:space="preserve"> leading the nation. </w:t>
      </w:r>
      <w:r>
        <w:rPr>
          <w:rFonts w:eastAsiaTheme="minorHAnsi"/>
        </w:rPr>
        <w:t xml:space="preserve">The unemployment rate continued to trend down and was in line with the national average for the majority of the year. </w:t>
      </w:r>
      <w:r w:rsidRPr="00A267D1">
        <w:rPr>
          <w:rFonts w:eastAsiaTheme="minorHAnsi"/>
        </w:rPr>
        <w:t>Aggregate hours worked</w:t>
      </w:r>
      <w:r>
        <w:rPr>
          <w:rFonts w:eastAsiaTheme="minorHAnsi"/>
        </w:rPr>
        <w:fldChar w:fldCharType="begin"/>
      </w:r>
      <w:r>
        <w:instrText xml:space="preserve"> XE "</w:instrText>
      </w:r>
      <w:r w:rsidRPr="00E67DB0">
        <w:rPr>
          <w:rFonts w:eastAsiaTheme="minorHAnsi"/>
        </w:rPr>
        <w:instrText>Hours worked</w:instrText>
      </w:r>
      <w:r>
        <w:instrText xml:space="preserve">" </w:instrText>
      </w:r>
      <w:r>
        <w:rPr>
          <w:rFonts w:eastAsiaTheme="minorHAnsi"/>
        </w:rPr>
        <w:fldChar w:fldCharType="end"/>
      </w:r>
      <w:r w:rsidRPr="00A267D1">
        <w:rPr>
          <w:rFonts w:eastAsiaTheme="minorHAnsi"/>
        </w:rPr>
        <w:t xml:space="preserve"> in the Victorian economy rose by 2.8</w:t>
      </w:r>
      <w:r>
        <w:rPr>
          <w:rFonts w:eastAsiaTheme="minorHAnsi"/>
        </w:rPr>
        <w:t> per cent</w:t>
      </w:r>
      <w:r w:rsidRPr="00A267D1">
        <w:rPr>
          <w:rFonts w:eastAsiaTheme="minorHAnsi"/>
        </w:rPr>
        <w:t xml:space="preserve">, having </w:t>
      </w:r>
      <w:r>
        <w:rPr>
          <w:rFonts w:eastAsiaTheme="minorHAnsi"/>
        </w:rPr>
        <w:t xml:space="preserve">declined </w:t>
      </w:r>
      <w:r w:rsidRPr="00A267D1">
        <w:rPr>
          <w:rFonts w:eastAsiaTheme="minorHAnsi"/>
        </w:rPr>
        <w:t>by 0.5</w:t>
      </w:r>
      <w:r>
        <w:rPr>
          <w:rFonts w:eastAsiaTheme="minorHAnsi"/>
        </w:rPr>
        <w:t> per cent</w:t>
      </w:r>
      <w:r w:rsidRPr="00A267D1">
        <w:rPr>
          <w:rFonts w:eastAsiaTheme="minorHAnsi"/>
        </w:rPr>
        <w:t xml:space="preserve"> between 2011 and 2014</w:t>
      </w:r>
      <w:r>
        <w:rPr>
          <w:rFonts w:eastAsiaTheme="minorHAnsi"/>
        </w:rPr>
        <w:t xml:space="preserve">. </w:t>
      </w:r>
    </w:p>
    <w:p w:rsidR="007A09DB" w:rsidRDefault="007A09DB" w:rsidP="00403F34">
      <w:pPr>
        <w:rPr>
          <w:rFonts w:eastAsiaTheme="minorHAnsi"/>
        </w:rPr>
      </w:pPr>
      <w:r>
        <w:rPr>
          <w:rFonts w:eastAsiaTheme="minorHAnsi"/>
        </w:rPr>
        <w:t>M</w:t>
      </w:r>
      <w:r w:rsidRPr="002F24F6">
        <w:rPr>
          <w:rFonts w:eastAsiaTheme="minorHAnsi"/>
        </w:rPr>
        <w:t>ore than two</w:t>
      </w:r>
      <w:r>
        <w:rPr>
          <w:rFonts w:eastAsiaTheme="minorHAnsi"/>
        </w:rPr>
        <w:noBreakHyphen/>
      </w:r>
      <w:r w:rsidRPr="002F24F6">
        <w:rPr>
          <w:rFonts w:eastAsiaTheme="minorHAnsi"/>
        </w:rPr>
        <w:t>thirds of the growth in aggregate hours worked</w:t>
      </w:r>
      <w:r>
        <w:rPr>
          <w:rFonts w:eastAsiaTheme="minorHAnsi"/>
        </w:rPr>
        <w:fldChar w:fldCharType="begin"/>
      </w:r>
      <w:r>
        <w:instrText xml:space="preserve"> XE "</w:instrText>
      </w:r>
      <w:r w:rsidRPr="00E67DB0">
        <w:rPr>
          <w:rFonts w:eastAsiaTheme="minorHAnsi"/>
        </w:rPr>
        <w:instrText>Hours worked</w:instrText>
      </w:r>
      <w:r>
        <w:instrText xml:space="preserve">" </w:instrText>
      </w:r>
      <w:r>
        <w:rPr>
          <w:rFonts w:eastAsiaTheme="minorHAnsi"/>
        </w:rPr>
        <w:fldChar w:fldCharType="end"/>
      </w:r>
      <w:r w:rsidRPr="002F24F6">
        <w:rPr>
          <w:rFonts w:eastAsiaTheme="minorHAnsi"/>
        </w:rPr>
        <w:t xml:space="preserve"> in 2015 could be attributed to the </w:t>
      </w:r>
      <w:r>
        <w:rPr>
          <w:rFonts w:eastAsiaTheme="minorHAnsi"/>
        </w:rPr>
        <w:t xml:space="preserve">following sectors: </w:t>
      </w:r>
      <w:r w:rsidRPr="002F24F6">
        <w:rPr>
          <w:rFonts w:eastAsiaTheme="minorHAnsi"/>
        </w:rPr>
        <w:t>construction; professional, scientific and technical services; and accommodation and food services industries.</w:t>
      </w:r>
    </w:p>
    <w:p w:rsidR="007A09DB" w:rsidRDefault="007A09DB" w:rsidP="00403F34">
      <w:pPr>
        <w:rPr>
          <w:rFonts w:eastAsiaTheme="minorHAnsi"/>
        </w:rPr>
      </w:pPr>
      <w:r w:rsidRPr="005C564A">
        <w:rPr>
          <w:rFonts w:eastAsiaTheme="minorHAnsi"/>
        </w:rPr>
        <w:t>The state, regional and youth unemployment</w:t>
      </w:r>
      <w:r>
        <w:rPr>
          <w:rFonts w:eastAsiaTheme="minorHAnsi"/>
        </w:rPr>
        <w:fldChar w:fldCharType="begin"/>
      </w:r>
      <w:r>
        <w:instrText xml:space="preserve"> XE "</w:instrText>
      </w:r>
      <w:r w:rsidRPr="00053B18">
        <w:instrText>Unemployment:</w:instrText>
      </w:r>
      <w:r>
        <w:instrText xml:space="preserve">Youth" </w:instrText>
      </w:r>
      <w:r>
        <w:rPr>
          <w:rFonts w:eastAsiaTheme="minorHAnsi"/>
        </w:rPr>
        <w:fldChar w:fldCharType="end"/>
      </w:r>
      <w:r w:rsidRPr="005C564A">
        <w:rPr>
          <w:rFonts w:eastAsiaTheme="minorHAnsi"/>
        </w:rPr>
        <w:t xml:space="preserve"> rates all fell</w:t>
      </w:r>
      <w:r>
        <w:rPr>
          <w:rFonts w:eastAsiaTheme="minorHAnsi"/>
        </w:rPr>
        <w:t xml:space="preserve"> in 2015</w:t>
      </w:r>
      <w:r w:rsidRPr="005C564A">
        <w:rPr>
          <w:rFonts w:eastAsiaTheme="minorHAnsi"/>
        </w:rPr>
        <w:t>, and employment prospects for jobseekers improved</w:t>
      </w:r>
      <w:r>
        <w:rPr>
          <w:rFonts w:eastAsiaTheme="minorHAnsi"/>
        </w:rPr>
        <w:t xml:space="preserve"> (see Chart 2.4).</w:t>
      </w:r>
      <w:r w:rsidRPr="005C564A">
        <w:rPr>
          <w:rFonts w:eastAsiaTheme="minorHAnsi"/>
        </w:rPr>
        <w:t xml:space="preserve"> The number of job vacancies </w:t>
      </w:r>
      <w:r>
        <w:rPr>
          <w:rFonts w:eastAsiaTheme="minorHAnsi"/>
        </w:rPr>
        <w:t xml:space="preserve">also </w:t>
      </w:r>
      <w:r w:rsidRPr="005C564A">
        <w:rPr>
          <w:rFonts w:eastAsiaTheme="minorHAnsi"/>
        </w:rPr>
        <w:t>surged by 25.2</w:t>
      </w:r>
      <w:r>
        <w:rPr>
          <w:rFonts w:eastAsiaTheme="minorHAnsi"/>
        </w:rPr>
        <w:t> per cent</w:t>
      </w:r>
      <w:r w:rsidRPr="005C564A">
        <w:rPr>
          <w:rFonts w:eastAsiaTheme="minorHAnsi"/>
        </w:rPr>
        <w:t xml:space="preserve"> </w:t>
      </w:r>
      <w:r>
        <w:rPr>
          <w:rFonts w:eastAsiaTheme="minorHAnsi"/>
        </w:rPr>
        <w:t>over this period</w:t>
      </w:r>
      <w:r w:rsidRPr="005C564A">
        <w:rPr>
          <w:rFonts w:eastAsiaTheme="minorHAnsi"/>
        </w:rPr>
        <w:t>, with Victorian internet job vacancy indices recording double</w:t>
      </w:r>
      <w:r>
        <w:rPr>
          <w:rFonts w:eastAsiaTheme="minorHAnsi"/>
        </w:rPr>
        <w:noBreakHyphen/>
      </w:r>
      <w:r w:rsidRPr="005C564A">
        <w:rPr>
          <w:rFonts w:eastAsiaTheme="minorHAnsi"/>
        </w:rPr>
        <w:t xml:space="preserve">digit growth rates. However, spare capacity remains elevated, indicating that while progress has been made, the labour market recovery </w:t>
      </w:r>
      <w:r>
        <w:rPr>
          <w:rFonts w:eastAsiaTheme="minorHAnsi"/>
        </w:rPr>
        <w:t>has further to go</w:t>
      </w:r>
      <w:r w:rsidRPr="005C564A">
        <w:rPr>
          <w:rFonts w:eastAsiaTheme="minorHAnsi"/>
        </w:rPr>
        <w:t>.</w:t>
      </w:r>
      <w:r w:rsidR="00D9023F">
        <w:rPr>
          <w:rFonts w:eastAsiaTheme="minorHAnsi"/>
        </w:rPr>
        <w:fldChar w:fldCharType="begin"/>
      </w:r>
      <w:r w:rsidR="00D9023F">
        <w:instrText xml:space="preserve"> XE "</w:instrText>
      </w:r>
      <w:r w:rsidR="00D9023F" w:rsidRPr="00600076">
        <w:rPr>
          <w:rFonts w:eastAsiaTheme="minorHAnsi"/>
        </w:rPr>
        <w:instrText>Unemployment:</w:instrText>
      </w:r>
      <w:r w:rsidR="00D9023F" w:rsidRPr="00600076">
        <w:instrText>Unemployment rate</w:instrText>
      </w:r>
      <w:r w:rsidR="00D9023F">
        <w:instrText xml:space="preserve">" \r "BP2Unemploy2" </w:instrText>
      </w:r>
      <w:r w:rsidR="00D9023F">
        <w:rPr>
          <w:rFonts w:eastAsiaTheme="minorHAnsi"/>
        </w:rPr>
        <w:fldChar w:fldCharType="end"/>
      </w:r>
      <w:r w:rsidRPr="009B2809">
        <w:rPr>
          <w:rFonts w:eastAsiaTheme="minorHAnsi"/>
        </w:rPr>
        <w:t xml:space="preserve"> </w:t>
      </w:r>
      <w:bookmarkEnd w:id="37"/>
    </w:p>
    <w:p w:rsidR="007A09DB" w:rsidRPr="00BE17F8" w:rsidRDefault="007A09DB" w:rsidP="00BE17F8">
      <w:pPr>
        <w:pStyle w:val="Chartheading"/>
        <w:rPr>
          <w:rFonts w:eastAsiaTheme="minorHAnsi"/>
        </w:rPr>
      </w:pPr>
      <w:r>
        <w:rPr>
          <w:rFonts w:eastAsiaTheme="minorHAnsi"/>
        </w:rPr>
        <w:lastRenderedPageBreak/>
        <w:t>Chart 2.4:</w:t>
      </w:r>
      <w:r>
        <w:rPr>
          <w:rFonts w:eastAsiaTheme="minorHAnsi"/>
        </w:rPr>
        <w:tab/>
        <w:t>Year</w:t>
      </w:r>
      <w:r>
        <w:rPr>
          <w:rFonts w:eastAsiaTheme="minorHAnsi"/>
        </w:rPr>
        <w:noBreakHyphen/>
        <w:t>average unemployment rates</w:t>
      </w:r>
    </w:p>
    <w:p w:rsidR="007A09DB" w:rsidRDefault="00D71529" w:rsidP="00633BC9">
      <w:pPr>
        <w:pStyle w:val="Source"/>
        <w:rPr>
          <w:rStyle w:val="SourceChar"/>
          <w:i/>
        </w:rPr>
      </w:pPr>
      <w:r>
        <w:rPr>
          <w:rFonts w:eastAsiaTheme="minorHAnsi"/>
        </w:rPr>
        <w:pict>
          <v:shape id="_x0000_i1030" type="#_x0000_t75" style="width:385.5pt;height:261.5pt">
            <v:imagedata r:id="rId24" o:title=""/>
          </v:shape>
        </w:pict>
      </w:r>
      <w:r w:rsidR="007A09DB" w:rsidRPr="00E8388B">
        <w:rPr>
          <w:rStyle w:val="SourceChar"/>
          <w:i/>
        </w:rPr>
        <w:t>Sources: Australian Bureau of Statistics; Department of Treasury and Finance</w:t>
      </w:r>
    </w:p>
    <w:p w:rsidR="007A09DB" w:rsidRPr="00BC4666" w:rsidRDefault="007A09DB" w:rsidP="00BC4666">
      <w:pPr>
        <w:rPr>
          <w:rFonts w:eastAsiaTheme="minorHAnsi"/>
        </w:rPr>
      </w:pPr>
      <w:r>
        <w:rPr>
          <w:rFonts w:eastAsiaTheme="minorHAnsi"/>
        </w:rPr>
        <w:t>Nearly two</w:t>
      </w:r>
      <w:r>
        <w:rPr>
          <w:rFonts w:eastAsiaTheme="minorHAnsi"/>
        </w:rPr>
        <w:noBreakHyphen/>
      </w:r>
      <w:r w:rsidRPr="00BC4666">
        <w:rPr>
          <w:rFonts w:eastAsiaTheme="minorHAnsi"/>
        </w:rPr>
        <w:t xml:space="preserve">thirds </w:t>
      </w:r>
      <w:r>
        <w:rPr>
          <w:rFonts w:eastAsiaTheme="minorHAnsi"/>
        </w:rPr>
        <w:t xml:space="preserve">of net </w:t>
      </w:r>
      <w:r w:rsidRPr="00BC4666">
        <w:rPr>
          <w:rFonts w:eastAsiaTheme="minorHAnsi"/>
        </w:rPr>
        <w:t>jobs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sidRPr="00BC4666">
        <w:rPr>
          <w:rFonts w:eastAsiaTheme="minorHAnsi"/>
        </w:rPr>
        <w:t xml:space="preserve"> in Victoria over the past decade </w:t>
      </w:r>
      <w:r>
        <w:rPr>
          <w:rFonts w:eastAsiaTheme="minorHAnsi"/>
        </w:rPr>
        <w:t xml:space="preserve">can be attributed to the following five industries: </w:t>
      </w:r>
      <w:r w:rsidRPr="00BC4666">
        <w:rPr>
          <w:rFonts w:eastAsiaTheme="minorHAnsi"/>
        </w:rPr>
        <w:t>health care</w:t>
      </w:r>
      <w:r>
        <w:rPr>
          <w:rFonts w:eastAsiaTheme="minorHAnsi"/>
        </w:rPr>
        <w:fldChar w:fldCharType="begin"/>
      </w:r>
      <w:r>
        <w:instrText xml:space="preserve"> XE "</w:instrText>
      </w:r>
      <w:r w:rsidRPr="000B1C8B">
        <w:rPr>
          <w:rFonts w:eastAsiaTheme="minorHAnsi"/>
        </w:rPr>
        <w:instrText>Health:</w:instrText>
      </w:r>
      <w:r w:rsidRPr="000B1C8B">
        <w:instrText>Care</w:instrText>
      </w:r>
      <w:r>
        <w:instrText xml:space="preserve">" </w:instrText>
      </w:r>
      <w:r>
        <w:rPr>
          <w:rFonts w:eastAsiaTheme="minorHAnsi"/>
        </w:rPr>
        <w:fldChar w:fldCharType="end"/>
      </w:r>
      <w:r w:rsidRPr="00BC4666">
        <w:rPr>
          <w:rFonts w:eastAsiaTheme="minorHAnsi"/>
        </w:rPr>
        <w:t xml:space="preserve"> and social assistance; professional, scientific and technical services; education and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BC4666">
        <w:rPr>
          <w:rFonts w:eastAsiaTheme="minorHAnsi"/>
        </w:rPr>
        <w:t>; construction; and public administration and safety</w:t>
      </w:r>
      <w:r>
        <w:rPr>
          <w:rFonts w:eastAsiaTheme="minorHAnsi"/>
        </w:rPr>
        <w:t xml:space="preserve">. These industries </w:t>
      </w:r>
      <w:r w:rsidRPr="00BC4666">
        <w:rPr>
          <w:rFonts w:eastAsiaTheme="minorHAnsi"/>
        </w:rPr>
        <w:t>predominantly employ workers with post</w:t>
      </w:r>
      <w:r>
        <w:rPr>
          <w:rFonts w:eastAsiaTheme="minorHAnsi"/>
        </w:rPr>
        <w:noBreakHyphen/>
      </w:r>
      <w:r w:rsidRPr="00BC4666">
        <w:rPr>
          <w:rFonts w:eastAsiaTheme="minorHAnsi"/>
        </w:rPr>
        <w:t xml:space="preserve">school qualifications. Reflecting this trend, the aggregated employment share of these five industries is </w:t>
      </w:r>
      <w:r>
        <w:rPr>
          <w:rFonts w:eastAsiaTheme="minorHAnsi"/>
        </w:rPr>
        <w:t xml:space="preserve">currently </w:t>
      </w:r>
      <w:r w:rsidRPr="00BC4666">
        <w:rPr>
          <w:rFonts w:eastAsiaTheme="minorHAnsi"/>
        </w:rPr>
        <w:t>42.7</w:t>
      </w:r>
      <w:r>
        <w:rPr>
          <w:rFonts w:eastAsiaTheme="minorHAnsi"/>
        </w:rPr>
        <w:t> per cent</w:t>
      </w:r>
      <w:r w:rsidRPr="00BC4666">
        <w:rPr>
          <w:rFonts w:eastAsiaTheme="minorHAnsi"/>
        </w:rPr>
        <w:t>, up from 38.2</w:t>
      </w:r>
      <w:r>
        <w:rPr>
          <w:rFonts w:eastAsiaTheme="minorHAnsi"/>
        </w:rPr>
        <w:t> per cent</w:t>
      </w:r>
      <w:r w:rsidRPr="00BC4666">
        <w:rPr>
          <w:rFonts w:eastAsiaTheme="minorHAnsi"/>
        </w:rPr>
        <w:t xml:space="preserve"> a decade ago.</w:t>
      </w:r>
    </w:p>
    <w:p w:rsidR="007A09DB" w:rsidRPr="002F24F6" w:rsidRDefault="007A09DB" w:rsidP="00BC4666">
      <w:pPr>
        <w:rPr>
          <w:rFonts w:eastAsiaTheme="minorHAnsi"/>
          <w:highlight w:val="yellow"/>
        </w:rPr>
      </w:pPr>
      <w:r>
        <w:rPr>
          <w:rFonts w:eastAsiaTheme="minorHAnsi"/>
        </w:rPr>
        <w:t>T</w:t>
      </w:r>
      <w:r w:rsidRPr="00BC4666">
        <w:rPr>
          <w:rFonts w:eastAsiaTheme="minorHAnsi"/>
        </w:rPr>
        <w:t>he industries driving jobs growth</w:t>
      </w:r>
      <w:r>
        <w:rPr>
          <w:rFonts w:eastAsiaTheme="minorHAnsi"/>
        </w:rPr>
        <w:fldChar w:fldCharType="begin"/>
      </w:r>
      <w:r>
        <w:instrText xml:space="preserve"> XE "</w:instrText>
      </w:r>
      <w:r w:rsidRPr="00F63DCB">
        <w:instrText>Jobs:Growth</w:instrText>
      </w:r>
      <w:r>
        <w:instrText xml:space="preserve">" </w:instrText>
      </w:r>
      <w:r>
        <w:rPr>
          <w:rFonts w:eastAsiaTheme="minorHAnsi"/>
        </w:rPr>
        <w:fldChar w:fldCharType="end"/>
      </w:r>
      <w:r w:rsidRPr="00BC4666">
        <w:rPr>
          <w:rFonts w:eastAsiaTheme="minorHAnsi"/>
        </w:rPr>
        <w:t xml:space="preserve"> in Victoria increasingly demand</w:t>
      </w:r>
      <w:r>
        <w:rPr>
          <w:rFonts w:eastAsiaTheme="minorHAnsi"/>
        </w:rPr>
        <w:t xml:space="preserve"> higher skills</w:t>
      </w:r>
      <w:r>
        <w:rPr>
          <w:rFonts w:eastAsiaTheme="minorHAnsi"/>
        </w:rPr>
        <w:fldChar w:fldCharType="begin"/>
      </w:r>
      <w:r>
        <w:instrText xml:space="preserve"> XE "</w:instrText>
      </w:r>
      <w:r w:rsidRPr="00127CA7">
        <w:rPr>
          <w:rFonts w:eastAsiaTheme="minorHAnsi"/>
        </w:rPr>
        <w:instrText>Skills</w:instrText>
      </w:r>
      <w:r>
        <w:instrText xml:space="preserve">" </w:instrText>
      </w:r>
      <w:r>
        <w:rPr>
          <w:rFonts w:eastAsiaTheme="minorHAnsi"/>
        </w:rPr>
        <w:fldChar w:fldCharType="end"/>
      </w:r>
      <w:r>
        <w:rPr>
          <w:rFonts w:eastAsiaTheme="minorHAnsi"/>
        </w:rPr>
        <w:t xml:space="preserve">. This </w:t>
      </w:r>
      <w:r w:rsidRPr="00BC4666">
        <w:rPr>
          <w:rFonts w:eastAsiaTheme="minorHAnsi"/>
        </w:rPr>
        <w:t>reinforces the need for a strong, responsive and high quality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BC4666">
        <w:rPr>
          <w:rFonts w:eastAsiaTheme="minorHAnsi"/>
        </w:rPr>
        <w:t xml:space="preserve"> system to develop the skilled workforce required to </w:t>
      </w:r>
      <w:r>
        <w:rPr>
          <w:rFonts w:eastAsiaTheme="minorHAnsi"/>
        </w:rPr>
        <w:t xml:space="preserve">reduce </w:t>
      </w:r>
      <w:r w:rsidRPr="00BC4666">
        <w:rPr>
          <w:rFonts w:eastAsiaTheme="minorHAnsi"/>
        </w:rPr>
        <w:t>spare capacity in the labour market.</w:t>
      </w:r>
    </w:p>
    <w:p w:rsidR="007A09DB" w:rsidRPr="00BC4666" w:rsidRDefault="007A09DB" w:rsidP="00BC4666">
      <w:pPr>
        <w:rPr>
          <w:rFonts w:eastAsiaTheme="minorHAnsi"/>
        </w:rPr>
      </w:pPr>
      <w:r>
        <w:rPr>
          <w:rFonts w:eastAsiaTheme="minorHAnsi"/>
        </w:rPr>
        <w:t xml:space="preserve">In addition, the need to comprehensively plan and assist workers in industries in transition is paramount. </w:t>
      </w:r>
      <w:r w:rsidRPr="00BC4666">
        <w:rPr>
          <w:rFonts w:eastAsiaTheme="minorHAnsi"/>
        </w:rPr>
        <w:t xml:space="preserve">The Government is helping Victorian automotive businesses, workers and </w:t>
      </w:r>
      <w:r>
        <w:rPr>
          <w:rFonts w:eastAsiaTheme="minorHAnsi"/>
        </w:rPr>
        <w:t xml:space="preserve">their </w:t>
      </w:r>
      <w:r w:rsidRPr="00BC4666">
        <w:rPr>
          <w:rFonts w:eastAsiaTheme="minorHAnsi"/>
        </w:rPr>
        <w:t>communities transition to new opportunities and secure jobs.</w:t>
      </w:r>
    </w:p>
    <w:p w:rsidR="007A09DB" w:rsidRPr="00BC4666" w:rsidRDefault="007A09DB" w:rsidP="00BC4666">
      <w:pPr>
        <w:rPr>
          <w:rFonts w:eastAsiaTheme="minorHAnsi"/>
        </w:rPr>
      </w:pPr>
      <w:r w:rsidRPr="00C15A22">
        <w:rPr>
          <w:rFonts w:eastAsiaTheme="minorHAnsi"/>
          <w:i/>
        </w:rPr>
        <w:t>Victoria</w:t>
      </w:r>
      <w:r>
        <w:rPr>
          <w:rFonts w:eastAsiaTheme="minorHAnsi"/>
          <w:i/>
        </w:rPr>
        <w:t>’</w:t>
      </w:r>
      <w:r w:rsidRPr="00C15A22">
        <w:rPr>
          <w:rFonts w:eastAsiaTheme="minorHAnsi"/>
          <w:i/>
        </w:rPr>
        <w:t>s</w:t>
      </w:r>
      <w:r w:rsidRPr="00BC4666">
        <w:rPr>
          <w:rFonts w:eastAsiaTheme="minorHAnsi"/>
        </w:rPr>
        <w:t xml:space="preserve"> </w:t>
      </w:r>
      <w:r w:rsidRPr="00CD7D96">
        <w:rPr>
          <w:rFonts w:eastAsiaTheme="minorHAnsi"/>
          <w:i/>
        </w:rPr>
        <w:t>Automotive Transition Plan</w:t>
      </w:r>
      <w:r>
        <w:rPr>
          <w:rFonts w:eastAsiaTheme="minorHAnsi"/>
          <w:i/>
        </w:rPr>
        <w:fldChar w:fldCharType="begin"/>
      </w:r>
      <w:r>
        <w:instrText xml:space="preserve"> XE "</w:instrText>
      </w:r>
      <w:r w:rsidRPr="002F70E3">
        <w:rPr>
          <w:rFonts w:eastAsiaTheme="minorHAnsi"/>
        </w:rPr>
        <w:instrText>Victoria’s Automotive Transition Plan</w:instrText>
      </w:r>
      <w:r>
        <w:instrText xml:space="preserve">" </w:instrText>
      </w:r>
      <w:r>
        <w:rPr>
          <w:rFonts w:eastAsiaTheme="minorHAnsi"/>
          <w:i/>
        </w:rPr>
        <w:fldChar w:fldCharType="end"/>
      </w:r>
      <w:r w:rsidRPr="00BC4666">
        <w:rPr>
          <w:rFonts w:eastAsiaTheme="minorHAnsi"/>
        </w:rPr>
        <w:t xml:space="preserve"> includes initiatives to help businesses identify and capture new opportunities in different markets, strengthen skills,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BC4666">
        <w:rPr>
          <w:rFonts w:eastAsiaTheme="minorHAnsi"/>
        </w:rPr>
        <w:t xml:space="preserve"> and job search support for affected workers, and provide incentive payments for businesses employing retrenched automotive workers.</w:t>
      </w:r>
    </w:p>
    <w:p w:rsidR="007A09DB" w:rsidRPr="00BE17F8" w:rsidRDefault="007A09DB" w:rsidP="00BE17F8">
      <w:pPr>
        <w:rPr>
          <w:rFonts w:eastAsiaTheme="minorHAnsi"/>
        </w:rPr>
      </w:pPr>
      <w:r w:rsidRPr="00BC4666">
        <w:rPr>
          <w:rFonts w:eastAsiaTheme="minorHAnsi"/>
        </w:rPr>
        <w:t xml:space="preserve">New Skills and Jobs Centres are being established across the TAFE network, providing </w:t>
      </w:r>
      <w:r w:rsidRPr="00247737">
        <w:rPr>
          <w:rFonts w:eastAsiaTheme="minorHAnsi"/>
        </w:rPr>
        <w:t>one</w:t>
      </w:r>
      <w:r>
        <w:rPr>
          <w:rFonts w:eastAsiaTheme="minorHAnsi"/>
        </w:rPr>
        <w:noBreakHyphen/>
      </w:r>
      <w:r w:rsidRPr="00247737">
        <w:rPr>
          <w:rFonts w:eastAsiaTheme="minorHAnsi"/>
        </w:rPr>
        <w:t>stop</w:t>
      </w:r>
      <w:r>
        <w:rPr>
          <w:rFonts w:eastAsiaTheme="minorHAnsi"/>
        </w:rPr>
        <w:noBreakHyphen/>
      </w:r>
      <w:r w:rsidRPr="00247737">
        <w:rPr>
          <w:rFonts w:eastAsiaTheme="minorHAnsi"/>
        </w:rPr>
        <w:t>shops to assist workers</w:t>
      </w:r>
      <w:r>
        <w:rPr>
          <w:rFonts w:eastAsiaTheme="minorHAnsi"/>
        </w:rPr>
        <w:t>,</w:t>
      </w:r>
      <w:r w:rsidRPr="00BC4666">
        <w:rPr>
          <w:rFonts w:eastAsiaTheme="minorHAnsi"/>
        </w:rPr>
        <w:t xml:space="preserve"> including those in the automotive industry</w:t>
      </w:r>
      <w:r>
        <w:rPr>
          <w:rFonts w:eastAsiaTheme="minorHAnsi"/>
        </w:rPr>
        <w:t>,</w:t>
      </w:r>
      <w:r w:rsidRPr="00BC4666">
        <w:rPr>
          <w:rFonts w:eastAsiaTheme="minorHAnsi"/>
        </w:rPr>
        <w:t xml:space="preserve"> to access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BC4666">
        <w:rPr>
          <w:rFonts w:eastAsiaTheme="minorHAnsi"/>
        </w:rPr>
        <w:t xml:space="preserve"> and job support services.</w:t>
      </w:r>
    </w:p>
    <w:p w:rsidR="007A09DB" w:rsidRDefault="007A09DB" w:rsidP="00C31523">
      <w:pPr>
        <w:pStyle w:val="Heading1"/>
        <w:rPr>
          <w:rFonts w:eastAsiaTheme="minorHAnsi"/>
        </w:rPr>
      </w:pPr>
      <w:bookmarkStart w:id="38" w:name="_Toc449123057"/>
      <w:bookmarkStart w:id="39" w:name="BP2AusEcoConditions1"/>
      <w:r>
        <w:rPr>
          <w:rFonts w:eastAsiaTheme="minorHAnsi"/>
        </w:rPr>
        <w:lastRenderedPageBreak/>
        <w:t>A</w:t>
      </w:r>
      <w:r w:rsidRPr="006A27D6">
        <w:rPr>
          <w:rFonts w:eastAsiaTheme="minorHAnsi"/>
        </w:rPr>
        <w:t>ustralian economic conditions and outlook</w:t>
      </w:r>
      <w:bookmarkEnd w:id="38"/>
    </w:p>
    <w:p w:rsidR="007A09DB" w:rsidRDefault="007A09DB" w:rsidP="00C87C6B">
      <w:r>
        <w:t>T</w:t>
      </w:r>
      <w:r w:rsidRPr="001C4A27">
        <w:t>he Australian economy remains resilient amidst an uncertain global backdrop and weak commodity prices</w:t>
      </w:r>
      <w:r>
        <w:t xml:space="preserve">. </w:t>
      </w:r>
    </w:p>
    <w:p w:rsidR="007A09DB" w:rsidRDefault="007A09DB" w:rsidP="009A49A3">
      <w:r>
        <w:t xml:space="preserve">Following the end of the mining investment boom, the Australian economy is rebalancing toward the more populous states and to areas in which Victoria has a competitive advantage, such as service industries and the knowledge economy. </w:t>
      </w:r>
    </w:p>
    <w:p w:rsidR="007A09DB" w:rsidRDefault="007A09DB" w:rsidP="00C87C6B">
      <w:r>
        <w:t>Mining investment as a driver of national growth has dropped significantly since the end of the mining boom. In 2011</w:t>
      </w:r>
      <w:r>
        <w:noBreakHyphen/>
        <w:t>12 mining investment was the most significant driver of national economic growth</w:t>
      </w:r>
      <w:r>
        <w:fldChar w:fldCharType="begin"/>
      </w:r>
      <w:r>
        <w:instrText xml:space="preserve"> XE "</w:instrText>
      </w:r>
      <w:r w:rsidRPr="007F391C">
        <w:rPr>
          <w:rFonts w:eastAsiaTheme="minorHAnsi"/>
        </w:rPr>
        <w:instrText>Economic growth</w:instrText>
      </w:r>
      <w:r>
        <w:rPr>
          <w:rFonts w:eastAsiaTheme="minorHAnsi"/>
        </w:rPr>
        <w:instrText>:National</w:instrText>
      </w:r>
      <w:r>
        <w:instrText xml:space="preserve">" </w:instrText>
      </w:r>
      <w:r>
        <w:fldChar w:fldCharType="end"/>
      </w:r>
      <w:r>
        <w:t>, whereas in 2014</w:t>
      </w:r>
      <w:r>
        <w:noBreakHyphen/>
        <w:t>15 it was a detractor from growth (see Chart 2.5). The two largest – and economically diverse – states contributed more than half of Australia’s economic growth</w:t>
      </w:r>
      <w:r>
        <w:fldChar w:fldCharType="begin"/>
      </w:r>
      <w:r>
        <w:instrText xml:space="preserve"> XE "</w:instrText>
      </w:r>
      <w:r w:rsidRPr="007F391C">
        <w:rPr>
          <w:rFonts w:eastAsiaTheme="minorHAnsi"/>
        </w:rPr>
        <w:instrText>Economic growth</w:instrText>
      </w:r>
      <w:r>
        <w:rPr>
          <w:rFonts w:eastAsiaTheme="minorHAnsi"/>
        </w:rPr>
        <w:instrText>:Australia</w:instrText>
      </w:r>
      <w:r>
        <w:instrText xml:space="preserve">" </w:instrText>
      </w:r>
      <w:r>
        <w:fldChar w:fldCharType="end"/>
      </w:r>
      <w:r>
        <w:t xml:space="preserve"> in 2014</w:t>
      </w:r>
      <w:r>
        <w:noBreakHyphen/>
        <w:t>15.</w:t>
      </w:r>
    </w:p>
    <w:p w:rsidR="007A09DB" w:rsidRDefault="007A09DB" w:rsidP="00C87C6B">
      <w:r>
        <w:t>Latest data suggest that national economic growth is likely to remain moderate in the near term as the transition away from commodity</w:t>
      </w:r>
      <w:r>
        <w:noBreakHyphen/>
        <w:t>related investment towards more balanced growth continues.</w:t>
      </w:r>
    </w:p>
    <w:p w:rsidR="007A09DB" w:rsidRDefault="007A09DB" w:rsidP="00DD4A34">
      <w:pPr>
        <w:pStyle w:val="Chartheading"/>
      </w:pPr>
      <w:r>
        <w:t>Chart 2.5:</w:t>
      </w:r>
      <w:r>
        <w:tab/>
        <w:t>Contributions to national growth, 2011</w:t>
      </w:r>
      <w:r>
        <w:noBreakHyphen/>
        <w:t>12 and 2014</w:t>
      </w:r>
      <w:r>
        <w:noBreakHyphen/>
        <w:t>15</w:t>
      </w:r>
    </w:p>
    <w:p w:rsidR="007A09DB" w:rsidRDefault="00D71529" w:rsidP="00D03DB4">
      <w:r>
        <w:pict>
          <v:shape id="_x0000_i1031" type="#_x0000_t75" style="width:384.5pt;height:224.5pt">
            <v:imagedata r:id="rId25" o:title=""/>
          </v:shape>
        </w:pict>
      </w:r>
    </w:p>
    <w:p w:rsidR="007A09DB" w:rsidRPr="00E8388B" w:rsidRDefault="007A09DB" w:rsidP="00B03745">
      <w:pPr>
        <w:pStyle w:val="Source"/>
        <w:rPr>
          <w:rFonts w:eastAsiaTheme="minorHAnsi"/>
        </w:rPr>
      </w:pPr>
      <w:r w:rsidRPr="00E8388B">
        <w:rPr>
          <w:rStyle w:val="SourceChar"/>
          <w:i/>
        </w:rPr>
        <w:t>Sources: Australian Bureau of Statistics; Department of Treasury and Finance</w:t>
      </w:r>
    </w:p>
    <w:p w:rsidR="007A09DB" w:rsidRDefault="007A09DB">
      <w:pPr>
        <w:spacing w:after="0"/>
      </w:pPr>
      <w:r>
        <w:br w:type="page"/>
      </w:r>
    </w:p>
    <w:p w:rsidR="007A09DB" w:rsidRDefault="007A09DB" w:rsidP="00C87C6B">
      <w:r>
        <w:lastRenderedPageBreak/>
        <w:t xml:space="preserve">Household consumption growth has been robust, reflecting the sustained improvement in </w:t>
      </w:r>
      <w:r>
        <w:rPr>
          <w:rFonts w:eastAsiaTheme="minorHAnsi"/>
        </w:rPr>
        <w:fldChar w:fldCharType="begin"/>
      </w:r>
      <w:r>
        <w:instrText xml:space="preserve"> XE "Labour market:</w:instrText>
      </w:r>
      <w:r w:rsidRPr="004C7B61">
        <w:rPr>
          <w:rFonts w:eastAsiaTheme="minorHAnsi"/>
        </w:rPr>
        <w:instrText>Employment</w:instrText>
      </w:r>
      <w:r>
        <w:rPr>
          <w:rFonts w:eastAsiaTheme="minorHAnsi"/>
        </w:rPr>
        <w:instrText xml:space="preserve"> g</w:instrText>
      </w:r>
      <w:r w:rsidRPr="004C7B61">
        <w:instrText>rowth</w:instrText>
      </w:r>
      <w:r>
        <w:instrText xml:space="preserve">" </w:instrText>
      </w:r>
      <w:r>
        <w:rPr>
          <w:rFonts w:eastAsiaTheme="minorHAnsi"/>
        </w:rPr>
        <w:fldChar w:fldCharType="end"/>
      </w:r>
      <w:r>
        <w:fldChar w:fldCharType="begin"/>
      </w:r>
      <w:r>
        <w:instrText xml:space="preserve"> XE "</w:instrText>
      </w:r>
      <w:r w:rsidRPr="004C7B61">
        <w:rPr>
          <w:rFonts w:eastAsiaTheme="minorHAnsi"/>
        </w:rPr>
        <w:instrText>Employment:</w:instrText>
      </w:r>
      <w:r w:rsidRPr="004C7B61">
        <w:instrText>Growth</w:instrText>
      </w:r>
      <w:r>
        <w:instrText xml:space="preserve">" </w:instrText>
      </w:r>
      <w:r>
        <w:fldChar w:fldCharType="end"/>
      </w:r>
      <w:r>
        <w:t xml:space="preserve"> over 2015 in the larger states. Dwelling investment</w:t>
      </w:r>
      <w:r>
        <w:fldChar w:fldCharType="begin"/>
      </w:r>
      <w:r>
        <w:instrText xml:space="preserve"> XE "</w:instrText>
      </w:r>
      <w:r w:rsidRPr="00746A14">
        <w:instrText>Dwelling investment</w:instrText>
      </w:r>
      <w:r>
        <w:instrText xml:space="preserve">" </w:instrText>
      </w:r>
      <w:r>
        <w:fldChar w:fldCharType="end"/>
      </w:r>
      <w:r>
        <w:t xml:space="preserve"> has also increased strongly due to the large pipeline of construction projects. </w:t>
      </w:r>
      <w:r w:rsidRPr="0013045F">
        <w:t>While business investment</w:t>
      </w:r>
      <w:r>
        <w:fldChar w:fldCharType="begin"/>
      </w:r>
      <w:r>
        <w:instrText xml:space="preserve"> XE "</w:instrText>
      </w:r>
      <w:r w:rsidRPr="008F4853">
        <w:rPr>
          <w:rFonts w:eastAsiaTheme="minorHAnsi"/>
        </w:rPr>
        <w:instrText>Business investment</w:instrText>
      </w:r>
      <w:r>
        <w:instrText xml:space="preserve">" </w:instrText>
      </w:r>
      <w:r>
        <w:fldChar w:fldCharType="end"/>
      </w:r>
      <w:r w:rsidRPr="0013045F">
        <w:t xml:space="preserve"> </w:t>
      </w:r>
      <w:r>
        <w:t>has remained soft</w:t>
      </w:r>
      <w:r w:rsidRPr="0013045F">
        <w:t xml:space="preserve">, </w:t>
      </w:r>
      <w:r>
        <w:t>positive growth was recorded for</w:t>
      </w:r>
      <w:r w:rsidRPr="0013045F">
        <w:t xml:space="preserve"> machinery and equipment and non</w:t>
      </w:r>
      <w:r>
        <w:noBreakHyphen/>
      </w:r>
      <w:r w:rsidRPr="0013045F">
        <w:t xml:space="preserve">residential building investment </w:t>
      </w:r>
      <w:r>
        <w:t>in the December quarter of 2015</w:t>
      </w:r>
      <w:r w:rsidRPr="0013045F">
        <w:t>.</w:t>
      </w:r>
      <w:r>
        <w:t xml:space="preserve"> On the other hand, </w:t>
      </w:r>
      <w:r w:rsidRPr="001C4A27">
        <w:t>mining investment continue</w:t>
      </w:r>
      <w:r>
        <w:t xml:space="preserve">s </w:t>
      </w:r>
      <w:r w:rsidRPr="001C4A27">
        <w:t xml:space="preserve">to </w:t>
      </w:r>
      <w:r>
        <w:t>decline.</w:t>
      </w:r>
    </w:p>
    <w:p w:rsidR="007A09DB" w:rsidRDefault="007A09DB" w:rsidP="00C87C6B">
      <w:r w:rsidRPr="001C4A27">
        <w:t xml:space="preserve">Industry data </w:t>
      </w:r>
      <w:r>
        <w:t>also s</w:t>
      </w:r>
      <w:r w:rsidRPr="001C4A27">
        <w:t>uggest</w:t>
      </w:r>
      <w:r>
        <w:t xml:space="preserve"> that</w:t>
      </w:r>
      <w:r w:rsidRPr="001C4A27">
        <w:t xml:space="preserve"> the recovery across</w:t>
      </w:r>
      <w:r>
        <w:t xml:space="preserve"> the </w:t>
      </w:r>
      <w:r w:rsidRPr="001C4A27">
        <w:t>non</w:t>
      </w:r>
      <w:r>
        <w:noBreakHyphen/>
      </w:r>
      <w:r w:rsidRPr="001C4A27">
        <w:t xml:space="preserve">mining </w:t>
      </w:r>
      <w:r>
        <w:t>sectors remains on track</w:t>
      </w:r>
      <w:r w:rsidRPr="00B152F7">
        <w:t>.</w:t>
      </w:r>
      <w:r w:rsidRPr="001C4A27">
        <w:t xml:space="preserve"> Output </w:t>
      </w:r>
      <w:r>
        <w:t xml:space="preserve">growth </w:t>
      </w:r>
      <w:r w:rsidRPr="001C4A27">
        <w:t xml:space="preserve">in services industries </w:t>
      </w:r>
      <w:r>
        <w:t xml:space="preserve">(financial services, public administration, and </w:t>
      </w:r>
      <w:r w:rsidRPr="001C4A27">
        <w:t>health</w:t>
      </w:r>
      <w:r>
        <w:t>) has been</w:t>
      </w:r>
      <w:r w:rsidRPr="001C4A27">
        <w:t xml:space="preserve"> strong, consistent with </w:t>
      </w:r>
      <w:r>
        <w:t xml:space="preserve">improvements in </w:t>
      </w:r>
      <w:r w:rsidRPr="001C4A27">
        <w:t xml:space="preserve">business conditions and employment. </w:t>
      </w:r>
    </w:p>
    <w:p w:rsidR="007A09DB" w:rsidRDefault="007A09DB" w:rsidP="00C87C6B">
      <w:r>
        <w:t>Looking forward, t</w:t>
      </w:r>
      <w:r w:rsidRPr="0013045F">
        <w:t xml:space="preserve">he shift towards services activity will </w:t>
      </w:r>
      <w:r>
        <w:t xml:space="preserve">underpin </w:t>
      </w:r>
      <w:r w:rsidRPr="0013045F">
        <w:t xml:space="preserve">employment, and lower petrol prices will </w:t>
      </w:r>
      <w:r>
        <w:t xml:space="preserve">improve </w:t>
      </w:r>
      <w:r w:rsidRPr="0013045F">
        <w:t>the cash flow position of most households and businesses.</w:t>
      </w:r>
    </w:p>
    <w:p w:rsidR="007A09DB" w:rsidRDefault="007A09DB" w:rsidP="00C87C6B">
      <w:bookmarkStart w:id="40" w:name="BP2Unemploy3"/>
      <w:r>
        <w:t>Consistent with improving domestic economic conditions</w:t>
      </w:r>
      <w:r>
        <w:fldChar w:fldCharType="begin"/>
      </w:r>
      <w:r>
        <w:instrText xml:space="preserve"> XE "</w:instrText>
      </w:r>
      <w:r w:rsidRPr="007F391C">
        <w:rPr>
          <w:rFonts w:eastAsiaTheme="minorHAnsi"/>
        </w:rPr>
        <w:instrText>Economic conditions</w:instrText>
      </w:r>
      <w:r>
        <w:instrText xml:space="preserve">" </w:instrText>
      </w:r>
      <w:r>
        <w:fldChar w:fldCharType="end"/>
      </w:r>
      <w:r>
        <w:t xml:space="preserve">, </w:t>
      </w:r>
      <w:r w:rsidRPr="00D76BEF">
        <w:t xml:space="preserve">underlying conditions in the </w:t>
      </w:r>
      <w:r>
        <w:t xml:space="preserve">Australian labour market remain healthy. The trend unemployment rate has been declining, and leading labour market </w:t>
      </w:r>
      <w:r w:rsidRPr="00D76BEF">
        <w:t xml:space="preserve">indicators continue </w:t>
      </w:r>
      <w:r>
        <w:t>to signal reasonable employment </w:t>
      </w:r>
      <w:r w:rsidRPr="00D76BEF">
        <w:t>growth</w:t>
      </w:r>
      <w:r>
        <w:fldChar w:fldCharType="begin"/>
      </w:r>
      <w:r>
        <w:instrText xml:space="preserve"> XE "</w:instrText>
      </w:r>
      <w:r w:rsidRPr="004C7B61">
        <w:rPr>
          <w:rFonts w:eastAsiaTheme="minorHAnsi"/>
        </w:rPr>
        <w:instrText>Employment:</w:instrText>
      </w:r>
      <w:r w:rsidRPr="004C7B61">
        <w:instrText>Growth</w:instrText>
      </w:r>
      <w:r>
        <w:instrText xml:space="preserve">" </w:instrText>
      </w:r>
      <w:r>
        <w:fldChar w:fldCharType="end"/>
      </w:r>
      <w:r w:rsidRPr="00D76BEF">
        <w:t xml:space="preserve"> in the near term, </w:t>
      </w:r>
      <w:r>
        <w:t xml:space="preserve">though </w:t>
      </w:r>
      <w:r w:rsidRPr="00D76BEF">
        <w:t>at a more moderate pace than recorded at the end of 2015.</w:t>
      </w:r>
      <w:r>
        <w:t xml:space="preserve"> </w:t>
      </w:r>
    </w:p>
    <w:p w:rsidR="007A09DB" w:rsidRDefault="007A09DB" w:rsidP="00C87C6B">
      <w:r>
        <w:t>J</w:t>
      </w:r>
      <w:r w:rsidRPr="00E6389D">
        <w:t>obs growth over the past year has been mainly in service</w:t>
      </w:r>
      <w:r>
        <w:t xml:space="preserve"> sectors (such as </w:t>
      </w:r>
      <w:r w:rsidRPr="00E6389D">
        <w:t>health</w:t>
      </w:r>
      <w:r>
        <w:t xml:space="preserve"> and retail), </w:t>
      </w:r>
      <w:r w:rsidRPr="00E6389D">
        <w:t>confirming that Australia</w:t>
      </w:r>
      <w:r>
        <w:t>’</w:t>
      </w:r>
      <w:r w:rsidRPr="00E6389D">
        <w:t>s economic growth</w:t>
      </w:r>
      <w:r>
        <w:fldChar w:fldCharType="begin"/>
      </w:r>
      <w:r>
        <w:instrText xml:space="preserve"> XE "</w:instrText>
      </w:r>
      <w:r w:rsidRPr="007F391C">
        <w:rPr>
          <w:rFonts w:eastAsiaTheme="minorHAnsi"/>
        </w:rPr>
        <w:instrText>Economic growth</w:instrText>
      </w:r>
      <w:r>
        <w:rPr>
          <w:rFonts w:eastAsiaTheme="minorHAnsi"/>
        </w:rPr>
        <w:instrText>:Australia</w:instrText>
      </w:r>
      <w:r>
        <w:instrText xml:space="preserve">" </w:instrText>
      </w:r>
      <w:r>
        <w:fldChar w:fldCharType="end"/>
      </w:r>
      <w:r w:rsidRPr="00E6389D">
        <w:t xml:space="preserve"> </w:t>
      </w:r>
      <w:r>
        <w:t xml:space="preserve">continues to </w:t>
      </w:r>
      <w:r w:rsidRPr="00E6389D">
        <w:t>transition</w:t>
      </w:r>
      <w:r>
        <w:t xml:space="preserve"> </w:t>
      </w:r>
      <w:r w:rsidRPr="00E6389D">
        <w:t>from the mining to the non</w:t>
      </w:r>
      <w:r>
        <w:noBreakHyphen/>
      </w:r>
      <w:r w:rsidRPr="00E6389D">
        <w:t>mining sectors of the economy</w:t>
      </w:r>
      <w:r>
        <w:t>.</w:t>
      </w:r>
    </w:p>
    <w:p w:rsidR="007A09DB" w:rsidRDefault="007A09DB" w:rsidP="00C87C6B">
      <w:r w:rsidRPr="00B152F7">
        <w:t>National inflation is likely to remain containe</w:t>
      </w:r>
      <w:r>
        <w:t xml:space="preserve">d over the forecast period due to </w:t>
      </w:r>
      <w:r w:rsidRPr="00B152F7">
        <w:t>spare capacity in the labour market and muted inflation</w:t>
      </w:r>
      <w:r>
        <w:t>ary</w:t>
      </w:r>
      <w:r w:rsidRPr="00B152F7">
        <w:t xml:space="preserve"> expectations.</w:t>
      </w:r>
      <w:r>
        <w:fldChar w:fldCharType="begin"/>
      </w:r>
      <w:r>
        <w:instrText xml:space="preserve"> XE "</w:instrText>
      </w:r>
      <w:r w:rsidRPr="00DB731D">
        <w:rPr>
          <w:rFonts w:eastAsiaTheme="minorHAnsi"/>
        </w:rPr>
        <w:instrText>Economic conditions:</w:instrText>
      </w:r>
      <w:r w:rsidRPr="00DB731D">
        <w:instrText>Australia</w:instrText>
      </w:r>
      <w:r>
        <w:instrText xml:space="preserve">" \r "BP2AusEcoConditions1" </w:instrText>
      </w:r>
      <w:r>
        <w:fldChar w:fldCharType="end"/>
      </w:r>
    </w:p>
    <w:p w:rsidR="007A09DB" w:rsidRDefault="007A09DB" w:rsidP="00C31523">
      <w:pPr>
        <w:pStyle w:val="Heading1"/>
        <w:rPr>
          <w:rFonts w:eastAsiaTheme="minorHAnsi"/>
        </w:rPr>
      </w:pPr>
      <w:bookmarkStart w:id="41" w:name="_Toc449123058"/>
      <w:bookmarkStart w:id="42" w:name="BPEcoG3"/>
      <w:bookmarkStart w:id="43" w:name="BP2IntEcoConditions1"/>
      <w:bookmarkEnd w:id="39"/>
      <w:r>
        <w:rPr>
          <w:rFonts w:eastAsiaTheme="minorHAnsi"/>
        </w:rPr>
        <w:t>I</w:t>
      </w:r>
      <w:r w:rsidRPr="006A27D6">
        <w:rPr>
          <w:rFonts w:eastAsiaTheme="minorHAnsi"/>
        </w:rPr>
        <w:t>nternational economic conditions and outlook</w:t>
      </w:r>
      <w:bookmarkEnd w:id="41"/>
    </w:p>
    <w:p w:rsidR="007A09DB" w:rsidRDefault="007A09DB" w:rsidP="00C87C6B">
      <w:r>
        <w:t>G</w:t>
      </w:r>
      <w:r w:rsidRPr="00B152F7">
        <w:t xml:space="preserve">lobal economic </w:t>
      </w:r>
      <w:r>
        <w:t xml:space="preserve">activity has remained subdued since the </w:t>
      </w:r>
      <w:r w:rsidRPr="00571D49">
        <w:rPr>
          <w:i/>
        </w:rPr>
        <w:t>2015</w:t>
      </w:r>
      <w:r>
        <w:rPr>
          <w:i/>
        </w:rPr>
        <w:noBreakHyphen/>
      </w:r>
      <w:r w:rsidRPr="00571D49">
        <w:rPr>
          <w:i/>
        </w:rPr>
        <w:t>16 Budget Update</w:t>
      </w:r>
      <w:r>
        <w:t>. Growth in emerging economies has slowed, while a modest recovery continued in advanced economies. The transition towards a consumer</w:t>
      </w:r>
      <w:r>
        <w:noBreakHyphen/>
        <w:t xml:space="preserve">led economy has slowed economic growth in China, as well as the growth prospects of economies with close trade and financial linkages. Lower oil prices have strained the fiscal positions of fuel exporters and weighed on their growth prospects. </w:t>
      </w:r>
      <w:r w:rsidRPr="00CB24CD">
        <w:t>Furthermore, the pickup in demand by oil importers has so far been weaker than evidence from past episodes of oil price declines would have suggested, possibly reflecting continued financial deleveraging in major advanced economies.</w:t>
      </w:r>
    </w:p>
    <w:p w:rsidR="007A09DB" w:rsidRDefault="007A09DB" w:rsidP="00C87C6B">
      <w:r>
        <w:t xml:space="preserve">In its </w:t>
      </w:r>
      <w:r w:rsidRPr="00BE25D6">
        <w:rPr>
          <w:i/>
        </w:rPr>
        <w:t xml:space="preserve">World Economic Outlook </w:t>
      </w:r>
      <w:r>
        <w:t>released in April 2016, the International Monetary Fund</w:t>
      </w:r>
      <w:r>
        <w:fldChar w:fldCharType="begin"/>
      </w:r>
      <w:r>
        <w:instrText xml:space="preserve"> XE "</w:instrText>
      </w:r>
      <w:r w:rsidRPr="003E030E">
        <w:instrText>International Monetary Fund</w:instrText>
      </w:r>
      <w:r>
        <w:instrText xml:space="preserve">" </w:instrText>
      </w:r>
      <w:r>
        <w:fldChar w:fldCharType="end"/>
      </w:r>
      <w:r>
        <w:t xml:space="preserve"> downgraded its global </w:t>
      </w:r>
      <w:r w:rsidRPr="00B152F7">
        <w:t xml:space="preserve">growth </w:t>
      </w:r>
      <w:r>
        <w:t xml:space="preserve">forecast for </w:t>
      </w:r>
      <w:r w:rsidRPr="00B152F7">
        <w:t>201</w:t>
      </w:r>
      <w:r>
        <w:t xml:space="preserve">6 (to 3.2 per cent) and </w:t>
      </w:r>
      <w:r w:rsidRPr="00B152F7">
        <w:t>201</w:t>
      </w:r>
      <w:r>
        <w:t>7</w:t>
      </w:r>
      <w:r w:rsidRPr="00B152F7">
        <w:t xml:space="preserve"> </w:t>
      </w:r>
      <w:r>
        <w:t>(to 3.5 per cent).</w:t>
      </w:r>
    </w:p>
    <w:p w:rsidR="007A09DB" w:rsidRDefault="007A09DB" w:rsidP="00C87C6B">
      <w:r w:rsidRPr="00887580">
        <w:t>Growth in the U</w:t>
      </w:r>
      <w:r>
        <w:t xml:space="preserve">nited </w:t>
      </w:r>
      <w:r w:rsidRPr="00887580">
        <w:t>S</w:t>
      </w:r>
      <w:r>
        <w:t>tates</w:t>
      </w:r>
      <w:r w:rsidRPr="00887580">
        <w:t xml:space="preserve"> economy </w:t>
      </w:r>
      <w:r>
        <w:t xml:space="preserve">slowed in the December quarter 2015. </w:t>
      </w:r>
      <w:r w:rsidRPr="00887580">
        <w:t xml:space="preserve">Despite </w:t>
      </w:r>
      <w:r>
        <w:t>an increase in growth of disposable incomes</w:t>
      </w:r>
      <w:r w:rsidRPr="00887580">
        <w:t>, household consumption</w:t>
      </w:r>
      <w:r>
        <w:fldChar w:fldCharType="begin"/>
      </w:r>
      <w:r>
        <w:instrText xml:space="preserve"> XE "</w:instrText>
      </w:r>
      <w:r w:rsidRPr="00E67DB0">
        <w:rPr>
          <w:rFonts w:eastAsiaTheme="minorHAnsi"/>
        </w:rPr>
        <w:instrText>Household consumption</w:instrText>
      </w:r>
      <w:r>
        <w:instrText xml:space="preserve">" </w:instrText>
      </w:r>
      <w:r>
        <w:fldChar w:fldCharType="end"/>
      </w:r>
      <w:r w:rsidRPr="00887580">
        <w:t xml:space="preserve"> growth eased</w:t>
      </w:r>
      <w:r>
        <w:t>. N</w:t>
      </w:r>
      <w:r w:rsidRPr="00887580">
        <w:t>on</w:t>
      </w:r>
      <w:r>
        <w:noBreakHyphen/>
      </w:r>
      <w:r w:rsidRPr="00887580">
        <w:t xml:space="preserve">residential fixed investment </w:t>
      </w:r>
      <w:r>
        <w:t xml:space="preserve">also fell for the first time in over two years. Net exports detracted from growth, in line with the </w:t>
      </w:r>
      <w:r w:rsidRPr="00887580">
        <w:t xml:space="preserve">appreciation of the </w:t>
      </w:r>
      <w:r w:rsidRPr="002F19FF">
        <w:t>US dollar</w:t>
      </w:r>
      <w:r w:rsidRPr="00887580">
        <w:t>.</w:t>
      </w:r>
    </w:p>
    <w:p w:rsidR="007A09DB" w:rsidRDefault="007A09DB">
      <w:pPr>
        <w:spacing w:after="0"/>
      </w:pPr>
      <w:r>
        <w:br w:type="page"/>
      </w:r>
    </w:p>
    <w:p w:rsidR="007A09DB" w:rsidRPr="00887580" w:rsidRDefault="007A09DB" w:rsidP="00C87C6B">
      <w:r>
        <w:lastRenderedPageBreak/>
        <w:t xml:space="preserve">Going forward, </w:t>
      </w:r>
      <w:r w:rsidRPr="00887580">
        <w:t>th</w:t>
      </w:r>
      <w:r>
        <w:t>e</w:t>
      </w:r>
      <w:r w:rsidRPr="00887580">
        <w:t xml:space="preserve"> steady decline in the </w:t>
      </w:r>
      <w:r>
        <w:t xml:space="preserve">United States </w:t>
      </w:r>
      <w:r w:rsidRPr="00887580">
        <w:t>unemployment rate suggest</w:t>
      </w:r>
      <w:r>
        <w:t>s</w:t>
      </w:r>
      <w:r w:rsidRPr="00887580">
        <w:t xml:space="preserve"> that consumer spending</w:t>
      </w:r>
      <w:r>
        <w:fldChar w:fldCharType="begin"/>
      </w:r>
      <w:r>
        <w:instrText xml:space="preserve"> XE "</w:instrText>
      </w:r>
      <w:r w:rsidRPr="00474088">
        <w:rPr>
          <w:rFonts w:eastAsiaTheme="minorHAnsi"/>
        </w:rPr>
        <w:instrText>Consumer spending</w:instrText>
      </w:r>
      <w:r>
        <w:instrText xml:space="preserve">" </w:instrText>
      </w:r>
      <w:r>
        <w:fldChar w:fldCharType="end"/>
      </w:r>
      <w:r w:rsidRPr="00887580">
        <w:t xml:space="preserve"> </w:t>
      </w:r>
      <w:r>
        <w:t>should recover, supporting growth in the near term. N</w:t>
      </w:r>
      <w:r w:rsidRPr="00887580">
        <w:t xml:space="preserve">onetheless, </w:t>
      </w:r>
      <w:r>
        <w:t xml:space="preserve">downside risks remain due to soft </w:t>
      </w:r>
      <w:r w:rsidRPr="00887580">
        <w:t>external demand</w:t>
      </w:r>
      <w:r w:rsidRPr="002F19FF">
        <w:t xml:space="preserve"> and</w:t>
      </w:r>
      <w:r w:rsidRPr="00887580">
        <w:t xml:space="preserve"> </w:t>
      </w:r>
      <w:r>
        <w:t>weak energy sector investment on account of low oil prices</w:t>
      </w:r>
      <w:r w:rsidRPr="00887580">
        <w:t xml:space="preserve">. </w:t>
      </w:r>
    </w:p>
    <w:p w:rsidR="007A09DB" w:rsidRPr="00403630" w:rsidRDefault="007A09DB" w:rsidP="00C87C6B">
      <w:r>
        <w:t>Euro zone growth was steady in the latter part of 2015</w:t>
      </w:r>
      <w:r w:rsidRPr="00403630">
        <w:t xml:space="preserve">, </w:t>
      </w:r>
      <w:r>
        <w:t>although lower than in the first half of 2015.</w:t>
      </w:r>
      <w:r w:rsidR="00241F81">
        <w:t xml:space="preserve"> </w:t>
      </w:r>
      <w:r>
        <w:t xml:space="preserve">The growth outlook has weakened, with downside risks posed by </w:t>
      </w:r>
      <w:r w:rsidRPr="00403630">
        <w:t>a</w:t>
      </w:r>
      <w:r>
        <w:t xml:space="preserve"> possible slowdown</w:t>
      </w:r>
      <w:r w:rsidRPr="00403630">
        <w:t xml:space="preserve"> in the</w:t>
      </w:r>
      <w:r>
        <w:t xml:space="preserve"> </w:t>
      </w:r>
      <w:r w:rsidRPr="00403630">
        <w:t>manufacturing sector</w:t>
      </w:r>
      <w:r>
        <w:t xml:space="preserve"> due to softer export demand, and the potential exit of Britain from the European Union</w:t>
      </w:r>
      <w:r w:rsidRPr="00403630">
        <w:t xml:space="preserve">. </w:t>
      </w:r>
      <w:r>
        <w:t xml:space="preserve">Further </w:t>
      </w:r>
      <w:r w:rsidRPr="00403630">
        <w:t xml:space="preserve">turbulence in </w:t>
      </w:r>
      <w:r>
        <w:t xml:space="preserve">euro zone financial markets </w:t>
      </w:r>
      <w:r w:rsidRPr="00403630">
        <w:t xml:space="preserve">could </w:t>
      </w:r>
      <w:r>
        <w:t xml:space="preserve">also negatively affect </w:t>
      </w:r>
      <w:r w:rsidRPr="00403630">
        <w:t xml:space="preserve">the real economy. </w:t>
      </w:r>
      <w:r>
        <w:t xml:space="preserve">However, </w:t>
      </w:r>
      <w:r w:rsidRPr="00403630">
        <w:t>the E</w:t>
      </w:r>
      <w:r>
        <w:t xml:space="preserve">uropean </w:t>
      </w:r>
      <w:r w:rsidRPr="00403630">
        <w:t>C</w:t>
      </w:r>
      <w:r>
        <w:t xml:space="preserve">entral </w:t>
      </w:r>
      <w:r w:rsidRPr="00403630">
        <w:t>B</w:t>
      </w:r>
      <w:r>
        <w:t>ank</w:t>
      </w:r>
      <w:r w:rsidRPr="00403630">
        <w:t xml:space="preserve"> stands ready to </w:t>
      </w:r>
      <w:r>
        <w:t xml:space="preserve">increase the </w:t>
      </w:r>
      <w:r w:rsidRPr="00403630">
        <w:t xml:space="preserve">monetary stimulus, which </w:t>
      </w:r>
      <w:r>
        <w:t>should support economic growth.</w:t>
      </w:r>
      <w:r w:rsidR="00D9023F">
        <w:fldChar w:fldCharType="begin"/>
      </w:r>
      <w:r w:rsidR="00D9023F">
        <w:instrText xml:space="preserve"> XE "</w:instrText>
      </w:r>
      <w:r w:rsidR="00D9023F" w:rsidRPr="00EC12F8">
        <w:instrText>Unemployment:Unemployment rate</w:instrText>
      </w:r>
      <w:r w:rsidR="00D9023F">
        <w:instrText xml:space="preserve">" \r "BP2Unemploy3" </w:instrText>
      </w:r>
      <w:r w:rsidR="00D9023F">
        <w:fldChar w:fldCharType="end"/>
      </w:r>
    </w:p>
    <w:bookmarkEnd w:id="42"/>
    <w:bookmarkEnd w:id="40"/>
    <w:p w:rsidR="007A09DB" w:rsidRDefault="007A09DB" w:rsidP="00C87C6B">
      <w:r w:rsidRPr="00284DB3">
        <w:t xml:space="preserve">The rebalancing of economic activity in China away from </w:t>
      </w:r>
      <w:r>
        <w:t xml:space="preserve">infrastructure </w:t>
      </w:r>
      <w:r w:rsidRPr="00284DB3">
        <w:t xml:space="preserve">investment and </w:t>
      </w:r>
      <w:r>
        <w:t>residential construction</w:t>
      </w:r>
      <w:r w:rsidRPr="00284DB3">
        <w:t xml:space="preserve"> toward</w:t>
      </w:r>
      <w:r>
        <w:t>s</w:t>
      </w:r>
      <w:r w:rsidRPr="00284DB3">
        <w:t xml:space="preserve"> consumpt</w:t>
      </w:r>
      <w:r>
        <w:t xml:space="preserve">ion and services will take time, and Chinese </w:t>
      </w:r>
      <w:r w:rsidRPr="00284DB3">
        <w:t xml:space="preserve">investment and manufacturing </w:t>
      </w:r>
      <w:r>
        <w:t xml:space="preserve">are likely to </w:t>
      </w:r>
      <w:r w:rsidRPr="00284DB3">
        <w:t>weaken</w:t>
      </w:r>
      <w:r>
        <w:t xml:space="preserve"> during the transition</w:t>
      </w:r>
      <w:r w:rsidRPr="00284DB3">
        <w:t xml:space="preserve">. </w:t>
      </w:r>
      <w:r>
        <w:t>This is having negative impacts on other economies due to reduced demand and weaker commodity prices, while also affecting confidence and causing periodic volatility in financial markets. Emerging economies in South East Asia are especially exposed due to their supply chain linkages with Chinese businesses.</w:t>
      </w:r>
    </w:p>
    <w:p w:rsidR="007A09DB" w:rsidRPr="00B04C22" w:rsidRDefault="007A09DB" w:rsidP="00C87C6B">
      <w:r w:rsidRPr="00B04C22">
        <w:t xml:space="preserve">The </w:t>
      </w:r>
      <w:r>
        <w:t>Japanese economy contracted in the last quarter of 2015, driven by a large fall in private consumption. Despite the Bank of Japan recently lowering its benchmark interest rate to below zero, consumers still seem reluctant to spend. However, consumer spending</w:t>
      </w:r>
      <w:r>
        <w:fldChar w:fldCharType="begin"/>
      </w:r>
      <w:r>
        <w:instrText xml:space="preserve"> XE "</w:instrText>
      </w:r>
      <w:r w:rsidRPr="00474088">
        <w:rPr>
          <w:rFonts w:eastAsiaTheme="minorHAnsi"/>
        </w:rPr>
        <w:instrText>Consumer spending</w:instrText>
      </w:r>
      <w:r>
        <w:instrText xml:space="preserve">" </w:instrText>
      </w:r>
      <w:r>
        <w:fldChar w:fldCharType="end"/>
      </w:r>
      <w:r>
        <w:t xml:space="preserve"> should pick up ahead of another consumption tax increase in April 2017. Industrial production data has also been positive and the tourism industry is strong with high levels of inbound tourists.</w:t>
      </w:r>
    </w:p>
    <w:p w:rsidR="007A09DB" w:rsidRDefault="007A09DB" w:rsidP="00C87C6B">
      <w:r>
        <w:t xml:space="preserve">Recent economic indicators for </w:t>
      </w:r>
      <w:r w:rsidRPr="00B04C22">
        <w:t>New Zealand</w:t>
      </w:r>
      <w:r>
        <w:t xml:space="preserve"> have been positive, with the labour market showing signs of improvement and stronger than expected growth in the December quarter 2015. </w:t>
      </w:r>
      <w:r w:rsidRPr="00B04C22">
        <w:t>Weakness in the dairy sector was more than offset by a pick</w:t>
      </w:r>
      <w:r>
        <w:noBreakHyphen/>
      </w:r>
      <w:r w:rsidRPr="00B04C22">
        <w:t xml:space="preserve">up in construction activity and </w:t>
      </w:r>
      <w:r>
        <w:t>strength in the retail and tourism sectors. Inflation</w:t>
      </w:r>
      <w:r>
        <w:fldChar w:fldCharType="begin"/>
      </w:r>
      <w:r>
        <w:instrText xml:space="preserve"> XE "</w:instrText>
      </w:r>
      <w:r w:rsidRPr="00E67DB0">
        <w:rPr>
          <w:rFonts w:eastAsiaTheme="minorHAnsi"/>
        </w:rPr>
        <w:instrText>Inflation</w:instrText>
      </w:r>
      <w:r>
        <w:instrText xml:space="preserve">" </w:instrText>
      </w:r>
      <w:r>
        <w:fldChar w:fldCharType="end"/>
      </w:r>
      <w:r>
        <w:t xml:space="preserve"> remains low, and coupled with the uncertain global economy, the Reserve Bank of New Zealand has indicated further monetary easing may be needed.</w:t>
      </w:r>
      <w:r>
        <w:fldChar w:fldCharType="begin"/>
      </w:r>
      <w:r>
        <w:instrText xml:space="preserve"> XE "</w:instrText>
      </w:r>
      <w:r w:rsidRPr="006A3D4F">
        <w:rPr>
          <w:rFonts w:eastAsiaTheme="minorHAnsi"/>
        </w:rPr>
        <w:instrText>Economic conditions:</w:instrText>
      </w:r>
      <w:r w:rsidRPr="006A3D4F">
        <w:instrText>International</w:instrText>
      </w:r>
      <w:r>
        <w:instrText xml:space="preserve">" \r "BP2IntEcoConditions1" </w:instrText>
      </w:r>
      <w:r>
        <w:fldChar w:fldCharType="end"/>
      </w:r>
      <w:r>
        <w:t xml:space="preserve"> </w:t>
      </w:r>
      <w:r>
        <w:fldChar w:fldCharType="begin"/>
      </w:r>
      <w:r>
        <w:instrText xml:space="preserve"> XE "</w:instrText>
      </w:r>
      <w:r w:rsidRPr="00FA77C9">
        <w:instrText>Economic growth</w:instrText>
      </w:r>
      <w:r>
        <w:instrText xml:space="preserve">" \r "BPEcoG3" </w:instrText>
      </w:r>
      <w:r>
        <w:fldChar w:fldCharType="end"/>
      </w:r>
    </w:p>
    <w:p w:rsidR="007A09DB" w:rsidRDefault="007A09DB" w:rsidP="00C31523">
      <w:pPr>
        <w:pStyle w:val="Heading1"/>
        <w:rPr>
          <w:rFonts w:eastAsiaTheme="minorHAnsi"/>
        </w:rPr>
      </w:pPr>
      <w:bookmarkStart w:id="44" w:name="_Toc449123059"/>
      <w:bookmarkEnd w:id="43"/>
      <w:r>
        <w:rPr>
          <w:rFonts w:eastAsiaTheme="minorHAnsi"/>
        </w:rPr>
        <w:t>R</w:t>
      </w:r>
      <w:r w:rsidRPr="006A27D6">
        <w:rPr>
          <w:rFonts w:eastAsiaTheme="minorHAnsi"/>
        </w:rPr>
        <w:t>isks to the outlook</w:t>
      </w:r>
      <w:bookmarkEnd w:id="44"/>
    </w:p>
    <w:p w:rsidR="007A09DB" w:rsidRPr="000D1DD6" w:rsidRDefault="007A09DB" w:rsidP="00717671">
      <w:r w:rsidRPr="000D1DD6">
        <w:t xml:space="preserve">The </w:t>
      </w:r>
      <w:r>
        <w:t>Victorian property sector has experienced recent strength, with rising house prices, and high levels of dwelling investment. A sharp price correction would affect consumption and overall growth. With interest rates relatively low and the labour market improving, it would appear that a levelling of house prices in the near term is more likely.</w:t>
      </w:r>
    </w:p>
    <w:p w:rsidR="007A09DB" w:rsidRDefault="007A09DB" w:rsidP="00717671">
      <w:r>
        <w:t>A sharp downturn in Chinese economic activity would have implications for the Australian economy. A reduction in demand for Australian commodity exports would be the likely result, affecting the terms of trade. Victoria’s GST grants</w:t>
      </w:r>
      <w:r>
        <w:fldChar w:fldCharType="begin"/>
      </w:r>
      <w:r>
        <w:instrText xml:space="preserve"> XE "Grants:Goods and services tax" </w:instrText>
      </w:r>
      <w:r>
        <w:fldChar w:fldCharType="end"/>
      </w:r>
      <w:r>
        <w:t xml:space="preserve"> would also be adversely affected by falls in the price of iron ore, as Western Australia’s share of the GST pool would increase over time as compensation for the loss of royalty revenue.</w:t>
      </w:r>
    </w:p>
    <w:p w:rsidR="007A09DB" w:rsidRPr="00CA2A8B" w:rsidRDefault="007A09DB" w:rsidP="00717671">
      <w:r>
        <w:lastRenderedPageBreak/>
        <w:t>On the other hand, a more rapid transition to growth driven by consumption in China would support Victorian exports.</w:t>
      </w:r>
    </w:p>
    <w:p w:rsidR="007A09DB" w:rsidRDefault="007A09DB" w:rsidP="00717671">
      <w:r>
        <w:t>While there has been just one interest rate rise in the United States so far in the current cycle, a faster than expected economic recovery and raising of rates could increase volatility in financial markets and adversely impact business and consumer confidence. However, further depreciation of the Australian dollar would also likely occur, supporting trade</w:t>
      </w:r>
      <w:r>
        <w:noBreakHyphen/>
        <w:t>exposed businesses and shifting consumption towards domestic goods.</w:t>
      </w:r>
    </w:p>
    <w:p w:rsidR="007A09DB" w:rsidRDefault="007A09DB" w:rsidP="00312DB3">
      <w:pPr>
        <w:rPr>
          <w:rFonts w:eastAsiaTheme="minorHAnsi"/>
        </w:rPr>
      </w:pPr>
      <w:r w:rsidRPr="00FD6CB9">
        <w:rPr>
          <w:rFonts w:eastAsiaTheme="minorHAnsi"/>
        </w:rPr>
        <w:t xml:space="preserve">Overall, the international outlook remains uncertain, with downside risks dominating, especially due to concerns over the possible extent of the slowdown in economic activity in China. </w:t>
      </w:r>
      <w:r>
        <w:rPr>
          <w:rFonts w:eastAsiaTheme="minorHAnsi"/>
        </w:rPr>
        <w:t>Nonetheless,</w:t>
      </w:r>
      <w:r w:rsidRPr="00FD6CB9">
        <w:rPr>
          <w:rFonts w:eastAsiaTheme="minorHAnsi"/>
        </w:rPr>
        <w:t xml:space="preserve"> Victoria</w:t>
      </w:r>
      <w:r>
        <w:rPr>
          <w:rFonts w:eastAsiaTheme="minorHAnsi"/>
        </w:rPr>
        <w:t>’</w:t>
      </w:r>
      <w:r w:rsidRPr="00FD6CB9">
        <w:rPr>
          <w:rFonts w:eastAsiaTheme="minorHAnsi"/>
        </w:rPr>
        <w:t>s strong financial and economic position means that the economy is well placed to deal with any flow</w:t>
      </w:r>
      <w:r>
        <w:rPr>
          <w:rFonts w:eastAsiaTheme="minorHAnsi"/>
        </w:rPr>
        <w:noBreakHyphen/>
      </w:r>
      <w:r w:rsidRPr="00FD6CB9">
        <w:rPr>
          <w:rFonts w:eastAsiaTheme="minorHAnsi"/>
        </w:rPr>
        <w:t>on effects from events overseas.</w:t>
      </w:r>
    </w:p>
    <w:p w:rsidR="007A09DB" w:rsidRDefault="007A09DB">
      <w:pPr>
        <w:spacing w:after="0"/>
        <w:rPr>
          <w:rFonts w:eastAsiaTheme="minorHAnsi"/>
        </w:rPr>
      </w:pPr>
      <w:r>
        <w:rPr>
          <w:rFonts w:eastAsiaTheme="minorHAnsi"/>
        </w:rPr>
        <w:br w:type="page"/>
      </w:r>
    </w:p>
    <w:p w:rsidR="007A09DB" w:rsidRDefault="007A09DB" w:rsidP="00312DB3">
      <w:pPr>
        <w:rPr>
          <w:rFonts w:eastAsiaTheme="minorHAnsi"/>
        </w:rPr>
      </w:pPr>
    </w:p>
    <w:p w:rsidR="007A09DB" w:rsidRDefault="007A09DB" w:rsidP="00614836">
      <w:pPr>
        <w:rPr>
          <w:rFonts w:eastAsiaTheme="minorHAnsi"/>
        </w:rPr>
        <w:sectPr w:rsidR="007A09DB" w:rsidSect="00614836">
          <w:footerReference w:type="even" r:id="rId26"/>
          <w:footerReference w:type="default" r:id="rId27"/>
          <w:type w:val="oddPage"/>
          <w:pgSz w:w="9979" w:h="14181" w:code="138"/>
          <w:pgMar w:top="1138" w:right="1138" w:bottom="1138" w:left="1138" w:header="720" w:footer="432" w:gutter="0"/>
          <w:cols w:space="708"/>
          <w:docGrid w:linePitch="360"/>
        </w:sectPr>
      </w:pPr>
    </w:p>
    <w:p w:rsidR="007A09DB" w:rsidRDefault="007A09DB" w:rsidP="000A595E">
      <w:pPr>
        <w:pStyle w:val="ChapterHeading"/>
      </w:pPr>
      <w:bookmarkStart w:id="45" w:name="_Toc449123060"/>
      <w:r>
        <w:lastRenderedPageBreak/>
        <w:t xml:space="preserve">Chapter 3 – </w:t>
      </w:r>
      <w:r w:rsidRPr="000A595E">
        <w:t>Medium</w:t>
      </w:r>
      <w:r>
        <w:t xml:space="preserve"> term asset investment strategy</w:t>
      </w:r>
      <w:bookmarkEnd w:id="45"/>
    </w:p>
    <w:p w:rsidR="007A09DB" w:rsidRDefault="007A09DB" w:rsidP="008A34B8">
      <w:pPr>
        <w:pStyle w:val="HighlightBoxBullet"/>
        <w:tabs>
          <w:tab w:val="clear" w:pos="360"/>
          <w:tab w:val="num" w:pos="0"/>
        </w:tabs>
      </w:pPr>
      <w:bookmarkStart w:id="46" w:name="BP2Population2"/>
      <w:r>
        <w:rPr>
          <w:rFonts w:eastAsiaTheme="minorHAnsi"/>
        </w:rPr>
        <w:t>With Victoria maintaining strong economic growth</w:t>
      </w:r>
      <w:r>
        <w:rPr>
          <w:rFonts w:eastAsiaTheme="minorHAnsi"/>
        </w:rPr>
        <w:fldChar w:fldCharType="begin"/>
      </w:r>
      <w:r>
        <w:instrText xml:space="preserve"> XE "</w:instrText>
      </w:r>
      <w:r w:rsidRPr="007F391C">
        <w:rPr>
          <w:rFonts w:eastAsiaTheme="minorHAnsi"/>
        </w:rPr>
        <w:instrText>Economic growth</w:instrText>
      </w:r>
      <w:r>
        <w:rPr>
          <w:rFonts w:eastAsiaTheme="minorHAnsi"/>
        </w:rPr>
        <w:instrText>:Victoria</w:instrText>
      </w:r>
      <w:r>
        <w:instrText xml:space="preserve">" </w:instrText>
      </w:r>
      <w:r>
        <w:rPr>
          <w:rFonts w:eastAsiaTheme="minorHAnsi"/>
        </w:rPr>
        <w:fldChar w:fldCharType="end"/>
      </w:r>
      <w:r>
        <w:rPr>
          <w:rFonts w:eastAsiaTheme="minorHAnsi"/>
        </w:rPr>
        <w:t xml:space="preserve"> and the highest population growth in </w:t>
      </w:r>
      <w:r w:rsidRPr="0087676B">
        <w:rPr>
          <w:rFonts w:eastAsiaTheme="minorHAnsi"/>
        </w:rPr>
        <w:t>Australia</w:t>
      </w:r>
      <w:r>
        <w:rPr>
          <w:rFonts w:eastAsiaTheme="minorHAnsi"/>
        </w:rPr>
        <w:t>, investment in infrastructure is essential to securing the State’s economic future</w:t>
      </w:r>
      <w:r>
        <w:t>.</w:t>
      </w:r>
    </w:p>
    <w:p w:rsidR="007A09DB" w:rsidRDefault="007A09DB" w:rsidP="00D00B16">
      <w:pPr>
        <w:pStyle w:val="HighlightBoxBullet"/>
        <w:numPr>
          <w:ilvl w:val="0"/>
          <w:numId w:val="4"/>
        </w:numPr>
      </w:pPr>
      <w:r w:rsidRPr="00D83398">
        <w:rPr>
          <w:rFonts w:eastAsiaTheme="minorHAnsi"/>
        </w:rPr>
        <w:t>To maintain current service levels</w:t>
      </w:r>
      <w:r>
        <w:rPr>
          <w:rFonts w:eastAsiaTheme="minorHAnsi"/>
        </w:rPr>
        <w:t xml:space="preserve">, </w:t>
      </w:r>
      <w:r w:rsidRPr="00D83398">
        <w:rPr>
          <w:rFonts w:eastAsiaTheme="minorHAnsi"/>
        </w:rPr>
        <w:t xml:space="preserve">new assets </w:t>
      </w:r>
      <w:r>
        <w:rPr>
          <w:rFonts w:eastAsiaTheme="minorHAnsi"/>
        </w:rPr>
        <w:t xml:space="preserve">are required </w:t>
      </w:r>
      <w:r w:rsidRPr="00D83398">
        <w:rPr>
          <w:rFonts w:eastAsiaTheme="minorHAnsi"/>
        </w:rPr>
        <w:t>to keep pace with a rapidly growing population</w:t>
      </w:r>
      <w:r>
        <w:t xml:space="preserve">. </w:t>
      </w:r>
    </w:p>
    <w:p w:rsidR="007A09DB" w:rsidRDefault="007A09DB" w:rsidP="00D00B16">
      <w:pPr>
        <w:pStyle w:val="HighlightBoxBullet"/>
        <w:numPr>
          <w:ilvl w:val="0"/>
          <w:numId w:val="4"/>
        </w:numPr>
      </w:pPr>
      <w:r>
        <w:t>Ageing assets need to be replaced when they no longer support modern service delivery models, or as the cost of maintaining them exceeds their replacement cost.</w:t>
      </w:r>
    </w:p>
    <w:p w:rsidR="007A09DB" w:rsidRPr="004B2F75" w:rsidRDefault="007A09DB" w:rsidP="00D00B16">
      <w:pPr>
        <w:pStyle w:val="HighlightBoxBullet"/>
        <w:numPr>
          <w:ilvl w:val="0"/>
          <w:numId w:val="4"/>
        </w:numPr>
      </w:pPr>
      <w:r w:rsidRPr="004B2F75">
        <w:rPr>
          <w:rFonts w:eastAsiaTheme="minorHAnsi"/>
        </w:rPr>
        <w:t>Infrastructure drives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sidRPr="004B2F75">
        <w:rPr>
          <w:rFonts w:eastAsiaTheme="minorHAnsi"/>
        </w:rPr>
        <w:t xml:space="preserve">. </w:t>
      </w:r>
      <w:r>
        <w:rPr>
          <w:rFonts w:eastAsiaTheme="minorHAnsi"/>
        </w:rPr>
        <w:t>Infrastructure that supports a healthy, well</w:t>
      </w:r>
      <w:r>
        <w:rPr>
          <w:rFonts w:eastAsiaTheme="minorHAnsi"/>
        </w:rPr>
        <w:noBreakHyphen/>
        <w:t>educated workforce, with a</w:t>
      </w:r>
      <w:r w:rsidRPr="004B2F75">
        <w:rPr>
          <w:rFonts w:eastAsiaTheme="minorHAnsi"/>
        </w:rPr>
        <w:t>n efficient and reliable transport network</w:t>
      </w:r>
      <w:r>
        <w:rPr>
          <w:rFonts w:eastAsiaTheme="minorHAnsi"/>
        </w:rPr>
        <w:t>,</w:t>
      </w:r>
      <w:r w:rsidRPr="004B2F75">
        <w:rPr>
          <w:rFonts w:eastAsiaTheme="minorHAnsi"/>
        </w:rPr>
        <w:t xml:space="preserve"> </w:t>
      </w:r>
      <w:r>
        <w:rPr>
          <w:rFonts w:eastAsiaTheme="minorHAnsi"/>
        </w:rPr>
        <w:t>is essential to improve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t>.</w:t>
      </w:r>
    </w:p>
    <w:p w:rsidR="007A09DB" w:rsidRDefault="007A09DB" w:rsidP="00D00B16">
      <w:pPr>
        <w:pStyle w:val="HighlightBoxBullet"/>
        <w:numPr>
          <w:ilvl w:val="0"/>
          <w:numId w:val="4"/>
        </w:numPr>
      </w:pPr>
      <w:r>
        <w:t>The Government’s investment in infrastructure goes beyond maintaining existing service levels. Melbourne Metro Tunnel</w:t>
      </w:r>
      <w:r>
        <w:fldChar w:fldCharType="begin"/>
      </w:r>
      <w:r>
        <w:instrText xml:space="preserve"> XE "</w:instrText>
      </w:r>
      <w:r w:rsidRPr="00073CCE">
        <w:rPr>
          <w:rFonts w:eastAsiaTheme="minorHAnsi"/>
        </w:rPr>
        <w:instrText>Melbourne Metro Tunnel</w:instrText>
      </w:r>
      <w:r>
        <w:instrText xml:space="preserve">" </w:instrText>
      </w:r>
      <w:r>
        <w:fldChar w:fldCharType="end"/>
      </w:r>
      <w:r>
        <w:t xml:space="preserve"> and Level Crossing Removal Program</w:t>
      </w:r>
      <w:r>
        <w:fldChar w:fldCharType="begin"/>
      </w:r>
      <w:r>
        <w:instrText xml:space="preserve"> XE "</w:instrText>
      </w:r>
      <w:r w:rsidRPr="00E1473F">
        <w:instrText>Level Crossing Removal Program</w:instrText>
      </w:r>
      <w:r>
        <w:instrText xml:space="preserve">" </w:instrText>
      </w:r>
      <w:r>
        <w:fldChar w:fldCharType="end"/>
      </w:r>
      <w:r>
        <w:t xml:space="preserve"> are projects of national significance that will improve the productivity</w:t>
      </w:r>
      <w:r>
        <w:fldChar w:fldCharType="begin"/>
      </w:r>
      <w:r>
        <w:instrText xml:space="preserve"> XE "</w:instrText>
      </w:r>
      <w:r w:rsidRPr="001E4096">
        <w:rPr>
          <w:rFonts w:eastAsiaTheme="minorHAnsi"/>
        </w:rPr>
        <w:instrText>Productivity</w:instrText>
      </w:r>
      <w:r>
        <w:instrText xml:space="preserve">" </w:instrText>
      </w:r>
      <w:r>
        <w:fldChar w:fldCharType="end"/>
      </w:r>
      <w:r>
        <w:t xml:space="preserve"> of the Victorian economy.</w:t>
      </w:r>
    </w:p>
    <w:p w:rsidR="007A09DB" w:rsidRDefault="007A09DB" w:rsidP="00D00B16">
      <w:pPr>
        <w:pStyle w:val="HighlightBoxBullet"/>
        <w:numPr>
          <w:ilvl w:val="0"/>
          <w:numId w:val="4"/>
        </w:numPr>
      </w:pPr>
      <w:r>
        <w:t>The Government’s current capital program is fully funded, including major productivity</w:t>
      </w:r>
      <w:r>
        <w:fldChar w:fldCharType="begin"/>
      </w:r>
      <w:r>
        <w:instrText xml:space="preserve"> XE "</w:instrText>
      </w:r>
      <w:r w:rsidRPr="001E4096">
        <w:rPr>
          <w:rFonts w:eastAsiaTheme="minorHAnsi"/>
        </w:rPr>
        <w:instrText>Productivity</w:instrText>
      </w:r>
      <w:r>
        <w:instrText xml:space="preserve">" </w:instrText>
      </w:r>
      <w:r>
        <w:fldChar w:fldCharType="end"/>
      </w:r>
      <w:r>
        <w:noBreakHyphen/>
        <w:t>enhancing projects such as Metro Tunnel</w:t>
      </w:r>
      <w:r>
        <w:fldChar w:fldCharType="begin"/>
      </w:r>
      <w:r>
        <w:instrText xml:space="preserve"> XE "</w:instrText>
      </w:r>
      <w:r w:rsidRPr="00073CCE">
        <w:rPr>
          <w:rFonts w:eastAsiaTheme="minorHAnsi"/>
        </w:rPr>
        <w:instrText>Melbourne Metro Tunnel</w:instrText>
      </w:r>
      <w:r>
        <w:instrText xml:space="preserve">" </w:instrText>
      </w:r>
      <w:r>
        <w:fldChar w:fldCharType="end"/>
      </w:r>
      <w:r>
        <w:t>, Western Distributor</w:t>
      </w:r>
      <w:r>
        <w:fldChar w:fldCharType="begin"/>
      </w:r>
      <w:r>
        <w:instrText xml:space="preserve"> XE "</w:instrText>
      </w:r>
      <w:r w:rsidRPr="00B26E27">
        <w:rPr>
          <w:rFonts w:eastAsiaTheme="minorHAnsi"/>
        </w:rPr>
        <w:instrText>Western Distributor</w:instrText>
      </w:r>
      <w:r>
        <w:instrText xml:space="preserve">" </w:instrText>
      </w:r>
      <w:r>
        <w:fldChar w:fldCharType="end"/>
      </w:r>
      <w:r>
        <w:t xml:space="preserve"> and the Level Crossing Removal Program.</w:t>
      </w:r>
    </w:p>
    <w:p w:rsidR="007A09DB" w:rsidRPr="00AB47E1" w:rsidRDefault="007A09DB" w:rsidP="00D00B16">
      <w:pPr>
        <w:pStyle w:val="HighlightBoxBullet"/>
        <w:numPr>
          <w:ilvl w:val="0"/>
          <w:numId w:val="4"/>
        </w:numPr>
      </w:pPr>
      <w:r>
        <w:t>However, the State will need new strategies to fund the investment required over the next decade. Taking on additional prudent levels of debt will free up an additional $16 billion to spend on productivity</w:t>
      </w:r>
      <w:r>
        <w:fldChar w:fldCharType="begin"/>
      </w:r>
      <w:r>
        <w:instrText xml:space="preserve"> XE "</w:instrText>
      </w:r>
      <w:r w:rsidRPr="001E4096">
        <w:rPr>
          <w:rFonts w:eastAsiaTheme="minorHAnsi"/>
        </w:rPr>
        <w:instrText>Productivity</w:instrText>
      </w:r>
      <w:r>
        <w:instrText xml:space="preserve">" </w:instrText>
      </w:r>
      <w:r>
        <w:fldChar w:fldCharType="end"/>
      </w:r>
      <w:r>
        <w:noBreakHyphen/>
        <w:t>enhancing infrastructure over the next decade.</w:t>
      </w:r>
    </w:p>
    <w:p w:rsidR="007A09DB" w:rsidRDefault="007A09DB" w:rsidP="00D00B16">
      <w:pPr>
        <w:pStyle w:val="HighlightBoxBullet"/>
        <w:numPr>
          <w:ilvl w:val="0"/>
          <w:numId w:val="4"/>
        </w:numPr>
      </w:pPr>
      <w:r>
        <w:t>This strategy will be supported by also exploring alternative funding sources such as asset recycling</w:t>
      </w:r>
      <w:r>
        <w:fldChar w:fldCharType="begin"/>
      </w:r>
      <w:r>
        <w:instrText xml:space="preserve"> XE "</w:instrText>
      </w:r>
      <w:r w:rsidRPr="005D1792">
        <w:instrText>Asset recycling</w:instrText>
      </w:r>
      <w:r>
        <w:instrText xml:space="preserve">" </w:instrText>
      </w:r>
      <w:r>
        <w:fldChar w:fldCharType="end"/>
      </w:r>
      <w:r>
        <w:t xml:space="preserve"> and value creation, along with leveraging private sector delivery.</w:t>
      </w:r>
      <w:r w:rsidRPr="004B2F75">
        <w:t xml:space="preserve"> </w:t>
      </w:r>
    </w:p>
    <w:p w:rsidR="007A09DB" w:rsidRPr="004B2F75" w:rsidRDefault="007A09DB" w:rsidP="00D00B16">
      <w:pPr>
        <w:pStyle w:val="HighlightBoxBullet"/>
        <w:numPr>
          <w:ilvl w:val="0"/>
          <w:numId w:val="4"/>
        </w:numPr>
      </w:pPr>
      <w:r>
        <w:t>Infrastructure Victoria</w:t>
      </w:r>
      <w:r>
        <w:fldChar w:fldCharType="begin"/>
      </w:r>
      <w:r>
        <w:instrText xml:space="preserve"> XE "</w:instrText>
      </w:r>
      <w:r w:rsidRPr="00E67DB0">
        <w:instrText>Infrastructure Victoria</w:instrText>
      </w:r>
      <w:r>
        <w:instrText xml:space="preserve">" </w:instrText>
      </w:r>
      <w:r>
        <w:fldChar w:fldCharType="end"/>
      </w:r>
      <w:r>
        <w:t xml:space="preserve"> is developing a 30</w:t>
      </w:r>
      <w:r>
        <w:noBreakHyphen/>
        <w:t>year investment strategy which will inform the Government in prioritising available funding to specific infrastructure projects that best meet the growth in demand for services and drive productivity</w:t>
      </w:r>
      <w:r>
        <w:fldChar w:fldCharType="begin"/>
      </w:r>
      <w:r>
        <w:instrText xml:space="preserve"> XE "</w:instrText>
      </w:r>
      <w:r w:rsidRPr="001E4096">
        <w:rPr>
          <w:rFonts w:eastAsiaTheme="minorHAnsi"/>
        </w:rPr>
        <w:instrText>Productivity</w:instrText>
      </w:r>
      <w:r>
        <w:instrText xml:space="preserve">" </w:instrText>
      </w:r>
      <w:r>
        <w:fldChar w:fldCharType="end"/>
      </w:r>
      <w:r>
        <w:t xml:space="preserve"> growth over the long term. </w:t>
      </w:r>
    </w:p>
    <w:p w:rsidR="007A09DB" w:rsidRDefault="007A09DB">
      <w:pPr>
        <w:spacing w:after="0"/>
        <w:rPr>
          <w:rFonts w:ascii="Calibri" w:eastAsiaTheme="minorHAnsi" w:hAnsi="Calibri"/>
          <w:b/>
          <w:caps/>
          <w:sz w:val="26"/>
          <w:szCs w:val="22"/>
        </w:rPr>
      </w:pPr>
      <w:r>
        <w:rPr>
          <w:rFonts w:eastAsiaTheme="minorHAnsi"/>
        </w:rPr>
        <w:br w:type="page"/>
      </w:r>
    </w:p>
    <w:p w:rsidR="007A09DB" w:rsidRDefault="007A09DB" w:rsidP="005121E0">
      <w:pPr>
        <w:pStyle w:val="Heading1"/>
        <w:rPr>
          <w:rFonts w:eastAsiaTheme="minorHAnsi"/>
        </w:rPr>
      </w:pPr>
      <w:bookmarkStart w:id="47" w:name="_Toc449123061"/>
      <w:bookmarkStart w:id="48" w:name="BP2EdSchool2"/>
      <w:r>
        <w:rPr>
          <w:rFonts w:eastAsiaTheme="minorHAnsi"/>
        </w:rPr>
        <w:lastRenderedPageBreak/>
        <w:t>Demand for capital investment</w:t>
      </w:r>
      <w:bookmarkEnd w:id="47"/>
    </w:p>
    <w:p w:rsidR="007A09DB" w:rsidRDefault="007A09DB" w:rsidP="002C70F5">
      <w:pPr>
        <w:rPr>
          <w:rFonts w:eastAsiaTheme="minorHAnsi"/>
        </w:rPr>
      </w:pPr>
      <w:bookmarkStart w:id="49" w:name="BP2Hospt1"/>
      <w:r>
        <w:rPr>
          <w:rFonts w:eastAsiaTheme="minorHAnsi"/>
        </w:rPr>
        <w:t>The Government is investing</w:t>
      </w:r>
      <w:r w:rsidRPr="00D83398">
        <w:rPr>
          <w:rFonts w:eastAsiaTheme="minorHAnsi"/>
        </w:rPr>
        <w:t xml:space="preserve"> </w:t>
      </w:r>
      <w:r>
        <w:rPr>
          <w:rFonts w:eastAsiaTheme="minorHAnsi"/>
        </w:rPr>
        <w:t xml:space="preserve">in the </w:t>
      </w:r>
      <w:r w:rsidRPr="00D83398">
        <w:rPr>
          <w:rFonts w:eastAsiaTheme="minorHAnsi"/>
        </w:rPr>
        <w:t>immediate</w:t>
      </w:r>
      <w:r>
        <w:rPr>
          <w:rFonts w:eastAsiaTheme="minorHAnsi"/>
        </w:rPr>
        <w:t xml:space="preserve"> </w:t>
      </w:r>
      <w:r w:rsidRPr="00D83398">
        <w:rPr>
          <w:rFonts w:eastAsiaTheme="minorHAnsi"/>
        </w:rPr>
        <w:t xml:space="preserve">infrastructure needs </w:t>
      </w:r>
      <w:r>
        <w:rPr>
          <w:rFonts w:eastAsiaTheme="minorHAnsi"/>
        </w:rPr>
        <w:t>of Victoria, and in the needs of the future so that all Victorians can experience a continuing improvement in economic opportunity</w:t>
      </w:r>
      <w:r w:rsidRPr="00D83398">
        <w:rPr>
          <w:rFonts w:eastAsiaTheme="minorHAnsi"/>
        </w:rPr>
        <w:t>.</w:t>
      </w:r>
      <w:r>
        <w:rPr>
          <w:rFonts w:eastAsiaTheme="minorHAnsi"/>
        </w:rPr>
        <w:t xml:space="preserve"> </w:t>
      </w:r>
    </w:p>
    <w:p w:rsidR="007A09DB" w:rsidRDefault="007A09DB" w:rsidP="005363BE">
      <w:pPr>
        <w:rPr>
          <w:rFonts w:eastAsiaTheme="minorHAnsi"/>
        </w:rPr>
      </w:pPr>
      <w:r w:rsidRPr="00D83398">
        <w:rPr>
          <w:rFonts w:eastAsiaTheme="minorHAnsi"/>
        </w:rPr>
        <w:t>Whether it is roads</w:t>
      </w:r>
      <w:r w:rsidR="0078635B">
        <w:rPr>
          <w:rFonts w:eastAsiaTheme="minorHAnsi"/>
        </w:rPr>
        <w:fldChar w:fldCharType="begin"/>
      </w:r>
      <w:r w:rsidR="0078635B">
        <w:instrText xml:space="preserve"> XE "</w:instrText>
      </w:r>
      <w:r w:rsidR="0078635B">
        <w:rPr>
          <w:rFonts w:eastAsiaTheme="minorHAnsi"/>
        </w:rPr>
        <w:instrText>Roads</w:instrText>
      </w:r>
      <w:r w:rsidR="0078635B">
        <w:instrText xml:space="preserve">" </w:instrText>
      </w:r>
      <w:r w:rsidR="0078635B">
        <w:rPr>
          <w:rFonts w:eastAsiaTheme="minorHAnsi"/>
        </w:rPr>
        <w:fldChar w:fldCharType="end"/>
      </w:r>
      <w:r w:rsidRPr="00D83398">
        <w:rPr>
          <w:rFonts w:eastAsiaTheme="minorHAnsi"/>
        </w:rPr>
        <w:t>, schools, hospitals or public transport</w:t>
      </w:r>
      <w:r>
        <w:rPr>
          <w:rFonts w:eastAsiaTheme="minorHAnsi"/>
        </w:rPr>
        <w:fldChar w:fldCharType="begin"/>
      </w:r>
      <w:r>
        <w:instrText xml:space="preserve"> XE "</w:instrText>
      </w:r>
      <w:r w:rsidRPr="001E4096">
        <w:rPr>
          <w:rFonts w:eastAsiaTheme="minorHAnsi"/>
        </w:rPr>
        <w:instrText>Public transport</w:instrText>
      </w:r>
      <w:r>
        <w:instrText xml:space="preserve">" </w:instrText>
      </w:r>
      <w:r>
        <w:rPr>
          <w:rFonts w:eastAsiaTheme="minorHAnsi"/>
        </w:rPr>
        <w:fldChar w:fldCharType="end"/>
      </w:r>
      <w:r w:rsidRPr="00D83398">
        <w:rPr>
          <w:rFonts w:eastAsiaTheme="minorHAnsi"/>
        </w:rPr>
        <w:t xml:space="preserve">, the level of amenity </w:t>
      </w:r>
      <w:r>
        <w:rPr>
          <w:rFonts w:eastAsiaTheme="minorHAnsi"/>
        </w:rPr>
        <w:t>and economic opportunity enjoyed by a community</w:t>
      </w:r>
      <w:r w:rsidRPr="00D83398">
        <w:rPr>
          <w:rFonts w:eastAsiaTheme="minorHAnsi"/>
        </w:rPr>
        <w:t xml:space="preserve"> is directly linked to the</w:t>
      </w:r>
      <w:r>
        <w:rPr>
          <w:rFonts w:eastAsiaTheme="minorHAnsi"/>
        </w:rPr>
        <w:t xml:space="preserve"> supporting</w:t>
      </w:r>
      <w:r w:rsidRPr="00D83398">
        <w:rPr>
          <w:rFonts w:eastAsiaTheme="minorHAnsi"/>
        </w:rPr>
        <w:t xml:space="preserve"> infrastructure.</w:t>
      </w:r>
      <w:r>
        <w:rPr>
          <w:rFonts w:eastAsiaTheme="minorHAnsi"/>
        </w:rPr>
        <w:t xml:space="preserve"> However, keeping pace poses an increasing challenge as </w:t>
      </w:r>
      <w:r w:rsidRPr="00D83398">
        <w:rPr>
          <w:rFonts w:eastAsiaTheme="minorHAnsi"/>
        </w:rPr>
        <w:t>demand for infrastructure</w:t>
      </w:r>
      <w:r>
        <w:rPr>
          <w:rFonts w:eastAsiaTheme="minorHAnsi"/>
        </w:rPr>
        <w:t xml:space="preserve"> investment</w:t>
      </w:r>
      <w:r w:rsidRPr="00D83398">
        <w:rPr>
          <w:rFonts w:eastAsiaTheme="minorHAnsi"/>
        </w:rPr>
        <w:t xml:space="preserve"> </w:t>
      </w:r>
      <w:r>
        <w:rPr>
          <w:rFonts w:eastAsiaTheme="minorHAnsi"/>
        </w:rPr>
        <w:t xml:space="preserve">is driven by an </w:t>
      </w:r>
      <w:r w:rsidRPr="00D83398">
        <w:rPr>
          <w:rFonts w:eastAsiaTheme="minorHAnsi"/>
        </w:rPr>
        <w:t xml:space="preserve">expanding population, ageing infrastructure stock and the changing needs </w:t>
      </w:r>
      <w:r>
        <w:rPr>
          <w:rFonts w:eastAsiaTheme="minorHAnsi"/>
        </w:rPr>
        <w:t>of</w:t>
      </w:r>
      <w:r w:rsidRPr="00D83398">
        <w:rPr>
          <w:rFonts w:eastAsiaTheme="minorHAnsi"/>
        </w:rPr>
        <w:t xml:space="preserve"> an economy in transition.</w:t>
      </w:r>
      <w:r>
        <w:rPr>
          <w:rFonts w:eastAsiaTheme="minorHAnsi"/>
        </w:rPr>
        <w:t xml:space="preserve"> </w:t>
      </w:r>
    </w:p>
    <w:p w:rsidR="007A09DB" w:rsidRDefault="007A09DB" w:rsidP="00463227">
      <w:pPr>
        <w:pStyle w:val="Heading2"/>
        <w:rPr>
          <w:rFonts w:eastAsiaTheme="minorHAnsi"/>
        </w:rPr>
      </w:pPr>
      <w:r w:rsidRPr="00D83398">
        <w:rPr>
          <w:rFonts w:eastAsiaTheme="minorHAnsi"/>
        </w:rPr>
        <w:t>Population growth</w:t>
      </w:r>
    </w:p>
    <w:p w:rsidR="007A09DB" w:rsidRDefault="007A09DB" w:rsidP="00857E4E">
      <w:pPr>
        <w:rPr>
          <w:rFonts w:eastAsiaTheme="minorHAnsi"/>
        </w:rPr>
      </w:pPr>
      <w:r w:rsidRPr="00D83398">
        <w:rPr>
          <w:rFonts w:eastAsiaTheme="minorHAnsi"/>
        </w:rPr>
        <w:t>The Victorian population grew by 1.7</w:t>
      </w:r>
      <w:r>
        <w:rPr>
          <w:rFonts w:eastAsiaTheme="minorHAnsi"/>
        </w:rPr>
        <w:t> per cent</w:t>
      </w:r>
      <w:r w:rsidRPr="00D83398">
        <w:rPr>
          <w:rFonts w:eastAsiaTheme="minorHAnsi"/>
        </w:rPr>
        <w:t xml:space="preserve"> </w:t>
      </w:r>
      <w:r>
        <w:rPr>
          <w:rFonts w:eastAsiaTheme="minorHAnsi"/>
        </w:rPr>
        <w:t xml:space="preserve">over the year to September 2015. Chart 3.1 </w:t>
      </w:r>
      <w:r w:rsidRPr="00B834D2">
        <w:rPr>
          <w:rFonts w:eastAsiaTheme="minorHAnsi"/>
        </w:rPr>
        <w:t xml:space="preserve">shows </w:t>
      </w:r>
      <w:r>
        <w:rPr>
          <w:rFonts w:eastAsiaTheme="minorHAnsi"/>
        </w:rPr>
        <w:t xml:space="preserve">that Victoria’s </w:t>
      </w:r>
      <w:r w:rsidRPr="00CF2CA2">
        <w:rPr>
          <w:rFonts w:eastAsiaTheme="minorHAnsi"/>
        </w:rPr>
        <w:t>population</w:t>
      </w:r>
      <w:r>
        <w:rPr>
          <w:rFonts w:eastAsiaTheme="minorHAnsi"/>
        </w:rPr>
        <w:t xml:space="preserve">, which increased by an average of </w:t>
      </w:r>
      <w:r w:rsidRPr="00CF2CA2">
        <w:rPr>
          <w:rFonts w:eastAsiaTheme="minorHAnsi"/>
        </w:rPr>
        <w:t>around 50</w:t>
      </w:r>
      <w:r>
        <w:rPr>
          <w:rFonts w:eastAsiaTheme="minorHAnsi"/>
        </w:rPr>
        <w:t> </w:t>
      </w:r>
      <w:r w:rsidRPr="00CF2CA2">
        <w:rPr>
          <w:rFonts w:eastAsiaTheme="minorHAnsi"/>
        </w:rPr>
        <w:t xml:space="preserve">000 </w:t>
      </w:r>
      <w:r>
        <w:rPr>
          <w:rFonts w:eastAsiaTheme="minorHAnsi"/>
        </w:rPr>
        <w:t xml:space="preserve">persons </w:t>
      </w:r>
      <w:r w:rsidRPr="00CF2CA2">
        <w:rPr>
          <w:rFonts w:eastAsiaTheme="minorHAnsi"/>
        </w:rPr>
        <w:t xml:space="preserve">per year </w:t>
      </w:r>
      <w:r>
        <w:rPr>
          <w:rFonts w:eastAsiaTheme="minorHAnsi"/>
        </w:rPr>
        <w:t>between the mid</w:t>
      </w:r>
      <w:r>
        <w:rPr>
          <w:rFonts w:eastAsiaTheme="minorHAnsi"/>
        </w:rPr>
        <w:noBreakHyphen/>
        <w:t xml:space="preserve">1990s and 2006, has increased by nearly </w:t>
      </w:r>
      <w:r w:rsidRPr="00CF2CA2">
        <w:rPr>
          <w:rFonts w:eastAsiaTheme="minorHAnsi"/>
        </w:rPr>
        <w:t>100</w:t>
      </w:r>
      <w:r>
        <w:rPr>
          <w:rFonts w:eastAsiaTheme="minorHAnsi"/>
        </w:rPr>
        <w:t> </w:t>
      </w:r>
      <w:r w:rsidRPr="00CF2CA2">
        <w:rPr>
          <w:rFonts w:eastAsiaTheme="minorHAnsi"/>
        </w:rPr>
        <w:t xml:space="preserve">000 </w:t>
      </w:r>
      <w:r>
        <w:rPr>
          <w:rFonts w:eastAsiaTheme="minorHAnsi"/>
        </w:rPr>
        <w:t xml:space="preserve">persons per </w:t>
      </w:r>
      <w:r w:rsidRPr="00CF2CA2">
        <w:rPr>
          <w:rFonts w:eastAsiaTheme="minorHAnsi"/>
        </w:rPr>
        <w:t>year</w:t>
      </w:r>
      <w:r>
        <w:rPr>
          <w:rFonts w:eastAsiaTheme="minorHAnsi"/>
        </w:rPr>
        <w:t xml:space="preserve"> since then</w:t>
      </w:r>
      <w:r w:rsidRPr="00CF2CA2">
        <w:rPr>
          <w:rFonts w:eastAsiaTheme="minorHAnsi"/>
        </w:rPr>
        <w:t>.</w:t>
      </w:r>
      <w:r>
        <w:rPr>
          <w:rFonts w:eastAsiaTheme="minorHAnsi"/>
        </w:rPr>
        <w:t xml:space="preserve"> It also shows that after recovering from the recession of the early 1990s, Victoria’s population grew </w:t>
      </w:r>
      <w:r w:rsidRPr="00B834D2">
        <w:rPr>
          <w:rFonts w:eastAsiaTheme="minorHAnsi"/>
        </w:rPr>
        <w:t xml:space="preserve">in line with </w:t>
      </w:r>
      <w:r>
        <w:rPr>
          <w:rFonts w:eastAsiaTheme="minorHAnsi"/>
        </w:rPr>
        <w:t xml:space="preserve">its </w:t>
      </w:r>
      <w:r w:rsidRPr="00B834D2">
        <w:rPr>
          <w:rFonts w:eastAsiaTheme="minorHAnsi"/>
        </w:rPr>
        <w:t>share of the national population</w:t>
      </w:r>
      <w:r>
        <w:rPr>
          <w:rFonts w:eastAsiaTheme="minorHAnsi"/>
        </w:rPr>
        <w:t xml:space="preserve"> for more than a decade but has rapidly accelerated since around June 2013.</w:t>
      </w:r>
    </w:p>
    <w:p w:rsidR="007A09DB" w:rsidRPr="00454D5F" w:rsidRDefault="007A09DB" w:rsidP="002C4960">
      <w:pPr>
        <w:pStyle w:val="Tableheading"/>
        <w:rPr>
          <w:rFonts w:eastAsiaTheme="minorHAnsi"/>
        </w:rPr>
      </w:pPr>
      <w:r w:rsidRPr="008E227D">
        <w:rPr>
          <w:rFonts w:eastAsiaTheme="minorHAnsi"/>
        </w:rPr>
        <w:t>Chart</w:t>
      </w:r>
      <w:r>
        <w:rPr>
          <w:rFonts w:eastAsiaTheme="minorHAnsi"/>
        </w:rPr>
        <w:t xml:space="preserve"> 3.1:</w:t>
      </w:r>
      <w:r>
        <w:rPr>
          <w:rFonts w:eastAsiaTheme="minorHAnsi"/>
        </w:rPr>
        <w:tab/>
      </w:r>
      <w:r w:rsidRPr="00AB2E5C">
        <w:rPr>
          <w:rFonts w:eastAsiaTheme="minorHAnsi"/>
        </w:rPr>
        <w:t>Victoria</w:t>
      </w:r>
      <w:r>
        <w:rPr>
          <w:rFonts w:eastAsiaTheme="minorHAnsi"/>
        </w:rPr>
        <w:t xml:space="preserve">’s population growth and national </w:t>
      </w:r>
      <w:r w:rsidRPr="00AB2E5C">
        <w:rPr>
          <w:rFonts w:eastAsiaTheme="minorHAnsi"/>
        </w:rPr>
        <w:t>share</w:t>
      </w:r>
    </w:p>
    <w:p w:rsidR="007A09DB" w:rsidRPr="009E7254" w:rsidRDefault="00D71529" w:rsidP="0087676B">
      <w:pPr>
        <w:pStyle w:val="Chartpara"/>
        <w:rPr>
          <w:rFonts w:eastAsiaTheme="minorHAnsi"/>
        </w:rPr>
      </w:pPr>
      <w:r>
        <w:rPr>
          <w:noProof/>
          <w:lang w:eastAsia="en-AU"/>
        </w:rPr>
        <w:pict>
          <v:shape id="_x0000_i1032" type="#_x0000_t75" style="width:383pt;height:261pt">
            <v:imagedata r:id="rId28" o:title=""/>
          </v:shape>
        </w:pict>
      </w:r>
    </w:p>
    <w:p w:rsidR="007A09DB" w:rsidRDefault="007A09DB" w:rsidP="0087676B">
      <w:pPr>
        <w:pStyle w:val="Source"/>
        <w:rPr>
          <w:rFonts w:eastAsiaTheme="minorHAnsi"/>
        </w:rPr>
      </w:pPr>
      <w:r w:rsidRPr="00CF2CA2">
        <w:rPr>
          <w:rFonts w:eastAsiaTheme="minorHAnsi"/>
        </w:rPr>
        <w:t>Source</w:t>
      </w:r>
      <w:r>
        <w:rPr>
          <w:rFonts w:eastAsiaTheme="minorHAnsi"/>
        </w:rPr>
        <w:t>s</w:t>
      </w:r>
      <w:r w:rsidRPr="00CF2CA2">
        <w:rPr>
          <w:rFonts w:eastAsiaTheme="minorHAnsi"/>
        </w:rPr>
        <w:t>: A</w:t>
      </w:r>
      <w:r>
        <w:rPr>
          <w:rFonts w:eastAsiaTheme="minorHAnsi"/>
        </w:rPr>
        <w:t>ustralian Bureau of Statistics; Department of Treasury and Finance</w:t>
      </w:r>
    </w:p>
    <w:p w:rsidR="007A09DB" w:rsidRPr="008202D8" w:rsidRDefault="007A09DB" w:rsidP="008202D8">
      <w:pPr>
        <w:rPr>
          <w:rFonts w:eastAsiaTheme="minorHAnsi"/>
        </w:rPr>
      </w:pPr>
    </w:p>
    <w:p w:rsidR="007A09DB" w:rsidRDefault="007A09DB">
      <w:pPr>
        <w:spacing w:after="0"/>
        <w:rPr>
          <w:rFonts w:eastAsiaTheme="minorHAnsi"/>
        </w:rPr>
      </w:pPr>
      <w:r>
        <w:rPr>
          <w:rFonts w:eastAsiaTheme="minorHAnsi"/>
        </w:rPr>
        <w:br w:type="page"/>
      </w:r>
    </w:p>
    <w:p w:rsidR="007A09DB" w:rsidRPr="00857E4E" w:rsidRDefault="007A09DB" w:rsidP="00857E4E">
      <w:pPr>
        <w:rPr>
          <w:rFonts w:eastAsiaTheme="minorHAnsi"/>
        </w:rPr>
      </w:pPr>
      <w:r w:rsidRPr="00D83398">
        <w:rPr>
          <w:rFonts w:eastAsiaTheme="minorHAnsi"/>
        </w:rPr>
        <w:lastRenderedPageBreak/>
        <w:t>Me</w:t>
      </w:r>
      <w:r>
        <w:rPr>
          <w:rFonts w:eastAsiaTheme="minorHAnsi"/>
        </w:rPr>
        <w:t>lbourne’s population grew by 2.1 per cent</w:t>
      </w:r>
      <w:r w:rsidRPr="00D83398">
        <w:rPr>
          <w:rFonts w:eastAsiaTheme="minorHAnsi"/>
        </w:rPr>
        <w:t xml:space="preserve"> over the year to </w:t>
      </w:r>
      <w:r>
        <w:rPr>
          <w:rFonts w:eastAsiaTheme="minorHAnsi"/>
        </w:rPr>
        <w:t>June</w:t>
      </w:r>
      <w:r w:rsidRPr="00D83398">
        <w:rPr>
          <w:rFonts w:eastAsiaTheme="minorHAnsi"/>
        </w:rPr>
        <w:t xml:space="preserve"> 2015</w:t>
      </w:r>
      <w:r>
        <w:rPr>
          <w:rFonts w:eastAsiaTheme="minorHAnsi"/>
        </w:rPr>
        <w:t xml:space="preserve"> and has added more than 360 </w:t>
      </w:r>
      <w:r w:rsidRPr="00D83398">
        <w:rPr>
          <w:rFonts w:eastAsiaTheme="minorHAnsi"/>
        </w:rPr>
        <w:t xml:space="preserve">000 people over the </w:t>
      </w:r>
      <w:r>
        <w:rPr>
          <w:rFonts w:eastAsiaTheme="minorHAnsi"/>
        </w:rPr>
        <w:t xml:space="preserve">past </w:t>
      </w:r>
      <w:r w:rsidRPr="00D83398">
        <w:rPr>
          <w:rFonts w:eastAsiaTheme="minorHAnsi"/>
        </w:rPr>
        <w:t xml:space="preserve">four years. </w:t>
      </w:r>
      <w:r w:rsidRPr="00857E4E">
        <w:rPr>
          <w:rFonts w:eastAsiaTheme="minorHAnsi"/>
        </w:rPr>
        <w:t>Melbourne</w:t>
      </w:r>
      <w:r>
        <w:rPr>
          <w:rFonts w:eastAsiaTheme="minorHAnsi"/>
        </w:rPr>
        <w:t xml:space="preserve">’s </w:t>
      </w:r>
      <w:r w:rsidRPr="00857E4E">
        <w:rPr>
          <w:rFonts w:eastAsiaTheme="minorHAnsi"/>
        </w:rPr>
        <w:t xml:space="preserve">population growth </w:t>
      </w:r>
      <w:r>
        <w:rPr>
          <w:rFonts w:eastAsiaTheme="minorHAnsi"/>
        </w:rPr>
        <w:t>has</w:t>
      </w:r>
      <w:r w:rsidRPr="00857E4E">
        <w:rPr>
          <w:rFonts w:eastAsiaTheme="minorHAnsi"/>
        </w:rPr>
        <w:t xml:space="preserve"> been </w:t>
      </w:r>
      <w:r>
        <w:rPr>
          <w:rFonts w:eastAsiaTheme="minorHAnsi"/>
        </w:rPr>
        <w:t>in local government areas</w:t>
      </w:r>
      <w:r w:rsidRPr="00857E4E">
        <w:rPr>
          <w:rFonts w:eastAsiaTheme="minorHAnsi"/>
        </w:rPr>
        <w:t xml:space="preserve"> such as Casey, Wyndham, Melton, Whittlesea, Hume</w:t>
      </w:r>
      <w:r>
        <w:rPr>
          <w:rFonts w:eastAsiaTheme="minorHAnsi"/>
        </w:rPr>
        <w:t xml:space="preserve">, </w:t>
      </w:r>
      <w:r w:rsidRPr="00857E4E">
        <w:rPr>
          <w:rFonts w:eastAsiaTheme="minorHAnsi"/>
        </w:rPr>
        <w:t>Cardinia</w:t>
      </w:r>
      <w:r>
        <w:rPr>
          <w:rFonts w:eastAsiaTheme="minorHAnsi"/>
        </w:rPr>
        <w:t xml:space="preserve"> and the City of Melbourne</w:t>
      </w:r>
      <w:r w:rsidRPr="00857E4E">
        <w:rPr>
          <w:rFonts w:eastAsiaTheme="minorHAnsi"/>
        </w:rPr>
        <w:t xml:space="preserve">. </w:t>
      </w:r>
      <w:r>
        <w:rPr>
          <w:rFonts w:eastAsiaTheme="minorHAnsi"/>
        </w:rPr>
        <w:t xml:space="preserve">Regional cities such as Geelong, Ballarat and Bendigo have also experienced strong growth. This significant population growth is a </w:t>
      </w:r>
      <w:r w:rsidRPr="00857E4E">
        <w:rPr>
          <w:rFonts w:eastAsiaTheme="minorHAnsi"/>
        </w:rPr>
        <w:t>vote of confidence in the quality of life that Victoria offers.</w:t>
      </w:r>
      <w:r>
        <w:rPr>
          <w:rFonts w:eastAsiaTheme="minorHAnsi"/>
        </w:rPr>
        <w:t xml:space="preserve"> </w:t>
      </w:r>
    </w:p>
    <w:p w:rsidR="007A09DB" w:rsidRDefault="007A09DB" w:rsidP="002C70F5">
      <w:pPr>
        <w:rPr>
          <w:rFonts w:eastAsiaTheme="minorHAnsi"/>
        </w:rPr>
      </w:pPr>
      <w:r w:rsidRPr="00D83398">
        <w:rPr>
          <w:rFonts w:eastAsiaTheme="minorHAnsi"/>
        </w:rPr>
        <w:t xml:space="preserve">Victoria </w:t>
      </w:r>
      <w:r>
        <w:rPr>
          <w:rFonts w:eastAsiaTheme="minorHAnsi"/>
        </w:rPr>
        <w:t xml:space="preserve">has successfully </w:t>
      </w:r>
      <w:r w:rsidRPr="00D83398">
        <w:rPr>
          <w:rFonts w:eastAsiaTheme="minorHAnsi"/>
        </w:rPr>
        <w:t>accommodate</w:t>
      </w:r>
      <w:r>
        <w:rPr>
          <w:rFonts w:eastAsiaTheme="minorHAnsi"/>
        </w:rPr>
        <w:t>d</w:t>
      </w:r>
      <w:r w:rsidRPr="00D83398">
        <w:rPr>
          <w:rFonts w:eastAsiaTheme="minorHAnsi"/>
        </w:rPr>
        <w:t xml:space="preserve"> </w:t>
      </w:r>
      <w:r>
        <w:rPr>
          <w:rFonts w:eastAsiaTheme="minorHAnsi"/>
        </w:rPr>
        <w:t xml:space="preserve">this </w:t>
      </w:r>
      <w:r w:rsidRPr="00D83398">
        <w:rPr>
          <w:rFonts w:eastAsiaTheme="minorHAnsi"/>
        </w:rPr>
        <w:t xml:space="preserve">population growth because of </w:t>
      </w:r>
      <w:r>
        <w:rPr>
          <w:rFonts w:eastAsiaTheme="minorHAnsi"/>
        </w:rPr>
        <w:t xml:space="preserve">a </w:t>
      </w:r>
      <w:r w:rsidRPr="00D83398">
        <w:rPr>
          <w:rFonts w:eastAsiaTheme="minorHAnsi"/>
        </w:rPr>
        <w:t>large supply of relatively affordabl</w:t>
      </w:r>
      <w:r>
        <w:rPr>
          <w:rFonts w:eastAsiaTheme="minorHAnsi"/>
        </w:rPr>
        <w:t>e residential</w:t>
      </w:r>
      <w:r>
        <w:rPr>
          <w:rFonts w:eastAsiaTheme="minorHAnsi"/>
        </w:rPr>
        <w:noBreakHyphen/>
      </w:r>
      <w:r w:rsidRPr="00D83398">
        <w:rPr>
          <w:rFonts w:eastAsiaTheme="minorHAnsi"/>
        </w:rPr>
        <w:t>zoned land</w:t>
      </w:r>
      <w:r>
        <w:rPr>
          <w:rFonts w:eastAsiaTheme="minorHAnsi"/>
        </w:rPr>
        <w:t>, especially</w:t>
      </w:r>
      <w:r w:rsidRPr="00D83398">
        <w:rPr>
          <w:rFonts w:eastAsiaTheme="minorHAnsi"/>
        </w:rPr>
        <w:t xml:space="preserve"> in the outer suburbs.</w:t>
      </w:r>
      <w:r>
        <w:rPr>
          <w:rFonts w:eastAsiaTheme="minorHAnsi"/>
        </w:rPr>
        <w:t xml:space="preserve"> However, d</w:t>
      </w:r>
      <w:r w:rsidRPr="00D83398">
        <w:rPr>
          <w:rFonts w:eastAsiaTheme="minorHAnsi"/>
        </w:rPr>
        <w:t xml:space="preserve">eveloping </w:t>
      </w:r>
      <w:r>
        <w:rPr>
          <w:rFonts w:eastAsiaTheme="minorHAnsi"/>
        </w:rPr>
        <w:t xml:space="preserve">new </w:t>
      </w:r>
      <w:r w:rsidRPr="00D83398">
        <w:rPr>
          <w:rFonts w:eastAsiaTheme="minorHAnsi"/>
        </w:rPr>
        <w:t xml:space="preserve">land </w:t>
      </w:r>
      <w:r>
        <w:rPr>
          <w:rFonts w:eastAsiaTheme="minorHAnsi"/>
        </w:rPr>
        <w:t xml:space="preserve">to meet community needs </w:t>
      </w:r>
      <w:r w:rsidRPr="00D83398">
        <w:rPr>
          <w:rFonts w:eastAsiaTheme="minorHAnsi"/>
        </w:rPr>
        <w:t xml:space="preserve">requires </w:t>
      </w:r>
      <w:r>
        <w:rPr>
          <w:rFonts w:eastAsiaTheme="minorHAnsi"/>
        </w:rPr>
        <w:t xml:space="preserve">rapid </w:t>
      </w:r>
      <w:r w:rsidRPr="00D83398">
        <w:rPr>
          <w:rFonts w:eastAsiaTheme="minorHAnsi"/>
        </w:rPr>
        <w:t xml:space="preserve">investment in new social infrastructure such as schools, hospitals and community facilities. </w:t>
      </w:r>
    </w:p>
    <w:p w:rsidR="007A09DB" w:rsidRDefault="007A09DB" w:rsidP="00857E4E">
      <w:pPr>
        <w:rPr>
          <w:rFonts w:eastAsiaTheme="minorHAnsi"/>
        </w:rPr>
      </w:pPr>
      <w:r>
        <w:rPr>
          <w:rFonts w:eastAsiaTheme="minorHAnsi"/>
        </w:rPr>
        <w:t xml:space="preserve">In addition, new </w:t>
      </w:r>
      <w:r w:rsidRPr="00D83398">
        <w:rPr>
          <w:rFonts w:eastAsiaTheme="minorHAnsi"/>
        </w:rPr>
        <w:t>residents</w:t>
      </w:r>
      <w:r>
        <w:rPr>
          <w:rFonts w:eastAsiaTheme="minorHAnsi"/>
        </w:rPr>
        <w:t xml:space="preserve"> need to be able to </w:t>
      </w:r>
      <w:r w:rsidRPr="00D83398">
        <w:rPr>
          <w:rFonts w:eastAsiaTheme="minorHAnsi"/>
        </w:rPr>
        <w:t>access the growing number of jobs in high growth sectors</w:t>
      </w:r>
      <w:r>
        <w:rPr>
          <w:rFonts w:eastAsiaTheme="minorHAnsi"/>
        </w:rPr>
        <w:t xml:space="preserve"> in both the metropolitan and regional areas of the State</w:t>
      </w:r>
      <w:r w:rsidRPr="00D83398">
        <w:rPr>
          <w:rFonts w:eastAsiaTheme="minorHAnsi"/>
        </w:rPr>
        <w:t>.</w:t>
      </w:r>
      <w:r>
        <w:rPr>
          <w:rFonts w:eastAsiaTheme="minorHAnsi"/>
        </w:rPr>
        <w:t xml:space="preserve"> </w:t>
      </w:r>
      <w:r w:rsidRPr="00D83398">
        <w:rPr>
          <w:rFonts w:eastAsiaTheme="minorHAnsi"/>
        </w:rPr>
        <w:t xml:space="preserve">This </w:t>
      </w:r>
      <w:r>
        <w:rPr>
          <w:rFonts w:eastAsiaTheme="minorHAnsi"/>
        </w:rPr>
        <w:t xml:space="preserve">requires developing new </w:t>
      </w:r>
      <w:r w:rsidRPr="00D83398">
        <w:rPr>
          <w:rFonts w:eastAsiaTheme="minorHAnsi"/>
        </w:rPr>
        <w:t>transport infrastructure</w:t>
      </w:r>
      <w:r>
        <w:rPr>
          <w:rFonts w:eastAsiaTheme="minorHAnsi"/>
        </w:rPr>
        <w:t xml:space="preserve"> and strengthening existing infrastructure to improve the linkages between where people live and where they work</w:t>
      </w:r>
      <w:r w:rsidRPr="00D83398">
        <w:rPr>
          <w:rFonts w:eastAsiaTheme="minorHAnsi"/>
        </w:rPr>
        <w:t>.</w:t>
      </w:r>
      <w:r>
        <w:rPr>
          <w:rFonts w:eastAsiaTheme="minorHAnsi"/>
        </w:rPr>
        <w:t xml:space="preserve"> </w:t>
      </w:r>
    </w:p>
    <w:p w:rsidR="007A09DB" w:rsidRDefault="007A09DB" w:rsidP="002C70F5">
      <w:pPr>
        <w:rPr>
          <w:lang w:eastAsia="en-AU"/>
        </w:rPr>
      </w:pPr>
      <w:r>
        <w:rPr>
          <w:lang w:eastAsia="en-AU"/>
        </w:rPr>
        <w:t xml:space="preserve">Reforms to the planning system are an essential complement to infrastructure provision to support the needs of a growing population. </w:t>
      </w:r>
      <w:r w:rsidRPr="008D2B42">
        <w:rPr>
          <w:lang w:eastAsia="en-AU"/>
        </w:rPr>
        <w:t>The Smart Planning Program</w:t>
      </w:r>
      <w:r w:rsidR="0078635B">
        <w:rPr>
          <w:lang w:eastAsia="en-AU"/>
        </w:rPr>
        <w:fldChar w:fldCharType="begin"/>
      </w:r>
      <w:r w:rsidR="0078635B">
        <w:instrText xml:space="preserve"> XE "</w:instrText>
      </w:r>
      <w:r w:rsidR="0078635B" w:rsidRPr="00C855E6">
        <w:rPr>
          <w:rFonts w:eastAsiaTheme="minorHAnsi"/>
        </w:rPr>
        <w:instrText>Smart Planning Program</w:instrText>
      </w:r>
      <w:r w:rsidR="0078635B">
        <w:instrText xml:space="preserve">" </w:instrText>
      </w:r>
      <w:r w:rsidR="0078635B">
        <w:rPr>
          <w:lang w:eastAsia="en-AU"/>
        </w:rPr>
        <w:fldChar w:fldCharType="end"/>
      </w:r>
      <w:r w:rsidRPr="008D2B42">
        <w:rPr>
          <w:lang w:eastAsia="en-AU"/>
        </w:rPr>
        <w:t xml:space="preserve"> funded in the </w:t>
      </w:r>
      <w:r w:rsidRPr="00FE26BF">
        <w:rPr>
          <w:i/>
          <w:lang w:eastAsia="en-AU"/>
        </w:rPr>
        <w:t>2016</w:t>
      </w:r>
      <w:r>
        <w:rPr>
          <w:i/>
          <w:lang w:eastAsia="en-AU"/>
        </w:rPr>
        <w:noBreakHyphen/>
      </w:r>
      <w:r w:rsidRPr="00FE26BF">
        <w:rPr>
          <w:i/>
          <w:lang w:eastAsia="en-AU"/>
        </w:rPr>
        <w:t>17 Budget</w:t>
      </w:r>
      <w:r w:rsidRPr="008D2B42">
        <w:rPr>
          <w:lang w:eastAsia="en-AU"/>
        </w:rPr>
        <w:t xml:space="preserve"> will</w:t>
      </w:r>
      <w:r>
        <w:rPr>
          <w:lang w:eastAsia="en-AU"/>
        </w:rPr>
        <w:t xml:space="preserve"> reform and</w:t>
      </w:r>
      <w:r w:rsidRPr="008D2B42">
        <w:rPr>
          <w:lang w:eastAsia="en-AU"/>
        </w:rPr>
        <w:t xml:space="preserve"> modernise Victoria</w:t>
      </w:r>
      <w:r>
        <w:rPr>
          <w:lang w:eastAsia="en-AU"/>
        </w:rPr>
        <w:t>’</w:t>
      </w:r>
      <w:r w:rsidRPr="008D2B42">
        <w:rPr>
          <w:lang w:eastAsia="en-AU"/>
        </w:rPr>
        <w:t>s planning system. This will make planning rules simpler and more accessible for businesses and communit</w:t>
      </w:r>
      <w:r>
        <w:rPr>
          <w:lang w:eastAsia="en-AU"/>
        </w:rPr>
        <w:t>ies</w:t>
      </w:r>
      <w:r w:rsidRPr="008D2B42">
        <w:rPr>
          <w:lang w:eastAsia="en-AU"/>
        </w:rPr>
        <w:t xml:space="preserve">, and create a more efficient planning system to cater for and facilitate growth. </w:t>
      </w:r>
      <w:r>
        <w:rPr>
          <w:lang w:eastAsia="en-AU"/>
        </w:rPr>
        <w:t>The Government will provide t</w:t>
      </w:r>
      <w:r w:rsidRPr="008D2B42">
        <w:rPr>
          <w:lang w:eastAsia="en-AU"/>
        </w:rPr>
        <w:t>argeted assistance to regional councils to support priority strategic planning work, and build</w:t>
      </w:r>
      <w:r>
        <w:rPr>
          <w:lang w:eastAsia="en-AU"/>
        </w:rPr>
        <w:t xml:space="preserve"> the</w:t>
      </w:r>
      <w:r w:rsidRPr="008D2B42">
        <w:rPr>
          <w:lang w:eastAsia="en-AU"/>
        </w:rPr>
        <w:t xml:space="preserve"> capability and skills of council planners.</w:t>
      </w:r>
      <w:r>
        <w:rPr>
          <w:lang w:eastAsia="en-AU"/>
        </w:rPr>
        <w:t xml:space="preserve"> </w:t>
      </w:r>
      <w:r w:rsidRPr="00D83398">
        <w:rPr>
          <w:rFonts w:eastAsiaTheme="minorHAnsi"/>
        </w:rPr>
        <w:t xml:space="preserve">The Government is working </w:t>
      </w:r>
      <w:r>
        <w:rPr>
          <w:lang w:eastAsia="en-AU"/>
        </w:rPr>
        <w:t xml:space="preserve">on strategies to encourage higher urban densities, such as the </w:t>
      </w:r>
      <w:r w:rsidRPr="007642EE">
        <w:rPr>
          <w:lang w:eastAsia="en-AU"/>
        </w:rPr>
        <w:t>Plan Melbourne</w:t>
      </w:r>
      <w:r>
        <w:rPr>
          <w:lang w:eastAsia="en-AU"/>
        </w:rPr>
        <w:t xml:space="preserve"> refresh, to make better use of existing infrastructure.</w:t>
      </w:r>
      <w:r>
        <w:rPr>
          <w:lang w:eastAsia="en-AU"/>
        </w:rPr>
        <w:fldChar w:fldCharType="begin"/>
      </w:r>
      <w:r>
        <w:instrText xml:space="preserve"> XE "</w:instrText>
      </w:r>
      <w:r w:rsidRPr="00161E02">
        <w:rPr>
          <w:rFonts w:eastAsiaTheme="minorHAnsi"/>
        </w:rPr>
        <w:instrText>Population:</w:instrText>
      </w:r>
      <w:r w:rsidRPr="00161E02">
        <w:instrText>Growth</w:instrText>
      </w:r>
      <w:r>
        <w:instrText xml:space="preserve">" \r "BP2Population2" </w:instrText>
      </w:r>
      <w:r>
        <w:rPr>
          <w:lang w:eastAsia="en-AU"/>
        </w:rPr>
        <w:fldChar w:fldCharType="end"/>
      </w:r>
      <w:r>
        <w:rPr>
          <w:lang w:eastAsia="en-AU"/>
        </w:rPr>
        <w:t xml:space="preserve"> </w:t>
      </w:r>
    </w:p>
    <w:bookmarkEnd w:id="46"/>
    <w:p w:rsidR="007A09DB" w:rsidRPr="00D83398" w:rsidRDefault="007A09DB" w:rsidP="00C15F39">
      <w:pPr>
        <w:pStyle w:val="Heading2"/>
        <w:rPr>
          <w:rFonts w:eastAsiaTheme="minorHAnsi"/>
        </w:rPr>
      </w:pPr>
      <w:r w:rsidRPr="00D83398">
        <w:rPr>
          <w:rFonts w:eastAsiaTheme="minorHAnsi"/>
        </w:rPr>
        <w:t>Ageing assets</w:t>
      </w:r>
    </w:p>
    <w:p w:rsidR="007A09DB" w:rsidRDefault="007A09DB" w:rsidP="002C70F5">
      <w:pPr>
        <w:rPr>
          <w:rFonts w:eastAsiaTheme="minorHAnsi"/>
        </w:rPr>
      </w:pPr>
      <w:r>
        <w:rPr>
          <w:rFonts w:eastAsiaTheme="minorHAnsi"/>
        </w:rPr>
        <w:t>Maintaining</w:t>
      </w:r>
      <w:r w:rsidRPr="00D83398">
        <w:rPr>
          <w:rFonts w:eastAsiaTheme="minorHAnsi"/>
        </w:rPr>
        <w:t xml:space="preserve"> the State</w:t>
      </w:r>
      <w:r>
        <w:rPr>
          <w:rFonts w:eastAsiaTheme="minorHAnsi"/>
        </w:rPr>
        <w:t>’</w:t>
      </w:r>
      <w:r w:rsidRPr="00D83398">
        <w:rPr>
          <w:rFonts w:eastAsiaTheme="minorHAnsi"/>
        </w:rPr>
        <w:t xml:space="preserve">s asset stock </w:t>
      </w:r>
      <w:r>
        <w:rPr>
          <w:rFonts w:eastAsiaTheme="minorHAnsi"/>
        </w:rPr>
        <w:t>requires ongoing investment</w:t>
      </w:r>
      <w:r w:rsidRPr="00D83398">
        <w:rPr>
          <w:rFonts w:eastAsiaTheme="minorHAnsi"/>
        </w:rPr>
        <w:t>.</w:t>
      </w:r>
      <w:r>
        <w:rPr>
          <w:rFonts w:eastAsiaTheme="minorHAnsi"/>
        </w:rPr>
        <w:t xml:space="preserve"> </w:t>
      </w:r>
      <w:r w:rsidRPr="00D83398">
        <w:rPr>
          <w:rFonts w:eastAsiaTheme="minorHAnsi"/>
        </w:rPr>
        <w:t>Assets age and need replacing.</w:t>
      </w:r>
      <w:r>
        <w:rPr>
          <w:rFonts w:eastAsiaTheme="minorHAnsi"/>
        </w:rPr>
        <w:t xml:space="preserve"> </w:t>
      </w:r>
      <w:r w:rsidRPr="00D83398">
        <w:rPr>
          <w:rFonts w:eastAsiaTheme="minorHAnsi"/>
        </w:rPr>
        <w:t xml:space="preserve">Whether this is replacing old and outdated trains and trams, or reconfiguring hospitals with new layouts that are more conducive to modern models of care, </w:t>
      </w:r>
      <w:r>
        <w:rPr>
          <w:rFonts w:eastAsiaTheme="minorHAnsi"/>
        </w:rPr>
        <w:t>maintaining the functionality of the asset stock requires it to be renewed</w:t>
      </w:r>
      <w:r w:rsidRPr="00D83398">
        <w:rPr>
          <w:rFonts w:eastAsiaTheme="minorHAnsi"/>
        </w:rPr>
        <w:t>.</w:t>
      </w:r>
    </w:p>
    <w:p w:rsidR="007A09DB" w:rsidRDefault="007A09DB" w:rsidP="002C70F5">
      <w:pPr>
        <w:rPr>
          <w:rFonts w:eastAsiaTheme="minorHAnsi"/>
        </w:rPr>
      </w:pPr>
      <w:r w:rsidRPr="00D83398">
        <w:rPr>
          <w:rFonts w:eastAsiaTheme="minorHAnsi"/>
        </w:rPr>
        <w:t xml:space="preserve">Assets need replacing when they become </w:t>
      </w:r>
      <w:r>
        <w:rPr>
          <w:rFonts w:eastAsiaTheme="minorHAnsi"/>
        </w:rPr>
        <w:t>costly</w:t>
      </w:r>
      <w:r w:rsidRPr="00D83398">
        <w:rPr>
          <w:rFonts w:eastAsiaTheme="minorHAnsi"/>
        </w:rPr>
        <w:t xml:space="preserve"> to operate and maintain.</w:t>
      </w:r>
      <w:r>
        <w:rPr>
          <w:rFonts w:eastAsiaTheme="minorHAnsi"/>
        </w:rPr>
        <w:t xml:space="preserve"> Although</w:t>
      </w:r>
      <w:r w:rsidRPr="00D83398">
        <w:rPr>
          <w:rFonts w:eastAsiaTheme="minorHAnsi"/>
        </w:rPr>
        <w:t xml:space="preserve"> the Government is committed to getting the most out of the State</w:t>
      </w:r>
      <w:r>
        <w:rPr>
          <w:rFonts w:eastAsiaTheme="minorHAnsi"/>
        </w:rPr>
        <w:t>’</w:t>
      </w:r>
      <w:r w:rsidRPr="00D83398">
        <w:rPr>
          <w:rFonts w:eastAsiaTheme="minorHAnsi"/>
        </w:rPr>
        <w:t xml:space="preserve">s infrastructure stock, all assets age to </w:t>
      </w:r>
      <w:r>
        <w:rPr>
          <w:rFonts w:eastAsiaTheme="minorHAnsi"/>
        </w:rPr>
        <w:t>a</w:t>
      </w:r>
      <w:r w:rsidRPr="00D83398">
        <w:rPr>
          <w:rFonts w:eastAsiaTheme="minorHAnsi"/>
        </w:rPr>
        <w:t xml:space="preserve"> point where the costs of keeping them operational exceeds the costs of replacement.</w:t>
      </w:r>
    </w:p>
    <w:p w:rsidR="007A09DB" w:rsidRDefault="007A09DB" w:rsidP="002C70F5">
      <w:pPr>
        <w:rPr>
          <w:rFonts w:eastAsiaTheme="minorHAnsi"/>
        </w:rPr>
      </w:pPr>
      <w:bookmarkStart w:id="50" w:name="BP2Prod2"/>
      <w:r>
        <w:rPr>
          <w:rFonts w:eastAsiaTheme="minorHAnsi"/>
        </w:rPr>
        <w:t>The replacement of ageing infrastructure, as well as the expansion of the existing asset base to meet the demands of a growing population, affects the level of investment that is required each year to maintain and deliver a given level of service. This core investment is required to ensure infrastructure keeps pace with growth in demand for services. This core investment can be distinguished from the major investments that materially change the way services are delivered and have a significant impact on productivity.</w:t>
      </w:r>
      <w:r>
        <w:rPr>
          <w:rFonts w:eastAsiaTheme="minorHAnsi"/>
        </w:rPr>
        <w:fldChar w:fldCharType="begin"/>
      </w:r>
      <w:r>
        <w:instrText xml:space="preserve"> XE "</w:instrText>
      </w:r>
      <w:r w:rsidRPr="009F7522">
        <w:rPr>
          <w:rFonts w:eastAsiaTheme="minorHAnsi"/>
        </w:rPr>
        <w:instrText>Education:</w:instrText>
      </w:r>
      <w:r w:rsidRPr="009F7522">
        <w:instrText>Schools</w:instrText>
      </w:r>
      <w:r>
        <w:instrText xml:space="preserve">" \r "BP2EdSchool2" </w:instrText>
      </w:r>
      <w:r>
        <w:rPr>
          <w:rFonts w:eastAsiaTheme="minorHAnsi"/>
        </w:rPr>
        <w:fldChar w:fldCharType="end"/>
      </w:r>
      <w:r>
        <w:rPr>
          <w:rFonts w:eastAsiaTheme="minorHAnsi"/>
        </w:rPr>
        <w:fldChar w:fldCharType="begin"/>
      </w:r>
      <w:r>
        <w:instrText xml:space="preserve"> XE "</w:instrText>
      </w:r>
      <w:r w:rsidRPr="00CD4AE5">
        <w:rPr>
          <w:rFonts w:eastAsiaTheme="minorHAnsi"/>
        </w:rPr>
        <w:instrText>Health:</w:instrText>
      </w:r>
      <w:r w:rsidRPr="00CD4AE5">
        <w:instrText>Hospitals</w:instrText>
      </w:r>
      <w:r>
        <w:instrText xml:space="preserve">" \r "BP2Hospt1" </w:instrText>
      </w:r>
      <w:r>
        <w:rPr>
          <w:rFonts w:eastAsiaTheme="minorHAnsi"/>
        </w:rPr>
        <w:fldChar w:fldCharType="end"/>
      </w:r>
    </w:p>
    <w:bookmarkEnd w:id="48"/>
    <w:bookmarkEnd w:id="49"/>
    <w:p w:rsidR="007A09DB" w:rsidRDefault="007A09DB">
      <w:pPr>
        <w:spacing w:after="0"/>
        <w:rPr>
          <w:rFonts w:ascii="Calibri" w:eastAsiaTheme="minorHAnsi" w:hAnsi="Calibri"/>
          <w:b/>
          <w:kern w:val="28"/>
          <w:sz w:val="26"/>
          <w:szCs w:val="22"/>
        </w:rPr>
      </w:pPr>
      <w:r>
        <w:rPr>
          <w:rFonts w:eastAsiaTheme="minorHAnsi"/>
        </w:rPr>
        <w:br w:type="page"/>
      </w:r>
    </w:p>
    <w:p w:rsidR="007A09DB" w:rsidRPr="002C70F5" w:rsidRDefault="007A09DB" w:rsidP="002C70F5">
      <w:pPr>
        <w:pStyle w:val="Heading2"/>
        <w:rPr>
          <w:rFonts w:eastAsiaTheme="minorHAnsi"/>
        </w:rPr>
      </w:pPr>
      <w:r w:rsidRPr="002C70F5">
        <w:rPr>
          <w:rFonts w:eastAsiaTheme="minorHAnsi"/>
        </w:rPr>
        <w:lastRenderedPageBreak/>
        <w:t>Transformative infrastructure projects</w:t>
      </w:r>
    </w:p>
    <w:p w:rsidR="007A09DB" w:rsidRPr="00D83398" w:rsidRDefault="007A09DB" w:rsidP="00857E4E">
      <w:pPr>
        <w:rPr>
          <w:rFonts w:eastAsiaTheme="minorHAnsi"/>
        </w:rPr>
      </w:pPr>
      <w:r>
        <w:rPr>
          <w:rFonts w:eastAsiaTheme="minorHAnsi"/>
        </w:rPr>
        <w:t>In addition to meeting the essential needs for transport and social infrastructure, the Government is looking to identify productivity</w:t>
      </w:r>
      <w:r>
        <w:rPr>
          <w:rFonts w:eastAsiaTheme="minorHAnsi"/>
        </w:rPr>
        <w:noBreakHyphen/>
        <w:t xml:space="preserve">enhancing infrastructure that could radically improve economic opportunity in Victoria. </w:t>
      </w:r>
      <w:r w:rsidRPr="00D83398">
        <w:rPr>
          <w:rFonts w:eastAsiaTheme="minorHAnsi"/>
        </w:rPr>
        <w:t>Large and iconic investments, such as the underground City Loop</w:t>
      </w:r>
      <w:r>
        <w:rPr>
          <w:rFonts w:eastAsiaTheme="minorHAnsi"/>
        </w:rPr>
        <w:fldChar w:fldCharType="begin"/>
      </w:r>
      <w:r>
        <w:instrText xml:space="preserve"> XE "</w:instrText>
      </w:r>
      <w:r w:rsidRPr="00474088">
        <w:rPr>
          <w:rFonts w:eastAsiaTheme="minorHAnsi"/>
        </w:rPr>
        <w:instrText>City Loop</w:instrText>
      </w:r>
      <w:r>
        <w:instrText xml:space="preserve">" </w:instrText>
      </w:r>
      <w:r>
        <w:rPr>
          <w:rFonts w:eastAsiaTheme="minorHAnsi"/>
        </w:rPr>
        <w:fldChar w:fldCharType="end"/>
      </w:r>
      <w:r w:rsidRPr="00D83398">
        <w:rPr>
          <w:rFonts w:eastAsiaTheme="minorHAnsi"/>
        </w:rPr>
        <w:t xml:space="preserve"> which was </w:t>
      </w:r>
      <w:r>
        <w:rPr>
          <w:rFonts w:eastAsiaTheme="minorHAnsi"/>
        </w:rPr>
        <w:t>approved for construction in 1970 and completed in 1981</w:t>
      </w:r>
      <w:r w:rsidRPr="00D83398">
        <w:rPr>
          <w:rFonts w:eastAsiaTheme="minorHAnsi"/>
        </w:rPr>
        <w:t xml:space="preserve">, </w:t>
      </w:r>
      <w:r>
        <w:rPr>
          <w:rFonts w:eastAsiaTheme="minorHAnsi"/>
        </w:rPr>
        <w:t xml:space="preserve">have been instrumental in </w:t>
      </w:r>
      <w:r w:rsidRPr="00D83398">
        <w:rPr>
          <w:rFonts w:eastAsiaTheme="minorHAnsi"/>
        </w:rPr>
        <w:t>Melbourne</w:t>
      </w:r>
      <w:r>
        <w:rPr>
          <w:rFonts w:eastAsiaTheme="minorHAnsi"/>
        </w:rPr>
        <w:t>’s and Victoria’s economic transformation and demonstrated foresight in planning for Melbourne’s future</w:t>
      </w:r>
      <w:r w:rsidRPr="00D83398">
        <w:rPr>
          <w:rFonts w:eastAsiaTheme="minorHAnsi"/>
        </w:rPr>
        <w:t>.</w:t>
      </w:r>
    </w:p>
    <w:p w:rsidR="007A09DB" w:rsidRDefault="007A09DB" w:rsidP="0004655E">
      <w:pPr>
        <w:rPr>
          <w:rFonts w:eastAsiaTheme="minorHAnsi"/>
        </w:rPr>
      </w:pPr>
      <w:r>
        <w:rPr>
          <w:rFonts w:eastAsiaTheme="minorHAnsi"/>
        </w:rPr>
        <w:t>Such investments are increasingly important given the changes in the Victorian economy. A</w:t>
      </w:r>
      <w:r w:rsidRPr="00D83398">
        <w:rPr>
          <w:rFonts w:eastAsiaTheme="minorHAnsi"/>
        </w:rPr>
        <w:t xml:space="preserve">ccess to </w:t>
      </w:r>
      <w:r>
        <w:rPr>
          <w:rFonts w:eastAsiaTheme="minorHAnsi"/>
        </w:rPr>
        <w:t xml:space="preserve">relatively </w:t>
      </w:r>
      <w:r w:rsidRPr="00D83398">
        <w:rPr>
          <w:rFonts w:eastAsiaTheme="minorHAnsi"/>
        </w:rPr>
        <w:t xml:space="preserve">cheap energy and a concentration of manufacturing industries </w:t>
      </w:r>
      <w:r>
        <w:rPr>
          <w:rFonts w:eastAsiaTheme="minorHAnsi"/>
        </w:rPr>
        <w:t>once gave</w:t>
      </w:r>
      <w:r w:rsidRPr="00D83398">
        <w:rPr>
          <w:rFonts w:eastAsiaTheme="minorHAnsi"/>
        </w:rPr>
        <w:t xml:space="preserve"> Victoria an edge</w:t>
      </w:r>
      <w:r>
        <w:rPr>
          <w:rFonts w:eastAsiaTheme="minorHAnsi"/>
        </w:rPr>
        <w:t xml:space="preserve"> but these </w:t>
      </w:r>
      <w:r w:rsidRPr="00D83398">
        <w:rPr>
          <w:rFonts w:eastAsiaTheme="minorHAnsi"/>
        </w:rPr>
        <w:t>are slowly losing their influence.</w:t>
      </w:r>
      <w:r>
        <w:rPr>
          <w:rFonts w:eastAsiaTheme="minorHAnsi"/>
        </w:rPr>
        <w:t xml:space="preserve"> Our</w:t>
      </w:r>
      <w:r w:rsidRPr="00D83398">
        <w:rPr>
          <w:rFonts w:eastAsiaTheme="minorHAnsi"/>
        </w:rPr>
        <w:t xml:space="preserve"> economy is </w:t>
      </w:r>
      <w:r>
        <w:rPr>
          <w:rFonts w:eastAsiaTheme="minorHAnsi"/>
        </w:rPr>
        <w:t xml:space="preserve">increasingly </w:t>
      </w:r>
      <w:r w:rsidRPr="00D83398">
        <w:rPr>
          <w:rFonts w:eastAsiaTheme="minorHAnsi"/>
        </w:rPr>
        <w:t>shift</w:t>
      </w:r>
      <w:r>
        <w:rPr>
          <w:rFonts w:eastAsiaTheme="minorHAnsi"/>
        </w:rPr>
        <w:t>ing</w:t>
      </w:r>
      <w:r w:rsidRPr="00D83398">
        <w:rPr>
          <w:rFonts w:eastAsiaTheme="minorHAnsi"/>
        </w:rPr>
        <w:t xml:space="preserve"> towards </w:t>
      </w:r>
      <w:r>
        <w:t>professional and financial services, health care</w:t>
      </w:r>
      <w:r>
        <w:fldChar w:fldCharType="begin"/>
      </w:r>
      <w:r>
        <w:instrText xml:space="preserve"> XE "</w:instrText>
      </w:r>
      <w:r w:rsidRPr="000B1C8B">
        <w:rPr>
          <w:rFonts w:eastAsiaTheme="minorHAnsi"/>
        </w:rPr>
        <w:instrText>Health:</w:instrText>
      </w:r>
      <w:r w:rsidRPr="000B1C8B">
        <w:instrText>Care</w:instrText>
      </w:r>
      <w:r>
        <w:instrText xml:space="preserve">" </w:instrText>
      </w:r>
      <w:r>
        <w:fldChar w:fldCharType="end"/>
      </w:r>
      <w:r>
        <w:t xml:space="preserve">, </w:t>
      </w:r>
      <w:r w:rsidRPr="00D83398">
        <w:rPr>
          <w:rFonts w:eastAsiaTheme="minorHAnsi"/>
        </w:rPr>
        <w:t xml:space="preserve">education, </w:t>
      </w:r>
      <w:r>
        <w:rPr>
          <w:rFonts w:eastAsiaTheme="minorHAnsi"/>
        </w:rPr>
        <w:t xml:space="preserve">construction, </w:t>
      </w:r>
      <w:r w:rsidRPr="00D83398">
        <w:rPr>
          <w:rFonts w:eastAsiaTheme="minorHAnsi"/>
        </w:rPr>
        <w:t xml:space="preserve">retail, tourism, </w:t>
      </w:r>
      <w:r>
        <w:rPr>
          <w:rFonts w:eastAsiaTheme="minorHAnsi"/>
        </w:rPr>
        <w:t>transport and aspects of</w:t>
      </w:r>
      <w:r w:rsidRPr="00D83398">
        <w:rPr>
          <w:rFonts w:eastAsiaTheme="minorHAnsi"/>
        </w:rPr>
        <w:t xml:space="preserve"> </w:t>
      </w:r>
      <w:r>
        <w:rPr>
          <w:rFonts w:eastAsiaTheme="minorHAnsi"/>
        </w:rPr>
        <w:t>agriculture</w:t>
      </w:r>
      <w:r w:rsidRPr="00D83398">
        <w:rPr>
          <w:rFonts w:eastAsiaTheme="minorHAnsi"/>
        </w:rPr>
        <w:t xml:space="preserve">. </w:t>
      </w:r>
    </w:p>
    <w:p w:rsidR="007A09DB" w:rsidRDefault="007A09DB" w:rsidP="00857E4E">
      <w:pPr>
        <w:rPr>
          <w:rFonts w:eastAsiaTheme="minorHAnsi"/>
        </w:rPr>
      </w:pPr>
      <w:r w:rsidRPr="00D83398">
        <w:rPr>
          <w:rFonts w:eastAsiaTheme="minorHAnsi"/>
        </w:rPr>
        <w:t>As the State</w:t>
      </w:r>
      <w:r>
        <w:rPr>
          <w:rFonts w:eastAsiaTheme="minorHAnsi"/>
        </w:rPr>
        <w:t>’</w:t>
      </w:r>
      <w:r w:rsidRPr="00D83398">
        <w:rPr>
          <w:rFonts w:eastAsiaTheme="minorHAnsi"/>
        </w:rPr>
        <w:t>s economy transforms, manufacturing in the suburbs and regions is giving way to the growing strength of high skilled service sectors.</w:t>
      </w:r>
      <w:r>
        <w:rPr>
          <w:rFonts w:eastAsiaTheme="minorHAnsi"/>
        </w:rPr>
        <w:t xml:space="preserve"> It is critical that governments provide the infrastructure necessary to drive productivity growth in existing and emerging sectors of the economy. Significantly </w:t>
      </w:r>
      <w:r w:rsidRPr="00D83398">
        <w:rPr>
          <w:rFonts w:eastAsiaTheme="minorHAnsi"/>
        </w:rPr>
        <w:t xml:space="preserve">better connections </w:t>
      </w:r>
      <w:r>
        <w:rPr>
          <w:rFonts w:eastAsiaTheme="minorHAnsi"/>
        </w:rPr>
        <w:t>are needed across</w:t>
      </w:r>
      <w:r w:rsidRPr="00D83398">
        <w:rPr>
          <w:rFonts w:eastAsiaTheme="minorHAnsi"/>
        </w:rPr>
        <w:t xml:space="preserve"> </w:t>
      </w:r>
      <w:r>
        <w:rPr>
          <w:rFonts w:eastAsiaTheme="minorHAnsi"/>
        </w:rPr>
        <w:t>Victoria, including between employment clusters</w:t>
      </w:r>
      <w:r w:rsidRPr="00D83398">
        <w:rPr>
          <w:rFonts w:eastAsiaTheme="minorHAnsi"/>
        </w:rPr>
        <w:t>, across regional areas</w:t>
      </w:r>
      <w:r>
        <w:rPr>
          <w:rFonts w:eastAsiaTheme="minorHAnsi"/>
        </w:rPr>
        <w:t>,</w:t>
      </w:r>
      <w:r w:rsidRPr="00D83398">
        <w:rPr>
          <w:rFonts w:eastAsiaTheme="minorHAnsi"/>
        </w:rPr>
        <w:t xml:space="preserve"> and from regional areas to Melbourne.</w:t>
      </w:r>
      <w:r>
        <w:rPr>
          <w:rFonts w:eastAsiaTheme="minorHAnsi"/>
        </w:rPr>
        <w:t xml:space="preserve"> </w:t>
      </w:r>
    </w:p>
    <w:p w:rsidR="007A09DB" w:rsidRPr="00D83398" w:rsidRDefault="007A09DB" w:rsidP="00857E4E">
      <w:pPr>
        <w:rPr>
          <w:rFonts w:eastAsiaTheme="minorHAnsi"/>
        </w:rPr>
      </w:pPr>
      <w:r>
        <w:rPr>
          <w:rFonts w:eastAsiaTheme="minorHAnsi"/>
        </w:rPr>
        <w:t>Transformational and productivity</w:t>
      </w:r>
      <w:r>
        <w:rPr>
          <w:rFonts w:eastAsiaTheme="minorHAnsi"/>
        </w:rPr>
        <w:noBreakHyphen/>
        <w:t>enhancing infrastructure will allow Victoria to achieve more rapid and sustained economic growth</w:t>
      </w:r>
      <w:r>
        <w:rPr>
          <w:rFonts w:eastAsiaTheme="minorHAnsi"/>
        </w:rPr>
        <w:fldChar w:fldCharType="begin"/>
      </w:r>
      <w:r>
        <w:instrText xml:space="preserve"> XE "</w:instrText>
      </w:r>
      <w:r w:rsidRPr="007F391C">
        <w:rPr>
          <w:rFonts w:eastAsiaTheme="minorHAnsi"/>
        </w:rPr>
        <w:instrText>Economic growth</w:instrText>
      </w:r>
      <w:r>
        <w:instrText xml:space="preserve">" </w:instrText>
      </w:r>
      <w:r>
        <w:rPr>
          <w:rFonts w:eastAsiaTheme="minorHAnsi"/>
        </w:rPr>
        <w:fldChar w:fldCharType="end"/>
      </w:r>
      <w:r>
        <w:rPr>
          <w:rFonts w:eastAsiaTheme="minorHAnsi"/>
        </w:rPr>
        <w:t>.</w:t>
      </w:r>
      <w:r w:rsidR="00D9023F">
        <w:rPr>
          <w:rFonts w:eastAsiaTheme="minorHAnsi"/>
        </w:rPr>
        <w:fldChar w:fldCharType="begin"/>
      </w:r>
      <w:r w:rsidR="00D9023F">
        <w:instrText xml:space="preserve"> XE "</w:instrText>
      </w:r>
      <w:r w:rsidR="00D9023F" w:rsidRPr="009B7B4C">
        <w:rPr>
          <w:rFonts w:eastAsiaTheme="minorHAnsi"/>
        </w:rPr>
        <w:instrText>Productivity</w:instrText>
      </w:r>
      <w:r w:rsidR="00D9023F">
        <w:instrText xml:space="preserve">" \r "BP2Prod2" </w:instrText>
      </w:r>
      <w:r w:rsidR="00D9023F">
        <w:rPr>
          <w:rFonts w:eastAsiaTheme="minorHAnsi"/>
        </w:rPr>
        <w:fldChar w:fldCharType="end"/>
      </w:r>
    </w:p>
    <w:p w:rsidR="007A09DB" w:rsidRPr="002C70F5" w:rsidRDefault="007A09DB" w:rsidP="002C70F5">
      <w:pPr>
        <w:pStyle w:val="Heading1"/>
        <w:rPr>
          <w:rFonts w:eastAsiaTheme="minorHAnsi"/>
        </w:rPr>
      </w:pPr>
      <w:bookmarkStart w:id="51" w:name="_Toc449123062"/>
      <w:bookmarkEnd w:id="50"/>
      <w:r w:rsidRPr="002C70F5">
        <w:rPr>
          <w:rFonts w:eastAsiaTheme="minorHAnsi"/>
        </w:rPr>
        <w:t>Existing commitments</w:t>
      </w:r>
      <w:bookmarkEnd w:id="51"/>
    </w:p>
    <w:p w:rsidR="007A09DB" w:rsidRDefault="007A09DB" w:rsidP="002C70F5">
      <w:pPr>
        <w:rPr>
          <w:rFonts w:eastAsiaTheme="minorHAnsi"/>
        </w:rPr>
      </w:pPr>
      <w:r w:rsidRPr="00D83398">
        <w:rPr>
          <w:rFonts w:eastAsiaTheme="minorHAnsi"/>
        </w:rPr>
        <w:t>Labor governments have a strong record of investing in infrastructure across V</w:t>
      </w:r>
      <w:r>
        <w:rPr>
          <w:rFonts w:eastAsiaTheme="minorHAnsi"/>
        </w:rPr>
        <w:t>ictoria. The Bracks and Brumby g</w:t>
      </w:r>
      <w:r w:rsidRPr="00D83398">
        <w:rPr>
          <w:rFonts w:eastAsiaTheme="minorHAnsi"/>
        </w:rPr>
        <w:t xml:space="preserve">overnments </w:t>
      </w:r>
      <w:r>
        <w:rPr>
          <w:rFonts w:eastAsiaTheme="minorHAnsi"/>
        </w:rPr>
        <w:t>built</w:t>
      </w:r>
      <w:r w:rsidRPr="00D83398">
        <w:rPr>
          <w:rFonts w:eastAsiaTheme="minorHAnsi"/>
        </w:rPr>
        <w:t xml:space="preserve"> many significant projects across the State</w:t>
      </w:r>
      <w:r>
        <w:rPr>
          <w:rFonts w:eastAsiaTheme="minorHAnsi"/>
        </w:rPr>
        <w:t>,</w:t>
      </w:r>
      <w:r w:rsidRPr="00D83398">
        <w:rPr>
          <w:rFonts w:eastAsiaTheme="minorHAnsi"/>
        </w:rPr>
        <w:t xml:space="preserve"> including EastLink, </w:t>
      </w:r>
      <w:r>
        <w:rPr>
          <w:rFonts w:eastAsiaTheme="minorHAnsi"/>
        </w:rPr>
        <w:t xml:space="preserve">the </w:t>
      </w:r>
      <w:r w:rsidRPr="00D83398">
        <w:rPr>
          <w:rFonts w:eastAsiaTheme="minorHAnsi"/>
        </w:rPr>
        <w:t>Monash</w:t>
      </w:r>
      <w:r>
        <w:rPr>
          <w:rFonts w:eastAsiaTheme="minorHAnsi"/>
        </w:rPr>
        <w:noBreakHyphen/>
      </w:r>
      <w:r w:rsidRPr="00D83398">
        <w:rPr>
          <w:rFonts w:eastAsiaTheme="minorHAnsi"/>
        </w:rPr>
        <w:t>Westgate w</w:t>
      </w:r>
      <w:r>
        <w:rPr>
          <w:rFonts w:eastAsiaTheme="minorHAnsi"/>
        </w:rPr>
        <w:t>idening, the Regional Rail Link and</w:t>
      </w:r>
      <w:r w:rsidRPr="00D83398">
        <w:rPr>
          <w:rFonts w:eastAsiaTheme="minorHAnsi"/>
        </w:rPr>
        <w:t xml:space="preserve"> </w:t>
      </w:r>
      <w:r>
        <w:rPr>
          <w:rFonts w:eastAsiaTheme="minorHAnsi"/>
        </w:rPr>
        <w:t>Peninsula Link, and made investments in health infrastructure, including</w:t>
      </w:r>
      <w:r w:rsidRPr="00D83398">
        <w:rPr>
          <w:rFonts w:eastAsiaTheme="minorHAnsi"/>
        </w:rPr>
        <w:t xml:space="preserve"> the</w:t>
      </w:r>
      <w:r>
        <w:rPr>
          <w:rFonts w:eastAsiaTheme="minorHAnsi"/>
        </w:rPr>
        <w:t xml:space="preserve"> </w:t>
      </w:r>
      <w:r w:rsidRPr="00D83398">
        <w:rPr>
          <w:rFonts w:eastAsiaTheme="minorHAnsi"/>
        </w:rPr>
        <w:t>Royal Children</w:t>
      </w:r>
      <w:r>
        <w:rPr>
          <w:rFonts w:eastAsiaTheme="minorHAnsi"/>
        </w:rPr>
        <w:t>’</w:t>
      </w:r>
      <w:r w:rsidRPr="00D83398">
        <w:rPr>
          <w:rFonts w:eastAsiaTheme="minorHAnsi"/>
        </w:rPr>
        <w:t xml:space="preserve">s </w:t>
      </w:r>
      <w:r>
        <w:rPr>
          <w:rFonts w:eastAsiaTheme="minorHAnsi"/>
        </w:rPr>
        <w:t>and</w:t>
      </w:r>
      <w:r w:rsidRPr="00000DB8">
        <w:rPr>
          <w:rFonts w:eastAsiaTheme="minorHAnsi"/>
        </w:rPr>
        <w:t xml:space="preserve"> Royal Women</w:t>
      </w:r>
      <w:r>
        <w:rPr>
          <w:rFonts w:eastAsiaTheme="minorHAnsi"/>
        </w:rPr>
        <w:t>’</w:t>
      </w:r>
      <w:r w:rsidRPr="00000DB8">
        <w:rPr>
          <w:rFonts w:eastAsiaTheme="minorHAnsi"/>
        </w:rPr>
        <w:t>s Hospital</w:t>
      </w:r>
      <w:r>
        <w:rPr>
          <w:rFonts w:eastAsiaTheme="minorHAnsi"/>
        </w:rPr>
        <w:t xml:space="preserve">s and </w:t>
      </w:r>
      <w:r w:rsidRPr="00000DB8">
        <w:rPr>
          <w:rFonts w:eastAsiaTheme="minorHAnsi"/>
        </w:rPr>
        <w:t>the Victorian Comprehensive Cancer Centre</w:t>
      </w:r>
      <w:r w:rsidRPr="00D83398">
        <w:rPr>
          <w:rFonts w:eastAsiaTheme="minorHAnsi"/>
        </w:rPr>
        <w:t>.</w:t>
      </w:r>
      <w:r>
        <w:rPr>
          <w:rFonts w:eastAsiaTheme="minorHAnsi"/>
        </w:rPr>
        <w:t xml:space="preserve"> </w:t>
      </w:r>
    </w:p>
    <w:p w:rsidR="007A09DB" w:rsidRDefault="007A09DB" w:rsidP="002C70F5">
      <w:pPr>
        <w:rPr>
          <w:rFonts w:eastAsiaTheme="minorHAnsi"/>
        </w:rPr>
      </w:pPr>
      <w:r>
        <w:rPr>
          <w:rFonts w:eastAsiaTheme="minorHAnsi"/>
        </w:rPr>
        <w:t xml:space="preserve">In its first budget, the Government </w:t>
      </w:r>
      <w:r w:rsidRPr="00D83398">
        <w:rPr>
          <w:rFonts w:eastAsiaTheme="minorHAnsi"/>
        </w:rPr>
        <w:t>substantially delivered on</w:t>
      </w:r>
      <w:r>
        <w:rPr>
          <w:rFonts w:eastAsiaTheme="minorHAnsi"/>
        </w:rPr>
        <w:t xml:space="preserve"> its election</w:t>
      </w:r>
      <w:r w:rsidRPr="00D83398">
        <w:rPr>
          <w:rFonts w:eastAsiaTheme="minorHAnsi"/>
        </w:rPr>
        <w:t xml:space="preserve"> commitments</w:t>
      </w:r>
      <w:r>
        <w:rPr>
          <w:rFonts w:eastAsiaTheme="minorHAnsi"/>
        </w:rPr>
        <w:t xml:space="preserve"> outlined</w:t>
      </w:r>
      <w:r w:rsidRPr="00D83398">
        <w:rPr>
          <w:rFonts w:eastAsiaTheme="minorHAnsi"/>
        </w:rPr>
        <w:t xml:space="preserve"> in </w:t>
      </w:r>
      <w:r w:rsidRPr="00A31D09">
        <w:rPr>
          <w:rFonts w:eastAsiaTheme="minorHAnsi"/>
        </w:rPr>
        <w:t>Labor</w:t>
      </w:r>
      <w:r>
        <w:rPr>
          <w:rFonts w:eastAsiaTheme="minorHAnsi"/>
        </w:rPr>
        <w:t>’</w:t>
      </w:r>
      <w:r w:rsidRPr="00A31D09">
        <w:rPr>
          <w:rFonts w:eastAsiaTheme="minorHAnsi"/>
        </w:rPr>
        <w:t>s Financial Statement 2014</w:t>
      </w:r>
      <w:r>
        <w:rPr>
          <w:rFonts w:eastAsiaTheme="minorHAnsi"/>
        </w:rPr>
        <w:fldChar w:fldCharType="begin"/>
      </w:r>
      <w:r>
        <w:instrText xml:space="preserve"> XE "</w:instrText>
      </w:r>
      <w:r w:rsidRPr="00E1473F">
        <w:rPr>
          <w:rFonts w:eastAsiaTheme="minorHAnsi"/>
        </w:rPr>
        <w:instrText>Labor’s Financial Statement 2014</w:instrText>
      </w:r>
      <w:r>
        <w:instrText xml:space="preserve">" </w:instrText>
      </w:r>
      <w:r>
        <w:rPr>
          <w:rFonts w:eastAsiaTheme="minorHAnsi"/>
        </w:rPr>
        <w:fldChar w:fldCharType="end"/>
      </w:r>
      <w:r w:rsidRPr="00D83398">
        <w:rPr>
          <w:rFonts w:eastAsiaTheme="minorHAnsi"/>
        </w:rPr>
        <w:t>.</w:t>
      </w:r>
      <w:r>
        <w:rPr>
          <w:rFonts w:eastAsiaTheme="minorHAnsi"/>
        </w:rPr>
        <w:t xml:space="preserve"> </w:t>
      </w:r>
      <w:r w:rsidRPr="00D83398">
        <w:rPr>
          <w:rFonts w:eastAsiaTheme="minorHAnsi"/>
        </w:rPr>
        <w:t xml:space="preserve">New investments included in the </w:t>
      </w:r>
      <w:r w:rsidRPr="001471FE">
        <w:rPr>
          <w:rFonts w:eastAsiaTheme="minorHAnsi"/>
          <w:i/>
        </w:rPr>
        <w:t>2015</w:t>
      </w:r>
      <w:r>
        <w:rPr>
          <w:rFonts w:eastAsiaTheme="minorHAnsi"/>
          <w:i/>
        </w:rPr>
        <w:noBreakHyphen/>
      </w:r>
      <w:r w:rsidRPr="001471FE">
        <w:rPr>
          <w:rFonts w:eastAsiaTheme="minorHAnsi"/>
          <w:i/>
        </w:rPr>
        <w:t>16 Budget</w:t>
      </w:r>
      <w:r w:rsidRPr="00D83398">
        <w:rPr>
          <w:rFonts w:eastAsiaTheme="minorHAnsi"/>
        </w:rPr>
        <w:t xml:space="preserve"> total between $19</w:t>
      </w:r>
      <w:r>
        <w:rPr>
          <w:rFonts w:eastAsiaTheme="minorHAnsi"/>
        </w:rPr>
        <w:noBreakHyphen/>
      </w:r>
      <w:r w:rsidRPr="00D83398">
        <w:rPr>
          <w:rFonts w:eastAsiaTheme="minorHAnsi"/>
        </w:rPr>
        <w:t>22</w:t>
      </w:r>
      <w:r>
        <w:rPr>
          <w:rFonts w:eastAsiaTheme="minorHAnsi"/>
        </w:rPr>
        <w:t> billion</w:t>
      </w:r>
      <w:r w:rsidRPr="00D83398">
        <w:rPr>
          <w:rFonts w:eastAsiaTheme="minorHAnsi"/>
        </w:rPr>
        <w:t>.</w:t>
      </w:r>
    </w:p>
    <w:p w:rsidR="007A09DB" w:rsidRDefault="007A09DB" w:rsidP="002C70F5">
      <w:pPr>
        <w:rPr>
          <w:rFonts w:eastAsiaTheme="minorHAnsi"/>
        </w:rPr>
      </w:pPr>
      <w:r w:rsidRPr="00D83398">
        <w:rPr>
          <w:rFonts w:eastAsiaTheme="minorHAnsi"/>
        </w:rPr>
        <w:t>The Government</w:t>
      </w:r>
      <w:r>
        <w:rPr>
          <w:rFonts w:eastAsiaTheme="minorHAnsi"/>
        </w:rPr>
        <w:t>’</w:t>
      </w:r>
      <w:r w:rsidRPr="00D83398">
        <w:rPr>
          <w:rFonts w:eastAsiaTheme="minorHAnsi"/>
        </w:rPr>
        <w:t>s $5</w:t>
      </w:r>
      <w:r>
        <w:rPr>
          <w:rFonts w:eastAsiaTheme="minorHAnsi"/>
        </w:rPr>
        <w:noBreakHyphen/>
      </w:r>
      <w:r w:rsidRPr="00D83398">
        <w:rPr>
          <w:rFonts w:eastAsiaTheme="minorHAnsi"/>
        </w:rPr>
        <w:t>6</w:t>
      </w:r>
      <w:r>
        <w:rPr>
          <w:rFonts w:eastAsiaTheme="minorHAnsi"/>
        </w:rPr>
        <w:t> billion</w:t>
      </w:r>
      <w:r w:rsidRPr="00D83398">
        <w:rPr>
          <w:rFonts w:eastAsiaTheme="minorHAnsi"/>
        </w:rPr>
        <w:t xml:space="preserve"> program to remove 50 of </w:t>
      </w:r>
      <w:r>
        <w:rPr>
          <w:rFonts w:eastAsiaTheme="minorHAnsi"/>
        </w:rPr>
        <w:t>the</w:t>
      </w:r>
      <w:r w:rsidRPr="00D83398">
        <w:rPr>
          <w:rFonts w:eastAsiaTheme="minorHAnsi"/>
        </w:rPr>
        <w:t xml:space="preserve"> most dangerous and congested level crossings </w:t>
      </w:r>
      <w:r>
        <w:rPr>
          <w:rFonts w:eastAsiaTheme="minorHAnsi"/>
        </w:rPr>
        <w:t xml:space="preserve">in metropolitan Melbourne </w:t>
      </w:r>
      <w:r w:rsidRPr="00D83398">
        <w:rPr>
          <w:rFonts w:eastAsiaTheme="minorHAnsi"/>
        </w:rPr>
        <w:t>will help end the traffic nightmare on local roads</w:t>
      </w:r>
      <w:r w:rsidR="0078635B">
        <w:rPr>
          <w:rFonts w:eastAsiaTheme="minorHAnsi"/>
        </w:rPr>
        <w:fldChar w:fldCharType="begin"/>
      </w:r>
      <w:r w:rsidR="0078635B">
        <w:instrText xml:space="preserve"> XE "</w:instrText>
      </w:r>
      <w:r w:rsidR="0078635B">
        <w:rPr>
          <w:rFonts w:eastAsiaTheme="minorHAnsi"/>
        </w:rPr>
        <w:instrText>Roads</w:instrText>
      </w:r>
      <w:r w:rsidR="0078635B">
        <w:instrText xml:space="preserve">" </w:instrText>
      </w:r>
      <w:r w:rsidR="0078635B">
        <w:rPr>
          <w:rFonts w:eastAsiaTheme="minorHAnsi"/>
        </w:rPr>
        <w:fldChar w:fldCharType="end"/>
      </w:r>
      <w:r w:rsidRPr="00D83398">
        <w:rPr>
          <w:rFonts w:eastAsiaTheme="minorHAnsi"/>
        </w:rPr>
        <w:t xml:space="preserve"> and get more trains on every line.</w:t>
      </w:r>
      <w:r>
        <w:rPr>
          <w:rFonts w:eastAsiaTheme="minorHAnsi"/>
        </w:rPr>
        <w:t xml:space="preserve"> </w:t>
      </w:r>
      <w:r w:rsidRPr="00D83398">
        <w:rPr>
          <w:rFonts w:eastAsiaTheme="minorHAnsi"/>
        </w:rPr>
        <w:t>Th</w:t>
      </w:r>
      <w:r>
        <w:rPr>
          <w:rFonts w:eastAsiaTheme="minorHAnsi"/>
        </w:rPr>
        <w:t xml:space="preserve">e </w:t>
      </w:r>
      <w:r w:rsidRPr="00D83398">
        <w:rPr>
          <w:rFonts w:eastAsiaTheme="minorHAnsi"/>
        </w:rPr>
        <w:t>program will get Victorians home to their families safer and sooner.</w:t>
      </w:r>
      <w:r>
        <w:rPr>
          <w:rFonts w:eastAsiaTheme="minorHAnsi"/>
        </w:rPr>
        <w:t xml:space="preserve"> </w:t>
      </w:r>
      <w:r w:rsidRPr="00D83398">
        <w:rPr>
          <w:rFonts w:eastAsiaTheme="minorHAnsi"/>
        </w:rPr>
        <w:t xml:space="preserve">It </w:t>
      </w:r>
      <w:r>
        <w:rPr>
          <w:rFonts w:eastAsiaTheme="minorHAnsi"/>
        </w:rPr>
        <w:t>will decrease</w:t>
      </w:r>
      <w:r w:rsidRPr="00D83398">
        <w:rPr>
          <w:rFonts w:eastAsiaTheme="minorHAnsi"/>
        </w:rPr>
        <w:t xml:space="preserve"> the time taken to get to and from work, and improve the productivity of </w:t>
      </w:r>
      <w:r>
        <w:rPr>
          <w:rFonts w:eastAsiaTheme="minorHAnsi"/>
        </w:rPr>
        <w:t>the</w:t>
      </w:r>
      <w:r w:rsidRPr="00D83398">
        <w:rPr>
          <w:rFonts w:eastAsiaTheme="minorHAnsi"/>
        </w:rPr>
        <w:t xml:space="preserve"> transport sector, which improves Victoria</w:t>
      </w:r>
      <w:r>
        <w:rPr>
          <w:rFonts w:eastAsiaTheme="minorHAnsi"/>
        </w:rPr>
        <w:t>’</w:t>
      </w:r>
      <w:r w:rsidRPr="00D83398">
        <w:rPr>
          <w:rFonts w:eastAsiaTheme="minorHAnsi"/>
        </w:rPr>
        <w:t>s competitiveness.</w:t>
      </w:r>
      <w:r>
        <w:rPr>
          <w:rFonts w:eastAsiaTheme="minorHAnsi"/>
        </w:rPr>
        <w:t xml:space="preserve"> </w:t>
      </w:r>
    </w:p>
    <w:p w:rsidR="007A09DB" w:rsidRDefault="007A09DB" w:rsidP="002C70F5">
      <w:pPr>
        <w:rPr>
          <w:rFonts w:eastAsiaTheme="minorHAnsi"/>
        </w:rPr>
      </w:pPr>
      <w:bookmarkStart w:id="52" w:name="BP2PubTrans3"/>
      <w:bookmarkStart w:id="53" w:name="BP2Metro2"/>
      <w:r w:rsidRPr="00D83398">
        <w:rPr>
          <w:rFonts w:eastAsiaTheme="minorHAnsi"/>
        </w:rPr>
        <w:t xml:space="preserve">In the </w:t>
      </w:r>
      <w:r w:rsidRPr="001471FE">
        <w:rPr>
          <w:rFonts w:eastAsiaTheme="minorHAnsi"/>
          <w:i/>
        </w:rPr>
        <w:t>2015</w:t>
      </w:r>
      <w:r>
        <w:rPr>
          <w:rFonts w:eastAsiaTheme="minorHAnsi"/>
          <w:i/>
        </w:rPr>
        <w:noBreakHyphen/>
      </w:r>
      <w:r w:rsidRPr="001471FE">
        <w:rPr>
          <w:rFonts w:eastAsiaTheme="minorHAnsi"/>
          <w:i/>
        </w:rPr>
        <w:t>16 Budget</w:t>
      </w:r>
      <w:r>
        <w:rPr>
          <w:rFonts w:eastAsiaTheme="minorHAnsi"/>
        </w:rPr>
        <w:t>,</w:t>
      </w:r>
      <w:r w:rsidRPr="00D83398">
        <w:rPr>
          <w:rFonts w:eastAsiaTheme="minorHAnsi"/>
        </w:rPr>
        <w:t xml:space="preserve"> the Government made </w:t>
      </w:r>
      <w:r>
        <w:rPr>
          <w:rFonts w:eastAsiaTheme="minorHAnsi"/>
        </w:rPr>
        <w:t>a significant</w:t>
      </w:r>
      <w:r w:rsidRPr="00D83398">
        <w:rPr>
          <w:rFonts w:eastAsiaTheme="minorHAnsi"/>
        </w:rPr>
        <w:t xml:space="preserve"> investment in public transport, commencing the Metro </w:t>
      </w:r>
      <w:r>
        <w:rPr>
          <w:rFonts w:eastAsiaTheme="minorHAnsi"/>
        </w:rPr>
        <w:t>Tunnel</w:t>
      </w:r>
      <w:r w:rsidRPr="00D83398">
        <w:rPr>
          <w:rFonts w:eastAsiaTheme="minorHAnsi"/>
        </w:rPr>
        <w:t>.</w:t>
      </w:r>
      <w:r>
        <w:rPr>
          <w:rFonts w:eastAsiaTheme="minorHAnsi"/>
        </w:rPr>
        <w:t xml:space="preserve"> This</w:t>
      </w:r>
      <w:r w:rsidRPr="00D83398">
        <w:rPr>
          <w:rFonts w:eastAsiaTheme="minorHAnsi"/>
        </w:rPr>
        <w:t xml:space="preserve"> project will transform the public transport system with the biggest overhaul to the train network since the construction of the City Loop</w:t>
      </w:r>
      <w:r>
        <w:rPr>
          <w:rFonts w:eastAsiaTheme="minorHAnsi"/>
        </w:rPr>
        <w:fldChar w:fldCharType="begin"/>
      </w:r>
      <w:r>
        <w:instrText xml:space="preserve"> XE "</w:instrText>
      </w:r>
      <w:r w:rsidRPr="00474088">
        <w:rPr>
          <w:rFonts w:eastAsiaTheme="minorHAnsi"/>
        </w:rPr>
        <w:instrText>City Loop</w:instrText>
      </w:r>
      <w:r>
        <w:instrText xml:space="preserve">" </w:instrText>
      </w:r>
      <w:r>
        <w:rPr>
          <w:rFonts w:eastAsiaTheme="minorHAnsi"/>
        </w:rPr>
        <w:fldChar w:fldCharType="end"/>
      </w:r>
      <w:r w:rsidRPr="00D83398">
        <w:rPr>
          <w:rFonts w:eastAsiaTheme="minorHAnsi"/>
        </w:rPr>
        <w:t>.</w:t>
      </w:r>
    </w:p>
    <w:p w:rsidR="007A09DB" w:rsidRDefault="007A09DB">
      <w:pPr>
        <w:spacing w:after="0"/>
        <w:rPr>
          <w:rFonts w:eastAsiaTheme="minorHAnsi"/>
        </w:rPr>
      </w:pPr>
      <w:r>
        <w:rPr>
          <w:rFonts w:eastAsiaTheme="minorHAnsi"/>
        </w:rPr>
        <w:lastRenderedPageBreak/>
        <w:br w:type="page"/>
      </w:r>
    </w:p>
    <w:p w:rsidR="007A09DB" w:rsidRDefault="007A09DB" w:rsidP="002C70F5">
      <w:pPr>
        <w:rPr>
          <w:rFonts w:eastAsiaTheme="minorHAnsi"/>
        </w:rPr>
      </w:pPr>
      <w:r w:rsidRPr="00D83398">
        <w:rPr>
          <w:rFonts w:eastAsiaTheme="minorHAnsi"/>
        </w:rPr>
        <w:lastRenderedPageBreak/>
        <w:t>The $</w:t>
      </w:r>
      <w:r>
        <w:rPr>
          <w:rFonts w:eastAsiaTheme="minorHAnsi"/>
        </w:rPr>
        <w:t>10.9 billion</w:t>
      </w:r>
      <w:r w:rsidRPr="00D83398">
        <w:rPr>
          <w:rFonts w:eastAsiaTheme="minorHAnsi"/>
        </w:rPr>
        <w:t xml:space="preserve"> Metro </w:t>
      </w:r>
      <w:r>
        <w:rPr>
          <w:rFonts w:eastAsiaTheme="minorHAnsi"/>
        </w:rPr>
        <w:t xml:space="preserve">Tunnel </w:t>
      </w:r>
      <w:r w:rsidRPr="00D83398">
        <w:rPr>
          <w:rFonts w:eastAsiaTheme="minorHAnsi"/>
        </w:rPr>
        <w:t xml:space="preserve">will build two </w:t>
      </w:r>
      <w:r>
        <w:rPr>
          <w:rFonts w:eastAsiaTheme="minorHAnsi"/>
        </w:rPr>
        <w:t>nine</w:t>
      </w:r>
      <w:r w:rsidRPr="00D83398">
        <w:rPr>
          <w:rFonts w:eastAsiaTheme="minorHAnsi"/>
        </w:rPr>
        <w:t xml:space="preserve"> kilometre underground tunnels through Melbourne, from South Kensington to South Yarra.</w:t>
      </w:r>
      <w:r>
        <w:rPr>
          <w:rFonts w:eastAsiaTheme="minorHAnsi"/>
        </w:rPr>
        <w:t xml:space="preserve"> The</w:t>
      </w:r>
      <w:r w:rsidRPr="00D83398">
        <w:rPr>
          <w:rFonts w:eastAsiaTheme="minorHAnsi"/>
        </w:rPr>
        <w:t xml:space="preserve"> project will relieve congestion in the City Loop</w:t>
      </w:r>
      <w:r>
        <w:rPr>
          <w:rFonts w:eastAsiaTheme="minorHAnsi"/>
        </w:rPr>
        <w:fldChar w:fldCharType="begin"/>
      </w:r>
      <w:r>
        <w:instrText xml:space="preserve"> XE "</w:instrText>
      </w:r>
      <w:r w:rsidRPr="00474088">
        <w:rPr>
          <w:rFonts w:eastAsiaTheme="minorHAnsi"/>
        </w:rPr>
        <w:instrText>City Loop</w:instrText>
      </w:r>
      <w:r>
        <w:instrText xml:space="preserve">" </w:instrText>
      </w:r>
      <w:r>
        <w:rPr>
          <w:rFonts w:eastAsiaTheme="minorHAnsi"/>
        </w:rPr>
        <w:fldChar w:fldCharType="end"/>
      </w:r>
      <w:r w:rsidRPr="00D83398">
        <w:rPr>
          <w:rFonts w:eastAsiaTheme="minorHAnsi"/>
        </w:rPr>
        <w:t xml:space="preserve"> and create space for more trains across the network.</w:t>
      </w:r>
    </w:p>
    <w:p w:rsidR="007A09DB" w:rsidRDefault="007A09DB" w:rsidP="002C70F5">
      <w:pPr>
        <w:rPr>
          <w:rFonts w:eastAsiaTheme="minorHAnsi"/>
        </w:rPr>
      </w:pPr>
      <w:r>
        <w:rPr>
          <w:rFonts w:eastAsiaTheme="minorHAnsi"/>
        </w:rPr>
        <w:t>The State’s $220 million</w:t>
      </w:r>
      <w:r w:rsidRPr="00D83398">
        <w:rPr>
          <w:rFonts w:eastAsiaTheme="minorHAnsi"/>
        </w:rPr>
        <w:t xml:space="preserve"> </w:t>
      </w:r>
      <w:r>
        <w:rPr>
          <w:rFonts w:eastAsiaTheme="minorHAnsi"/>
        </w:rPr>
        <w:t xml:space="preserve">contribution to the </w:t>
      </w:r>
      <w:r w:rsidRPr="00D83398">
        <w:rPr>
          <w:rFonts w:eastAsiaTheme="minorHAnsi"/>
        </w:rPr>
        <w:t>Murray Basin Rail Project</w:t>
      </w:r>
      <w:r>
        <w:rPr>
          <w:rFonts w:eastAsiaTheme="minorHAnsi"/>
        </w:rPr>
        <w:fldChar w:fldCharType="begin"/>
      </w:r>
      <w:r>
        <w:instrText xml:space="preserve"> XE "</w:instrText>
      </w:r>
      <w:r w:rsidRPr="00CD3CAB">
        <w:rPr>
          <w:rFonts w:eastAsiaTheme="minorHAnsi"/>
        </w:rPr>
        <w:instrText>Murray Basin Rail Project</w:instrText>
      </w:r>
      <w:r>
        <w:instrText xml:space="preserve">" </w:instrText>
      </w:r>
      <w:r>
        <w:rPr>
          <w:rFonts w:eastAsiaTheme="minorHAnsi"/>
        </w:rPr>
        <w:fldChar w:fldCharType="end"/>
      </w:r>
      <w:r w:rsidRPr="00D83398">
        <w:rPr>
          <w:rFonts w:eastAsiaTheme="minorHAnsi"/>
        </w:rPr>
        <w:t xml:space="preserve"> will make the freight network safer and more efficient</w:t>
      </w:r>
      <w:r>
        <w:rPr>
          <w:rFonts w:eastAsiaTheme="minorHAnsi"/>
        </w:rPr>
        <w:t xml:space="preserve">. </w:t>
      </w:r>
      <w:r w:rsidRPr="00D83398">
        <w:rPr>
          <w:rFonts w:eastAsiaTheme="minorHAnsi"/>
        </w:rPr>
        <w:t>This is critical for Victoria as Australia</w:t>
      </w:r>
      <w:r>
        <w:rPr>
          <w:rFonts w:eastAsiaTheme="minorHAnsi"/>
        </w:rPr>
        <w:t>’</w:t>
      </w:r>
      <w:r w:rsidRPr="00D83398">
        <w:rPr>
          <w:rFonts w:eastAsiaTheme="minorHAnsi"/>
        </w:rPr>
        <w:t>s largest exporter of food</w:t>
      </w:r>
      <w:r>
        <w:rPr>
          <w:rFonts w:eastAsiaTheme="minorHAnsi"/>
        </w:rPr>
        <w:t xml:space="preserve"> and other key exports such as mineral sands</w:t>
      </w:r>
      <w:r w:rsidRPr="00D83398">
        <w:rPr>
          <w:rFonts w:eastAsiaTheme="minorHAnsi"/>
        </w:rPr>
        <w:t xml:space="preserve">. The Murray Basin </w:t>
      </w:r>
      <w:r>
        <w:rPr>
          <w:rFonts w:eastAsiaTheme="minorHAnsi"/>
        </w:rPr>
        <w:t>exports over</w:t>
      </w:r>
      <w:r w:rsidRPr="00D83398">
        <w:rPr>
          <w:rFonts w:eastAsiaTheme="minorHAnsi"/>
        </w:rPr>
        <w:t xml:space="preserve"> $3</w:t>
      </w:r>
      <w:r>
        <w:rPr>
          <w:rFonts w:eastAsiaTheme="minorHAnsi"/>
        </w:rPr>
        <w:t> billion a year</w:t>
      </w:r>
      <w:r w:rsidRPr="00D83398">
        <w:rPr>
          <w:rFonts w:eastAsiaTheme="minorHAnsi"/>
        </w:rPr>
        <w:t xml:space="preserve"> in </w:t>
      </w:r>
      <w:r>
        <w:rPr>
          <w:rFonts w:eastAsiaTheme="minorHAnsi"/>
        </w:rPr>
        <w:t>food, fibre, wine and mineral sands</w:t>
      </w:r>
      <w:r w:rsidRPr="00D83398">
        <w:rPr>
          <w:rFonts w:eastAsiaTheme="minorHAnsi"/>
        </w:rPr>
        <w:t>.</w:t>
      </w:r>
      <w:r>
        <w:rPr>
          <w:rFonts w:eastAsiaTheme="minorHAnsi"/>
        </w:rPr>
        <w:t xml:space="preserve"> </w:t>
      </w:r>
      <w:r w:rsidRPr="00D83398">
        <w:rPr>
          <w:rFonts w:eastAsiaTheme="minorHAnsi"/>
        </w:rPr>
        <w:t>The investment will enable larger trains to carry more product creating new opportunities and reducing costs.</w:t>
      </w:r>
      <w:r>
        <w:rPr>
          <w:rFonts w:eastAsiaTheme="minorHAnsi"/>
        </w:rPr>
        <w:t xml:space="preserve"> </w:t>
      </w:r>
    </w:p>
    <w:p w:rsidR="007A09DB" w:rsidRDefault="007A09DB" w:rsidP="002C70F5">
      <w:pPr>
        <w:rPr>
          <w:rFonts w:eastAsiaTheme="minorHAnsi"/>
        </w:rPr>
      </w:pPr>
      <w:r w:rsidRPr="00D83398">
        <w:rPr>
          <w:rFonts w:eastAsiaTheme="minorHAnsi"/>
        </w:rPr>
        <w:t xml:space="preserve">The regional road network will also be </w:t>
      </w:r>
      <w:r>
        <w:rPr>
          <w:rFonts w:eastAsiaTheme="minorHAnsi"/>
        </w:rPr>
        <w:t>improved</w:t>
      </w:r>
      <w:r w:rsidRPr="00D83398">
        <w:rPr>
          <w:rFonts w:eastAsiaTheme="minorHAnsi"/>
        </w:rPr>
        <w:t xml:space="preserve"> with investment in strengthening bridges and </w:t>
      </w:r>
      <w:r>
        <w:rPr>
          <w:rFonts w:eastAsiaTheme="minorHAnsi"/>
        </w:rPr>
        <w:t>improving the safety of high risk</w:t>
      </w:r>
      <w:r w:rsidRPr="00D83398">
        <w:rPr>
          <w:rFonts w:eastAsiaTheme="minorHAnsi"/>
        </w:rPr>
        <w:t xml:space="preserve"> level crossings.</w:t>
      </w:r>
      <w:r>
        <w:rPr>
          <w:rFonts w:eastAsiaTheme="minorHAnsi"/>
        </w:rPr>
        <w:t xml:space="preserve"> </w:t>
      </w:r>
      <w:r w:rsidRPr="00D83398">
        <w:rPr>
          <w:rFonts w:eastAsiaTheme="minorHAnsi"/>
        </w:rPr>
        <w:t>This will allow freight to be transported more directly and efficiently.</w:t>
      </w:r>
    </w:p>
    <w:p w:rsidR="007A09DB" w:rsidRPr="00AA1642" w:rsidRDefault="007A09DB" w:rsidP="002C70F5">
      <w:pPr>
        <w:rPr>
          <w:rFonts w:eastAsiaTheme="minorHAnsi"/>
        </w:rPr>
      </w:pPr>
      <w:r w:rsidRPr="00D83398">
        <w:rPr>
          <w:rFonts w:eastAsiaTheme="minorHAnsi"/>
        </w:rPr>
        <w:t xml:space="preserve">The </w:t>
      </w:r>
      <w:r w:rsidRPr="00FE26BF">
        <w:rPr>
          <w:rFonts w:eastAsiaTheme="minorHAnsi"/>
          <w:i/>
        </w:rPr>
        <w:t>2016</w:t>
      </w:r>
      <w:r>
        <w:rPr>
          <w:rFonts w:eastAsiaTheme="minorHAnsi"/>
          <w:i/>
        </w:rPr>
        <w:noBreakHyphen/>
      </w:r>
      <w:r w:rsidRPr="00FE26BF">
        <w:rPr>
          <w:rFonts w:eastAsiaTheme="minorHAnsi"/>
          <w:i/>
        </w:rPr>
        <w:t>17 Budget</w:t>
      </w:r>
      <w:r>
        <w:rPr>
          <w:rFonts w:eastAsiaTheme="minorHAnsi"/>
        </w:rPr>
        <w:t xml:space="preserve"> builds on that investment</w:t>
      </w:r>
      <w:r>
        <w:rPr>
          <w:rFonts w:eastAsiaTheme="minorHAnsi"/>
          <w:i/>
        </w:rPr>
        <w:t xml:space="preserve">, </w:t>
      </w:r>
      <w:r w:rsidRPr="00690FDE">
        <w:rPr>
          <w:rFonts w:eastAsiaTheme="minorHAnsi"/>
        </w:rPr>
        <w:t>providing a further $</w:t>
      </w:r>
      <w:r>
        <w:rPr>
          <w:rFonts w:eastAsiaTheme="minorHAnsi"/>
        </w:rPr>
        <w:t>2.9 billion in capital funding to improve Victoria’s public transport system, connecting people to communities and employment. The performance and reliability of the</w:t>
      </w:r>
      <w:r w:rsidRPr="008D18B6">
        <w:rPr>
          <w:rFonts w:eastAsiaTheme="minorHAnsi"/>
        </w:rPr>
        <w:t xml:space="preserve"> </w:t>
      </w:r>
      <w:r>
        <w:rPr>
          <w:rFonts w:eastAsiaTheme="minorHAnsi"/>
        </w:rPr>
        <w:t>metropolitan rail network will be improved, with $1.9 billion in capital funding being provided for upgrades. This includes $588 million for the Mernda rail extension</w:t>
      </w:r>
      <w:r w:rsidR="0078635B">
        <w:rPr>
          <w:rFonts w:eastAsiaTheme="minorHAnsi"/>
        </w:rPr>
        <w:fldChar w:fldCharType="begin"/>
      </w:r>
      <w:r w:rsidR="0078635B">
        <w:instrText xml:space="preserve"> XE "</w:instrText>
      </w:r>
      <w:r w:rsidR="0078635B" w:rsidRPr="006628BD">
        <w:rPr>
          <w:rFonts w:eastAsiaTheme="minorHAnsi"/>
        </w:rPr>
        <w:instrText>Mernda rail extension</w:instrText>
      </w:r>
      <w:r w:rsidR="0078635B">
        <w:instrText xml:space="preserve">" </w:instrText>
      </w:r>
      <w:r w:rsidR="0078635B">
        <w:rPr>
          <w:rFonts w:eastAsiaTheme="minorHAnsi"/>
        </w:rPr>
        <w:fldChar w:fldCharType="end"/>
      </w:r>
      <w:r>
        <w:rPr>
          <w:rFonts w:eastAsiaTheme="minorHAnsi"/>
        </w:rPr>
        <w:t xml:space="preserve"> project, $875 million for additional high capacity trains, $136 million to upgrade the Hurstbridge line</w:t>
      </w:r>
      <w:r w:rsidR="0078635B">
        <w:rPr>
          <w:rFonts w:eastAsiaTheme="minorHAnsi"/>
        </w:rPr>
        <w:fldChar w:fldCharType="begin"/>
      </w:r>
      <w:r w:rsidR="0078635B">
        <w:instrText xml:space="preserve"> XE "</w:instrText>
      </w:r>
      <w:r w:rsidR="0078635B" w:rsidRPr="00717CD8">
        <w:rPr>
          <w:rFonts w:eastAsiaTheme="minorHAnsi"/>
        </w:rPr>
        <w:instrText>Hurstbridge line</w:instrText>
      </w:r>
      <w:r w:rsidR="0078635B">
        <w:instrText xml:space="preserve">" </w:instrText>
      </w:r>
      <w:r w:rsidR="0078635B">
        <w:rPr>
          <w:rFonts w:eastAsiaTheme="minorHAnsi"/>
        </w:rPr>
        <w:fldChar w:fldCharType="end"/>
      </w:r>
      <w:r>
        <w:rPr>
          <w:rFonts w:eastAsiaTheme="minorHAnsi"/>
        </w:rPr>
        <w:t xml:space="preserve"> and $133 million for safety upgrades on the City Loop</w:t>
      </w:r>
      <w:r>
        <w:rPr>
          <w:rFonts w:eastAsiaTheme="minorHAnsi"/>
        </w:rPr>
        <w:fldChar w:fldCharType="begin"/>
      </w:r>
      <w:r>
        <w:instrText xml:space="preserve"> XE "</w:instrText>
      </w:r>
      <w:r w:rsidRPr="00474088">
        <w:rPr>
          <w:rFonts w:eastAsiaTheme="minorHAnsi"/>
        </w:rPr>
        <w:instrText>City Loop</w:instrText>
      </w:r>
      <w:r>
        <w:instrText xml:space="preserve">" </w:instrText>
      </w:r>
      <w:r>
        <w:rPr>
          <w:rFonts w:eastAsiaTheme="minorHAnsi"/>
        </w:rPr>
        <w:fldChar w:fldCharType="end"/>
      </w:r>
      <w:r>
        <w:rPr>
          <w:rFonts w:eastAsiaTheme="minorHAnsi"/>
        </w:rPr>
        <w:t>.</w:t>
      </w:r>
    </w:p>
    <w:p w:rsidR="007A09DB" w:rsidRPr="00917330" w:rsidRDefault="007A09DB" w:rsidP="002C70F5">
      <w:pPr>
        <w:rPr>
          <w:rFonts w:eastAsiaTheme="minorHAnsi"/>
        </w:rPr>
      </w:pPr>
      <w:r>
        <w:rPr>
          <w:rFonts w:eastAsiaTheme="minorHAnsi"/>
        </w:rPr>
        <w:t>Regional public transport is receiving almost $1.0 billion in capital funding, including $517 million for Ballarat rail corridor</w:t>
      </w:r>
      <w:r>
        <w:rPr>
          <w:rFonts w:eastAsiaTheme="minorHAnsi"/>
        </w:rPr>
        <w:fldChar w:fldCharType="begin"/>
      </w:r>
      <w:r>
        <w:instrText xml:space="preserve"> XE "</w:instrText>
      </w:r>
      <w:r w:rsidRPr="00F37741">
        <w:rPr>
          <w:rFonts w:eastAsiaTheme="minorHAnsi"/>
        </w:rPr>
        <w:instrText>Ballarat rail corridor</w:instrText>
      </w:r>
      <w:r>
        <w:instrText xml:space="preserve">" </w:instrText>
      </w:r>
      <w:r>
        <w:rPr>
          <w:rFonts w:eastAsiaTheme="minorHAnsi"/>
        </w:rPr>
        <w:fldChar w:fldCharType="end"/>
      </w:r>
      <w:r>
        <w:rPr>
          <w:rFonts w:eastAsiaTheme="minorHAnsi"/>
        </w:rPr>
        <w:t xml:space="preserve"> improvements. This will bring greater connectivity to the regions, including upgrades in Bendigo, Gippsland, Ballarat, Geelong and Warrnambool. </w:t>
      </w:r>
    </w:p>
    <w:p w:rsidR="007A09DB" w:rsidRDefault="007A09DB" w:rsidP="002C70F5">
      <w:pPr>
        <w:rPr>
          <w:rFonts w:eastAsiaTheme="minorHAnsi"/>
        </w:rPr>
      </w:pPr>
      <w:bookmarkStart w:id="54" w:name="BP2WesternD1"/>
      <w:r>
        <w:rPr>
          <w:rFonts w:eastAsiaTheme="minorHAnsi"/>
        </w:rPr>
        <w:t xml:space="preserve">The </w:t>
      </w:r>
      <w:r w:rsidRPr="00FE26BF">
        <w:rPr>
          <w:rFonts w:eastAsiaTheme="minorHAnsi"/>
          <w:i/>
        </w:rPr>
        <w:t>2016</w:t>
      </w:r>
      <w:r>
        <w:rPr>
          <w:rFonts w:eastAsiaTheme="minorHAnsi"/>
          <w:i/>
        </w:rPr>
        <w:noBreakHyphen/>
      </w:r>
      <w:r w:rsidRPr="00FE26BF">
        <w:rPr>
          <w:rFonts w:eastAsiaTheme="minorHAnsi"/>
          <w:i/>
        </w:rPr>
        <w:t>17</w:t>
      </w:r>
      <w:r>
        <w:rPr>
          <w:rFonts w:eastAsiaTheme="minorHAnsi"/>
          <w:i/>
        </w:rPr>
        <w:t xml:space="preserve"> B</w:t>
      </w:r>
      <w:r w:rsidRPr="00FE26BF">
        <w:rPr>
          <w:rFonts w:eastAsiaTheme="minorHAnsi"/>
          <w:i/>
        </w:rPr>
        <w:t>udget</w:t>
      </w:r>
      <w:r>
        <w:rPr>
          <w:rFonts w:eastAsiaTheme="minorHAnsi"/>
        </w:rPr>
        <w:t xml:space="preserve"> also invests over $6.7 billion in Victoria’s road network, ensuring that both people and freight can move freely across Victoria. The $5.5 billion </w:t>
      </w:r>
      <w:r>
        <w:rPr>
          <w:rFonts w:cs="Garamond"/>
          <w:color w:val="000000"/>
          <w:szCs w:val="22"/>
          <w:lang w:eastAsia="en-AU"/>
        </w:rPr>
        <w:t>Western Distributor project will provide a much needed alternative to the West Gate Bridge, providing a second river crossing, widening the West Gate Freeway from 8 to 12 lanes, and connections to CityLink and the western edge of the central business district</w:t>
      </w:r>
      <w:r>
        <w:rPr>
          <w:rFonts w:eastAsiaTheme="minorHAnsi"/>
        </w:rPr>
        <w:t>. Investment of $274 million will be provided to duplicate Thompsons Road</w:t>
      </w:r>
      <w:r>
        <w:rPr>
          <w:rFonts w:eastAsiaTheme="minorHAnsi"/>
        </w:rPr>
        <w:fldChar w:fldCharType="begin"/>
      </w:r>
      <w:r>
        <w:instrText xml:space="preserve"> XE "</w:instrText>
      </w:r>
      <w:r w:rsidRPr="009662D8">
        <w:rPr>
          <w:rFonts w:eastAsiaTheme="minorHAnsi"/>
        </w:rPr>
        <w:instrText>Thompsons Road</w:instrText>
      </w:r>
      <w:r>
        <w:instrText xml:space="preserve">" </w:instrText>
      </w:r>
      <w:r>
        <w:rPr>
          <w:rFonts w:eastAsiaTheme="minorHAnsi"/>
        </w:rPr>
        <w:fldChar w:fldCharType="end"/>
      </w:r>
      <w:r>
        <w:rPr>
          <w:rFonts w:eastAsiaTheme="minorHAnsi"/>
        </w:rPr>
        <w:t xml:space="preserve"> and Yan Yean Road</w:t>
      </w:r>
      <w:r>
        <w:rPr>
          <w:rFonts w:eastAsiaTheme="minorHAnsi"/>
        </w:rPr>
        <w:fldChar w:fldCharType="begin"/>
      </w:r>
      <w:r>
        <w:instrText xml:space="preserve"> XE "</w:instrText>
      </w:r>
      <w:r w:rsidRPr="00B26E27">
        <w:rPr>
          <w:rFonts w:eastAsiaTheme="minorHAnsi"/>
        </w:rPr>
        <w:instrText>Yan Yean Road</w:instrText>
      </w:r>
      <w:r>
        <w:instrText xml:space="preserve">" </w:instrText>
      </w:r>
      <w:r>
        <w:rPr>
          <w:rFonts w:eastAsiaTheme="minorHAnsi"/>
        </w:rPr>
        <w:fldChar w:fldCharType="end"/>
      </w:r>
      <w:r>
        <w:rPr>
          <w:rFonts w:eastAsiaTheme="minorHAnsi"/>
        </w:rPr>
        <w:t>, dramatically improving traffic flow. The budget also provides $103 million to build the Drysdale Bypass.</w:t>
      </w:r>
      <w:r w:rsidR="00D9023F">
        <w:rPr>
          <w:rFonts w:eastAsiaTheme="minorHAnsi"/>
        </w:rPr>
        <w:fldChar w:fldCharType="begin"/>
      </w:r>
      <w:r w:rsidR="00D9023F">
        <w:instrText xml:space="preserve"> XE "</w:instrText>
      </w:r>
      <w:r w:rsidR="00D9023F" w:rsidRPr="00290640">
        <w:rPr>
          <w:rFonts w:eastAsiaTheme="minorHAnsi"/>
        </w:rPr>
        <w:instrText>Public transport</w:instrText>
      </w:r>
      <w:r w:rsidR="00D9023F">
        <w:instrText xml:space="preserve">" \r "BP2PubTrans3" </w:instrText>
      </w:r>
      <w:r w:rsidR="00D9023F">
        <w:rPr>
          <w:rFonts w:eastAsiaTheme="minorHAnsi"/>
        </w:rPr>
        <w:fldChar w:fldCharType="end"/>
      </w:r>
    </w:p>
    <w:bookmarkEnd w:id="52"/>
    <w:p w:rsidR="007A09DB" w:rsidRPr="00DC3810" w:rsidRDefault="007A09DB" w:rsidP="005B7EEB">
      <w:pPr>
        <w:pStyle w:val="Heading2"/>
        <w:rPr>
          <w:rFonts w:eastAsiaTheme="minorHAnsi"/>
        </w:rPr>
      </w:pPr>
      <w:r>
        <w:rPr>
          <w:rFonts w:eastAsiaTheme="minorHAnsi"/>
        </w:rPr>
        <w:t>Total government infrastructure investment</w:t>
      </w:r>
    </w:p>
    <w:bookmarkStart w:id="55" w:name="BP2LevelC1"/>
    <w:p w:rsidR="007A09DB" w:rsidRDefault="007A09DB" w:rsidP="002C70F5">
      <w:pPr>
        <w:rPr>
          <w:rFonts w:eastAsiaTheme="minorHAnsi"/>
        </w:rPr>
      </w:pPr>
      <w:r>
        <w:rPr>
          <w:rFonts w:eastAsiaTheme="minorHAnsi"/>
        </w:rPr>
        <w:fldChar w:fldCharType="begin"/>
      </w:r>
      <w:r>
        <w:instrText xml:space="preserve"> XE "</w:instrText>
      </w:r>
      <w:r w:rsidRPr="00A643A4">
        <w:instrText>Infrastructure investment:Government infrastructure investment</w:instrText>
      </w:r>
      <w:r>
        <w:instrText xml:space="preserve">" </w:instrText>
      </w:r>
      <w:r>
        <w:rPr>
          <w:rFonts w:eastAsiaTheme="minorHAnsi"/>
        </w:rPr>
        <w:fldChar w:fldCharType="end"/>
      </w:r>
      <w:r w:rsidRPr="00D83398">
        <w:rPr>
          <w:rFonts w:eastAsiaTheme="minorHAnsi"/>
        </w:rPr>
        <w:t xml:space="preserve">After incorporating the new asset investments announced as part of the </w:t>
      </w:r>
      <w:r w:rsidRPr="00A31D09">
        <w:rPr>
          <w:rFonts w:eastAsiaTheme="minorHAnsi"/>
          <w:i/>
        </w:rPr>
        <w:t>2015</w:t>
      </w:r>
      <w:r>
        <w:rPr>
          <w:rFonts w:eastAsiaTheme="minorHAnsi"/>
          <w:i/>
        </w:rPr>
        <w:noBreakHyphen/>
      </w:r>
      <w:r w:rsidRPr="00A31D09">
        <w:rPr>
          <w:rFonts w:eastAsiaTheme="minorHAnsi"/>
          <w:i/>
        </w:rPr>
        <w:t xml:space="preserve">16 </w:t>
      </w:r>
      <w:r w:rsidRPr="00DC7062">
        <w:rPr>
          <w:rFonts w:eastAsiaTheme="minorHAnsi"/>
        </w:rPr>
        <w:t>and</w:t>
      </w:r>
      <w:r w:rsidRPr="00A31D09">
        <w:rPr>
          <w:rFonts w:eastAsiaTheme="minorHAnsi"/>
          <w:i/>
        </w:rPr>
        <w:t xml:space="preserve"> 2016</w:t>
      </w:r>
      <w:r>
        <w:rPr>
          <w:rFonts w:eastAsiaTheme="minorHAnsi"/>
          <w:i/>
        </w:rPr>
        <w:noBreakHyphen/>
      </w:r>
      <w:r w:rsidRPr="00A31D09">
        <w:rPr>
          <w:rFonts w:eastAsiaTheme="minorHAnsi"/>
          <w:i/>
        </w:rPr>
        <w:t>17 Budgets</w:t>
      </w:r>
      <w:r w:rsidRPr="00D83398">
        <w:rPr>
          <w:rFonts w:eastAsiaTheme="minorHAnsi"/>
        </w:rPr>
        <w:t>, including Metro</w:t>
      </w:r>
      <w:r>
        <w:rPr>
          <w:rFonts w:eastAsiaTheme="minorHAnsi"/>
        </w:rPr>
        <w:t xml:space="preserve"> Tunnel</w:t>
      </w:r>
      <w:r w:rsidRPr="00D83398">
        <w:rPr>
          <w:rFonts w:eastAsiaTheme="minorHAnsi"/>
        </w:rPr>
        <w:t>, Western Distributor and</w:t>
      </w:r>
      <w:r>
        <w:rPr>
          <w:rFonts w:eastAsiaTheme="minorHAnsi"/>
        </w:rPr>
        <w:t xml:space="preserve"> the Level Crossing Removal Program</w:t>
      </w:r>
      <w:r w:rsidRPr="00D83398">
        <w:rPr>
          <w:rFonts w:eastAsiaTheme="minorHAnsi"/>
        </w:rPr>
        <w:t xml:space="preserve">, </w:t>
      </w:r>
      <w:r w:rsidRPr="0013268B">
        <w:rPr>
          <w:rFonts w:eastAsiaTheme="minorHAnsi"/>
        </w:rPr>
        <w:t>government infrastructure investment</w:t>
      </w:r>
      <w:r>
        <w:rPr>
          <w:rFonts w:eastAsiaTheme="minorHAnsi"/>
        </w:rPr>
        <w:fldChar w:fldCharType="begin"/>
      </w:r>
      <w:r>
        <w:instrText xml:space="preserve"> XE "</w:instrText>
      </w:r>
      <w:r w:rsidRPr="00A643A4">
        <w:instrText>Infrastructure investment:Government infrastructure investment</w:instrText>
      </w:r>
      <w:r>
        <w:instrText xml:space="preserve">" </w:instrText>
      </w:r>
      <w:r>
        <w:rPr>
          <w:rFonts w:eastAsiaTheme="minorHAnsi"/>
        </w:rPr>
        <w:fldChar w:fldCharType="end"/>
      </w:r>
      <w:r>
        <w:rPr>
          <w:rFonts w:eastAsiaTheme="minorHAnsi"/>
        </w:rPr>
        <w:t xml:space="preserve"> (GII) </w:t>
      </w:r>
      <w:r w:rsidRPr="00D83398">
        <w:rPr>
          <w:rFonts w:eastAsiaTheme="minorHAnsi"/>
        </w:rPr>
        <w:t>increases to an average of $</w:t>
      </w:r>
      <w:r>
        <w:rPr>
          <w:rFonts w:eastAsiaTheme="minorHAnsi"/>
        </w:rPr>
        <w:t>7.4 billion</w:t>
      </w:r>
      <w:r w:rsidRPr="00D83398">
        <w:rPr>
          <w:rFonts w:eastAsiaTheme="minorHAnsi"/>
        </w:rPr>
        <w:t xml:space="preserve"> a year over t</w:t>
      </w:r>
      <w:r>
        <w:rPr>
          <w:rFonts w:eastAsiaTheme="minorHAnsi"/>
        </w:rPr>
        <w:t>he budget and forward estimates.</w:t>
      </w:r>
    </w:p>
    <w:p w:rsidR="007A09DB" w:rsidRDefault="007A09DB" w:rsidP="002C70F5">
      <w:pPr>
        <w:rPr>
          <w:rFonts w:eastAsiaTheme="minorHAnsi"/>
        </w:rPr>
      </w:pPr>
      <w:r>
        <w:rPr>
          <w:rFonts w:eastAsiaTheme="minorHAnsi"/>
        </w:rPr>
        <w:t>The profile of the Government’s existing infrastructure commitments is outlined in Chart 3.2</w:t>
      </w:r>
      <w:r w:rsidRPr="009F7264">
        <w:rPr>
          <w:rFonts w:eastAsiaTheme="minorHAnsi"/>
        </w:rPr>
        <w:t xml:space="preserve">. </w:t>
      </w:r>
      <w:r>
        <w:rPr>
          <w:rFonts w:eastAsiaTheme="minorHAnsi"/>
        </w:rPr>
        <w:t xml:space="preserve">The projected average of $7.4 billion a year over the budget and forward </w:t>
      </w:r>
      <w:r>
        <w:rPr>
          <w:rFonts w:eastAsiaTheme="minorHAnsi"/>
        </w:rPr>
        <w:lastRenderedPageBreak/>
        <w:t>estimates is a significant step</w:t>
      </w:r>
      <w:r>
        <w:rPr>
          <w:rFonts w:eastAsiaTheme="minorHAnsi"/>
        </w:rPr>
        <w:noBreakHyphen/>
        <w:t>up in infrastructure investment compared to the average of $4.9 billion over the preceding 11 years.</w:t>
      </w:r>
    </w:p>
    <w:p w:rsidR="007A09DB" w:rsidRDefault="007A09DB">
      <w:pPr>
        <w:spacing w:after="0"/>
        <w:rPr>
          <w:rFonts w:eastAsiaTheme="minorHAnsi"/>
        </w:rPr>
      </w:pPr>
      <w:r>
        <w:rPr>
          <w:rFonts w:eastAsiaTheme="minorHAnsi"/>
        </w:rPr>
        <w:br w:type="page"/>
      </w:r>
    </w:p>
    <w:p w:rsidR="007A09DB" w:rsidRDefault="007A09DB" w:rsidP="00BB2CEC">
      <w:pPr>
        <w:rPr>
          <w:rFonts w:eastAsiaTheme="minorHAnsi"/>
        </w:rPr>
      </w:pPr>
      <w:r>
        <w:rPr>
          <w:rFonts w:eastAsiaTheme="minorHAnsi"/>
        </w:rPr>
        <w:lastRenderedPageBreak/>
        <w:t>The GII measures</w:t>
      </w:r>
      <w:r w:rsidRPr="009F7264">
        <w:rPr>
          <w:rFonts w:eastAsiaTheme="minorHAnsi"/>
        </w:rPr>
        <w:t xml:space="preserve"> infrastructure investment funded or facilitated by the Government, regardless of the delivery or financing arrangement. In contrast to accounting measures such as </w:t>
      </w:r>
      <w:r>
        <w:rPr>
          <w:rFonts w:eastAsiaTheme="minorHAnsi"/>
        </w:rPr>
        <w:t>purchase of non</w:t>
      </w:r>
      <w:r>
        <w:rPr>
          <w:rFonts w:eastAsiaTheme="minorHAnsi"/>
        </w:rPr>
        <w:noBreakHyphen/>
        <w:t>financial assets</w:t>
      </w:r>
      <w:r w:rsidRPr="009F7264">
        <w:rPr>
          <w:rFonts w:eastAsiaTheme="minorHAnsi"/>
        </w:rPr>
        <w:t>, GII incorporates cash flow estimates for projects being delivered</w:t>
      </w:r>
      <w:r>
        <w:rPr>
          <w:rFonts w:eastAsiaTheme="minorHAnsi"/>
        </w:rPr>
        <w:t xml:space="preserve"> by the private sector through public private partnership</w:t>
      </w:r>
      <w:r w:rsidR="0078635B">
        <w:rPr>
          <w:rFonts w:eastAsiaTheme="minorHAnsi"/>
        </w:rPr>
        <w:fldChar w:fldCharType="begin"/>
      </w:r>
      <w:r w:rsidR="0078635B">
        <w:instrText xml:space="preserve"> XE "</w:instrText>
      </w:r>
      <w:r w:rsidR="0078635B" w:rsidRPr="00FE2D3C">
        <w:rPr>
          <w:rFonts w:eastAsiaTheme="minorHAnsi"/>
        </w:rPr>
        <w:instrText>Public private partnerships</w:instrText>
      </w:r>
      <w:r w:rsidR="0078635B">
        <w:rPr>
          <w:rFonts w:eastAsiaTheme="minorHAnsi"/>
        </w:rPr>
        <w:instrText xml:space="preserve"> (PPPs)</w:instrText>
      </w:r>
      <w:r w:rsidR="0078635B">
        <w:instrText xml:space="preserve">" </w:instrText>
      </w:r>
      <w:r w:rsidR="0078635B">
        <w:rPr>
          <w:rFonts w:eastAsiaTheme="minorHAnsi"/>
        </w:rPr>
        <w:fldChar w:fldCharType="end"/>
      </w:r>
      <w:r>
        <w:rPr>
          <w:rFonts w:eastAsiaTheme="minorHAnsi"/>
        </w:rPr>
        <w:t xml:space="preserve"> (PPP) arrangements</w:t>
      </w:r>
      <w:r w:rsidRPr="009F7264">
        <w:rPr>
          <w:rFonts w:eastAsiaTheme="minorHAnsi"/>
        </w:rPr>
        <w:t>.</w:t>
      </w:r>
    </w:p>
    <w:p w:rsidR="007A09DB" w:rsidRDefault="007A09DB" w:rsidP="00BB2CEC">
      <w:pPr>
        <w:pStyle w:val="Chartheading"/>
        <w:rPr>
          <w:rFonts w:eastAsiaTheme="minorHAnsi"/>
        </w:rPr>
      </w:pPr>
      <w:r>
        <w:rPr>
          <w:rFonts w:eastAsiaTheme="minorHAnsi"/>
        </w:rPr>
        <w:t>Chart 3.2</w:t>
      </w:r>
      <w:r w:rsidRPr="00D83398">
        <w:rPr>
          <w:rFonts w:eastAsiaTheme="minorHAnsi"/>
        </w:rPr>
        <w:t xml:space="preserve">: </w:t>
      </w:r>
      <w:r>
        <w:rPr>
          <w:rFonts w:eastAsiaTheme="minorHAnsi"/>
        </w:rPr>
        <w:tab/>
      </w:r>
      <w:r w:rsidRPr="00D83398">
        <w:rPr>
          <w:rFonts w:eastAsiaTheme="minorHAnsi"/>
        </w:rPr>
        <w:t xml:space="preserve">Government </w:t>
      </w:r>
      <w:r>
        <w:rPr>
          <w:rFonts w:eastAsiaTheme="minorHAnsi"/>
        </w:rPr>
        <w:t>infrastructure i</w:t>
      </w:r>
      <w:r w:rsidRPr="00D83398">
        <w:rPr>
          <w:rFonts w:eastAsiaTheme="minorHAnsi"/>
        </w:rPr>
        <w:t xml:space="preserve">nvestment </w:t>
      </w:r>
      <w:r>
        <w:rPr>
          <w:rFonts w:eastAsiaTheme="minorHAnsi"/>
        </w:rPr>
        <w:t>2005</w:t>
      </w:r>
      <w:r>
        <w:rPr>
          <w:rFonts w:eastAsiaTheme="minorHAnsi"/>
        </w:rPr>
        <w:noBreakHyphen/>
        <w:t>06 to 2019</w:t>
      </w:r>
      <w:r>
        <w:rPr>
          <w:rFonts w:eastAsiaTheme="minorHAnsi"/>
        </w:rPr>
        <w:noBreakHyphen/>
        <w:t>20</w:t>
      </w:r>
    </w:p>
    <w:p w:rsidR="007A09DB" w:rsidRPr="0012761A" w:rsidRDefault="00D71529" w:rsidP="00CD01AE">
      <w:pPr>
        <w:pStyle w:val="Chartpara"/>
        <w:rPr>
          <w:rFonts w:eastAsiaTheme="minorHAnsi"/>
        </w:rPr>
      </w:pPr>
      <w:r>
        <w:rPr>
          <w:rFonts w:eastAsiaTheme="minorHAnsi"/>
        </w:rPr>
        <w:pict>
          <v:shape id="_x0000_i1033" type="#_x0000_t75" style="width:382pt;height:224pt">
            <v:imagedata r:id="rId29" o:title=""/>
          </v:shape>
        </w:pict>
      </w:r>
    </w:p>
    <w:p w:rsidR="007A09DB" w:rsidRPr="00AF68E3" w:rsidRDefault="007A09DB" w:rsidP="00F52AC9">
      <w:pPr>
        <w:pStyle w:val="Source"/>
        <w:rPr>
          <w:rFonts w:eastAsiaTheme="minorHAnsi"/>
        </w:rPr>
      </w:pPr>
      <w:r w:rsidRPr="00AF68E3">
        <w:rPr>
          <w:rFonts w:eastAsiaTheme="minorHAnsi"/>
        </w:rPr>
        <w:t>Source: Department of Treasury and Finance</w:t>
      </w:r>
    </w:p>
    <w:p w:rsidR="007A09DB" w:rsidRDefault="007A09DB" w:rsidP="00BB2CEC">
      <w:pPr>
        <w:pStyle w:val="Heading2"/>
        <w:rPr>
          <w:rFonts w:eastAsiaTheme="minorHAnsi"/>
        </w:rPr>
      </w:pPr>
      <w:r>
        <w:rPr>
          <w:rFonts w:eastAsiaTheme="minorHAnsi"/>
        </w:rPr>
        <w:t>Medium</w:t>
      </w:r>
      <w:r>
        <w:rPr>
          <w:rFonts w:eastAsiaTheme="minorHAnsi"/>
        </w:rPr>
        <w:noBreakHyphen/>
        <w:t>term projections</w:t>
      </w:r>
    </w:p>
    <w:p w:rsidR="007A09DB" w:rsidRDefault="007A09DB" w:rsidP="002C70F5">
      <w:pPr>
        <w:rPr>
          <w:rFonts w:eastAsiaTheme="minorHAnsi"/>
        </w:rPr>
      </w:pPr>
      <w:r>
        <w:rPr>
          <w:rFonts w:eastAsiaTheme="minorHAnsi"/>
        </w:rPr>
        <w:t>Infrastructure projects can be large, complex and take many years from inception to operation. For this reason, the Government is planning for the long term to ensure that the investments needed to support Victoria’s future prosperity can continue to be delivered in a fiscally responsible manner.</w:t>
      </w:r>
    </w:p>
    <w:p w:rsidR="007A09DB" w:rsidRDefault="007A09DB" w:rsidP="002C70F5">
      <w:pPr>
        <w:rPr>
          <w:rFonts w:eastAsiaTheme="minorHAnsi"/>
        </w:rPr>
      </w:pPr>
      <w:r>
        <w:rPr>
          <w:rFonts w:eastAsiaTheme="minorHAnsi"/>
        </w:rPr>
        <w:t xml:space="preserve">The Government has delivered large surpluses as part of the </w:t>
      </w:r>
      <w:r w:rsidRPr="00DF1B20">
        <w:rPr>
          <w:rFonts w:eastAsiaTheme="minorHAnsi"/>
          <w:i/>
        </w:rPr>
        <w:t>2016</w:t>
      </w:r>
      <w:r>
        <w:rPr>
          <w:rFonts w:eastAsiaTheme="minorHAnsi"/>
          <w:i/>
        </w:rPr>
        <w:noBreakHyphen/>
      </w:r>
      <w:r w:rsidRPr="00DF1B20">
        <w:rPr>
          <w:rFonts w:eastAsiaTheme="minorHAnsi"/>
          <w:i/>
        </w:rPr>
        <w:t xml:space="preserve">17 </w:t>
      </w:r>
      <w:r>
        <w:rPr>
          <w:rFonts w:eastAsiaTheme="minorHAnsi"/>
          <w:i/>
        </w:rPr>
        <w:t>B</w:t>
      </w:r>
      <w:r w:rsidRPr="00DF1B20">
        <w:rPr>
          <w:rFonts w:eastAsiaTheme="minorHAnsi"/>
          <w:i/>
        </w:rPr>
        <w:t>udget</w:t>
      </w:r>
      <w:r>
        <w:rPr>
          <w:rFonts w:eastAsiaTheme="minorHAnsi"/>
        </w:rPr>
        <w:t xml:space="preserve">, providing the platform to ensure surpluses keep growing beyond the forward estimates. Operating surpluses can be used for two broad purposes: to pay down debt or invest in infrastructure. </w:t>
      </w:r>
    </w:p>
    <w:p w:rsidR="007A09DB" w:rsidRDefault="007A09DB" w:rsidP="002C70F5">
      <w:pPr>
        <w:rPr>
          <w:rFonts w:eastAsiaTheme="minorHAnsi"/>
        </w:rPr>
      </w:pPr>
      <w:r w:rsidRPr="00D83398">
        <w:rPr>
          <w:rFonts w:eastAsiaTheme="minorHAnsi"/>
        </w:rPr>
        <w:t>The Government</w:t>
      </w:r>
      <w:r>
        <w:rPr>
          <w:rFonts w:eastAsiaTheme="minorHAnsi"/>
        </w:rPr>
        <w:t>’</w:t>
      </w:r>
      <w:r w:rsidRPr="00D83398">
        <w:rPr>
          <w:rFonts w:eastAsiaTheme="minorHAnsi"/>
        </w:rPr>
        <w:t xml:space="preserve">s </w:t>
      </w:r>
      <w:r>
        <w:rPr>
          <w:rFonts w:eastAsiaTheme="minorHAnsi"/>
        </w:rPr>
        <w:t xml:space="preserve">announced </w:t>
      </w:r>
      <w:r w:rsidRPr="00D83398">
        <w:rPr>
          <w:rFonts w:eastAsiaTheme="minorHAnsi"/>
        </w:rPr>
        <w:t xml:space="preserve">infrastructure investment </w:t>
      </w:r>
      <w:r>
        <w:rPr>
          <w:rFonts w:eastAsiaTheme="minorHAnsi"/>
        </w:rPr>
        <w:t>program</w:t>
      </w:r>
      <w:r w:rsidRPr="00D83398">
        <w:rPr>
          <w:rFonts w:eastAsiaTheme="minorHAnsi"/>
        </w:rPr>
        <w:t xml:space="preserve"> </w:t>
      </w:r>
      <w:r>
        <w:rPr>
          <w:rFonts w:eastAsiaTheme="minorHAnsi"/>
        </w:rPr>
        <w:t>is fully funded, including transformative projects</w:t>
      </w:r>
      <w:r w:rsidR="0078635B">
        <w:rPr>
          <w:rFonts w:eastAsiaTheme="minorHAnsi"/>
        </w:rPr>
        <w:fldChar w:fldCharType="begin"/>
      </w:r>
      <w:r w:rsidR="0078635B">
        <w:instrText xml:space="preserve"> XE "</w:instrText>
      </w:r>
      <w:r w:rsidR="0078635B" w:rsidRPr="00FE3069">
        <w:rPr>
          <w:rFonts w:eastAsiaTheme="minorHAnsi"/>
        </w:rPr>
        <w:instrText>Transformative projects</w:instrText>
      </w:r>
      <w:r w:rsidR="0078635B">
        <w:instrText xml:space="preserve">" </w:instrText>
      </w:r>
      <w:r w:rsidR="0078635B">
        <w:rPr>
          <w:rFonts w:eastAsiaTheme="minorHAnsi"/>
        </w:rPr>
        <w:fldChar w:fldCharType="end"/>
      </w:r>
      <w:r>
        <w:rPr>
          <w:rFonts w:eastAsiaTheme="minorHAnsi"/>
        </w:rPr>
        <w:t xml:space="preserve"> such as the Metro Tunnel, the Level Crossing Removal Program and the Western Distributor. Proceeds from the</w:t>
      </w:r>
      <w:r w:rsidRPr="00D83398">
        <w:rPr>
          <w:rFonts w:eastAsiaTheme="minorHAnsi"/>
        </w:rPr>
        <w:t xml:space="preserve"> lease of </w:t>
      </w:r>
      <w:r>
        <w:rPr>
          <w:rFonts w:eastAsiaTheme="minorHAnsi"/>
        </w:rPr>
        <w:t xml:space="preserve">the </w:t>
      </w:r>
      <w:r w:rsidRPr="00D83398">
        <w:rPr>
          <w:rFonts w:eastAsiaTheme="minorHAnsi"/>
        </w:rPr>
        <w:t>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D83398">
        <w:rPr>
          <w:rFonts w:eastAsiaTheme="minorHAnsi"/>
        </w:rPr>
        <w:t xml:space="preserve"> will </w:t>
      </w:r>
      <w:r>
        <w:rPr>
          <w:rFonts w:eastAsiaTheme="minorHAnsi"/>
        </w:rPr>
        <w:t>go to the Victorian Transport Fund</w:t>
      </w:r>
      <w:r>
        <w:rPr>
          <w:rFonts w:eastAsiaTheme="minorHAnsi"/>
        </w:rPr>
        <w:fldChar w:fldCharType="begin"/>
      </w:r>
      <w:r>
        <w:instrText xml:space="preserve"> XE "</w:instrText>
      </w:r>
      <w:r w:rsidRPr="005326EA">
        <w:rPr>
          <w:rFonts w:eastAsiaTheme="minorHAnsi" w:cs="Garamond"/>
          <w:color w:val="000000"/>
          <w:szCs w:val="22"/>
        </w:rPr>
        <w:instrText>Victorian Transport Fund</w:instrText>
      </w:r>
      <w:r>
        <w:instrText xml:space="preserve">" </w:instrText>
      </w:r>
      <w:r>
        <w:rPr>
          <w:rFonts w:eastAsiaTheme="minorHAnsi"/>
        </w:rPr>
        <w:fldChar w:fldCharType="end"/>
      </w:r>
      <w:r>
        <w:rPr>
          <w:rFonts w:eastAsiaTheme="minorHAnsi"/>
        </w:rPr>
        <w:t xml:space="preserve"> which will fund the Level Crossing Removal Program</w:t>
      </w:r>
      <w:r w:rsidRPr="00D83398">
        <w:rPr>
          <w:rFonts w:eastAsiaTheme="minorHAnsi"/>
        </w:rPr>
        <w:t>.</w:t>
      </w:r>
      <w:r>
        <w:rPr>
          <w:rFonts w:eastAsiaTheme="minorHAnsi"/>
        </w:rPr>
        <w:t xml:space="preserve"> The Metro Tunnel is fully funded. As indicated in Table 3.1, this includes $2.9 billion over the forward estimates to progress construction of the Metro Tunnel, with the balance fully committed in capital expenditure beyond the forward estimates. The budget also includes funding of $1.46 billion over the forward estimates for </w:t>
      </w:r>
      <w:r>
        <w:rPr>
          <w:rFonts w:eastAsiaTheme="minorHAnsi"/>
        </w:rPr>
        <w:lastRenderedPageBreak/>
        <w:t>the Western Distributor and provision for additional State contributions beyond the forward estimates.</w:t>
      </w:r>
      <w:r>
        <w:rPr>
          <w:rFonts w:eastAsiaTheme="minorHAnsi"/>
        </w:rPr>
        <w:fldChar w:fldCharType="begin"/>
      </w:r>
      <w:r>
        <w:instrText xml:space="preserve"> XE "</w:instrText>
      </w:r>
      <w:r w:rsidRPr="001A4DF7">
        <w:rPr>
          <w:rFonts w:eastAsiaTheme="minorHAnsi"/>
        </w:rPr>
        <w:instrText>Level Crossing Removal Program</w:instrText>
      </w:r>
      <w:r>
        <w:instrText xml:space="preserve">" \r "BP2LevelC1" </w:instrText>
      </w:r>
      <w:r>
        <w:rPr>
          <w:rFonts w:eastAsiaTheme="minorHAnsi"/>
        </w:rPr>
        <w:fldChar w:fldCharType="end"/>
      </w:r>
    </w:p>
    <w:bookmarkEnd w:id="55"/>
    <w:p w:rsidR="007A09DB" w:rsidRDefault="007A09DB" w:rsidP="00984E16">
      <w:pPr>
        <w:pStyle w:val="Tableheading"/>
        <w:rPr>
          <w:rFonts w:eastAsiaTheme="minorHAnsi"/>
        </w:rPr>
      </w:pPr>
      <w:r>
        <w:rPr>
          <w:rFonts w:eastAsiaTheme="minorHAnsi"/>
        </w:rPr>
        <w:t>Table</w:t>
      </w:r>
      <w:r w:rsidRPr="00D83398">
        <w:rPr>
          <w:rFonts w:eastAsiaTheme="minorHAnsi"/>
        </w:rPr>
        <w:t xml:space="preserve"> </w:t>
      </w:r>
      <w:r>
        <w:rPr>
          <w:rFonts w:eastAsiaTheme="minorHAnsi"/>
        </w:rPr>
        <w:t>3.1</w:t>
      </w:r>
      <w:r w:rsidRPr="00D83398">
        <w:rPr>
          <w:rFonts w:eastAsiaTheme="minorHAnsi"/>
        </w:rPr>
        <w:t xml:space="preserve">: </w:t>
      </w:r>
      <w:r>
        <w:rPr>
          <w:rFonts w:eastAsiaTheme="minorHAnsi"/>
        </w:rPr>
        <w:tab/>
        <w:t xml:space="preserve">Funding allocations for major projects </w:t>
      </w:r>
    </w:p>
    <w:p w:rsidR="007A09DB" w:rsidRPr="00F25A0B" w:rsidRDefault="007A09DB" w:rsidP="008202D8">
      <w:pPr>
        <w:pStyle w:val="Tabletext"/>
        <w:jc w:val="center"/>
        <w:rPr>
          <w:rFonts w:eastAsiaTheme="minorHAnsi"/>
        </w:rPr>
      </w:pPr>
      <w:r>
        <w:rPr>
          <w:rFonts w:eastAsiaTheme="minorHAnsi"/>
        </w:rPr>
        <w:t>(million)</w:t>
      </w:r>
    </w:p>
    <w:tbl>
      <w:tblPr>
        <w:tblW w:w="7765" w:type="dxa"/>
        <w:tblInd w:w="45" w:type="dxa"/>
        <w:tblLayout w:type="fixed"/>
        <w:tblCellMar>
          <w:left w:w="45" w:type="dxa"/>
          <w:right w:w="45" w:type="dxa"/>
        </w:tblCellMar>
        <w:tblLook w:val="0000" w:firstRow="0" w:lastRow="0" w:firstColumn="0" w:lastColumn="0" w:noHBand="0" w:noVBand="0"/>
      </w:tblPr>
      <w:tblGrid>
        <w:gridCol w:w="3515"/>
        <w:gridCol w:w="850"/>
        <w:gridCol w:w="850"/>
        <w:gridCol w:w="850"/>
        <w:gridCol w:w="850"/>
        <w:gridCol w:w="850"/>
      </w:tblGrid>
      <w:tr w:rsidR="007A09DB" w:rsidRPr="00F25A0B" w:rsidTr="00F25A0B">
        <w:trPr>
          <w:cantSplit/>
          <w:tblHeader/>
        </w:trPr>
        <w:tc>
          <w:tcPr>
            <w:tcW w:w="3515" w:type="dxa"/>
            <w:tcBorders>
              <w:top w:val="single" w:sz="6" w:space="0" w:color="auto"/>
              <w:bottom w:val="single" w:sz="6" w:space="0" w:color="auto"/>
              <w:right w:val="nil"/>
            </w:tcBorders>
            <w:shd w:val="solid" w:color="000000" w:fill="auto"/>
            <w:vAlign w:val="bottom"/>
          </w:tcPr>
          <w:p w:rsidR="007A09DB" w:rsidRPr="00F25A0B" w:rsidRDefault="007A09DB" w:rsidP="00F25A0B">
            <w:pPr>
              <w:autoSpaceDE w:val="0"/>
              <w:autoSpaceDN w:val="0"/>
              <w:adjustRightInd w:val="0"/>
              <w:spacing w:after="0"/>
              <w:jc w:val="right"/>
              <w:rPr>
                <w:rFonts w:ascii="Calibri" w:eastAsiaTheme="minorEastAsia" w:hAnsi="Calibri" w:cs="Calibri"/>
                <w:i/>
                <w:iCs/>
                <w:color w:val="FFFFFF"/>
                <w:sz w:val="19"/>
                <w:lang w:eastAsia="en-AU"/>
              </w:rPr>
            </w:pPr>
          </w:p>
        </w:tc>
        <w:tc>
          <w:tcPr>
            <w:tcW w:w="850" w:type="dxa"/>
            <w:tcBorders>
              <w:top w:val="single" w:sz="6" w:space="0" w:color="auto"/>
              <w:left w:val="nil"/>
              <w:bottom w:val="single" w:sz="6" w:space="0" w:color="auto"/>
              <w:right w:val="nil"/>
            </w:tcBorders>
            <w:shd w:val="solid" w:color="000000" w:fill="auto"/>
            <w:vAlign w:val="bottom"/>
          </w:tcPr>
          <w:p w:rsidR="007A09DB" w:rsidRPr="00F25A0B" w:rsidRDefault="007A09DB" w:rsidP="00984E16">
            <w:pPr>
              <w:pStyle w:val="Tabletextheading"/>
              <w:rPr>
                <w:rFonts w:eastAsiaTheme="minorEastAsia"/>
                <w:lang w:eastAsia="en-AU"/>
              </w:rPr>
            </w:pPr>
            <w:r w:rsidRPr="00F25A0B">
              <w:rPr>
                <w:rFonts w:eastAsiaTheme="minorEastAsia"/>
                <w:lang w:eastAsia="en-AU"/>
              </w:rPr>
              <w:t>2016</w:t>
            </w:r>
            <w:r>
              <w:rPr>
                <w:rFonts w:eastAsiaTheme="minorEastAsia"/>
                <w:lang w:eastAsia="en-AU"/>
              </w:rPr>
              <w:noBreakHyphen/>
            </w:r>
            <w:r w:rsidRPr="00F25A0B">
              <w:rPr>
                <w:rFonts w:eastAsiaTheme="minorEastAsia"/>
                <w:lang w:eastAsia="en-AU"/>
              </w:rPr>
              <w:t>17</w:t>
            </w:r>
          </w:p>
        </w:tc>
        <w:tc>
          <w:tcPr>
            <w:tcW w:w="850" w:type="dxa"/>
            <w:tcBorders>
              <w:top w:val="single" w:sz="6" w:space="0" w:color="auto"/>
              <w:left w:val="nil"/>
              <w:bottom w:val="single" w:sz="6" w:space="0" w:color="auto"/>
              <w:right w:val="nil"/>
            </w:tcBorders>
            <w:shd w:val="solid" w:color="000000" w:fill="auto"/>
            <w:vAlign w:val="bottom"/>
          </w:tcPr>
          <w:p w:rsidR="007A09DB" w:rsidRPr="00F25A0B" w:rsidRDefault="007A09DB" w:rsidP="00984E16">
            <w:pPr>
              <w:pStyle w:val="Tabletextheading"/>
              <w:rPr>
                <w:rFonts w:eastAsiaTheme="minorEastAsia"/>
                <w:lang w:eastAsia="en-AU"/>
              </w:rPr>
            </w:pPr>
            <w:r w:rsidRPr="00F25A0B">
              <w:rPr>
                <w:rFonts w:eastAsiaTheme="minorEastAsia"/>
                <w:lang w:eastAsia="en-AU"/>
              </w:rPr>
              <w:t>2017</w:t>
            </w:r>
            <w:r>
              <w:rPr>
                <w:rFonts w:eastAsiaTheme="minorEastAsia"/>
                <w:lang w:eastAsia="en-AU"/>
              </w:rPr>
              <w:noBreakHyphen/>
            </w:r>
            <w:r w:rsidRPr="00F25A0B">
              <w:rPr>
                <w:rFonts w:eastAsiaTheme="minorEastAsia"/>
                <w:lang w:eastAsia="en-AU"/>
              </w:rPr>
              <w:t>18</w:t>
            </w:r>
          </w:p>
        </w:tc>
        <w:tc>
          <w:tcPr>
            <w:tcW w:w="850" w:type="dxa"/>
            <w:tcBorders>
              <w:top w:val="single" w:sz="6" w:space="0" w:color="auto"/>
              <w:left w:val="nil"/>
              <w:bottom w:val="single" w:sz="6" w:space="0" w:color="auto"/>
              <w:right w:val="nil"/>
            </w:tcBorders>
            <w:shd w:val="solid" w:color="000000" w:fill="auto"/>
            <w:vAlign w:val="bottom"/>
          </w:tcPr>
          <w:p w:rsidR="007A09DB" w:rsidRPr="00F25A0B" w:rsidRDefault="007A09DB" w:rsidP="00984E16">
            <w:pPr>
              <w:pStyle w:val="Tabletextheading"/>
              <w:rPr>
                <w:rFonts w:eastAsiaTheme="minorEastAsia"/>
                <w:lang w:eastAsia="en-AU"/>
              </w:rPr>
            </w:pPr>
            <w:r w:rsidRPr="00F25A0B">
              <w:rPr>
                <w:rFonts w:eastAsiaTheme="minorEastAsia"/>
                <w:lang w:eastAsia="en-AU"/>
              </w:rPr>
              <w:t>2018</w:t>
            </w:r>
            <w:r>
              <w:rPr>
                <w:rFonts w:eastAsiaTheme="minorEastAsia"/>
                <w:lang w:eastAsia="en-AU"/>
              </w:rPr>
              <w:noBreakHyphen/>
            </w:r>
            <w:r w:rsidRPr="00F25A0B">
              <w:rPr>
                <w:rFonts w:eastAsiaTheme="minorEastAsia"/>
                <w:lang w:eastAsia="en-AU"/>
              </w:rPr>
              <w:t>19</w:t>
            </w:r>
          </w:p>
        </w:tc>
        <w:tc>
          <w:tcPr>
            <w:tcW w:w="850" w:type="dxa"/>
            <w:tcBorders>
              <w:top w:val="single" w:sz="6" w:space="0" w:color="auto"/>
              <w:left w:val="nil"/>
              <w:bottom w:val="single" w:sz="6" w:space="0" w:color="auto"/>
              <w:right w:val="nil"/>
            </w:tcBorders>
            <w:shd w:val="solid" w:color="000000" w:fill="auto"/>
            <w:vAlign w:val="bottom"/>
          </w:tcPr>
          <w:p w:rsidR="007A09DB" w:rsidRPr="00F25A0B" w:rsidRDefault="007A09DB" w:rsidP="00984E16">
            <w:pPr>
              <w:pStyle w:val="Tabletextheading"/>
              <w:rPr>
                <w:rFonts w:eastAsiaTheme="minorEastAsia"/>
                <w:lang w:eastAsia="en-AU"/>
              </w:rPr>
            </w:pPr>
            <w:r w:rsidRPr="00F25A0B">
              <w:rPr>
                <w:rFonts w:eastAsiaTheme="minorEastAsia"/>
                <w:lang w:eastAsia="en-AU"/>
              </w:rPr>
              <w:t>2019</w:t>
            </w:r>
            <w:r>
              <w:rPr>
                <w:rFonts w:eastAsiaTheme="minorEastAsia"/>
                <w:lang w:eastAsia="en-AU"/>
              </w:rPr>
              <w:noBreakHyphen/>
            </w:r>
            <w:r w:rsidRPr="00F25A0B">
              <w:rPr>
                <w:rFonts w:eastAsiaTheme="minorEastAsia"/>
                <w:lang w:eastAsia="en-AU"/>
              </w:rPr>
              <w:t>20</w:t>
            </w:r>
          </w:p>
        </w:tc>
        <w:tc>
          <w:tcPr>
            <w:tcW w:w="850" w:type="dxa"/>
            <w:tcBorders>
              <w:top w:val="single" w:sz="6" w:space="0" w:color="auto"/>
              <w:left w:val="nil"/>
              <w:bottom w:val="single" w:sz="6" w:space="0" w:color="auto"/>
            </w:tcBorders>
            <w:shd w:val="solid" w:color="000000" w:fill="auto"/>
            <w:vAlign w:val="bottom"/>
          </w:tcPr>
          <w:p w:rsidR="007A09DB" w:rsidRPr="00F25A0B" w:rsidRDefault="007A09DB" w:rsidP="00984E16">
            <w:pPr>
              <w:pStyle w:val="Tabletextheading"/>
              <w:rPr>
                <w:rFonts w:eastAsiaTheme="minorEastAsia"/>
                <w:lang w:eastAsia="en-AU"/>
              </w:rPr>
            </w:pPr>
            <w:r w:rsidRPr="00F25A0B">
              <w:rPr>
                <w:rFonts w:eastAsiaTheme="minorEastAsia"/>
                <w:lang w:eastAsia="en-AU"/>
              </w:rPr>
              <w:t>TEI</w:t>
            </w:r>
          </w:p>
        </w:tc>
      </w:tr>
      <w:tr w:rsidR="007A09DB" w:rsidRPr="00F25A0B" w:rsidTr="00F25A0B">
        <w:trPr>
          <w:cantSplit/>
        </w:trPr>
        <w:tc>
          <w:tcPr>
            <w:tcW w:w="3515" w:type="dxa"/>
            <w:tcBorders>
              <w:top w:val="single" w:sz="6" w:space="0" w:color="auto"/>
              <w:left w:val="nil"/>
              <w:right w:val="nil"/>
            </w:tcBorders>
            <w:shd w:val="solid" w:color="FFFFFF" w:fill="FFFFFF"/>
          </w:tcPr>
          <w:p w:rsidR="007A09DB" w:rsidRPr="00F25A0B" w:rsidRDefault="007A09DB" w:rsidP="00FF6229">
            <w:pPr>
              <w:pStyle w:val="Tabletext"/>
              <w:rPr>
                <w:rFonts w:eastAsiaTheme="minorEastAsia"/>
                <w:lang w:eastAsia="en-AU"/>
              </w:rPr>
            </w:pPr>
            <w:r>
              <w:rPr>
                <w:rFonts w:eastAsiaTheme="minorEastAsia"/>
                <w:lang w:eastAsia="en-AU"/>
              </w:rPr>
              <w:t xml:space="preserve">Melbourne </w:t>
            </w:r>
            <w:r w:rsidRPr="00F25A0B">
              <w:rPr>
                <w:rFonts w:eastAsiaTheme="minorEastAsia"/>
                <w:lang w:eastAsia="en-AU"/>
              </w:rPr>
              <w:t xml:space="preserve">Metro </w:t>
            </w:r>
            <w:r>
              <w:rPr>
                <w:rFonts w:eastAsiaTheme="minorEastAsia"/>
                <w:lang w:eastAsia="en-AU"/>
              </w:rPr>
              <w:t>Tunnel</w:t>
            </w:r>
          </w:p>
        </w:tc>
        <w:tc>
          <w:tcPr>
            <w:tcW w:w="850" w:type="dxa"/>
            <w:tcBorders>
              <w:top w:val="single" w:sz="6" w:space="0" w:color="auto"/>
              <w:left w:val="nil"/>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782</w:t>
            </w:r>
          </w:p>
        </w:tc>
        <w:tc>
          <w:tcPr>
            <w:tcW w:w="850" w:type="dxa"/>
            <w:tcBorders>
              <w:top w:val="single" w:sz="6" w:space="0" w:color="auto"/>
              <w:left w:val="nil"/>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705</w:t>
            </w:r>
          </w:p>
        </w:tc>
        <w:tc>
          <w:tcPr>
            <w:tcW w:w="850" w:type="dxa"/>
            <w:tcBorders>
              <w:top w:val="single" w:sz="6" w:space="0" w:color="auto"/>
              <w:left w:val="nil"/>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667</w:t>
            </w:r>
          </w:p>
        </w:tc>
        <w:tc>
          <w:tcPr>
            <w:tcW w:w="850" w:type="dxa"/>
            <w:tcBorders>
              <w:top w:val="single" w:sz="6" w:space="0" w:color="auto"/>
              <w:left w:val="nil"/>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706</w:t>
            </w:r>
          </w:p>
        </w:tc>
        <w:tc>
          <w:tcPr>
            <w:tcW w:w="850" w:type="dxa"/>
            <w:tcBorders>
              <w:top w:val="single" w:sz="6" w:space="0" w:color="auto"/>
              <w:left w:val="nil"/>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10 900</w:t>
            </w:r>
          </w:p>
        </w:tc>
      </w:tr>
      <w:tr w:rsidR="007A09DB" w:rsidRPr="00F25A0B" w:rsidTr="00F25A0B">
        <w:trPr>
          <w:cantSplit/>
        </w:trPr>
        <w:tc>
          <w:tcPr>
            <w:tcW w:w="3515" w:type="dxa"/>
            <w:tcBorders>
              <w:top w:val="nil"/>
              <w:left w:val="nil"/>
              <w:bottom w:val="single" w:sz="12" w:space="0" w:color="auto"/>
              <w:right w:val="nil"/>
            </w:tcBorders>
            <w:shd w:val="solid" w:color="FFFFFF" w:fill="FFFFFF"/>
          </w:tcPr>
          <w:p w:rsidR="007A09DB" w:rsidRPr="00F25A0B" w:rsidRDefault="007A09DB" w:rsidP="00D9023F">
            <w:pPr>
              <w:pStyle w:val="Tabletext"/>
              <w:rPr>
                <w:rFonts w:eastAsiaTheme="minorEastAsia"/>
                <w:lang w:eastAsia="en-AU"/>
              </w:rPr>
            </w:pPr>
            <w:r w:rsidRPr="00F25A0B">
              <w:rPr>
                <w:rFonts w:eastAsiaTheme="minorEastAsia"/>
                <w:lang w:eastAsia="en-AU"/>
              </w:rPr>
              <w:t>Western Distributor</w:t>
            </w:r>
          </w:p>
        </w:tc>
        <w:tc>
          <w:tcPr>
            <w:tcW w:w="850" w:type="dxa"/>
            <w:tcBorders>
              <w:top w:val="nil"/>
              <w:left w:val="nil"/>
              <w:bottom w:val="single" w:sz="12" w:space="0" w:color="auto"/>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262</w:t>
            </w:r>
          </w:p>
        </w:tc>
        <w:tc>
          <w:tcPr>
            <w:tcW w:w="850" w:type="dxa"/>
            <w:tcBorders>
              <w:top w:val="nil"/>
              <w:left w:val="nil"/>
              <w:bottom w:val="single" w:sz="12" w:space="0" w:color="auto"/>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139</w:t>
            </w:r>
          </w:p>
        </w:tc>
        <w:tc>
          <w:tcPr>
            <w:tcW w:w="850" w:type="dxa"/>
            <w:tcBorders>
              <w:top w:val="nil"/>
              <w:left w:val="nil"/>
              <w:bottom w:val="single" w:sz="12" w:space="0" w:color="auto"/>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486</w:t>
            </w:r>
          </w:p>
        </w:tc>
        <w:tc>
          <w:tcPr>
            <w:tcW w:w="850" w:type="dxa"/>
            <w:tcBorders>
              <w:top w:val="nil"/>
              <w:left w:val="nil"/>
              <w:bottom w:val="single" w:sz="12" w:space="0" w:color="auto"/>
              <w:right w:val="nil"/>
            </w:tcBorders>
            <w:shd w:val="solid" w:color="FFFFFF" w:fill="FFFFFF"/>
          </w:tcPr>
          <w:p w:rsidR="007A09DB" w:rsidRPr="00F25A0B" w:rsidRDefault="007A09DB" w:rsidP="00984E16">
            <w:pPr>
              <w:pStyle w:val="TableofFigures"/>
              <w:rPr>
                <w:rFonts w:eastAsiaTheme="minorEastAsia"/>
                <w:lang w:eastAsia="en-AU"/>
              </w:rPr>
            </w:pPr>
            <w:r w:rsidRPr="00F25A0B">
              <w:rPr>
                <w:rFonts w:eastAsiaTheme="minorEastAsia"/>
                <w:lang w:eastAsia="en-AU"/>
              </w:rPr>
              <w:t>555</w:t>
            </w:r>
          </w:p>
        </w:tc>
        <w:tc>
          <w:tcPr>
            <w:tcW w:w="850" w:type="dxa"/>
            <w:tcBorders>
              <w:top w:val="nil"/>
              <w:left w:val="nil"/>
              <w:bottom w:val="single" w:sz="12" w:space="0" w:color="auto"/>
              <w:right w:val="nil"/>
            </w:tcBorders>
            <w:shd w:val="solid" w:color="FFFFFF" w:fill="FFFFFF"/>
          </w:tcPr>
          <w:p w:rsidR="007A09DB" w:rsidRPr="00F25A0B" w:rsidRDefault="007A09DB" w:rsidP="00FF6229">
            <w:pPr>
              <w:pStyle w:val="TableofFigures"/>
              <w:rPr>
                <w:rFonts w:eastAsiaTheme="minorEastAsia"/>
                <w:lang w:eastAsia="en-AU"/>
              </w:rPr>
            </w:pPr>
            <w:r w:rsidRPr="00F25A0B">
              <w:rPr>
                <w:rFonts w:eastAsiaTheme="minorEastAsia"/>
                <w:lang w:eastAsia="en-AU"/>
              </w:rPr>
              <w:t>5 500</w:t>
            </w:r>
          </w:p>
        </w:tc>
      </w:tr>
    </w:tbl>
    <w:p w:rsidR="007A09DB" w:rsidRDefault="00FF6229" w:rsidP="00F25A0B">
      <w:pPr>
        <w:rPr>
          <w:rFonts w:eastAsiaTheme="minorHAnsi"/>
        </w:rPr>
      </w:pPr>
      <w:r>
        <w:rPr>
          <w:rFonts w:eastAsiaTheme="minorEastAsia"/>
          <w:lang w:eastAsia="en-AU"/>
        </w:rPr>
        <w:fldChar w:fldCharType="begin"/>
      </w:r>
      <w:r>
        <w:instrText xml:space="preserve"> XE "</w:instrText>
      </w:r>
      <w:r w:rsidRPr="00DF6C46">
        <w:rPr>
          <w:rFonts w:eastAsiaTheme="minorHAnsi"/>
        </w:rPr>
        <w:instrText>Melbourne Metro Tunnel</w:instrText>
      </w:r>
      <w:r>
        <w:instrText xml:space="preserve">" \r "BP2Metro2" </w:instrText>
      </w:r>
      <w:r>
        <w:rPr>
          <w:rFonts w:eastAsiaTheme="minorEastAsia"/>
          <w:lang w:eastAsia="en-AU"/>
        </w:rPr>
        <w:fldChar w:fldCharType="end"/>
      </w:r>
    </w:p>
    <w:bookmarkEnd w:id="53"/>
    <w:p w:rsidR="007A09DB" w:rsidRDefault="007A09DB" w:rsidP="00924AD1">
      <w:pPr>
        <w:rPr>
          <w:rFonts w:eastAsiaTheme="minorHAnsi"/>
        </w:rPr>
      </w:pPr>
      <w:r>
        <w:rPr>
          <w:rFonts w:eastAsiaTheme="minorHAnsi"/>
        </w:rPr>
        <w:t>Chart 3.3 shows that net debt</w:t>
      </w:r>
      <w:r>
        <w:rPr>
          <w:rFonts w:eastAsiaTheme="minorHAnsi"/>
        </w:rPr>
        <w:fldChar w:fldCharType="begin"/>
      </w:r>
      <w:r>
        <w:instrText xml:space="preserve"> XE "Debt</w:instrText>
      </w:r>
      <w:r w:rsidRPr="00655DD5">
        <w:instrText>:Net debt</w:instrText>
      </w:r>
      <w:r>
        <w:instrText xml:space="preserve">" </w:instrText>
      </w:r>
      <w:r>
        <w:rPr>
          <w:rFonts w:eastAsiaTheme="minorHAnsi"/>
        </w:rPr>
        <w:fldChar w:fldCharType="end"/>
      </w:r>
      <w:r>
        <w:rPr>
          <w:rFonts w:eastAsiaTheme="minorHAnsi"/>
        </w:rPr>
        <w:t xml:space="preserve"> is projected to fall from 5.9 per cent of gross state product</w:t>
      </w:r>
      <w:r>
        <w:rPr>
          <w:rFonts w:eastAsiaTheme="minorHAnsi"/>
        </w:rPr>
        <w:fldChar w:fldCharType="begin"/>
      </w:r>
      <w:r>
        <w:instrText xml:space="preserve"> XE "</w:instrText>
      </w:r>
      <w:r>
        <w:rPr>
          <w:rFonts w:eastAsiaTheme="minorHAnsi"/>
        </w:rPr>
        <w:instrText>Gross state product</w:instrText>
      </w:r>
      <w:r>
        <w:instrText xml:space="preserve">" </w:instrText>
      </w:r>
      <w:r>
        <w:rPr>
          <w:rFonts w:eastAsiaTheme="minorHAnsi"/>
        </w:rPr>
        <w:fldChar w:fldCharType="end"/>
      </w:r>
      <w:r>
        <w:rPr>
          <w:rFonts w:eastAsiaTheme="minorHAnsi"/>
        </w:rPr>
        <w:t xml:space="preserve"> (GSP) in 2015</w:t>
      </w:r>
      <w:r>
        <w:rPr>
          <w:rFonts w:eastAsiaTheme="minorHAnsi"/>
        </w:rPr>
        <w:noBreakHyphen/>
        <w:t>16 to around 3.2 per cent of GSP over the next ten years, after taking into account the Government’s significant investments in capital over that period (Chart 3.4).</w:t>
      </w:r>
      <w:r w:rsidR="00D9023F">
        <w:rPr>
          <w:rFonts w:eastAsiaTheme="minorHAnsi"/>
        </w:rPr>
        <w:fldChar w:fldCharType="begin"/>
      </w:r>
      <w:r w:rsidR="00D9023F">
        <w:instrText xml:space="preserve"> XE "</w:instrText>
      </w:r>
      <w:r w:rsidR="00D9023F" w:rsidRPr="003D2D1D">
        <w:rPr>
          <w:rFonts w:eastAsiaTheme="minorHAnsi"/>
        </w:rPr>
        <w:instrText>Western Distributor</w:instrText>
      </w:r>
      <w:r w:rsidR="00D9023F">
        <w:instrText xml:space="preserve">" \r "BP2WesternD1" </w:instrText>
      </w:r>
      <w:r w:rsidR="00D9023F">
        <w:rPr>
          <w:rFonts w:eastAsiaTheme="minorHAnsi"/>
        </w:rPr>
        <w:fldChar w:fldCharType="end"/>
      </w:r>
    </w:p>
    <w:bookmarkEnd w:id="54"/>
    <w:p w:rsidR="007A09DB" w:rsidRDefault="007A09DB" w:rsidP="00924AD1">
      <w:pPr>
        <w:pStyle w:val="Chartheading"/>
        <w:rPr>
          <w:rFonts w:eastAsiaTheme="minorHAnsi"/>
        </w:rPr>
      </w:pPr>
      <w:r w:rsidRPr="00D83398">
        <w:rPr>
          <w:rFonts w:eastAsiaTheme="minorHAnsi"/>
        </w:rPr>
        <w:t xml:space="preserve">Chart </w:t>
      </w:r>
      <w:r>
        <w:rPr>
          <w:rFonts w:eastAsiaTheme="minorHAnsi"/>
        </w:rPr>
        <w:t>3.3</w:t>
      </w:r>
      <w:r w:rsidRPr="00D83398">
        <w:rPr>
          <w:rFonts w:eastAsiaTheme="minorHAnsi"/>
        </w:rPr>
        <w:t xml:space="preserve">: </w:t>
      </w:r>
      <w:r>
        <w:rPr>
          <w:rFonts w:eastAsiaTheme="minorHAnsi"/>
        </w:rPr>
        <w:tab/>
        <w:t>Net debt</w:t>
      </w:r>
      <w:r>
        <w:rPr>
          <w:rFonts w:eastAsiaTheme="minorHAnsi"/>
        </w:rPr>
        <w:fldChar w:fldCharType="begin"/>
      </w:r>
      <w:r>
        <w:instrText xml:space="preserve"> XE "</w:instrText>
      </w:r>
      <w:r w:rsidRPr="006004B8">
        <w:rPr>
          <w:rFonts w:eastAsiaTheme="minorHAnsi"/>
        </w:rPr>
        <w:instrText>Debt:</w:instrText>
      </w:r>
      <w:r w:rsidRPr="006004B8">
        <w:instrText>Net debt</w:instrText>
      </w:r>
      <w:r>
        <w:instrText xml:space="preserve">" </w:instrText>
      </w:r>
      <w:r>
        <w:rPr>
          <w:rFonts w:eastAsiaTheme="minorHAnsi"/>
        </w:rPr>
        <w:fldChar w:fldCharType="end"/>
      </w:r>
      <w:r>
        <w:rPr>
          <w:rFonts w:eastAsiaTheme="minorHAnsi"/>
        </w:rPr>
        <w:t xml:space="preserve"> to gross state product</w:t>
      </w:r>
    </w:p>
    <w:p w:rsidR="007A09DB" w:rsidRPr="00EF699A" w:rsidRDefault="00D71529" w:rsidP="00924AD1">
      <w:pPr>
        <w:pStyle w:val="Chartpara"/>
        <w:rPr>
          <w:rFonts w:eastAsiaTheme="minorHAnsi"/>
        </w:rPr>
      </w:pPr>
      <w:r>
        <w:rPr>
          <w:rFonts w:eastAsiaTheme="minorHAnsi"/>
        </w:rPr>
        <w:pict>
          <v:shape id="_x0000_i1034" type="#_x0000_t75" style="width:384pt;height:242pt">
            <v:imagedata r:id="rId30" o:title=""/>
          </v:shape>
        </w:pict>
      </w:r>
    </w:p>
    <w:p w:rsidR="007A09DB" w:rsidRDefault="007A09DB" w:rsidP="00924AD1">
      <w:pPr>
        <w:pStyle w:val="Source"/>
        <w:rPr>
          <w:rFonts w:eastAsiaTheme="minorHAnsi"/>
        </w:rPr>
      </w:pPr>
      <w:r w:rsidRPr="00AF68E3">
        <w:rPr>
          <w:rFonts w:eastAsiaTheme="minorHAnsi"/>
        </w:rPr>
        <w:t>Source: Department of Treasury and Finance</w:t>
      </w:r>
    </w:p>
    <w:p w:rsidR="007A09DB" w:rsidRDefault="007A09DB" w:rsidP="00E456A6">
      <w:pPr>
        <w:pStyle w:val="Chartheading"/>
        <w:rPr>
          <w:rFonts w:eastAsiaTheme="minorHAnsi"/>
        </w:rPr>
      </w:pPr>
      <w:r w:rsidRPr="00D83398">
        <w:rPr>
          <w:rFonts w:eastAsiaTheme="minorHAnsi"/>
        </w:rPr>
        <w:t xml:space="preserve">Chart </w:t>
      </w:r>
      <w:r>
        <w:rPr>
          <w:rFonts w:eastAsiaTheme="minorHAnsi"/>
        </w:rPr>
        <w:t>3.4</w:t>
      </w:r>
      <w:r w:rsidRPr="00D83398">
        <w:rPr>
          <w:rFonts w:eastAsiaTheme="minorHAnsi"/>
        </w:rPr>
        <w:t xml:space="preserve">: </w:t>
      </w:r>
      <w:r>
        <w:rPr>
          <w:rFonts w:eastAsiaTheme="minorHAnsi"/>
        </w:rPr>
        <w:tab/>
        <w:t>Government Infrastructure Investment, 2015</w:t>
      </w:r>
      <w:r>
        <w:rPr>
          <w:rFonts w:eastAsiaTheme="minorHAnsi"/>
        </w:rPr>
        <w:noBreakHyphen/>
        <w:t>16 to 2025</w:t>
      </w:r>
      <w:r>
        <w:rPr>
          <w:rFonts w:eastAsiaTheme="minorHAnsi"/>
        </w:rPr>
        <w:noBreakHyphen/>
        <w:t>26</w:t>
      </w:r>
    </w:p>
    <w:p w:rsidR="007A09DB" w:rsidRDefault="00D71529" w:rsidP="00984E16">
      <w:pPr>
        <w:pStyle w:val="Chartpara"/>
        <w:rPr>
          <w:rFonts w:eastAsiaTheme="minorHAnsi"/>
        </w:rPr>
      </w:pPr>
      <w:r>
        <w:rPr>
          <w:rFonts w:eastAsiaTheme="minorHAnsi"/>
        </w:rPr>
        <w:pict>
          <v:shape id="_x0000_i1035" type="#_x0000_t75" style="width:381.5pt;height:224pt">
            <v:imagedata r:id="rId31" o:title=""/>
          </v:shape>
        </w:pict>
      </w:r>
    </w:p>
    <w:p w:rsidR="007A09DB" w:rsidRDefault="007A09DB" w:rsidP="00E456A6">
      <w:pPr>
        <w:pStyle w:val="Source"/>
        <w:rPr>
          <w:rFonts w:eastAsiaTheme="minorHAnsi"/>
        </w:rPr>
      </w:pPr>
      <w:r w:rsidRPr="00AF68E3">
        <w:rPr>
          <w:rFonts w:eastAsiaTheme="minorHAnsi"/>
        </w:rPr>
        <w:t>Source: Department of Treasury and Finance</w:t>
      </w:r>
    </w:p>
    <w:p w:rsidR="007A09DB" w:rsidRPr="00D83398" w:rsidRDefault="007A09DB" w:rsidP="00E702BD">
      <w:pPr>
        <w:pStyle w:val="Heading1"/>
        <w:rPr>
          <w:rFonts w:eastAsiaTheme="minorHAnsi"/>
        </w:rPr>
      </w:pPr>
      <w:bookmarkStart w:id="56" w:name="_Toc449123063"/>
      <w:r>
        <w:rPr>
          <w:rFonts w:eastAsiaTheme="minorHAnsi"/>
        </w:rPr>
        <w:t>Capital capacity</w:t>
      </w:r>
      <w:bookmarkEnd w:id="56"/>
    </w:p>
    <w:p w:rsidR="007A09DB" w:rsidRDefault="007A09DB" w:rsidP="002C70F5">
      <w:pPr>
        <w:rPr>
          <w:rFonts w:eastAsiaTheme="minorHAnsi"/>
        </w:rPr>
      </w:pPr>
      <w:r>
        <w:rPr>
          <w:rFonts w:eastAsiaTheme="minorHAnsi"/>
        </w:rPr>
        <w:t>T</w:t>
      </w:r>
      <w:r w:rsidRPr="00D83398">
        <w:rPr>
          <w:rFonts w:eastAsiaTheme="minorHAnsi"/>
        </w:rPr>
        <w:t xml:space="preserve">he Government has been getting on with the task of building infrastructure to transform the State, </w:t>
      </w:r>
      <w:r>
        <w:rPr>
          <w:rFonts w:eastAsiaTheme="minorHAnsi"/>
        </w:rPr>
        <w:t xml:space="preserve">and </w:t>
      </w:r>
      <w:r w:rsidRPr="00D83398">
        <w:rPr>
          <w:rFonts w:eastAsiaTheme="minorHAnsi"/>
        </w:rPr>
        <w:t>there is more to be done.</w:t>
      </w:r>
    </w:p>
    <w:p w:rsidR="007A09DB" w:rsidRDefault="007A09DB" w:rsidP="002C70F5">
      <w:pPr>
        <w:rPr>
          <w:rFonts w:eastAsiaTheme="minorHAnsi"/>
        </w:rPr>
      </w:pPr>
      <w:r w:rsidRPr="00D83398">
        <w:rPr>
          <w:rFonts w:eastAsiaTheme="minorHAnsi"/>
        </w:rPr>
        <w:t xml:space="preserve">As Victoria </w:t>
      </w:r>
      <w:r>
        <w:rPr>
          <w:rFonts w:eastAsiaTheme="minorHAnsi"/>
        </w:rPr>
        <w:t>transforms</w:t>
      </w:r>
      <w:r w:rsidRPr="00D83398">
        <w:rPr>
          <w:rFonts w:eastAsiaTheme="minorHAnsi"/>
        </w:rPr>
        <w:t xml:space="preserve"> from an economy based on manufacturing to one that is </w:t>
      </w:r>
      <w:r>
        <w:rPr>
          <w:rFonts w:eastAsiaTheme="minorHAnsi"/>
        </w:rPr>
        <w:t xml:space="preserve">more </w:t>
      </w:r>
      <w:r w:rsidRPr="00D83398">
        <w:rPr>
          <w:rFonts w:eastAsiaTheme="minorHAnsi"/>
        </w:rPr>
        <w:t>diversified</w:t>
      </w:r>
      <w:r>
        <w:rPr>
          <w:rFonts w:eastAsiaTheme="minorHAnsi"/>
        </w:rPr>
        <w:t xml:space="preserve"> and service</w:t>
      </w:r>
      <w:r>
        <w:rPr>
          <w:rFonts w:eastAsiaTheme="minorHAnsi"/>
        </w:rPr>
        <w:noBreakHyphen/>
        <w:t>based, demands on g</w:t>
      </w:r>
      <w:r w:rsidRPr="00D83398">
        <w:rPr>
          <w:rFonts w:eastAsiaTheme="minorHAnsi"/>
        </w:rPr>
        <w:t>overnment for new infrastructure will continue.</w:t>
      </w:r>
    </w:p>
    <w:p w:rsidR="007A09DB" w:rsidRDefault="007A09DB" w:rsidP="007C1CE4">
      <w:pPr>
        <w:rPr>
          <w:rFonts w:eastAsiaTheme="minorHAnsi"/>
        </w:rPr>
      </w:pPr>
      <w:r>
        <w:rPr>
          <w:rFonts w:eastAsiaTheme="minorHAnsi"/>
        </w:rPr>
        <w:t>Investing</w:t>
      </w:r>
      <w:r w:rsidRPr="00D83398">
        <w:rPr>
          <w:rFonts w:eastAsiaTheme="minorHAnsi"/>
        </w:rPr>
        <w:t xml:space="preserve"> in transformative infrastructure projects </w:t>
      </w:r>
      <w:r>
        <w:rPr>
          <w:rFonts w:eastAsiaTheme="minorHAnsi"/>
        </w:rPr>
        <w:t>beyond this budget is</w:t>
      </w:r>
      <w:r w:rsidRPr="00D83398">
        <w:rPr>
          <w:rFonts w:eastAsiaTheme="minorHAnsi"/>
        </w:rPr>
        <w:t xml:space="preserve"> part of </w:t>
      </w:r>
      <w:r>
        <w:rPr>
          <w:rFonts w:eastAsiaTheme="minorHAnsi"/>
        </w:rPr>
        <w:t>the Government’s medium</w:t>
      </w:r>
      <w:r>
        <w:rPr>
          <w:rFonts w:eastAsiaTheme="minorHAnsi"/>
        </w:rPr>
        <w:noBreakHyphen/>
        <w:t xml:space="preserve">term </w:t>
      </w:r>
      <w:r w:rsidRPr="00D83398">
        <w:rPr>
          <w:rFonts w:eastAsiaTheme="minorHAnsi"/>
        </w:rPr>
        <w:t>planning</w:t>
      </w:r>
      <w:r>
        <w:rPr>
          <w:rFonts w:eastAsiaTheme="minorHAnsi"/>
        </w:rPr>
        <w:t xml:space="preserve"> and investment strategy. Transformational infrastructure investment is integral to a disciplined financial management</w:t>
      </w:r>
      <w:r>
        <w:rPr>
          <w:rFonts w:eastAsiaTheme="minorHAnsi"/>
        </w:rPr>
        <w:fldChar w:fldCharType="begin"/>
      </w:r>
      <w:r>
        <w:instrText xml:space="preserve"> XE "</w:instrText>
      </w:r>
      <w:r w:rsidRPr="007B0A87">
        <w:rPr>
          <w:rFonts w:eastAsiaTheme="minorHAnsi"/>
        </w:rPr>
        <w:instrText>Financial management</w:instrText>
      </w:r>
      <w:r>
        <w:instrText xml:space="preserve">" </w:instrText>
      </w:r>
      <w:r>
        <w:rPr>
          <w:rFonts w:eastAsiaTheme="minorHAnsi"/>
        </w:rPr>
        <w:fldChar w:fldCharType="end"/>
      </w:r>
      <w:r>
        <w:rPr>
          <w:rFonts w:eastAsiaTheme="minorHAnsi"/>
        </w:rPr>
        <w:t xml:space="preserve"> strategy. This requires the foresight to make the investments necessary to maximise Victoria’s economic growth</w:t>
      </w:r>
      <w:r>
        <w:rPr>
          <w:rFonts w:eastAsiaTheme="minorHAnsi"/>
        </w:rPr>
        <w:fldChar w:fldCharType="begin"/>
      </w:r>
      <w:r>
        <w:instrText xml:space="preserve"> XE "</w:instrText>
      </w:r>
      <w:r w:rsidRPr="007F391C">
        <w:rPr>
          <w:rFonts w:eastAsiaTheme="minorHAnsi"/>
        </w:rPr>
        <w:instrText>Economic growth</w:instrText>
      </w:r>
      <w:r>
        <w:rPr>
          <w:rFonts w:eastAsiaTheme="minorHAnsi"/>
        </w:rPr>
        <w:instrText>:Victoria</w:instrText>
      </w:r>
      <w:r>
        <w:instrText xml:space="preserve">" </w:instrText>
      </w:r>
      <w:r>
        <w:rPr>
          <w:rFonts w:eastAsiaTheme="minorHAnsi"/>
        </w:rPr>
        <w:fldChar w:fldCharType="end"/>
      </w:r>
      <w:r>
        <w:rPr>
          <w:rFonts w:eastAsiaTheme="minorHAnsi"/>
        </w:rPr>
        <w:t xml:space="preserve">, while balancing the need to maintain prudent levels of debt. </w:t>
      </w:r>
      <w:r w:rsidRPr="00D83398">
        <w:rPr>
          <w:rFonts w:eastAsiaTheme="minorHAnsi"/>
        </w:rPr>
        <w:t>Mainta</w:t>
      </w:r>
      <w:r>
        <w:rPr>
          <w:rFonts w:eastAsiaTheme="minorHAnsi"/>
        </w:rPr>
        <w:t>ining the State’s triple</w:t>
      </w:r>
      <w:r>
        <w:rPr>
          <w:rFonts w:eastAsiaTheme="minorHAnsi"/>
        </w:rPr>
        <w:noBreakHyphen/>
      </w:r>
      <w:r w:rsidRPr="00D83398">
        <w:rPr>
          <w:rFonts w:eastAsiaTheme="minorHAnsi"/>
        </w:rPr>
        <w:t>A credit rating</w:t>
      </w:r>
      <w:r>
        <w:rPr>
          <w:rFonts w:eastAsiaTheme="minorHAnsi"/>
        </w:rP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rPr>
          <w:rFonts w:eastAsiaTheme="minorHAnsi"/>
        </w:rPr>
        <w:fldChar w:fldCharType="end"/>
      </w:r>
      <w:r w:rsidRPr="00D83398">
        <w:rPr>
          <w:rFonts w:eastAsiaTheme="minorHAnsi"/>
        </w:rPr>
        <w:t xml:space="preserve"> is critical </w:t>
      </w:r>
      <w:r>
        <w:rPr>
          <w:rFonts w:eastAsiaTheme="minorHAnsi"/>
        </w:rPr>
        <w:t>to</w:t>
      </w:r>
      <w:r w:rsidRPr="00D83398">
        <w:rPr>
          <w:rFonts w:eastAsiaTheme="minorHAnsi"/>
        </w:rPr>
        <w:t xml:space="preserve"> keeping</w:t>
      </w:r>
      <w:r>
        <w:rPr>
          <w:rFonts w:eastAsiaTheme="minorHAnsi"/>
        </w:rPr>
        <w:t xml:space="preserve"> the</w:t>
      </w:r>
      <w:r w:rsidRPr="00D83398">
        <w:rPr>
          <w:rFonts w:eastAsiaTheme="minorHAnsi"/>
        </w:rPr>
        <w:t xml:space="preserve"> financing </w:t>
      </w:r>
      <w:r>
        <w:rPr>
          <w:rFonts w:eastAsiaTheme="minorHAnsi"/>
        </w:rPr>
        <w:t>costs of new infrastructure low</w:t>
      </w:r>
      <w:r w:rsidRPr="00D83398">
        <w:rPr>
          <w:rFonts w:eastAsiaTheme="minorHAnsi"/>
        </w:rPr>
        <w:t>.</w:t>
      </w:r>
      <w:r>
        <w:rPr>
          <w:rFonts w:eastAsiaTheme="minorHAnsi"/>
        </w:rPr>
        <w:t xml:space="preserve"> </w:t>
      </w:r>
    </w:p>
    <w:p w:rsidR="007A09DB" w:rsidRDefault="007A09DB" w:rsidP="007C1CE4">
      <w:pPr>
        <w:rPr>
          <w:rFonts w:eastAsiaTheme="minorHAnsi"/>
        </w:rPr>
      </w:pPr>
      <w:r w:rsidRPr="00D83398">
        <w:rPr>
          <w:rFonts w:eastAsiaTheme="minorHAnsi"/>
        </w:rPr>
        <w:t>Traditional approaches to</w:t>
      </w:r>
      <w:r>
        <w:rPr>
          <w:rFonts w:eastAsiaTheme="minorHAnsi"/>
        </w:rPr>
        <w:t xml:space="preserve"> capital</w:t>
      </w:r>
      <w:r w:rsidRPr="00D83398">
        <w:rPr>
          <w:rFonts w:eastAsiaTheme="minorHAnsi"/>
        </w:rPr>
        <w:t xml:space="preserve"> budgeting </w:t>
      </w:r>
      <w:r>
        <w:rPr>
          <w:rFonts w:eastAsiaTheme="minorHAnsi"/>
        </w:rPr>
        <w:t>and planning constrain</w:t>
      </w:r>
      <w:r w:rsidRPr="00D83398">
        <w:rPr>
          <w:rFonts w:eastAsiaTheme="minorHAnsi"/>
        </w:rPr>
        <w:t xml:space="preserve"> opportunities for the investment in tra</w:t>
      </w:r>
      <w:r>
        <w:rPr>
          <w:rFonts w:eastAsiaTheme="minorHAnsi"/>
        </w:rPr>
        <w:t xml:space="preserve">nsformational infrastructure. </w:t>
      </w:r>
    </w:p>
    <w:p w:rsidR="007A09DB" w:rsidRDefault="007A09DB" w:rsidP="007C1CE4">
      <w:pPr>
        <w:rPr>
          <w:rFonts w:eastAsiaTheme="minorHAnsi"/>
        </w:rPr>
      </w:pPr>
      <w:r>
        <w:rPr>
          <w:rFonts w:eastAsiaTheme="minorHAnsi"/>
        </w:rPr>
        <w:t>Traditionally, g</w:t>
      </w:r>
      <w:r w:rsidRPr="00D83398">
        <w:rPr>
          <w:rFonts w:eastAsiaTheme="minorHAnsi"/>
        </w:rPr>
        <w:t xml:space="preserve">overnments have </w:t>
      </w:r>
      <w:r>
        <w:rPr>
          <w:rFonts w:eastAsiaTheme="minorHAnsi"/>
        </w:rPr>
        <w:t>budgeted</w:t>
      </w:r>
      <w:r w:rsidRPr="00D83398">
        <w:rPr>
          <w:rFonts w:eastAsiaTheme="minorHAnsi"/>
        </w:rPr>
        <w:t xml:space="preserve"> for infrastructure investment </w:t>
      </w:r>
      <w:r>
        <w:rPr>
          <w:rFonts w:eastAsiaTheme="minorHAnsi"/>
        </w:rPr>
        <w:t>over</w:t>
      </w:r>
      <w:r w:rsidRPr="00D83398">
        <w:rPr>
          <w:rFonts w:eastAsiaTheme="minorHAnsi"/>
        </w:rPr>
        <w:t xml:space="preserve"> a four year planning horizon</w:t>
      </w:r>
      <w:r>
        <w:rPr>
          <w:rFonts w:eastAsiaTheme="minorHAnsi"/>
        </w:rPr>
        <w:t>,</w:t>
      </w:r>
      <w:r w:rsidRPr="00D83398">
        <w:rPr>
          <w:rFonts w:eastAsiaTheme="minorHAnsi"/>
        </w:rPr>
        <w:t xml:space="preserve"> in line with the budget cycle.</w:t>
      </w:r>
      <w:r>
        <w:rPr>
          <w:rFonts w:eastAsiaTheme="minorHAnsi"/>
        </w:rPr>
        <w:t xml:space="preserve"> Over the years governments have made a number of infrastructure investments that have committed funding beyond the forward estimates. </w:t>
      </w:r>
      <w:r w:rsidRPr="00D83398">
        <w:rPr>
          <w:rFonts w:eastAsiaTheme="minorHAnsi"/>
        </w:rPr>
        <w:t xml:space="preserve">However, </w:t>
      </w:r>
      <w:r>
        <w:rPr>
          <w:rFonts w:eastAsiaTheme="minorHAnsi"/>
        </w:rPr>
        <w:t>these commitments have often been made in the absence of a clear funding strategy that has considered capital capacity and planned investment within fiscal settings.</w:t>
      </w:r>
    </w:p>
    <w:p w:rsidR="007A09DB" w:rsidRDefault="007A09DB">
      <w:pPr>
        <w:spacing w:after="0"/>
        <w:rPr>
          <w:rFonts w:eastAsiaTheme="minorHAnsi"/>
        </w:rPr>
      </w:pPr>
      <w:r>
        <w:rPr>
          <w:rFonts w:eastAsiaTheme="minorHAnsi"/>
        </w:rPr>
        <w:br w:type="page"/>
      </w:r>
    </w:p>
    <w:p w:rsidR="007A09DB" w:rsidRDefault="007A09DB" w:rsidP="007C1CE4">
      <w:pPr>
        <w:rPr>
          <w:rFonts w:eastAsiaTheme="minorHAnsi"/>
        </w:rPr>
      </w:pPr>
      <w:r>
        <w:rPr>
          <w:rFonts w:eastAsiaTheme="minorHAnsi"/>
        </w:rPr>
        <w:t>A four</w:t>
      </w:r>
      <w:r>
        <w:rPr>
          <w:rFonts w:eastAsiaTheme="minorHAnsi"/>
        </w:rPr>
        <w:noBreakHyphen/>
      </w:r>
      <w:r w:rsidRPr="00D83398">
        <w:rPr>
          <w:rFonts w:eastAsiaTheme="minorHAnsi"/>
        </w:rPr>
        <w:t xml:space="preserve">year horizon does not </w:t>
      </w:r>
      <w:r>
        <w:rPr>
          <w:rFonts w:eastAsiaTheme="minorHAnsi"/>
        </w:rPr>
        <w:t xml:space="preserve">support planning to deliver large </w:t>
      </w:r>
      <w:r w:rsidRPr="00D83398">
        <w:rPr>
          <w:rFonts w:eastAsiaTheme="minorHAnsi"/>
        </w:rPr>
        <w:t>scale infrastructure investments that place significant demands on the budget</w:t>
      </w:r>
      <w:r>
        <w:rPr>
          <w:rFonts w:eastAsiaTheme="minorHAnsi"/>
        </w:rPr>
        <w:t>, while at the same time funding ongoing replacement and expansion of core infrastructure</w:t>
      </w:r>
      <w:r w:rsidR="0078635B">
        <w:rPr>
          <w:rFonts w:eastAsiaTheme="minorHAnsi"/>
        </w:rPr>
        <w:fldChar w:fldCharType="begin"/>
      </w:r>
      <w:r w:rsidR="0078635B">
        <w:instrText xml:space="preserve"> XE "</w:instrText>
      </w:r>
      <w:r w:rsidR="0078635B" w:rsidRPr="00001CC7">
        <w:rPr>
          <w:rFonts w:eastAsiaTheme="minorHAnsi"/>
        </w:rPr>
        <w:instrText>Core infrastructure</w:instrText>
      </w:r>
      <w:r w:rsidR="0078635B">
        <w:instrText xml:space="preserve">" </w:instrText>
      </w:r>
      <w:r w:rsidR="0078635B">
        <w:rPr>
          <w:rFonts w:eastAsiaTheme="minorHAnsi"/>
        </w:rPr>
        <w:fldChar w:fldCharType="end"/>
      </w:r>
      <w:r>
        <w:rPr>
          <w:rFonts w:eastAsiaTheme="minorHAnsi"/>
        </w:rPr>
        <w:t xml:space="preserve">. The Government is taking a longer term view, given </w:t>
      </w:r>
      <w:r w:rsidRPr="00D83398">
        <w:rPr>
          <w:rFonts w:eastAsiaTheme="minorHAnsi"/>
        </w:rPr>
        <w:t>the potential to transform the State, grow the economy and mak</w:t>
      </w:r>
      <w:r>
        <w:rPr>
          <w:rFonts w:eastAsiaTheme="minorHAnsi"/>
        </w:rPr>
        <w:t>e</w:t>
      </w:r>
      <w:r w:rsidRPr="00D83398">
        <w:rPr>
          <w:rFonts w:eastAsiaTheme="minorHAnsi"/>
        </w:rPr>
        <w:t xml:space="preserve"> Victoria an even better place to live.</w:t>
      </w:r>
    </w:p>
    <w:p w:rsidR="007A09DB" w:rsidRDefault="007A09DB" w:rsidP="002C70F5">
      <w:pPr>
        <w:rPr>
          <w:rFonts w:eastAsiaTheme="minorHAnsi"/>
        </w:rPr>
      </w:pPr>
      <w:r w:rsidRPr="00D83398">
        <w:rPr>
          <w:rFonts w:eastAsiaTheme="minorHAnsi"/>
        </w:rPr>
        <w:t xml:space="preserve">The Government is </w:t>
      </w:r>
      <w:r>
        <w:rPr>
          <w:rFonts w:eastAsiaTheme="minorHAnsi"/>
        </w:rPr>
        <w:t xml:space="preserve">therefore </w:t>
      </w:r>
      <w:r w:rsidRPr="00D83398">
        <w:rPr>
          <w:rFonts w:eastAsiaTheme="minorHAnsi"/>
        </w:rPr>
        <w:t>extending the capital planning horizon</w:t>
      </w:r>
      <w:r w:rsidR="0078635B">
        <w:rPr>
          <w:rFonts w:eastAsiaTheme="minorHAnsi"/>
        </w:rPr>
        <w:fldChar w:fldCharType="begin"/>
      </w:r>
      <w:r w:rsidR="0078635B">
        <w:instrText xml:space="preserve"> XE "</w:instrText>
      </w:r>
      <w:r w:rsidR="0078635B" w:rsidRPr="00AB7216">
        <w:rPr>
          <w:rFonts w:eastAsiaTheme="minorHAnsi"/>
        </w:rPr>
        <w:instrText>Capital planning horizon</w:instrText>
      </w:r>
      <w:r w:rsidR="0078635B">
        <w:instrText xml:space="preserve">" </w:instrText>
      </w:r>
      <w:r w:rsidR="0078635B">
        <w:rPr>
          <w:rFonts w:eastAsiaTheme="minorHAnsi"/>
        </w:rPr>
        <w:fldChar w:fldCharType="end"/>
      </w:r>
      <w:r w:rsidRPr="00D83398">
        <w:rPr>
          <w:rFonts w:eastAsiaTheme="minorHAnsi"/>
        </w:rPr>
        <w:t xml:space="preserve"> to ten</w:t>
      </w:r>
      <w:r>
        <w:rPr>
          <w:rFonts w:eastAsiaTheme="minorHAnsi"/>
        </w:rPr>
        <w:t xml:space="preserve"> years</w:t>
      </w:r>
      <w:r w:rsidRPr="00D83398">
        <w:rPr>
          <w:rFonts w:eastAsiaTheme="minorHAnsi"/>
        </w:rPr>
        <w:t>.</w:t>
      </w:r>
      <w:r>
        <w:rPr>
          <w:rFonts w:eastAsiaTheme="minorHAnsi"/>
        </w:rPr>
        <w:t xml:space="preserve"> </w:t>
      </w:r>
      <w:r w:rsidRPr="00D83398">
        <w:rPr>
          <w:rFonts w:eastAsiaTheme="minorHAnsi"/>
        </w:rPr>
        <w:t xml:space="preserve">This </w:t>
      </w:r>
      <w:r>
        <w:rPr>
          <w:rFonts w:eastAsiaTheme="minorHAnsi"/>
        </w:rPr>
        <w:t>strikes a good</w:t>
      </w:r>
      <w:r w:rsidRPr="00D83398">
        <w:rPr>
          <w:rFonts w:eastAsiaTheme="minorHAnsi"/>
        </w:rPr>
        <w:t xml:space="preserve"> balance between </w:t>
      </w:r>
      <w:r>
        <w:rPr>
          <w:rFonts w:eastAsiaTheme="minorHAnsi"/>
        </w:rPr>
        <w:t>investing</w:t>
      </w:r>
      <w:r w:rsidRPr="00D83398">
        <w:rPr>
          <w:rFonts w:eastAsiaTheme="minorHAnsi"/>
        </w:rPr>
        <w:t xml:space="preserve"> in infrastructure </w:t>
      </w:r>
      <w:r>
        <w:rPr>
          <w:rFonts w:eastAsiaTheme="minorHAnsi"/>
        </w:rPr>
        <w:t>to</w:t>
      </w:r>
      <w:r w:rsidRPr="00D83398">
        <w:rPr>
          <w:rFonts w:eastAsiaTheme="minorHAnsi"/>
        </w:rPr>
        <w:t xml:space="preserve"> maintain existing services, and </w:t>
      </w:r>
      <w:r>
        <w:rPr>
          <w:rFonts w:eastAsiaTheme="minorHAnsi"/>
        </w:rPr>
        <w:t xml:space="preserve">investing in </w:t>
      </w:r>
      <w:r w:rsidRPr="00D83398">
        <w:rPr>
          <w:rFonts w:eastAsiaTheme="minorHAnsi"/>
        </w:rPr>
        <w:t>significant projects that will build Victoria</w:t>
      </w:r>
      <w:r>
        <w:rPr>
          <w:rFonts w:eastAsiaTheme="minorHAnsi"/>
        </w:rPr>
        <w:t>’</w:t>
      </w:r>
      <w:r w:rsidRPr="00D83398">
        <w:rPr>
          <w:rFonts w:eastAsiaTheme="minorHAnsi"/>
        </w:rPr>
        <w:t>s productivity and competitiveness.</w:t>
      </w:r>
      <w:r>
        <w:rPr>
          <w:rFonts w:eastAsiaTheme="minorHAnsi"/>
        </w:rPr>
        <w:t xml:space="preserve"> </w:t>
      </w:r>
    </w:p>
    <w:p w:rsidR="007A09DB" w:rsidRDefault="007A09DB" w:rsidP="00D83398">
      <w:pPr>
        <w:spacing w:after="0"/>
        <w:rPr>
          <w:rFonts w:eastAsiaTheme="minorHAnsi"/>
        </w:rPr>
      </w:pPr>
      <w:r w:rsidRPr="00D83398">
        <w:rPr>
          <w:rFonts w:eastAsiaTheme="minorHAnsi"/>
        </w:rPr>
        <w:t xml:space="preserve">Increasing </w:t>
      </w:r>
      <w:r>
        <w:rPr>
          <w:rFonts w:eastAsiaTheme="minorHAnsi"/>
        </w:rPr>
        <w:t>infrastructure</w:t>
      </w:r>
      <w:r w:rsidRPr="00D83398">
        <w:rPr>
          <w:rFonts w:eastAsiaTheme="minorHAnsi"/>
        </w:rPr>
        <w:t xml:space="preserve"> investment will require a range of strategies, including seeking a fair share of Commonwealth</w:t>
      </w:r>
      <w:r>
        <w:rPr>
          <w:rFonts w:eastAsiaTheme="minorHAnsi"/>
        </w:rPr>
        <w:t xml:space="preserve"> grant</w:t>
      </w:r>
      <w:r w:rsidRPr="00D83398">
        <w:rPr>
          <w:rFonts w:eastAsiaTheme="minorHAnsi"/>
        </w:rPr>
        <w:t xml:space="preserve"> funding, recycling the State</w:t>
      </w:r>
      <w:r>
        <w:rPr>
          <w:rFonts w:eastAsiaTheme="minorHAnsi"/>
        </w:rPr>
        <w:t>’</w:t>
      </w:r>
      <w:r w:rsidRPr="00D83398">
        <w:rPr>
          <w:rFonts w:eastAsiaTheme="minorHAnsi"/>
        </w:rPr>
        <w:t xml:space="preserve">s existing asset base, maximising opportunities for value </w:t>
      </w:r>
      <w:r>
        <w:rPr>
          <w:rFonts w:eastAsiaTheme="minorHAnsi"/>
        </w:rPr>
        <w:t xml:space="preserve">creation and </w:t>
      </w:r>
      <w:r w:rsidRPr="00D83398">
        <w:rPr>
          <w:rFonts w:eastAsiaTheme="minorHAnsi"/>
        </w:rPr>
        <w:t xml:space="preserve">capture associated with major capital investments and accessing </w:t>
      </w:r>
      <w:r>
        <w:rPr>
          <w:rFonts w:eastAsiaTheme="minorHAnsi"/>
        </w:rPr>
        <w:t>prudent</w:t>
      </w:r>
      <w:r w:rsidRPr="00D83398">
        <w:rPr>
          <w:rFonts w:eastAsiaTheme="minorHAnsi"/>
        </w:rPr>
        <w:t xml:space="preserve"> levels of debt.</w:t>
      </w:r>
    </w:p>
    <w:p w:rsidR="007A09DB" w:rsidRPr="00D83398" w:rsidRDefault="007A09DB" w:rsidP="00463227">
      <w:pPr>
        <w:pStyle w:val="Heading2"/>
        <w:rPr>
          <w:rFonts w:eastAsiaTheme="minorHAnsi"/>
        </w:rPr>
      </w:pPr>
      <w:bookmarkStart w:id="57" w:name="BP2NetDebt2"/>
      <w:r w:rsidRPr="00D83398">
        <w:rPr>
          <w:rFonts w:eastAsiaTheme="minorHAnsi"/>
        </w:rPr>
        <w:t>Net debt</w:t>
      </w:r>
    </w:p>
    <w:p w:rsidR="007A09DB" w:rsidRDefault="007A09DB" w:rsidP="002C70F5">
      <w:pPr>
        <w:rPr>
          <w:rFonts w:eastAsiaTheme="minorHAnsi"/>
        </w:rPr>
      </w:pPr>
      <w:r w:rsidRPr="00D83398">
        <w:rPr>
          <w:rFonts w:eastAsiaTheme="minorHAnsi"/>
        </w:rPr>
        <w:t xml:space="preserve">Public debate </w:t>
      </w:r>
      <w:r>
        <w:rPr>
          <w:rFonts w:eastAsiaTheme="minorHAnsi"/>
        </w:rPr>
        <w:t>about government debt has often focussed on the</w:t>
      </w:r>
      <w:r w:rsidRPr="00D83398">
        <w:rPr>
          <w:rFonts w:eastAsiaTheme="minorHAnsi"/>
        </w:rPr>
        <w:t xml:space="preserve"> desirability of eliminating net debt.</w:t>
      </w:r>
      <w:r>
        <w:rPr>
          <w:rFonts w:eastAsiaTheme="minorHAnsi"/>
        </w:rPr>
        <w:t xml:space="preserve"> A reluctance to use</w:t>
      </w:r>
      <w:r w:rsidRPr="00D83398">
        <w:rPr>
          <w:rFonts w:eastAsiaTheme="minorHAnsi"/>
        </w:rPr>
        <w:t xml:space="preserve"> debt </w:t>
      </w:r>
      <w:r>
        <w:rPr>
          <w:rFonts w:eastAsiaTheme="minorHAnsi"/>
        </w:rPr>
        <w:t>can deter</w:t>
      </w:r>
      <w:r w:rsidRPr="00D83398">
        <w:rPr>
          <w:rFonts w:eastAsiaTheme="minorHAnsi"/>
        </w:rPr>
        <w:t xml:space="preserve"> sensible investments in productivity enhancing infrastructure.</w:t>
      </w:r>
      <w:r>
        <w:rPr>
          <w:rFonts w:eastAsiaTheme="minorHAnsi"/>
        </w:rPr>
        <w:t xml:space="preserve"> I</w:t>
      </w:r>
      <w:r w:rsidRPr="00D83398">
        <w:rPr>
          <w:rFonts w:eastAsiaTheme="minorHAnsi"/>
        </w:rPr>
        <w:t>ntolerance for debt has the potential to slow economic growth</w:t>
      </w:r>
      <w:r>
        <w:rPr>
          <w:rFonts w:eastAsiaTheme="minorHAnsi"/>
        </w:rPr>
        <w:fldChar w:fldCharType="begin"/>
      </w:r>
      <w:r>
        <w:instrText xml:space="preserve"> XE "</w:instrText>
      </w:r>
      <w:r w:rsidRPr="007F391C">
        <w:rPr>
          <w:rFonts w:eastAsiaTheme="minorHAnsi"/>
        </w:rPr>
        <w:instrText>Economic growth</w:instrText>
      </w:r>
      <w:r>
        <w:instrText xml:space="preserve">" </w:instrText>
      </w:r>
      <w:r>
        <w:rPr>
          <w:rFonts w:eastAsiaTheme="minorHAnsi"/>
        </w:rPr>
        <w:fldChar w:fldCharType="end"/>
      </w:r>
      <w:r w:rsidRPr="00D83398">
        <w:rPr>
          <w:rFonts w:eastAsiaTheme="minorHAnsi"/>
        </w:rPr>
        <w:t xml:space="preserve"> and limit opportunities to improve the quality of life </w:t>
      </w:r>
      <w:r>
        <w:rPr>
          <w:rFonts w:eastAsiaTheme="minorHAnsi"/>
        </w:rPr>
        <w:t>of</w:t>
      </w:r>
      <w:r w:rsidRPr="00D83398">
        <w:rPr>
          <w:rFonts w:eastAsiaTheme="minorHAnsi"/>
        </w:rPr>
        <w:t xml:space="preserve"> Victorians.</w:t>
      </w:r>
    </w:p>
    <w:p w:rsidR="007A09DB" w:rsidRDefault="007A09DB" w:rsidP="002C70F5">
      <w:pPr>
        <w:rPr>
          <w:rFonts w:eastAsiaTheme="minorHAnsi"/>
        </w:rPr>
      </w:pPr>
      <w:r w:rsidRPr="00D83398">
        <w:rPr>
          <w:rFonts w:eastAsiaTheme="minorHAnsi"/>
        </w:rPr>
        <w:t xml:space="preserve">Without debt financing </w:t>
      </w:r>
      <w:r>
        <w:rPr>
          <w:rFonts w:eastAsiaTheme="minorHAnsi"/>
        </w:rPr>
        <w:t>Victoria</w:t>
      </w:r>
      <w:r w:rsidRPr="00D83398">
        <w:rPr>
          <w:rFonts w:eastAsiaTheme="minorHAnsi"/>
        </w:rPr>
        <w:t xml:space="preserve"> would not have much of the core infrastructure enjoy</w:t>
      </w:r>
      <w:r>
        <w:rPr>
          <w:rFonts w:eastAsiaTheme="minorHAnsi"/>
        </w:rPr>
        <w:t>ed</w:t>
      </w:r>
      <w:r w:rsidRPr="00D83398">
        <w:rPr>
          <w:rFonts w:eastAsiaTheme="minorHAnsi"/>
        </w:rPr>
        <w:t xml:space="preserve"> today.</w:t>
      </w:r>
      <w:r>
        <w:rPr>
          <w:rFonts w:eastAsiaTheme="minorHAnsi"/>
        </w:rPr>
        <w:t xml:space="preserve"> </w:t>
      </w:r>
      <w:r w:rsidRPr="00D83398">
        <w:rPr>
          <w:rFonts w:eastAsiaTheme="minorHAnsi"/>
        </w:rPr>
        <w:t>This includes the rail and tram networks, road networks and other major infrastructure such as electricity generation and transmission facilities.</w:t>
      </w:r>
      <w:r>
        <w:rPr>
          <w:rFonts w:eastAsiaTheme="minorHAnsi"/>
        </w:rPr>
        <w:t xml:space="preserve"> In the 1930s public sector net debt for all states was around 150 per cent of gross domestic product</w:t>
      </w:r>
      <w:r>
        <w:rPr>
          <w:rFonts w:eastAsiaTheme="minorHAnsi"/>
        </w:rPr>
        <w:fldChar w:fldCharType="begin"/>
      </w:r>
      <w:r>
        <w:instrText xml:space="preserve"> XE "</w:instrText>
      </w:r>
      <w:r w:rsidRPr="008A6F90">
        <w:rPr>
          <w:rFonts w:eastAsiaTheme="minorHAnsi"/>
        </w:rPr>
        <w:instrText>Gross domestic product</w:instrText>
      </w:r>
      <w:r>
        <w:instrText xml:space="preserve">" </w:instrText>
      </w:r>
      <w:r>
        <w:rPr>
          <w:rFonts w:eastAsiaTheme="minorHAnsi"/>
        </w:rPr>
        <w:fldChar w:fldCharType="end"/>
      </w:r>
      <w:r>
        <w:rPr>
          <w:rFonts w:eastAsiaTheme="minorHAnsi"/>
        </w:rPr>
        <w:t xml:space="preserve"> (GDP). </w:t>
      </w:r>
    </w:p>
    <w:p w:rsidR="007A09DB" w:rsidRPr="0084633B" w:rsidRDefault="007A09DB" w:rsidP="0084633B">
      <w:pPr>
        <w:rPr>
          <w:rFonts w:eastAsiaTheme="minorHAnsi"/>
        </w:rPr>
      </w:pPr>
      <w:r w:rsidRPr="0084633B">
        <w:rPr>
          <w:rFonts w:eastAsiaTheme="minorHAnsi"/>
        </w:rPr>
        <w:t>The I</w:t>
      </w:r>
      <w:r>
        <w:rPr>
          <w:rFonts w:eastAsiaTheme="minorHAnsi"/>
        </w:rPr>
        <w:t xml:space="preserve">nternational </w:t>
      </w:r>
      <w:r w:rsidRPr="0084633B">
        <w:rPr>
          <w:rFonts w:eastAsiaTheme="minorHAnsi"/>
        </w:rPr>
        <w:t>M</w:t>
      </w:r>
      <w:r>
        <w:rPr>
          <w:rFonts w:eastAsiaTheme="minorHAnsi"/>
        </w:rPr>
        <w:t xml:space="preserve">onetary </w:t>
      </w:r>
      <w:r w:rsidRPr="0084633B">
        <w:rPr>
          <w:rFonts w:eastAsiaTheme="minorHAnsi"/>
        </w:rPr>
        <w:t>F</w:t>
      </w:r>
      <w:r>
        <w:rPr>
          <w:rFonts w:eastAsiaTheme="minorHAnsi"/>
        </w:rPr>
        <w:t>und</w:t>
      </w:r>
      <w:r>
        <w:rPr>
          <w:rFonts w:eastAsiaTheme="minorHAnsi"/>
        </w:rPr>
        <w:fldChar w:fldCharType="begin"/>
      </w:r>
      <w:r>
        <w:instrText xml:space="preserve"> XE "</w:instrText>
      </w:r>
      <w:r w:rsidRPr="003E030E">
        <w:instrText>International Monetary Fund</w:instrText>
      </w:r>
      <w:r>
        <w:instrText xml:space="preserve">" </w:instrText>
      </w:r>
      <w:r>
        <w:rPr>
          <w:rFonts w:eastAsiaTheme="minorHAnsi"/>
        </w:rPr>
        <w:fldChar w:fldCharType="end"/>
      </w:r>
      <w:r>
        <w:rPr>
          <w:rFonts w:eastAsiaTheme="minorHAnsi"/>
        </w:rPr>
        <w:t xml:space="preserve"> (IMF)</w:t>
      </w:r>
      <w:r w:rsidRPr="0084633B">
        <w:rPr>
          <w:rFonts w:eastAsiaTheme="minorHAnsi"/>
        </w:rPr>
        <w:t xml:space="preserve"> </w:t>
      </w:r>
      <w:r>
        <w:rPr>
          <w:rFonts w:eastAsiaTheme="minorHAnsi"/>
        </w:rPr>
        <w:t xml:space="preserve">released its annual assessment </w:t>
      </w:r>
      <w:r>
        <w:t xml:space="preserve">of the Australian economy in September 2015. It pointed </w:t>
      </w:r>
      <w:r w:rsidRPr="0084633B">
        <w:rPr>
          <w:rFonts w:eastAsiaTheme="minorHAnsi"/>
        </w:rPr>
        <w:t>out that infrastructure is under pressure, particularly in urb</w:t>
      </w:r>
      <w:r>
        <w:rPr>
          <w:rFonts w:eastAsiaTheme="minorHAnsi"/>
        </w:rPr>
        <w:t xml:space="preserve">an areas, and that Australia has an </w:t>
      </w:r>
      <w:r w:rsidRPr="0084633B">
        <w:rPr>
          <w:rFonts w:eastAsiaTheme="minorHAnsi"/>
        </w:rPr>
        <w:t xml:space="preserve">infrastructure </w:t>
      </w:r>
      <w:r>
        <w:rPr>
          <w:rFonts w:eastAsiaTheme="minorHAnsi"/>
        </w:rPr>
        <w:t>deficit. The IMF considers that a</w:t>
      </w:r>
      <w:r w:rsidRPr="0084633B">
        <w:rPr>
          <w:rFonts w:eastAsiaTheme="minorHAnsi"/>
        </w:rPr>
        <w:t xml:space="preserve"> boost in infrastructure spending funded by borrowing would have short</w:t>
      </w:r>
      <w:r>
        <w:rPr>
          <w:rFonts w:eastAsiaTheme="minorHAnsi"/>
        </w:rPr>
        <w:t xml:space="preserve"> and long</w:t>
      </w:r>
      <w:r>
        <w:rPr>
          <w:rFonts w:eastAsiaTheme="minorHAnsi"/>
        </w:rPr>
        <w:noBreakHyphen/>
        <w:t>run benefits</w:t>
      </w:r>
      <w:r w:rsidRPr="0084633B">
        <w:rPr>
          <w:rFonts w:eastAsiaTheme="minorHAnsi"/>
        </w:rPr>
        <w:t>.</w:t>
      </w:r>
    </w:p>
    <w:p w:rsidR="007A09DB" w:rsidRDefault="007A09DB" w:rsidP="006419F3">
      <w:pPr>
        <w:autoSpaceDE w:val="0"/>
        <w:autoSpaceDN w:val="0"/>
        <w:adjustRightInd w:val="0"/>
        <w:rPr>
          <w:rFonts w:cs="Garamond"/>
          <w:color w:val="000000"/>
          <w:szCs w:val="22"/>
          <w:lang w:eastAsia="en-AU"/>
        </w:rPr>
      </w:pPr>
      <w:bookmarkStart w:id="58" w:name="BP2GSP2"/>
      <w:r>
        <w:rPr>
          <w:rFonts w:cs="Garamond"/>
          <w:color w:val="000000"/>
          <w:szCs w:val="22"/>
          <w:lang w:eastAsia="en-AU"/>
        </w:rPr>
        <w:t>As illustrated in Chart 3.5, in 1962 Victorian public sector net debt was at 63 per cent of gross state product (GSP). While this provides a broader measure of debt than the general government sector, it does provide a useful insight into the trend of public sector debt over the last 50 years. It was this debt that financed the infrastructure that laid the foundations for the economic growth</w:t>
      </w:r>
      <w:r>
        <w:rPr>
          <w:rFonts w:cs="Garamond"/>
          <w:color w:val="000000"/>
          <w:szCs w:val="22"/>
          <w:lang w:eastAsia="en-AU"/>
        </w:rPr>
        <w:fldChar w:fldCharType="begin"/>
      </w:r>
      <w:r>
        <w:instrText xml:space="preserve"> XE "</w:instrText>
      </w:r>
      <w:r w:rsidRPr="007F391C">
        <w:rPr>
          <w:rFonts w:eastAsiaTheme="minorHAnsi"/>
        </w:rPr>
        <w:instrText>Economic growth</w:instrText>
      </w:r>
      <w:r>
        <w:instrText xml:space="preserve">" </w:instrText>
      </w:r>
      <w:r>
        <w:rPr>
          <w:rFonts w:cs="Garamond"/>
          <w:color w:val="000000"/>
          <w:szCs w:val="22"/>
          <w:lang w:eastAsia="en-AU"/>
        </w:rPr>
        <w:fldChar w:fldCharType="end"/>
      </w:r>
      <w:r>
        <w:rPr>
          <w:rFonts w:cs="Garamond"/>
          <w:color w:val="000000"/>
          <w:szCs w:val="22"/>
          <w:lang w:eastAsia="en-AU"/>
        </w:rPr>
        <w:t xml:space="preserve"> that enabled the State to service debt. Chart 3.5 shows that Victorian general government sector net debt, as a proportion of GSP, is also significantly lower today than in earlier decades. </w:t>
      </w:r>
    </w:p>
    <w:p w:rsidR="007A09DB" w:rsidRDefault="007A09DB" w:rsidP="007D032A">
      <w:pPr>
        <w:pStyle w:val="Chartheading"/>
        <w:rPr>
          <w:rFonts w:eastAsiaTheme="minorHAnsi"/>
        </w:rPr>
      </w:pPr>
      <w:r>
        <w:rPr>
          <w:rFonts w:eastAsiaTheme="minorHAnsi"/>
        </w:rPr>
        <w:t>Chart 3.5</w:t>
      </w:r>
      <w:r w:rsidRPr="00D83398">
        <w:rPr>
          <w:rFonts w:eastAsiaTheme="minorHAnsi"/>
        </w:rPr>
        <w:t xml:space="preserve">: </w:t>
      </w:r>
      <w:r>
        <w:rPr>
          <w:rFonts w:eastAsiaTheme="minorHAnsi"/>
        </w:rPr>
        <w:tab/>
        <w:t>Non</w:t>
      </w:r>
      <w:r>
        <w:rPr>
          <w:rFonts w:eastAsiaTheme="minorHAnsi"/>
        </w:rPr>
        <w:noBreakHyphen/>
        <w:t>financial public sector and general government sector net debt to gross state product</w:t>
      </w:r>
    </w:p>
    <w:p w:rsidR="007A09DB" w:rsidRPr="00A95D6C" w:rsidRDefault="00D71529" w:rsidP="00EF699A">
      <w:pPr>
        <w:pStyle w:val="Chartpara"/>
        <w:rPr>
          <w:rStyle w:val="SourceChar"/>
          <w:rFonts w:eastAsiaTheme="minorHAnsi"/>
          <w:i w:val="0"/>
        </w:rPr>
      </w:pPr>
      <w:r>
        <w:rPr>
          <w:rStyle w:val="SourceChar"/>
          <w:rFonts w:eastAsiaTheme="minorHAnsi"/>
          <w:i w:val="0"/>
        </w:rPr>
        <w:pict>
          <v:shape id="_x0000_i1036" type="#_x0000_t75" style="width:383.5pt;height:233.5pt">
            <v:imagedata r:id="rId32" o:title=""/>
          </v:shape>
        </w:pict>
      </w:r>
    </w:p>
    <w:p w:rsidR="007A09DB" w:rsidRDefault="007A09DB" w:rsidP="00D458CD">
      <w:pPr>
        <w:rPr>
          <w:rStyle w:val="SourceChar"/>
          <w:rFonts w:eastAsiaTheme="minorHAnsi"/>
        </w:rPr>
      </w:pPr>
      <w:r>
        <w:rPr>
          <w:rStyle w:val="SourceChar"/>
          <w:rFonts w:eastAsiaTheme="minorHAnsi"/>
        </w:rPr>
        <w:t>S</w:t>
      </w:r>
      <w:r w:rsidRPr="00D458CD">
        <w:rPr>
          <w:rStyle w:val="SourceChar"/>
          <w:rFonts w:eastAsiaTheme="minorHAnsi"/>
        </w:rPr>
        <w:t>ource</w:t>
      </w:r>
      <w:r>
        <w:rPr>
          <w:rStyle w:val="SourceChar"/>
          <w:rFonts w:eastAsiaTheme="minorHAnsi"/>
        </w:rPr>
        <w:t>s</w:t>
      </w:r>
      <w:r w:rsidRPr="00D458CD">
        <w:rPr>
          <w:rStyle w:val="SourceChar"/>
          <w:rFonts w:eastAsiaTheme="minorHAnsi"/>
        </w:rPr>
        <w:t xml:space="preserve">: </w:t>
      </w:r>
      <w:r>
        <w:rPr>
          <w:rStyle w:val="SourceChar"/>
          <w:rFonts w:eastAsiaTheme="minorHAnsi"/>
        </w:rPr>
        <w:t xml:space="preserve">General government sector net debt to GSP: </w:t>
      </w:r>
      <w:r w:rsidRPr="00D458CD">
        <w:rPr>
          <w:rStyle w:val="SourceChar"/>
          <w:rFonts w:eastAsiaTheme="minorHAnsi"/>
        </w:rPr>
        <w:t>Department of Treasury and Finance</w:t>
      </w:r>
      <w:r>
        <w:rPr>
          <w:rStyle w:val="SourceChar"/>
          <w:rFonts w:eastAsiaTheme="minorHAnsi"/>
        </w:rPr>
        <w:br/>
        <w:t>NFPS net debt to GSP: ‘Victoria’s public balance sheet’, Victorian Treasury Information Paper No. 2, 22 September 1992</w:t>
      </w:r>
    </w:p>
    <w:p w:rsidR="007A09DB" w:rsidRDefault="007A09DB" w:rsidP="00D458CD">
      <w:pPr>
        <w:rPr>
          <w:rStyle w:val="SourceChar"/>
          <w:rFonts w:eastAsiaTheme="minorHAnsi"/>
        </w:rPr>
      </w:pPr>
    </w:p>
    <w:p w:rsidR="007A09DB" w:rsidRDefault="007A09DB" w:rsidP="002C70F5">
      <w:pPr>
        <w:rPr>
          <w:rFonts w:eastAsiaTheme="minorHAnsi"/>
        </w:rPr>
      </w:pPr>
      <w:r>
        <w:rPr>
          <w:rFonts w:eastAsiaTheme="minorHAnsi"/>
        </w:rPr>
        <w:t>The Government will use debt financing to sustain sensible investment levels. However</w:t>
      </w:r>
      <w:r w:rsidRPr="00D83398">
        <w:rPr>
          <w:rFonts w:eastAsiaTheme="minorHAnsi"/>
        </w:rPr>
        <w:t>, this does not mean increasing debt for the wrong reasons.</w:t>
      </w:r>
      <w:r>
        <w:rPr>
          <w:rFonts w:eastAsiaTheme="minorHAnsi"/>
        </w:rPr>
        <w:t xml:space="preserve"> </w:t>
      </w:r>
      <w:r w:rsidRPr="00D83398">
        <w:rPr>
          <w:rFonts w:eastAsiaTheme="minorHAnsi"/>
        </w:rPr>
        <w:t xml:space="preserve">Importantly, the Government </w:t>
      </w:r>
      <w:r>
        <w:rPr>
          <w:rFonts w:eastAsiaTheme="minorHAnsi"/>
        </w:rPr>
        <w:t>will not use</w:t>
      </w:r>
      <w:r w:rsidRPr="00D83398">
        <w:rPr>
          <w:rFonts w:eastAsiaTheme="minorHAnsi"/>
        </w:rPr>
        <w:t xml:space="preserve"> debt to meet the cost of recurrent services.</w:t>
      </w:r>
      <w:r>
        <w:rPr>
          <w:rFonts w:eastAsiaTheme="minorHAnsi"/>
        </w:rPr>
        <w:t xml:space="preserve"> </w:t>
      </w:r>
    </w:p>
    <w:p w:rsidR="007A09DB" w:rsidRDefault="007A09DB" w:rsidP="002C70F5">
      <w:pPr>
        <w:rPr>
          <w:rFonts w:eastAsiaTheme="minorHAnsi"/>
        </w:rPr>
      </w:pPr>
      <w:r w:rsidRPr="00D83398">
        <w:rPr>
          <w:rFonts w:eastAsiaTheme="minorHAnsi"/>
        </w:rPr>
        <w:t xml:space="preserve">Investments the Government makes today can </w:t>
      </w:r>
      <w:r>
        <w:rPr>
          <w:rFonts w:eastAsiaTheme="minorHAnsi"/>
        </w:rPr>
        <w:t>improve productivity</w:t>
      </w:r>
      <w:r w:rsidRPr="00D83398">
        <w:rPr>
          <w:rFonts w:eastAsiaTheme="minorHAnsi"/>
        </w:rPr>
        <w:t xml:space="preserve"> and grow the State</w:t>
      </w:r>
      <w:r>
        <w:rPr>
          <w:rFonts w:eastAsiaTheme="minorHAnsi"/>
        </w:rPr>
        <w:t>’</w:t>
      </w:r>
      <w:r w:rsidRPr="00D83398">
        <w:rPr>
          <w:rFonts w:eastAsiaTheme="minorHAnsi"/>
        </w:rPr>
        <w:t>s economy, and support services that will serve current and future generations.</w:t>
      </w:r>
      <w:r>
        <w:rPr>
          <w:rFonts w:eastAsiaTheme="minorHAnsi"/>
        </w:rPr>
        <w:t xml:space="preserve"> </w:t>
      </w:r>
      <w:r w:rsidRPr="00D83398">
        <w:rPr>
          <w:rFonts w:eastAsiaTheme="minorHAnsi"/>
        </w:rPr>
        <w:t>In the same way the Government will not ask future generations to pay for the services enjoy</w:t>
      </w:r>
      <w:r>
        <w:rPr>
          <w:rFonts w:eastAsiaTheme="minorHAnsi"/>
        </w:rPr>
        <w:t>ed</w:t>
      </w:r>
      <w:r w:rsidRPr="00D83398">
        <w:rPr>
          <w:rFonts w:eastAsiaTheme="minorHAnsi"/>
        </w:rPr>
        <w:t xml:space="preserve"> today, the Government will not ask this generation to meet all the costs of infrastructure that will benefit future generations.</w:t>
      </w:r>
    </w:p>
    <w:p w:rsidR="007A09DB" w:rsidRDefault="007A09DB" w:rsidP="00E702BD">
      <w:pPr>
        <w:rPr>
          <w:rFonts w:eastAsiaTheme="minorHAnsi"/>
        </w:rPr>
      </w:pPr>
      <w:r w:rsidRPr="00D83398">
        <w:rPr>
          <w:rFonts w:eastAsiaTheme="minorHAnsi"/>
        </w:rPr>
        <w:t xml:space="preserve">Net debt </w:t>
      </w:r>
      <w:r>
        <w:rPr>
          <w:rFonts w:eastAsiaTheme="minorHAnsi"/>
        </w:rPr>
        <w:t xml:space="preserve">for the narrower measure of the general government sector </w:t>
      </w:r>
      <w:r w:rsidRPr="00D83398">
        <w:rPr>
          <w:rFonts w:eastAsiaTheme="minorHAnsi"/>
        </w:rPr>
        <w:t xml:space="preserve">is projected to be </w:t>
      </w:r>
      <w:r>
        <w:rPr>
          <w:rFonts w:eastAsiaTheme="minorHAnsi"/>
        </w:rPr>
        <w:t>4.8 per cent</w:t>
      </w:r>
      <w:r w:rsidRPr="00D83398">
        <w:rPr>
          <w:rFonts w:eastAsiaTheme="minorHAnsi"/>
        </w:rPr>
        <w:t xml:space="preserve"> of GSP at June 2020. This level of net debt r</w:t>
      </w:r>
      <w:r>
        <w:rPr>
          <w:rFonts w:eastAsiaTheme="minorHAnsi"/>
        </w:rPr>
        <w:t xml:space="preserve">emains below the June 2015 peak. </w:t>
      </w:r>
    </w:p>
    <w:p w:rsidR="007A09DB" w:rsidRDefault="007A09DB" w:rsidP="00E702BD">
      <w:pPr>
        <w:pStyle w:val="Chartheading"/>
        <w:rPr>
          <w:rFonts w:eastAsiaTheme="minorHAnsi"/>
        </w:rPr>
      </w:pPr>
      <w:r w:rsidRPr="00D83398">
        <w:rPr>
          <w:rFonts w:eastAsiaTheme="minorHAnsi"/>
        </w:rPr>
        <w:t xml:space="preserve">Chart </w:t>
      </w:r>
      <w:r>
        <w:rPr>
          <w:rFonts w:eastAsiaTheme="minorHAnsi"/>
        </w:rPr>
        <w:t>3.6</w:t>
      </w:r>
      <w:r w:rsidRPr="00D83398">
        <w:rPr>
          <w:rFonts w:eastAsiaTheme="minorHAnsi"/>
        </w:rPr>
        <w:t xml:space="preserve">: </w:t>
      </w:r>
      <w:r>
        <w:rPr>
          <w:rFonts w:eastAsiaTheme="minorHAnsi"/>
        </w:rPr>
        <w:tab/>
        <w:t>I</w:t>
      </w:r>
      <w:r w:rsidRPr="00D83398">
        <w:rPr>
          <w:rFonts w:eastAsiaTheme="minorHAnsi"/>
        </w:rPr>
        <w:t xml:space="preserve">nvestment capacity from increasing </w:t>
      </w:r>
      <w:r>
        <w:rPr>
          <w:rFonts w:eastAsiaTheme="minorHAnsi"/>
        </w:rPr>
        <w:t xml:space="preserve">general government sector </w:t>
      </w:r>
      <w:r w:rsidRPr="00D83398">
        <w:rPr>
          <w:rFonts w:eastAsiaTheme="minorHAnsi"/>
        </w:rPr>
        <w:t>net debt</w:t>
      </w:r>
      <w:r>
        <w:rPr>
          <w:rFonts w:eastAsiaTheme="minorHAnsi"/>
        </w:rPr>
        <w:t xml:space="preserve"> </w:t>
      </w:r>
      <w:r w:rsidRPr="00D83398">
        <w:rPr>
          <w:rFonts w:eastAsiaTheme="minorHAnsi"/>
        </w:rPr>
        <w:t>to 6</w:t>
      </w:r>
      <w:r>
        <w:rPr>
          <w:rFonts w:eastAsiaTheme="minorHAnsi"/>
        </w:rPr>
        <w:t> per cent</w:t>
      </w:r>
      <w:r w:rsidRPr="00D83398">
        <w:rPr>
          <w:rFonts w:eastAsiaTheme="minorHAnsi"/>
        </w:rPr>
        <w:t xml:space="preserve"> of </w:t>
      </w:r>
      <w:r>
        <w:rPr>
          <w:rFonts w:eastAsiaTheme="minorHAnsi"/>
        </w:rPr>
        <w:t>gross state product</w:t>
      </w:r>
    </w:p>
    <w:p w:rsidR="007A09DB" w:rsidRPr="00D83398" w:rsidRDefault="00D71529" w:rsidP="008F0BA3">
      <w:pPr>
        <w:pStyle w:val="Chartpara"/>
        <w:rPr>
          <w:rFonts w:eastAsiaTheme="minorHAnsi"/>
        </w:rPr>
      </w:pPr>
      <w:r>
        <w:rPr>
          <w:rFonts w:eastAsiaTheme="minorHAnsi"/>
        </w:rPr>
        <w:pict>
          <v:shape id="_x0000_i1037" type="#_x0000_t75" style="width:382pt;height:230pt">
            <v:imagedata r:id="rId33" o:title=""/>
          </v:shape>
        </w:pict>
      </w:r>
    </w:p>
    <w:p w:rsidR="007A09DB" w:rsidRPr="00AF68E3" w:rsidRDefault="007A09DB" w:rsidP="00F52AC9">
      <w:pPr>
        <w:pStyle w:val="Source"/>
        <w:rPr>
          <w:rFonts w:eastAsiaTheme="minorHAnsi"/>
        </w:rPr>
      </w:pPr>
      <w:r w:rsidRPr="00AF68E3">
        <w:rPr>
          <w:rFonts w:eastAsiaTheme="minorHAnsi"/>
        </w:rPr>
        <w:t>Source: Department of Treasury and Finance</w:t>
      </w:r>
    </w:p>
    <w:p w:rsidR="007A09DB" w:rsidRDefault="007A09DB" w:rsidP="002C70F5">
      <w:pPr>
        <w:rPr>
          <w:rFonts w:eastAsiaTheme="minorHAnsi"/>
        </w:rPr>
      </w:pPr>
    </w:p>
    <w:p w:rsidR="007A09DB" w:rsidRDefault="007A09DB" w:rsidP="002C70F5">
      <w:pPr>
        <w:rPr>
          <w:rFonts w:eastAsiaTheme="minorHAnsi"/>
        </w:rPr>
      </w:pPr>
      <w:r w:rsidRPr="00D83398">
        <w:rPr>
          <w:rFonts w:eastAsiaTheme="minorHAnsi"/>
        </w:rPr>
        <w:t>The Government is committed to maintaining Victoria</w:t>
      </w:r>
      <w:r>
        <w:rPr>
          <w:rFonts w:eastAsiaTheme="minorHAnsi"/>
        </w:rPr>
        <w:t>’</w:t>
      </w:r>
      <w:r w:rsidRPr="00D83398">
        <w:rPr>
          <w:rFonts w:eastAsiaTheme="minorHAnsi"/>
        </w:rPr>
        <w:t>s triple</w:t>
      </w:r>
      <w:r>
        <w:rPr>
          <w:rFonts w:eastAsiaTheme="minorHAnsi"/>
        </w:rPr>
        <w:noBreakHyphen/>
      </w:r>
      <w:r w:rsidRPr="00D83398">
        <w:rPr>
          <w:rFonts w:eastAsiaTheme="minorHAnsi"/>
        </w:rPr>
        <w:t>A credit rating</w:t>
      </w:r>
      <w:r>
        <w:rPr>
          <w:rFonts w:eastAsiaTheme="minorHAnsi"/>
        </w:rP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rPr>
          <w:rFonts w:eastAsiaTheme="minorHAnsi"/>
        </w:rPr>
        <w:fldChar w:fldCharType="end"/>
      </w:r>
      <w:r w:rsidRPr="00D83398">
        <w:rPr>
          <w:rFonts w:eastAsiaTheme="minorHAnsi"/>
        </w:rPr>
        <w:t>.</w:t>
      </w:r>
      <w:r>
        <w:rPr>
          <w:rFonts w:eastAsiaTheme="minorHAnsi"/>
        </w:rPr>
        <w:t xml:space="preserve"> Maintaining</w:t>
      </w:r>
      <w:r w:rsidRPr="00D83398">
        <w:rPr>
          <w:rFonts w:eastAsiaTheme="minorHAnsi"/>
        </w:rPr>
        <w:t xml:space="preserve"> </w:t>
      </w:r>
      <w:r>
        <w:rPr>
          <w:rFonts w:eastAsiaTheme="minorHAnsi"/>
        </w:rPr>
        <w:t xml:space="preserve">general government sector </w:t>
      </w:r>
      <w:r w:rsidRPr="00D83398">
        <w:rPr>
          <w:rFonts w:eastAsiaTheme="minorHAnsi"/>
        </w:rPr>
        <w:t xml:space="preserve">net debt </w:t>
      </w:r>
      <w:r>
        <w:rPr>
          <w:rFonts w:eastAsiaTheme="minorHAnsi"/>
        </w:rPr>
        <w:t>at</w:t>
      </w:r>
      <w:r w:rsidRPr="00D83398">
        <w:rPr>
          <w:rFonts w:eastAsiaTheme="minorHAnsi"/>
        </w:rPr>
        <w:t xml:space="preserve"> around </w:t>
      </w:r>
      <w:r>
        <w:rPr>
          <w:rFonts w:eastAsiaTheme="minorHAnsi"/>
        </w:rPr>
        <w:t>6 per cent</w:t>
      </w:r>
      <w:r w:rsidRPr="00D83398">
        <w:rPr>
          <w:rFonts w:eastAsiaTheme="minorHAnsi"/>
        </w:rPr>
        <w:t xml:space="preserve"> of GSP will</w:t>
      </w:r>
      <w:r>
        <w:rPr>
          <w:rFonts w:eastAsiaTheme="minorHAnsi"/>
        </w:rPr>
        <w:t xml:space="preserve"> still </w:t>
      </w:r>
      <w:r w:rsidRPr="00D83398">
        <w:rPr>
          <w:rFonts w:eastAsiaTheme="minorHAnsi"/>
        </w:rPr>
        <w:t>keep key</w:t>
      </w:r>
      <w:r>
        <w:rPr>
          <w:rFonts w:eastAsiaTheme="minorHAnsi"/>
        </w:rPr>
        <w:t xml:space="preserve"> financial indicators at </w:t>
      </w:r>
      <w:r w:rsidRPr="00D83398">
        <w:rPr>
          <w:rFonts w:eastAsiaTheme="minorHAnsi"/>
        </w:rPr>
        <w:t xml:space="preserve">prudent levels. </w:t>
      </w:r>
      <w:r>
        <w:rPr>
          <w:rFonts w:eastAsiaTheme="minorHAnsi"/>
        </w:rPr>
        <w:t>If net debt is maintained at around 6 per cent of GSP, additional funding of around $16 billion would be available over 10 years for transformative infrastructure projects (Chart 3.6).</w:t>
      </w:r>
      <w:r>
        <w:rPr>
          <w:rFonts w:eastAsiaTheme="minorHAnsi"/>
        </w:rPr>
        <w:fldChar w:fldCharType="begin"/>
      </w:r>
      <w:r>
        <w:instrText xml:space="preserve"> XE "</w:instrText>
      </w:r>
      <w:r w:rsidRPr="005F4589">
        <w:instrText>Debt:Net debt</w:instrText>
      </w:r>
      <w:r>
        <w:instrText xml:space="preserve">" \r "BP2NetDebt2" </w:instrText>
      </w:r>
      <w:r>
        <w:rPr>
          <w:rFonts w:eastAsiaTheme="minorHAnsi"/>
        </w:rPr>
        <w:fldChar w:fldCharType="end"/>
      </w:r>
      <w:r>
        <w:rPr>
          <w:rFonts w:eastAsiaTheme="minorHAnsi"/>
        </w:rPr>
        <w:fldChar w:fldCharType="begin"/>
      </w:r>
      <w:r>
        <w:instrText xml:space="preserve"> XE "</w:instrText>
      </w:r>
      <w:r w:rsidRPr="006B701C">
        <w:rPr>
          <w:rFonts w:cs="Garamond"/>
          <w:color w:val="000000"/>
          <w:szCs w:val="22"/>
          <w:lang w:eastAsia="en-AU"/>
        </w:rPr>
        <w:instrText>Gross state product</w:instrText>
      </w:r>
      <w:r>
        <w:instrText xml:space="preserve">" \r "BP2GSP2" </w:instrText>
      </w:r>
      <w:r>
        <w:rPr>
          <w:rFonts w:eastAsiaTheme="minorHAnsi"/>
        </w:rPr>
        <w:fldChar w:fldCharType="end"/>
      </w:r>
    </w:p>
    <w:bookmarkEnd w:id="57"/>
    <w:bookmarkEnd w:id="58"/>
    <w:p w:rsidR="007A09DB" w:rsidRDefault="007A09DB" w:rsidP="00463227">
      <w:pPr>
        <w:pStyle w:val="Heading2"/>
        <w:rPr>
          <w:rFonts w:eastAsiaTheme="minorHAnsi"/>
        </w:rPr>
      </w:pPr>
      <w:r>
        <w:rPr>
          <w:rFonts w:eastAsiaTheme="minorHAnsi"/>
        </w:rPr>
        <w:t>Making better use of the State’s balance sheet</w:t>
      </w:r>
    </w:p>
    <w:p w:rsidR="007A09DB" w:rsidRPr="00D83398" w:rsidRDefault="007A09DB" w:rsidP="00EA2873">
      <w:pPr>
        <w:rPr>
          <w:rFonts w:eastAsiaTheme="minorHAnsi"/>
        </w:rPr>
      </w:pPr>
      <w:r w:rsidRPr="00D83398">
        <w:rPr>
          <w:rFonts w:eastAsiaTheme="minorHAnsi"/>
        </w:rPr>
        <w:t>Asset recycling is an important source of infrastructure funding.</w:t>
      </w:r>
      <w:r>
        <w:rPr>
          <w:rFonts w:eastAsiaTheme="minorHAnsi"/>
        </w:rPr>
        <w:t xml:space="preserve"> </w:t>
      </w:r>
      <w:r w:rsidRPr="00D83398">
        <w:rPr>
          <w:rFonts w:eastAsiaTheme="minorHAnsi"/>
        </w:rPr>
        <w:t>Where it is in the community</w:t>
      </w:r>
      <w:r>
        <w:rPr>
          <w:rFonts w:eastAsiaTheme="minorHAnsi"/>
        </w:rPr>
        <w:t>’</w:t>
      </w:r>
      <w:r w:rsidRPr="00D83398">
        <w:rPr>
          <w:rFonts w:eastAsiaTheme="minorHAnsi"/>
        </w:rPr>
        <w:t>s interest, capital tied up in mature businesses can be recycled to build new infrastructure.</w:t>
      </w:r>
      <w:r>
        <w:rPr>
          <w:rFonts w:eastAsiaTheme="minorHAnsi"/>
        </w:rPr>
        <w:t xml:space="preserve"> </w:t>
      </w:r>
      <w:r w:rsidRPr="00D83398">
        <w:rPr>
          <w:rFonts w:eastAsiaTheme="minorHAnsi"/>
        </w:rPr>
        <w:t>This is particularly the case where:</w:t>
      </w:r>
    </w:p>
    <w:p w:rsidR="007A09DB" w:rsidRPr="002C70F5" w:rsidRDefault="007A09DB" w:rsidP="00F52AC9">
      <w:pPr>
        <w:pStyle w:val="BulletText"/>
        <w:rPr>
          <w:rFonts w:eastAsiaTheme="minorHAnsi"/>
        </w:rPr>
      </w:pPr>
      <w:r>
        <w:rPr>
          <w:rFonts w:eastAsiaTheme="minorHAnsi"/>
        </w:rPr>
        <w:t>t</w:t>
      </w:r>
      <w:r w:rsidRPr="002C70F5">
        <w:rPr>
          <w:rFonts w:eastAsiaTheme="minorHAnsi"/>
        </w:rPr>
        <w:t xml:space="preserve">he </w:t>
      </w:r>
      <w:r w:rsidRPr="00F52AC9">
        <w:rPr>
          <w:rFonts w:eastAsiaTheme="minorHAnsi"/>
        </w:rPr>
        <w:t>private</w:t>
      </w:r>
      <w:r w:rsidRPr="002C70F5">
        <w:rPr>
          <w:rFonts w:eastAsiaTheme="minorHAnsi"/>
        </w:rPr>
        <w:t xml:space="preserve"> sector can operate assets more efficiently;</w:t>
      </w:r>
    </w:p>
    <w:p w:rsidR="007A09DB" w:rsidRPr="002C70F5" w:rsidRDefault="007A09DB" w:rsidP="00F52AC9">
      <w:pPr>
        <w:pStyle w:val="BulletText"/>
        <w:rPr>
          <w:rFonts w:eastAsiaTheme="minorHAnsi"/>
        </w:rPr>
      </w:pPr>
      <w:r>
        <w:rPr>
          <w:rFonts w:eastAsiaTheme="minorHAnsi"/>
        </w:rPr>
        <w:t>a</w:t>
      </w:r>
      <w:r w:rsidRPr="002C70F5">
        <w:rPr>
          <w:rFonts w:eastAsiaTheme="minorHAnsi"/>
        </w:rPr>
        <w:t>ssets are no longer being employed to their most productive use; and</w:t>
      </w:r>
    </w:p>
    <w:p w:rsidR="007A09DB" w:rsidRPr="002C70F5" w:rsidRDefault="007A09DB" w:rsidP="00F52AC9">
      <w:pPr>
        <w:pStyle w:val="BulletText"/>
        <w:rPr>
          <w:rFonts w:eastAsiaTheme="minorHAnsi"/>
        </w:rPr>
      </w:pPr>
      <w:r>
        <w:rPr>
          <w:rFonts w:eastAsiaTheme="minorHAnsi"/>
        </w:rPr>
        <w:t>a</w:t>
      </w:r>
      <w:r w:rsidRPr="002C70F5">
        <w:rPr>
          <w:rFonts w:eastAsiaTheme="minorHAnsi"/>
        </w:rPr>
        <w:t>ssets that have been held by government for future use are assessed as no longer required.</w:t>
      </w:r>
    </w:p>
    <w:p w:rsidR="007A09DB" w:rsidRDefault="007A09DB" w:rsidP="00EA2873">
      <w:pPr>
        <w:rPr>
          <w:rFonts w:eastAsiaTheme="minorHAnsi"/>
        </w:rPr>
      </w:pPr>
      <w:r>
        <w:rPr>
          <w:rFonts w:eastAsiaTheme="minorHAnsi"/>
        </w:rPr>
        <w:t>Proceeds from the</w:t>
      </w:r>
      <w:r w:rsidRPr="00D83398">
        <w:rPr>
          <w:rFonts w:eastAsiaTheme="minorHAnsi"/>
        </w:rPr>
        <w:t xml:space="preserve"> 50 year lease of </w:t>
      </w:r>
      <w:r>
        <w:rPr>
          <w:rFonts w:eastAsiaTheme="minorHAnsi"/>
        </w:rPr>
        <w:t xml:space="preserve">the </w:t>
      </w:r>
      <w:r w:rsidRPr="00D83398">
        <w:rPr>
          <w:rFonts w:eastAsiaTheme="minorHAnsi"/>
        </w:rPr>
        <w:t>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D83398">
        <w:rPr>
          <w:rFonts w:eastAsiaTheme="minorHAnsi"/>
        </w:rPr>
        <w:t xml:space="preserve"> will </w:t>
      </w:r>
      <w:r>
        <w:rPr>
          <w:rFonts w:eastAsiaTheme="minorHAnsi"/>
        </w:rPr>
        <w:t>go to the Victorian Transport Fund</w:t>
      </w:r>
      <w:r>
        <w:rPr>
          <w:rFonts w:eastAsiaTheme="minorHAnsi"/>
        </w:rPr>
        <w:fldChar w:fldCharType="begin"/>
      </w:r>
      <w:r>
        <w:instrText xml:space="preserve"> XE "</w:instrText>
      </w:r>
      <w:r w:rsidRPr="005326EA">
        <w:rPr>
          <w:rFonts w:eastAsiaTheme="minorHAnsi" w:cs="Garamond"/>
          <w:color w:val="000000"/>
          <w:szCs w:val="22"/>
        </w:rPr>
        <w:instrText>Victorian Transport Fund</w:instrText>
      </w:r>
      <w:r>
        <w:instrText xml:space="preserve">" </w:instrText>
      </w:r>
      <w:r>
        <w:rPr>
          <w:rFonts w:eastAsiaTheme="minorHAnsi"/>
        </w:rPr>
        <w:fldChar w:fldCharType="end"/>
      </w:r>
      <w:r>
        <w:rPr>
          <w:rFonts w:eastAsiaTheme="minorHAnsi"/>
        </w:rPr>
        <w:t xml:space="preserve"> which will fund the </w:t>
      </w:r>
      <w:r w:rsidRPr="00D83398">
        <w:rPr>
          <w:rFonts w:eastAsiaTheme="minorHAnsi"/>
        </w:rPr>
        <w:t>Government</w:t>
      </w:r>
      <w:r>
        <w:rPr>
          <w:rFonts w:eastAsiaTheme="minorHAnsi"/>
        </w:rPr>
        <w:t>’</w:t>
      </w:r>
      <w:r w:rsidRPr="00D83398">
        <w:rPr>
          <w:rFonts w:eastAsiaTheme="minorHAnsi"/>
        </w:rPr>
        <w:t>s</w:t>
      </w:r>
      <w:r>
        <w:rPr>
          <w:rFonts w:eastAsiaTheme="minorHAnsi"/>
        </w:rPr>
        <w:t xml:space="preserve"> Level Crossing Removal Program</w:t>
      </w:r>
      <w:r>
        <w:rPr>
          <w:rFonts w:eastAsiaTheme="minorHAnsi"/>
        </w:rPr>
        <w:fldChar w:fldCharType="begin"/>
      </w:r>
      <w:r>
        <w:instrText xml:space="preserve"> XE "</w:instrText>
      </w:r>
      <w:r w:rsidRPr="00E1473F">
        <w:instrText>Level Crossing Removal Program</w:instrText>
      </w:r>
      <w:r>
        <w:instrText xml:space="preserve">" </w:instrText>
      </w:r>
      <w:r>
        <w:rPr>
          <w:rFonts w:eastAsiaTheme="minorHAnsi"/>
        </w:rPr>
        <w:fldChar w:fldCharType="end"/>
      </w:r>
      <w:r>
        <w:rPr>
          <w:rFonts w:eastAsiaTheme="minorHAnsi"/>
        </w:rPr>
        <w:t xml:space="preserve"> and other important transport projects</w:t>
      </w:r>
      <w:r w:rsidRPr="00D83398">
        <w:rPr>
          <w:rFonts w:eastAsiaTheme="minorHAnsi"/>
        </w:rPr>
        <w:t>.</w:t>
      </w:r>
      <w:r>
        <w:rPr>
          <w:rFonts w:eastAsiaTheme="minorHAnsi"/>
        </w:rPr>
        <w:t xml:space="preserve"> </w:t>
      </w:r>
    </w:p>
    <w:p w:rsidR="007A09DB" w:rsidRPr="00360B96" w:rsidRDefault="007A09DB" w:rsidP="0046005D">
      <w:pPr>
        <w:rPr>
          <w:rFonts w:eastAsiaTheme="minorHAnsi"/>
        </w:rPr>
      </w:pPr>
      <w:r w:rsidRPr="00C82AF3">
        <w:rPr>
          <w:rFonts w:eastAsiaTheme="minorHAnsi"/>
        </w:rPr>
        <w:t>The former government sold the Rural Finance Corporation in 2014 and the proceeds will be invested in new productiv</w:t>
      </w:r>
      <w:r w:rsidRPr="00360B96">
        <w:rPr>
          <w:rFonts w:eastAsiaTheme="minorHAnsi"/>
        </w:rPr>
        <w:t>e economic infrastructure including the Murray Basin Rail Project</w:t>
      </w:r>
      <w:r>
        <w:rPr>
          <w:rFonts w:eastAsiaTheme="minorHAnsi"/>
        </w:rPr>
        <w:fldChar w:fldCharType="begin"/>
      </w:r>
      <w:r>
        <w:instrText xml:space="preserve"> XE "</w:instrText>
      </w:r>
      <w:r w:rsidRPr="00CD3CAB">
        <w:rPr>
          <w:rFonts w:eastAsiaTheme="minorHAnsi"/>
        </w:rPr>
        <w:instrText>Murray Basin Rail Project</w:instrText>
      </w:r>
      <w:r>
        <w:instrText xml:space="preserve">" </w:instrText>
      </w:r>
      <w:r>
        <w:rPr>
          <w:rFonts w:eastAsiaTheme="minorHAnsi"/>
        </w:rPr>
        <w:fldChar w:fldCharType="end"/>
      </w:r>
      <w:r w:rsidRPr="00360B96">
        <w:rPr>
          <w:rFonts w:eastAsiaTheme="minorHAnsi"/>
        </w:rPr>
        <w:t>.</w:t>
      </w:r>
    </w:p>
    <w:p w:rsidR="007A09DB" w:rsidRPr="00F510BF" w:rsidRDefault="007A09DB" w:rsidP="0046005D">
      <w:pPr>
        <w:autoSpaceDE w:val="0"/>
        <w:autoSpaceDN w:val="0"/>
        <w:adjustRightInd w:val="0"/>
        <w:rPr>
          <w:rFonts w:eastAsiaTheme="minorHAnsi" w:cstheme="minorBidi"/>
          <w:szCs w:val="22"/>
        </w:rPr>
      </w:pPr>
      <w:r w:rsidRPr="00F510BF">
        <w:rPr>
          <w:rFonts w:eastAsiaTheme="minorHAnsi" w:cstheme="minorBidi"/>
          <w:szCs w:val="22"/>
        </w:rPr>
        <w:t xml:space="preserve">Asset recycling is </w:t>
      </w:r>
      <w:r>
        <w:rPr>
          <w:rFonts w:eastAsiaTheme="minorHAnsi" w:cstheme="minorBidi"/>
          <w:szCs w:val="22"/>
        </w:rPr>
        <w:t>boosted</w:t>
      </w:r>
      <w:r w:rsidRPr="00F510BF">
        <w:rPr>
          <w:rFonts w:eastAsiaTheme="minorHAnsi" w:cstheme="minorBidi"/>
          <w:szCs w:val="22"/>
        </w:rPr>
        <w:t xml:space="preserve"> by the Commonwealth Government</w:t>
      </w:r>
      <w:r>
        <w:rPr>
          <w:rFonts w:eastAsiaTheme="minorHAnsi" w:cstheme="minorBidi"/>
          <w:szCs w:val="22"/>
        </w:rPr>
        <w:t>’</w:t>
      </w:r>
      <w:r w:rsidRPr="00F510BF">
        <w:rPr>
          <w:rFonts w:eastAsiaTheme="minorHAnsi" w:cstheme="minorBidi"/>
          <w:szCs w:val="22"/>
        </w:rPr>
        <w:t>s asset recycling</w:t>
      </w:r>
      <w:r>
        <w:rPr>
          <w:rFonts w:eastAsiaTheme="minorHAnsi" w:cstheme="minorBidi"/>
          <w:szCs w:val="22"/>
        </w:rPr>
        <w:fldChar w:fldCharType="begin"/>
      </w:r>
      <w:r>
        <w:instrText xml:space="preserve"> XE "</w:instrText>
      </w:r>
      <w:r w:rsidRPr="005D1792">
        <w:instrText>Asset recycling</w:instrText>
      </w:r>
      <w:r>
        <w:instrText xml:space="preserve">" </w:instrText>
      </w:r>
      <w:r>
        <w:rPr>
          <w:rFonts w:eastAsiaTheme="minorHAnsi" w:cstheme="minorBidi"/>
          <w:szCs w:val="22"/>
        </w:rPr>
        <w:fldChar w:fldCharType="end"/>
      </w:r>
      <w:r w:rsidRPr="00F510BF">
        <w:rPr>
          <w:rFonts w:eastAsiaTheme="minorHAnsi" w:cstheme="minorBidi"/>
          <w:szCs w:val="22"/>
        </w:rPr>
        <w:t xml:space="preserve"> initiative that gives financial incentives to state and territory government</w:t>
      </w:r>
      <w:r>
        <w:rPr>
          <w:rFonts w:eastAsiaTheme="minorHAnsi" w:cstheme="minorBidi"/>
          <w:szCs w:val="22"/>
        </w:rPr>
        <w:t>s</w:t>
      </w:r>
      <w:r w:rsidRPr="00F510BF">
        <w:rPr>
          <w:rFonts w:eastAsiaTheme="minorHAnsi" w:cstheme="minorBidi"/>
          <w:szCs w:val="22"/>
        </w:rPr>
        <w:t xml:space="preserve"> to divest assets and reinvest the proceeds in new productive economic infrastructure.</w:t>
      </w:r>
    </w:p>
    <w:p w:rsidR="007A09DB" w:rsidRPr="001424B3" w:rsidRDefault="007A09DB" w:rsidP="0046005D">
      <w:pPr>
        <w:rPr>
          <w:rFonts w:eastAsiaTheme="minorHAnsi"/>
        </w:rPr>
      </w:pPr>
      <w:r w:rsidRPr="00360B96">
        <w:rPr>
          <w:rFonts w:eastAsiaTheme="minorHAnsi"/>
        </w:rPr>
        <w:t xml:space="preserve">The Government will continue to explore opportunities for </w:t>
      </w:r>
      <w:r>
        <w:rPr>
          <w:rFonts w:eastAsiaTheme="minorHAnsi"/>
        </w:rPr>
        <w:t>asset</w:t>
      </w:r>
      <w:r w:rsidRPr="00360B96">
        <w:rPr>
          <w:rFonts w:eastAsiaTheme="minorHAnsi"/>
        </w:rPr>
        <w:t xml:space="preserve"> recycling</w:t>
      </w:r>
      <w:r>
        <w:rPr>
          <w:rFonts w:eastAsiaTheme="minorHAnsi"/>
        </w:rPr>
        <w:fldChar w:fldCharType="begin"/>
      </w:r>
      <w:r>
        <w:instrText xml:space="preserve"> XE "</w:instrText>
      </w:r>
      <w:r w:rsidRPr="005D1792">
        <w:instrText>Asset recycling</w:instrText>
      </w:r>
      <w:r>
        <w:instrText xml:space="preserve">" </w:instrText>
      </w:r>
      <w:r>
        <w:rPr>
          <w:rFonts w:eastAsiaTheme="minorHAnsi"/>
        </w:rPr>
        <w:fldChar w:fldCharType="end"/>
      </w:r>
      <w:r w:rsidRPr="00360B96">
        <w:rPr>
          <w:rFonts w:eastAsiaTheme="minorHAnsi"/>
        </w:rPr>
        <w:t xml:space="preserve"> and invest</w:t>
      </w:r>
      <w:r>
        <w:rPr>
          <w:rFonts w:eastAsiaTheme="minorHAnsi"/>
        </w:rPr>
        <w:t>ing</w:t>
      </w:r>
      <w:r w:rsidRPr="00360B96">
        <w:rPr>
          <w:rFonts w:eastAsiaTheme="minorHAnsi"/>
        </w:rPr>
        <w:t xml:space="preserve"> the proceeds in priority infrastructure projects.</w:t>
      </w:r>
    </w:p>
    <w:p w:rsidR="007A09DB" w:rsidRPr="00D83398" w:rsidRDefault="007A09DB" w:rsidP="00C15F39">
      <w:pPr>
        <w:pStyle w:val="Heading2"/>
        <w:rPr>
          <w:rFonts w:eastAsiaTheme="minorHAnsi"/>
        </w:rPr>
      </w:pPr>
      <w:r w:rsidRPr="00D83398">
        <w:rPr>
          <w:rFonts w:eastAsiaTheme="minorHAnsi"/>
        </w:rPr>
        <w:t xml:space="preserve">Creating </w:t>
      </w:r>
      <w:r>
        <w:rPr>
          <w:rFonts w:eastAsiaTheme="minorHAnsi"/>
        </w:rPr>
        <w:t>and capturing value</w:t>
      </w:r>
    </w:p>
    <w:p w:rsidR="007A09DB" w:rsidRDefault="007A09DB" w:rsidP="002C70F5">
      <w:pPr>
        <w:rPr>
          <w:rFonts w:eastAsiaTheme="minorHAnsi"/>
        </w:rPr>
      </w:pPr>
      <w:r w:rsidRPr="00D83398">
        <w:rPr>
          <w:rFonts w:eastAsiaTheme="minorHAnsi"/>
        </w:rPr>
        <w:t xml:space="preserve">Whether it is rail, road or </w:t>
      </w:r>
      <w:r>
        <w:rPr>
          <w:rFonts w:eastAsiaTheme="minorHAnsi"/>
        </w:rPr>
        <w:t>social infrastructure</w:t>
      </w:r>
      <w:r w:rsidRPr="00D83398">
        <w:rPr>
          <w:rFonts w:eastAsiaTheme="minorHAnsi"/>
        </w:rPr>
        <w:t xml:space="preserve">, transformational projects create a legacy much </w:t>
      </w:r>
      <w:r>
        <w:rPr>
          <w:rFonts w:eastAsiaTheme="minorHAnsi"/>
        </w:rPr>
        <w:t>greater than their primary purpose.</w:t>
      </w:r>
    </w:p>
    <w:p w:rsidR="007A09DB" w:rsidRDefault="007A09DB" w:rsidP="00D17615">
      <w:pPr>
        <w:rPr>
          <w:rFonts w:eastAsiaTheme="minorHAnsi"/>
        </w:rPr>
      </w:pPr>
      <w:r>
        <w:rPr>
          <w:rFonts w:eastAsiaTheme="minorHAnsi"/>
        </w:rPr>
        <w:t>The</w:t>
      </w:r>
      <w:r w:rsidRPr="00D83398">
        <w:rPr>
          <w:rFonts w:eastAsiaTheme="minorHAnsi"/>
        </w:rPr>
        <w:t xml:space="preserve"> Government will ensure that each </w:t>
      </w:r>
      <w:r>
        <w:rPr>
          <w:rFonts w:eastAsiaTheme="minorHAnsi"/>
        </w:rPr>
        <w:t>transformational</w:t>
      </w:r>
      <w:r w:rsidRPr="00D83398">
        <w:rPr>
          <w:rFonts w:eastAsiaTheme="minorHAnsi"/>
        </w:rPr>
        <w:t xml:space="preserve"> project will maximise the value created for the community, whether it is by encouraging the development of more housing options closer to transport and services, or by developing retail, ente</w:t>
      </w:r>
      <w:r>
        <w:rPr>
          <w:rFonts w:eastAsiaTheme="minorHAnsi"/>
        </w:rPr>
        <w:t>rtainment and community spaces.</w:t>
      </w:r>
    </w:p>
    <w:p w:rsidR="007A09DB" w:rsidRDefault="007A09DB" w:rsidP="002C70F5">
      <w:pPr>
        <w:rPr>
          <w:rFonts w:eastAsiaTheme="minorHAnsi"/>
        </w:rPr>
      </w:pPr>
      <w:r w:rsidRPr="00D83398">
        <w:rPr>
          <w:rFonts w:eastAsiaTheme="minorHAnsi"/>
        </w:rPr>
        <w:t>Each project presents opportunities to create significant and lasting value for the community.</w:t>
      </w:r>
      <w:r>
        <w:rPr>
          <w:rFonts w:eastAsiaTheme="minorHAnsi"/>
        </w:rPr>
        <w:t xml:space="preserve"> </w:t>
      </w:r>
      <w:r w:rsidRPr="00D83398">
        <w:rPr>
          <w:rFonts w:eastAsiaTheme="minorHAnsi"/>
        </w:rPr>
        <w:t>These opportunities will be unique to each location.</w:t>
      </w:r>
      <w:r>
        <w:rPr>
          <w:rFonts w:eastAsiaTheme="minorHAnsi"/>
        </w:rPr>
        <w:t xml:space="preserve"> The Government will seek</w:t>
      </w:r>
      <w:r w:rsidRPr="00D83398">
        <w:rPr>
          <w:rFonts w:eastAsiaTheme="minorHAnsi"/>
        </w:rPr>
        <w:t xml:space="preserve"> the right partners with the best solutions </w:t>
      </w:r>
      <w:r>
        <w:rPr>
          <w:rFonts w:eastAsiaTheme="minorHAnsi"/>
        </w:rPr>
        <w:t>to create</w:t>
      </w:r>
      <w:r w:rsidRPr="00D83398">
        <w:rPr>
          <w:rFonts w:eastAsiaTheme="minorHAnsi"/>
        </w:rPr>
        <w:t xml:space="preserve"> the most value for the community in terms of public amenities, connectivity to jobs a</w:t>
      </w:r>
      <w:r>
        <w:rPr>
          <w:rFonts w:eastAsiaTheme="minorHAnsi"/>
        </w:rPr>
        <w:t>nd services, and lasting appeal.</w:t>
      </w:r>
    </w:p>
    <w:p w:rsidR="007A09DB" w:rsidRDefault="007A09DB" w:rsidP="002C70F5">
      <w:pPr>
        <w:rPr>
          <w:rFonts w:eastAsiaTheme="minorHAnsi"/>
        </w:rPr>
      </w:pPr>
      <w:r w:rsidRPr="00D83398">
        <w:rPr>
          <w:rFonts w:eastAsiaTheme="minorHAnsi"/>
        </w:rPr>
        <w:t xml:space="preserve">The Government will explore </w:t>
      </w:r>
      <w:r>
        <w:rPr>
          <w:rFonts w:eastAsiaTheme="minorHAnsi"/>
        </w:rPr>
        <w:t>mechanisms to capture a proportion of this value created, including value created through enhanced commercial development opportunities, to help fund important community infrastructure.</w:t>
      </w:r>
    </w:p>
    <w:p w:rsidR="007A09DB" w:rsidRPr="00D83398" w:rsidRDefault="007A09DB" w:rsidP="00C15F39">
      <w:pPr>
        <w:pStyle w:val="Heading2"/>
        <w:rPr>
          <w:rFonts w:eastAsiaTheme="minorHAnsi"/>
        </w:rPr>
      </w:pPr>
      <w:r w:rsidRPr="00D83398">
        <w:rPr>
          <w:rFonts w:eastAsiaTheme="minorHAnsi"/>
        </w:rPr>
        <w:t>Innovative financing</w:t>
      </w:r>
    </w:p>
    <w:p w:rsidR="007A09DB" w:rsidRDefault="007A09DB" w:rsidP="002C70F5">
      <w:pPr>
        <w:rPr>
          <w:rFonts w:eastAsiaTheme="minorHAnsi"/>
        </w:rPr>
      </w:pPr>
      <w:r>
        <w:rPr>
          <w:rFonts w:eastAsiaTheme="minorHAnsi"/>
        </w:rPr>
        <w:t>Financing is often raised upfront, usually through government borrowing or private sector debt or equity, to enable infrastructure to be built.</w:t>
      </w:r>
      <w:r w:rsidR="00241F81">
        <w:rPr>
          <w:rFonts w:eastAsiaTheme="minorHAnsi"/>
        </w:rPr>
        <w:t xml:space="preserve"> </w:t>
      </w:r>
      <w:r>
        <w:rPr>
          <w:rFonts w:eastAsiaTheme="minorHAnsi"/>
        </w:rPr>
        <w:t>However, private financing does not represent an additional funding source for infrastructure.</w:t>
      </w:r>
      <w:r w:rsidR="00241F81">
        <w:rPr>
          <w:rFonts w:eastAsiaTheme="minorHAnsi"/>
        </w:rPr>
        <w:t xml:space="preserve"> </w:t>
      </w:r>
      <w:r>
        <w:rPr>
          <w:rFonts w:eastAsiaTheme="minorHAnsi"/>
        </w:rPr>
        <w:t>Irrespective of the financing method,</w:t>
      </w:r>
      <w:r w:rsidR="00241F81">
        <w:rPr>
          <w:rFonts w:eastAsiaTheme="minorHAnsi"/>
        </w:rPr>
        <w:t xml:space="preserve"> </w:t>
      </w:r>
      <w:r>
        <w:rPr>
          <w:rFonts w:eastAsiaTheme="minorHAnsi"/>
        </w:rPr>
        <w:t>n</w:t>
      </w:r>
      <w:r w:rsidRPr="00D83398">
        <w:rPr>
          <w:rFonts w:eastAsiaTheme="minorHAnsi"/>
        </w:rPr>
        <w:t xml:space="preserve">ew public infrastructure is funded from </w:t>
      </w:r>
      <w:r>
        <w:rPr>
          <w:rFonts w:eastAsiaTheme="minorHAnsi"/>
        </w:rPr>
        <w:t xml:space="preserve">sources such </w:t>
      </w:r>
      <w:r w:rsidRPr="00D83398">
        <w:rPr>
          <w:rFonts w:eastAsiaTheme="minorHAnsi"/>
        </w:rPr>
        <w:t xml:space="preserve">general taxes, </w:t>
      </w:r>
      <w:r>
        <w:rPr>
          <w:rFonts w:eastAsiaTheme="minorHAnsi"/>
        </w:rPr>
        <w:t>asset</w:t>
      </w:r>
      <w:r w:rsidRPr="00D83398">
        <w:rPr>
          <w:rFonts w:eastAsiaTheme="minorHAnsi"/>
        </w:rPr>
        <w:t xml:space="preserve"> recycling</w:t>
      </w:r>
      <w:r>
        <w:rPr>
          <w:rFonts w:eastAsiaTheme="minorHAnsi"/>
        </w:rPr>
        <w:fldChar w:fldCharType="begin"/>
      </w:r>
      <w:r>
        <w:instrText xml:space="preserve"> XE "</w:instrText>
      </w:r>
      <w:r w:rsidRPr="005D1792">
        <w:instrText>Asset recycling</w:instrText>
      </w:r>
      <w:r>
        <w:instrText xml:space="preserve">" </w:instrText>
      </w:r>
      <w:r>
        <w:rPr>
          <w:rFonts w:eastAsiaTheme="minorHAnsi"/>
        </w:rPr>
        <w:fldChar w:fldCharType="end"/>
      </w:r>
      <w:r w:rsidRPr="00D83398">
        <w:rPr>
          <w:rFonts w:eastAsiaTheme="minorHAnsi"/>
        </w:rPr>
        <w:t xml:space="preserve"> </w:t>
      </w:r>
      <w:r>
        <w:rPr>
          <w:rFonts w:eastAsiaTheme="minorHAnsi"/>
        </w:rPr>
        <w:t xml:space="preserve">or user or </w:t>
      </w:r>
      <w:r w:rsidRPr="00D83398">
        <w:rPr>
          <w:rFonts w:eastAsiaTheme="minorHAnsi"/>
        </w:rPr>
        <w:t>beneficiary charges.</w:t>
      </w:r>
    </w:p>
    <w:p w:rsidR="007A09DB" w:rsidRDefault="007A09DB" w:rsidP="00507A5C">
      <w:pPr>
        <w:rPr>
          <w:rFonts w:eastAsiaTheme="minorHAnsi"/>
        </w:rPr>
      </w:pPr>
      <w:r w:rsidRPr="00D83398">
        <w:rPr>
          <w:rFonts w:eastAsiaTheme="minorHAnsi"/>
        </w:rPr>
        <w:t xml:space="preserve">Victoria </w:t>
      </w:r>
      <w:r>
        <w:rPr>
          <w:rFonts w:eastAsiaTheme="minorHAnsi"/>
        </w:rPr>
        <w:t>has led</w:t>
      </w:r>
      <w:r w:rsidRPr="00D83398">
        <w:rPr>
          <w:rFonts w:eastAsiaTheme="minorHAnsi"/>
        </w:rPr>
        <w:t xml:space="preserve"> the way in innovative financing of public infrastructure</w:t>
      </w:r>
      <w:r>
        <w:rPr>
          <w:rFonts w:eastAsiaTheme="minorHAnsi"/>
        </w:rPr>
        <w:t xml:space="preserve">, </w:t>
      </w:r>
      <w:r w:rsidRPr="00D83398">
        <w:rPr>
          <w:rFonts w:eastAsiaTheme="minorHAnsi"/>
        </w:rPr>
        <w:t xml:space="preserve">in particular through </w:t>
      </w:r>
      <w:r>
        <w:rPr>
          <w:rFonts w:eastAsiaTheme="minorHAnsi"/>
        </w:rPr>
        <w:t>a</w:t>
      </w:r>
      <w:r w:rsidRPr="00D83398">
        <w:rPr>
          <w:rFonts w:eastAsiaTheme="minorHAnsi"/>
        </w:rPr>
        <w:t xml:space="preserve"> long history of successful </w:t>
      </w:r>
      <w:r>
        <w:rPr>
          <w:rFonts w:eastAsiaTheme="minorHAnsi"/>
        </w:rPr>
        <w:t>PPP</w:t>
      </w:r>
      <w:r w:rsidR="0078635B">
        <w:rPr>
          <w:rFonts w:eastAsiaTheme="minorHAnsi"/>
        </w:rPr>
        <w:fldChar w:fldCharType="begin"/>
      </w:r>
      <w:r w:rsidR="0078635B">
        <w:instrText xml:space="preserve"> XE "</w:instrText>
      </w:r>
      <w:r w:rsidR="0078635B" w:rsidRPr="00FE2D3C">
        <w:rPr>
          <w:rFonts w:eastAsiaTheme="minorHAnsi"/>
        </w:rPr>
        <w:instrText>Public private partnerships</w:instrText>
      </w:r>
      <w:r w:rsidR="0078635B">
        <w:rPr>
          <w:rFonts w:eastAsiaTheme="minorHAnsi"/>
        </w:rPr>
        <w:instrText xml:space="preserve"> (PPPs)</w:instrText>
      </w:r>
      <w:r w:rsidR="0078635B">
        <w:instrText xml:space="preserve">" </w:instrText>
      </w:r>
      <w:r w:rsidR="0078635B">
        <w:rPr>
          <w:rFonts w:eastAsiaTheme="minorHAnsi"/>
        </w:rPr>
        <w:fldChar w:fldCharType="end"/>
      </w:r>
      <w:r w:rsidRPr="00D83398">
        <w:rPr>
          <w:rFonts w:eastAsiaTheme="minorHAnsi"/>
        </w:rPr>
        <w:t xml:space="preserve"> projects. </w:t>
      </w:r>
      <w:r>
        <w:rPr>
          <w:rFonts w:eastAsiaTheme="minorHAnsi"/>
        </w:rPr>
        <w:t>This</w:t>
      </w:r>
      <w:r w:rsidRPr="00D83398">
        <w:rPr>
          <w:rFonts w:eastAsiaTheme="minorHAnsi"/>
        </w:rPr>
        <w:t xml:space="preserve"> </w:t>
      </w:r>
      <w:r>
        <w:rPr>
          <w:rFonts w:eastAsiaTheme="minorHAnsi"/>
        </w:rPr>
        <w:t xml:space="preserve">type of </w:t>
      </w:r>
      <w:r w:rsidRPr="00D83398">
        <w:rPr>
          <w:rFonts w:eastAsiaTheme="minorHAnsi"/>
        </w:rPr>
        <w:t>procurement uses private finance, comprising debt financing and equity investment. The due diligence</w:t>
      </w:r>
      <w:r>
        <w:rPr>
          <w:rFonts w:eastAsiaTheme="minorHAnsi"/>
        </w:rPr>
        <w:t>,</w:t>
      </w:r>
      <w:r w:rsidRPr="00D83398">
        <w:rPr>
          <w:rFonts w:eastAsiaTheme="minorHAnsi"/>
        </w:rPr>
        <w:t xml:space="preserve"> as well as</w:t>
      </w:r>
      <w:r>
        <w:rPr>
          <w:rFonts w:eastAsiaTheme="minorHAnsi"/>
        </w:rPr>
        <w:t xml:space="preserve"> the</w:t>
      </w:r>
      <w:r w:rsidRPr="00D83398">
        <w:rPr>
          <w:rFonts w:eastAsiaTheme="minorHAnsi"/>
        </w:rPr>
        <w:t xml:space="preserve"> risk</w:t>
      </w:r>
      <w:r>
        <w:rPr>
          <w:rFonts w:eastAsiaTheme="minorHAnsi"/>
        </w:rPr>
        <w:noBreakHyphen/>
      </w:r>
      <w:r w:rsidRPr="00D83398">
        <w:rPr>
          <w:rFonts w:eastAsiaTheme="minorHAnsi"/>
        </w:rPr>
        <w:t>taking role of debt and equity in a PPP procurement can add value in mitigating risk and incentivising performance</w:t>
      </w:r>
      <w:r>
        <w:rPr>
          <w:rFonts w:eastAsiaTheme="minorHAnsi"/>
        </w:rPr>
        <w:t xml:space="preserve">, while </w:t>
      </w:r>
      <w:r w:rsidRPr="00D83398">
        <w:rPr>
          <w:rFonts w:eastAsiaTheme="minorHAnsi"/>
        </w:rPr>
        <w:t>driving enhanced outcomes through innovation and efficiencies.</w:t>
      </w:r>
    </w:p>
    <w:p w:rsidR="007A09DB" w:rsidRPr="00D83398" w:rsidRDefault="007A09DB" w:rsidP="00507A5C">
      <w:pPr>
        <w:pStyle w:val="Heading2"/>
        <w:rPr>
          <w:rFonts w:eastAsiaTheme="minorHAnsi"/>
        </w:rPr>
      </w:pPr>
      <w:r>
        <w:rPr>
          <w:rFonts w:eastAsiaTheme="minorHAnsi"/>
        </w:rPr>
        <w:t>C</w:t>
      </w:r>
      <w:r w:rsidRPr="00D83398">
        <w:rPr>
          <w:rFonts w:eastAsiaTheme="minorHAnsi"/>
        </w:rPr>
        <w:t xml:space="preserve">ommonwealth infrastructure </w:t>
      </w:r>
      <w:r>
        <w:rPr>
          <w:rFonts w:eastAsiaTheme="minorHAnsi"/>
        </w:rPr>
        <w:t>funding</w:t>
      </w:r>
    </w:p>
    <w:p w:rsidR="007A09DB" w:rsidRDefault="007A09DB" w:rsidP="00747464">
      <w:pPr>
        <w:rPr>
          <w:rFonts w:eastAsiaTheme="minorHAnsi"/>
        </w:rPr>
      </w:pPr>
      <w:r w:rsidRPr="001F21D8">
        <w:rPr>
          <w:rFonts w:eastAsiaTheme="minorHAnsi"/>
        </w:rPr>
        <w:t>On 8 April 2016, the Commonwealth Government confirmed in writing that the $1.5</w:t>
      </w:r>
      <w:r>
        <w:rPr>
          <w:rFonts w:eastAsiaTheme="minorHAnsi"/>
        </w:rPr>
        <w:t> billion</w:t>
      </w:r>
      <w:r w:rsidRPr="001F21D8">
        <w:rPr>
          <w:rFonts w:eastAsiaTheme="minorHAnsi"/>
        </w:rPr>
        <w:t xml:space="preserve"> previously allocated for the former East West Link project will be retained by the State and allocated to other projects, over and above funding separately committed by the Commonwealth. The State has accepted the offer and confirmed that it will work to finalise implementation arrangements. </w:t>
      </w:r>
      <w:r>
        <w:rPr>
          <w:rFonts w:eastAsiaTheme="minorHAnsi"/>
        </w:rPr>
        <w:t>However, the Commonwealth needs to go beyond this to give Victoria its fair share.</w:t>
      </w:r>
    </w:p>
    <w:p w:rsidR="007A09DB" w:rsidRDefault="007A09DB">
      <w:pPr>
        <w:spacing w:after="0"/>
        <w:rPr>
          <w:rFonts w:eastAsiaTheme="minorHAnsi"/>
        </w:rPr>
      </w:pPr>
      <w:r>
        <w:rPr>
          <w:rFonts w:eastAsiaTheme="minorHAnsi"/>
        </w:rPr>
        <w:br w:type="page"/>
      </w:r>
    </w:p>
    <w:p w:rsidR="007A09DB" w:rsidRDefault="007A09DB" w:rsidP="0046289F">
      <w:pPr>
        <w:rPr>
          <w:rFonts w:eastAsiaTheme="minorHAnsi"/>
        </w:rPr>
      </w:pPr>
      <w:r w:rsidRPr="00D83398">
        <w:rPr>
          <w:rFonts w:eastAsiaTheme="minorHAnsi"/>
        </w:rPr>
        <w:t>Victoria has traditionally not fared well in the Commonwealth</w:t>
      </w:r>
      <w:r>
        <w:rPr>
          <w:rFonts w:eastAsiaTheme="minorHAnsi"/>
        </w:rPr>
        <w:t>’</w:t>
      </w:r>
      <w:r w:rsidRPr="00D83398">
        <w:rPr>
          <w:rFonts w:eastAsiaTheme="minorHAnsi"/>
        </w:rPr>
        <w:t xml:space="preserve">s allocation of infrastructure grants. </w:t>
      </w:r>
      <w:r>
        <w:rPr>
          <w:rFonts w:eastAsiaTheme="minorHAnsi"/>
        </w:rPr>
        <w:t>V</w:t>
      </w:r>
      <w:r w:rsidRPr="00D83398">
        <w:rPr>
          <w:rFonts w:eastAsiaTheme="minorHAnsi"/>
        </w:rPr>
        <w:t xml:space="preserve">ictoria </w:t>
      </w:r>
      <w:r>
        <w:rPr>
          <w:rFonts w:eastAsiaTheme="minorHAnsi"/>
        </w:rPr>
        <w:t xml:space="preserve">is </w:t>
      </w:r>
      <w:r w:rsidRPr="00D83398">
        <w:rPr>
          <w:rFonts w:eastAsiaTheme="minorHAnsi"/>
        </w:rPr>
        <w:t>expecting to receive only</w:t>
      </w:r>
      <w:r>
        <w:rPr>
          <w:rFonts w:eastAsiaTheme="minorHAnsi"/>
        </w:rPr>
        <w:t xml:space="preserve"> around</w:t>
      </w:r>
      <w:r w:rsidRPr="00D83398">
        <w:rPr>
          <w:rFonts w:eastAsiaTheme="minorHAnsi"/>
        </w:rPr>
        <w:t xml:space="preserve"> 9</w:t>
      </w:r>
      <w:r>
        <w:rPr>
          <w:rFonts w:eastAsiaTheme="minorHAnsi"/>
        </w:rPr>
        <w:t> per cent</w:t>
      </w:r>
      <w:r w:rsidRPr="00D83398">
        <w:rPr>
          <w:rFonts w:eastAsiaTheme="minorHAnsi"/>
        </w:rPr>
        <w:t xml:space="preserve"> of the Commonwealth</w:t>
      </w:r>
      <w:r>
        <w:rPr>
          <w:rFonts w:eastAsiaTheme="minorHAnsi"/>
        </w:rPr>
        <w:t>’</w:t>
      </w:r>
      <w:r w:rsidRPr="00D83398">
        <w:rPr>
          <w:rFonts w:eastAsiaTheme="minorHAnsi"/>
        </w:rPr>
        <w:t xml:space="preserve">s infrastructure grants </w:t>
      </w:r>
      <w:r>
        <w:rPr>
          <w:rFonts w:eastAsiaTheme="minorHAnsi"/>
        </w:rPr>
        <w:t xml:space="preserve">on average </w:t>
      </w:r>
      <w:r w:rsidRPr="00D83398">
        <w:rPr>
          <w:rFonts w:eastAsiaTheme="minorHAnsi"/>
        </w:rPr>
        <w:t xml:space="preserve">over </w:t>
      </w:r>
      <w:r>
        <w:rPr>
          <w:rFonts w:eastAsiaTheme="minorHAnsi"/>
        </w:rPr>
        <w:t xml:space="preserve">five </w:t>
      </w:r>
      <w:r w:rsidRPr="00D83398">
        <w:rPr>
          <w:rFonts w:eastAsiaTheme="minorHAnsi"/>
        </w:rPr>
        <w:t xml:space="preserve">years from </w:t>
      </w:r>
      <w:r>
        <w:rPr>
          <w:rFonts w:eastAsiaTheme="minorHAnsi"/>
        </w:rPr>
        <w:t>2014</w:t>
      </w:r>
      <w:r>
        <w:rPr>
          <w:rFonts w:eastAsiaTheme="minorHAnsi"/>
        </w:rPr>
        <w:noBreakHyphen/>
        <w:t>15 to 2018</w:t>
      </w:r>
      <w:r>
        <w:rPr>
          <w:rFonts w:eastAsiaTheme="minorHAnsi"/>
        </w:rPr>
        <w:noBreakHyphen/>
        <w:t>19</w:t>
      </w:r>
      <w:r w:rsidRPr="00D83398">
        <w:rPr>
          <w:rFonts w:eastAsiaTheme="minorHAnsi"/>
        </w:rPr>
        <w:t xml:space="preserve">. This is clearly insufficient </w:t>
      </w:r>
      <w:r>
        <w:rPr>
          <w:rFonts w:eastAsiaTheme="minorHAnsi"/>
        </w:rPr>
        <w:t xml:space="preserve">and inequitable </w:t>
      </w:r>
      <w:r w:rsidRPr="00D83398">
        <w:rPr>
          <w:rFonts w:eastAsiaTheme="minorHAnsi"/>
        </w:rPr>
        <w:t>given Victoria represents</w:t>
      </w:r>
      <w:r>
        <w:rPr>
          <w:rFonts w:eastAsiaTheme="minorHAnsi"/>
        </w:rPr>
        <w:t xml:space="preserve"> around</w:t>
      </w:r>
      <w:r w:rsidRPr="00D83398">
        <w:rPr>
          <w:rFonts w:eastAsiaTheme="minorHAnsi"/>
        </w:rPr>
        <w:t xml:space="preserve"> 25</w:t>
      </w:r>
      <w:r>
        <w:rPr>
          <w:rFonts w:eastAsiaTheme="minorHAnsi"/>
        </w:rPr>
        <w:t> per cent</w:t>
      </w:r>
      <w:r w:rsidRPr="00D83398">
        <w:rPr>
          <w:rFonts w:eastAsiaTheme="minorHAnsi"/>
        </w:rPr>
        <w:t xml:space="preserve"> of Australia</w:t>
      </w:r>
      <w:r>
        <w:rPr>
          <w:rFonts w:eastAsiaTheme="minorHAnsi"/>
        </w:rPr>
        <w:t>’</w:t>
      </w:r>
      <w:r w:rsidRPr="00D83398">
        <w:rPr>
          <w:rFonts w:eastAsiaTheme="minorHAnsi"/>
        </w:rPr>
        <w:t>s population. In per capita terms, each Victorian will receive</w:t>
      </w:r>
      <w:r>
        <w:rPr>
          <w:rFonts w:eastAsiaTheme="minorHAnsi"/>
        </w:rPr>
        <w:t xml:space="preserve"> an average of</w:t>
      </w:r>
      <w:r w:rsidRPr="00D83398">
        <w:rPr>
          <w:rFonts w:eastAsiaTheme="minorHAnsi"/>
        </w:rPr>
        <w:t xml:space="preserve"> $91 of Commonwealth infrastructure grants</w:t>
      </w:r>
      <w:r w:rsidR="0078635B">
        <w:rPr>
          <w:rFonts w:eastAsiaTheme="minorHAnsi"/>
        </w:rPr>
        <w:fldChar w:fldCharType="begin"/>
      </w:r>
      <w:r w:rsidR="0078635B">
        <w:instrText xml:space="preserve"> XE "</w:instrText>
      </w:r>
      <w:r w:rsidR="0078635B" w:rsidRPr="0028562F">
        <w:rPr>
          <w:rFonts w:eastAsiaTheme="minorHAnsi"/>
        </w:rPr>
        <w:instrText>Commonwealth infrastructure grants</w:instrText>
      </w:r>
      <w:r w:rsidR="0078635B">
        <w:instrText xml:space="preserve">" </w:instrText>
      </w:r>
      <w:r w:rsidR="0078635B">
        <w:rPr>
          <w:rFonts w:eastAsiaTheme="minorHAnsi"/>
        </w:rPr>
        <w:fldChar w:fldCharType="end"/>
      </w:r>
      <w:r>
        <w:rPr>
          <w:rFonts w:eastAsiaTheme="minorHAnsi"/>
        </w:rPr>
        <w:t xml:space="preserve"> each year over this period compared to $281</w:t>
      </w:r>
      <w:r w:rsidRPr="00D83398">
        <w:rPr>
          <w:rFonts w:eastAsiaTheme="minorHAnsi"/>
        </w:rPr>
        <w:t xml:space="preserve"> for those in New South Wales, $320 in Western Australia and $362 in Queensland.</w:t>
      </w:r>
      <w:r>
        <w:rPr>
          <w:rFonts w:eastAsiaTheme="minorHAnsi"/>
        </w:rPr>
        <w:t xml:space="preserve"> Melbourne’s continued economic growth</w:t>
      </w:r>
      <w:r>
        <w:rPr>
          <w:rFonts w:eastAsiaTheme="minorHAnsi"/>
        </w:rPr>
        <w:fldChar w:fldCharType="begin"/>
      </w:r>
      <w:r>
        <w:instrText xml:space="preserve"> XE "</w:instrText>
      </w:r>
      <w:r w:rsidRPr="007F391C">
        <w:rPr>
          <w:rFonts w:eastAsiaTheme="minorHAnsi"/>
        </w:rPr>
        <w:instrText>Economic growth</w:instrText>
      </w:r>
      <w:r>
        <w:instrText xml:space="preserve">" </w:instrText>
      </w:r>
      <w:r>
        <w:rPr>
          <w:rFonts w:eastAsiaTheme="minorHAnsi"/>
        </w:rPr>
        <w:fldChar w:fldCharType="end"/>
      </w:r>
      <w:r>
        <w:rPr>
          <w:rFonts w:eastAsiaTheme="minorHAnsi"/>
        </w:rPr>
        <w:t xml:space="preserve"> will remain critical to Australia’s future economic prosperity. </w:t>
      </w:r>
    </w:p>
    <w:p w:rsidR="007A09DB" w:rsidRDefault="007A09DB" w:rsidP="0024472D">
      <w:pPr>
        <w:spacing w:after="0"/>
        <w:rPr>
          <w:rFonts w:eastAsiaTheme="minorHAnsi"/>
        </w:rPr>
      </w:pPr>
      <w:r w:rsidRPr="00162CCA">
        <w:rPr>
          <w:rFonts w:eastAsiaTheme="minorHAnsi"/>
        </w:rPr>
        <w:t>Over the five years to 2018</w:t>
      </w:r>
      <w:r>
        <w:rPr>
          <w:rFonts w:eastAsiaTheme="minorHAnsi"/>
        </w:rPr>
        <w:noBreakHyphen/>
      </w:r>
      <w:r w:rsidRPr="00162CCA">
        <w:rPr>
          <w:rFonts w:eastAsiaTheme="minorHAnsi"/>
        </w:rPr>
        <w:t>19, Victoria is expected to receive around $6.</w:t>
      </w:r>
      <w:r>
        <w:rPr>
          <w:rFonts w:eastAsiaTheme="minorHAnsi"/>
        </w:rPr>
        <w:t>3 billion</w:t>
      </w:r>
      <w:r w:rsidRPr="00162CCA">
        <w:rPr>
          <w:rFonts w:eastAsiaTheme="minorHAnsi"/>
        </w:rPr>
        <w:t xml:space="preserve"> less</w:t>
      </w:r>
      <w:r>
        <w:rPr>
          <w:rFonts w:eastAsiaTheme="minorHAnsi"/>
        </w:rPr>
        <w:t xml:space="preserve"> </w:t>
      </w:r>
      <w:r w:rsidRPr="00162CCA">
        <w:rPr>
          <w:rFonts w:eastAsiaTheme="minorHAnsi"/>
        </w:rPr>
        <w:t>from the Commonwealth than our population share would provide. Chart 3</w:t>
      </w:r>
      <w:r>
        <w:rPr>
          <w:rFonts w:eastAsiaTheme="minorHAnsi"/>
        </w:rPr>
        <w:t>.7 shows the </w:t>
      </w:r>
      <w:r w:rsidRPr="00162CCA">
        <w:rPr>
          <w:rFonts w:eastAsiaTheme="minorHAnsi"/>
        </w:rPr>
        <w:t xml:space="preserve">disparity </w:t>
      </w:r>
      <w:r>
        <w:rPr>
          <w:rFonts w:eastAsiaTheme="minorHAnsi"/>
        </w:rPr>
        <w:t>of</w:t>
      </w:r>
      <w:r w:rsidRPr="00162CCA">
        <w:rPr>
          <w:rFonts w:eastAsiaTheme="minorHAnsi"/>
        </w:rPr>
        <w:t xml:space="preserve"> funding per</w:t>
      </w:r>
      <w:r>
        <w:rPr>
          <w:rFonts w:eastAsiaTheme="minorHAnsi"/>
        </w:rPr>
        <w:t xml:space="preserve"> </w:t>
      </w:r>
      <w:r w:rsidRPr="00162CCA">
        <w:rPr>
          <w:rFonts w:eastAsiaTheme="minorHAnsi"/>
        </w:rPr>
        <w:t>capi</w:t>
      </w:r>
      <w:r>
        <w:rPr>
          <w:rFonts w:eastAsiaTheme="minorHAnsi"/>
        </w:rPr>
        <w:t>t</w:t>
      </w:r>
      <w:r w:rsidRPr="00162CCA">
        <w:rPr>
          <w:rFonts w:eastAsiaTheme="minorHAnsi"/>
        </w:rPr>
        <w:t>a. This is despite Victoria having major productivity</w:t>
      </w:r>
      <w:r>
        <w:rPr>
          <w:rFonts w:eastAsiaTheme="minorHAnsi"/>
        </w:rPr>
        <w:noBreakHyphen/>
      </w:r>
      <w:r w:rsidRPr="00162CCA">
        <w:rPr>
          <w:rFonts w:eastAsiaTheme="minorHAnsi"/>
        </w:rPr>
        <w:t>enhancing projects</w:t>
      </w:r>
      <w:r>
        <w:rPr>
          <w:rFonts w:eastAsiaTheme="minorHAnsi"/>
        </w:rPr>
        <w:t xml:space="preserve"> ready to proceed,</w:t>
      </w:r>
      <w:r w:rsidRPr="00162CCA">
        <w:rPr>
          <w:rFonts w:eastAsiaTheme="minorHAnsi"/>
        </w:rPr>
        <w:t xml:space="preserve"> such as </w:t>
      </w:r>
      <w:r>
        <w:rPr>
          <w:rFonts w:eastAsiaTheme="minorHAnsi"/>
        </w:rPr>
        <w:t xml:space="preserve">the </w:t>
      </w:r>
      <w:r w:rsidRPr="00162CCA">
        <w:rPr>
          <w:rFonts w:eastAsiaTheme="minorHAnsi"/>
        </w:rPr>
        <w:t>Metro</w:t>
      </w:r>
      <w:r>
        <w:rPr>
          <w:rFonts w:eastAsiaTheme="minorHAnsi"/>
        </w:rPr>
        <w:t xml:space="preserve"> Tunnel</w:t>
      </w:r>
      <w:r>
        <w:rPr>
          <w:rFonts w:eastAsiaTheme="minorHAnsi"/>
        </w:rPr>
        <w:fldChar w:fldCharType="begin"/>
      </w:r>
      <w:r>
        <w:instrText xml:space="preserve"> XE "</w:instrText>
      </w:r>
      <w:r w:rsidRPr="00073CCE">
        <w:rPr>
          <w:rFonts w:eastAsiaTheme="minorHAnsi"/>
        </w:rPr>
        <w:instrText>Melbourne Metro Tunnel</w:instrText>
      </w:r>
      <w:r>
        <w:instrText xml:space="preserve">" </w:instrText>
      </w:r>
      <w:r>
        <w:rPr>
          <w:rFonts w:eastAsiaTheme="minorHAnsi"/>
        </w:rPr>
        <w:fldChar w:fldCharType="end"/>
      </w:r>
      <w:r w:rsidRPr="00162CCA">
        <w:rPr>
          <w:rFonts w:eastAsiaTheme="minorHAnsi"/>
        </w:rPr>
        <w:t xml:space="preserve"> and </w:t>
      </w:r>
      <w:r>
        <w:rPr>
          <w:rFonts w:eastAsiaTheme="minorHAnsi"/>
        </w:rPr>
        <w:t>Western Distributor</w:t>
      </w:r>
      <w:r>
        <w:rPr>
          <w:rFonts w:eastAsiaTheme="minorHAnsi"/>
        </w:rPr>
        <w:fldChar w:fldCharType="begin"/>
      </w:r>
      <w:r>
        <w:instrText xml:space="preserve"> XE "</w:instrText>
      </w:r>
      <w:r w:rsidRPr="00B26E27">
        <w:rPr>
          <w:rFonts w:eastAsiaTheme="minorHAnsi"/>
        </w:rPr>
        <w:instrText>Western Distributor</w:instrText>
      </w:r>
      <w:r>
        <w:instrText xml:space="preserve">" </w:instrText>
      </w:r>
      <w:r>
        <w:rPr>
          <w:rFonts w:eastAsiaTheme="minorHAnsi"/>
        </w:rPr>
        <w:fldChar w:fldCharType="end"/>
      </w:r>
      <w:r w:rsidRPr="00162CCA">
        <w:rPr>
          <w:rFonts w:eastAsiaTheme="minorHAnsi"/>
        </w:rPr>
        <w:t>.</w:t>
      </w:r>
    </w:p>
    <w:p w:rsidR="007A09DB" w:rsidRPr="00D83398" w:rsidRDefault="007A09DB" w:rsidP="002C70F5">
      <w:pPr>
        <w:pStyle w:val="Chartheading"/>
        <w:rPr>
          <w:rFonts w:eastAsiaTheme="minorHAnsi"/>
        </w:rPr>
      </w:pPr>
      <w:r>
        <w:rPr>
          <w:rFonts w:eastAsiaTheme="minorHAnsi"/>
        </w:rPr>
        <w:t>Chart 3.7</w:t>
      </w:r>
      <w:r w:rsidRPr="00D83398">
        <w:rPr>
          <w:rFonts w:eastAsiaTheme="minorHAnsi"/>
        </w:rPr>
        <w:t xml:space="preserve">: </w:t>
      </w:r>
      <w:r>
        <w:rPr>
          <w:rFonts w:eastAsiaTheme="minorHAnsi"/>
        </w:rPr>
        <w:tab/>
      </w:r>
      <w:r w:rsidRPr="00162CCA">
        <w:rPr>
          <w:rFonts w:eastAsiaTheme="minorHAnsi"/>
        </w:rPr>
        <w:t>Per capita infrastructure payments to the states</w:t>
      </w:r>
      <w:r w:rsidRPr="000E200A">
        <w:rPr>
          <w:rFonts w:eastAsiaTheme="minorHAnsi"/>
          <w:vertAlign w:val="superscript"/>
        </w:rPr>
        <w:t>(a)</w:t>
      </w:r>
      <w:r w:rsidRPr="00162CCA">
        <w:rPr>
          <w:rFonts w:eastAsiaTheme="minorHAnsi"/>
        </w:rPr>
        <w:t xml:space="preserve"> </w:t>
      </w:r>
    </w:p>
    <w:p w:rsidR="007A09DB" w:rsidRDefault="00D71529" w:rsidP="009641FA">
      <w:pPr>
        <w:pStyle w:val="Chartpara"/>
        <w:rPr>
          <w:rFonts w:eastAsiaTheme="minorHAnsi"/>
        </w:rPr>
      </w:pPr>
      <w:r>
        <w:rPr>
          <w:rFonts w:eastAsiaTheme="minorHAnsi"/>
        </w:rPr>
        <w:pict>
          <v:shape id="_x0000_i1038" type="#_x0000_t75" style="width:382.5pt;height:228pt">
            <v:imagedata r:id="rId34" o:title=""/>
          </v:shape>
        </w:pict>
      </w:r>
    </w:p>
    <w:p w:rsidR="007A09DB" w:rsidRPr="00F52AC9" w:rsidRDefault="007A09DB" w:rsidP="00F52AC9">
      <w:pPr>
        <w:pStyle w:val="Source"/>
        <w:rPr>
          <w:rFonts w:eastAsiaTheme="minorHAnsi"/>
        </w:rPr>
      </w:pPr>
      <w:r w:rsidRPr="00F52AC9">
        <w:rPr>
          <w:rFonts w:eastAsiaTheme="minorHAnsi"/>
        </w:rPr>
        <w:t>Source</w:t>
      </w:r>
      <w:r>
        <w:rPr>
          <w:rFonts w:eastAsiaTheme="minorHAnsi"/>
        </w:rPr>
        <w:t>s</w:t>
      </w:r>
      <w:r w:rsidRPr="00F52AC9">
        <w:rPr>
          <w:rFonts w:eastAsiaTheme="minorHAnsi"/>
        </w:rPr>
        <w:t>: 2014</w:t>
      </w:r>
      <w:r>
        <w:rPr>
          <w:rFonts w:eastAsiaTheme="minorHAnsi"/>
        </w:rPr>
        <w:noBreakHyphen/>
      </w:r>
      <w:r w:rsidRPr="00F52AC9">
        <w:rPr>
          <w:rFonts w:eastAsiaTheme="minorHAnsi"/>
        </w:rPr>
        <w:t>15 Co</w:t>
      </w:r>
      <w:r>
        <w:rPr>
          <w:rFonts w:eastAsiaTheme="minorHAnsi"/>
        </w:rPr>
        <w:t>mmonwealth Final Budget Outcome;</w:t>
      </w:r>
      <w:r w:rsidRPr="00F52AC9">
        <w:rPr>
          <w:rFonts w:eastAsiaTheme="minorHAnsi"/>
        </w:rPr>
        <w:t xml:space="preserve"> 2015</w:t>
      </w:r>
      <w:r>
        <w:rPr>
          <w:rFonts w:eastAsiaTheme="minorHAnsi"/>
        </w:rPr>
        <w:noBreakHyphen/>
      </w:r>
      <w:r w:rsidRPr="00F52AC9">
        <w:rPr>
          <w:rFonts w:eastAsiaTheme="minorHAnsi"/>
        </w:rPr>
        <w:t>16 Commonwealth MYEFO</w:t>
      </w:r>
      <w:r>
        <w:rPr>
          <w:rFonts w:eastAsiaTheme="minorHAnsi"/>
        </w:rPr>
        <w:t>; DTF</w:t>
      </w:r>
    </w:p>
    <w:p w:rsidR="007A09DB" w:rsidRDefault="007A09DB" w:rsidP="00F52AC9">
      <w:pPr>
        <w:pStyle w:val="Notes"/>
        <w:rPr>
          <w:rFonts w:eastAsiaTheme="minorHAnsi"/>
        </w:rPr>
      </w:pPr>
      <w:r w:rsidRPr="00F52AC9">
        <w:rPr>
          <w:rFonts w:eastAsiaTheme="minorHAnsi"/>
        </w:rPr>
        <w:t xml:space="preserve">Note: </w:t>
      </w:r>
    </w:p>
    <w:p w:rsidR="007A09DB" w:rsidRDefault="007A09DB" w:rsidP="000E200A">
      <w:pPr>
        <w:pStyle w:val="Notes"/>
        <w:rPr>
          <w:rFonts w:eastAsiaTheme="minorHAnsi"/>
        </w:rPr>
      </w:pPr>
      <w:r w:rsidRPr="00CF2CA2">
        <w:rPr>
          <w:rFonts w:eastAsiaTheme="minorHAnsi"/>
        </w:rPr>
        <w:t xml:space="preserve">(a) </w:t>
      </w:r>
      <w:r>
        <w:rPr>
          <w:rFonts w:eastAsiaTheme="minorHAnsi"/>
        </w:rPr>
        <w:tab/>
        <w:t>Five</w:t>
      </w:r>
      <w:r>
        <w:rPr>
          <w:rFonts w:eastAsiaTheme="minorHAnsi"/>
        </w:rPr>
        <w:noBreakHyphen/>
      </w:r>
      <w:r w:rsidRPr="000E200A">
        <w:rPr>
          <w:rFonts w:eastAsiaTheme="minorHAnsi"/>
        </w:rPr>
        <w:t>year average: 2014</w:t>
      </w:r>
      <w:r>
        <w:rPr>
          <w:rFonts w:eastAsiaTheme="minorHAnsi"/>
        </w:rPr>
        <w:noBreakHyphen/>
      </w:r>
      <w:r w:rsidRPr="000E200A">
        <w:rPr>
          <w:rFonts w:eastAsiaTheme="minorHAnsi"/>
        </w:rPr>
        <w:t xml:space="preserve">15 to </w:t>
      </w:r>
      <w:r>
        <w:rPr>
          <w:rFonts w:eastAsiaTheme="minorHAnsi"/>
        </w:rPr>
        <w:t>2018</w:t>
      </w:r>
      <w:r>
        <w:rPr>
          <w:rFonts w:eastAsiaTheme="minorHAnsi"/>
        </w:rPr>
        <w:noBreakHyphen/>
        <w:t xml:space="preserve">19. Calculations </w:t>
      </w:r>
      <w:r w:rsidRPr="00F52AC9">
        <w:rPr>
          <w:rFonts w:eastAsiaTheme="minorHAnsi"/>
        </w:rPr>
        <w:t xml:space="preserve">assume funding for states other than Victoria remains constant, and any increases in Victorian funding also increase the total pool of </w:t>
      </w:r>
      <w:r>
        <w:rPr>
          <w:rFonts w:eastAsiaTheme="minorHAnsi"/>
        </w:rPr>
        <w:t>available infrastructure funding.</w:t>
      </w:r>
    </w:p>
    <w:p w:rsidR="007A09DB" w:rsidRDefault="007A09DB" w:rsidP="00F52AC9">
      <w:pPr>
        <w:pStyle w:val="Notes"/>
        <w:rPr>
          <w:rFonts w:eastAsiaTheme="minorHAnsi"/>
        </w:rPr>
      </w:pPr>
    </w:p>
    <w:p w:rsidR="007A09DB" w:rsidRDefault="007A09DB" w:rsidP="00C651EE">
      <w:pPr>
        <w:rPr>
          <w:rFonts w:eastAsiaTheme="minorHAnsi"/>
        </w:rPr>
      </w:pPr>
      <w:r w:rsidRPr="00D83398">
        <w:rPr>
          <w:rFonts w:eastAsiaTheme="minorHAnsi"/>
        </w:rPr>
        <w:t>If th</w:t>
      </w:r>
      <w:r>
        <w:rPr>
          <w:rFonts w:eastAsiaTheme="minorHAnsi"/>
        </w:rPr>
        <w:t>is</w:t>
      </w:r>
      <w:r w:rsidRPr="00D83398">
        <w:rPr>
          <w:rFonts w:eastAsiaTheme="minorHAnsi"/>
        </w:rPr>
        <w:t xml:space="preserve"> disparity </w:t>
      </w:r>
      <w:r>
        <w:rPr>
          <w:rFonts w:eastAsiaTheme="minorHAnsi"/>
        </w:rPr>
        <w:t>continues</w:t>
      </w:r>
      <w:r w:rsidRPr="00D83398">
        <w:rPr>
          <w:rFonts w:eastAsiaTheme="minorHAnsi"/>
        </w:rPr>
        <w:t xml:space="preserve"> </w:t>
      </w:r>
      <w:r>
        <w:rPr>
          <w:rFonts w:eastAsiaTheme="minorHAnsi"/>
        </w:rPr>
        <w:t>over</w:t>
      </w:r>
      <w:r w:rsidRPr="00D83398">
        <w:rPr>
          <w:rFonts w:eastAsiaTheme="minorHAnsi"/>
        </w:rPr>
        <w:t xml:space="preserve"> ten years, Victoria</w:t>
      </w:r>
      <w:r>
        <w:rPr>
          <w:rFonts w:eastAsiaTheme="minorHAnsi"/>
        </w:rPr>
        <w:t>’</w:t>
      </w:r>
      <w:r w:rsidRPr="00D83398">
        <w:rPr>
          <w:rFonts w:eastAsiaTheme="minorHAnsi"/>
        </w:rPr>
        <w:t>s level of under</w:t>
      </w:r>
      <w:r>
        <w:rPr>
          <w:rFonts w:eastAsiaTheme="minorHAnsi"/>
        </w:rPr>
        <w:noBreakHyphen/>
      </w:r>
      <w:r w:rsidRPr="00D83398">
        <w:rPr>
          <w:rFonts w:eastAsiaTheme="minorHAnsi"/>
        </w:rPr>
        <w:t>funding from the Commonwealth would total around $1</w:t>
      </w:r>
      <w:r>
        <w:rPr>
          <w:rFonts w:eastAsiaTheme="minorHAnsi"/>
        </w:rPr>
        <w:t>1 billion</w:t>
      </w:r>
      <w:r w:rsidRPr="00D83398">
        <w:rPr>
          <w:rFonts w:eastAsiaTheme="minorHAnsi"/>
        </w:rPr>
        <w:t>.</w:t>
      </w:r>
    </w:p>
    <w:p w:rsidR="007A09DB" w:rsidRDefault="007A09DB" w:rsidP="00507A5C">
      <w:pPr>
        <w:rPr>
          <w:rFonts w:eastAsiaTheme="minorHAnsi"/>
        </w:rPr>
      </w:pPr>
      <w:r>
        <w:rPr>
          <w:rFonts w:eastAsiaTheme="minorHAnsi"/>
        </w:rPr>
        <w:t xml:space="preserve">Ensuring sufficient and appropriate investment in infrastructure to support and develop efficient transport networks remains critical to both Victoria’s and Australia’s future economic success. </w:t>
      </w:r>
      <w:r w:rsidRPr="00862A2F">
        <w:rPr>
          <w:rFonts w:eastAsiaTheme="minorHAnsi"/>
        </w:rPr>
        <w:t>Despite this, Victoria continues to re</w:t>
      </w:r>
      <w:r>
        <w:rPr>
          <w:rFonts w:eastAsiaTheme="minorHAnsi"/>
        </w:rPr>
        <w:t xml:space="preserve">ceive significantly below a per </w:t>
      </w:r>
      <w:r w:rsidRPr="00862A2F">
        <w:rPr>
          <w:rFonts w:eastAsiaTheme="minorHAnsi"/>
        </w:rPr>
        <w:t>capita share of Commonwealth</w:t>
      </w:r>
      <w:r>
        <w:rPr>
          <w:rFonts w:eastAsiaTheme="minorHAnsi"/>
        </w:rPr>
        <w:t xml:space="preserve"> infrastructure</w:t>
      </w:r>
      <w:r w:rsidRPr="00862A2F">
        <w:rPr>
          <w:rFonts w:eastAsiaTheme="minorHAnsi"/>
        </w:rPr>
        <w:t xml:space="preserve"> funding.</w:t>
      </w:r>
    </w:p>
    <w:p w:rsidR="007A09DB" w:rsidRPr="00D83398" w:rsidRDefault="007A09DB" w:rsidP="00EA2873">
      <w:pPr>
        <w:pStyle w:val="Heading1"/>
        <w:rPr>
          <w:rFonts w:eastAsiaTheme="minorHAnsi"/>
        </w:rPr>
      </w:pPr>
      <w:bookmarkStart w:id="59" w:name="_Toc449123064"/>
      <w:r>
        <w:rPr>
          <w:rFonts w:eastAsiaTheme="minorHAnsi"/>
        </w:rPr>
        <w:t xml:space="preserve">10 year capital </w:t>
      </w:r>
      <w:r w:rsidRPr="00D83398">
        <w:rPr>
          <w:rFonts w:eastAsiaTheme="minorHAnsi"/>
        </w:rPr>
        <w:t>program</w:t>
      </w:r>
      <w:bookmarkEnd w:id="59"/>
    </w:p>
    <w:p w:rsidR="007A09DB" w:rsidRDefault="007A09DB" w:rsidP="00372BDE">
      <w:pPr>
        <w:rPr>
          <w:rFonts w:eastAsiaTheme="minorHAnsi"/>
        </w:rPr>
      </w:pPr>
      <w:r>
        <w:rPr>
          <w:rFonts w:eastAsiaTheme="minorHAnsi"/>
        </w:rPr>
        <w:t>Funding for the Government’s capital program over the next decade comes from a number of sources. Assuming that debt is held at around 6 per cent of GSP</w:t>
      </w:r>
      <w:r>
        <w:fldChar w:fldCharType="begin"/>
      </w:r>
      <w:r>
        <w:instrText xml:space="preserve"> XE "Gross state product" </w:instrText>
      </w:r>
      <w:r>
        <w:fldChar w:fldCharType="end"/>
      </w:r>
      <w:r>
        <w:rPr>
          <w:rFonts w:eastAsiaTheme="minorHAnsi"/>
        </w:rPr>
        <w:t>, and Victoria is able to secure a conservative share of Commonwealth infrastructure grants</w:t>
      </w:r>
      <w:r w:rsidR="0078635B">
        <w:rPr>
          <w:rFonts w:eastAsiaTheme="minorHAnsi"/>
        </w:rPr>
        <w:fldChar w:fldCharType="begin"/>
      </w:r>
      <w:r w:rsidR="0078635B">
        <w:instrText xml:space="preserve"> XE "</w:instrText>
      </w:r>
      <w:r w:rsidR="0078635B" w:rsidRPr="0028562F">
        <w:rPr>
          <w:rFonts w:eastAsiaTheme="minorHAnsi"/>
        </w:rPr>
        <w:instrText>Commonwealth infrastructure grants</w:instrText>
      </w:r>
      <w:r w:rsidR="0078635B">
        <w:instrText xml:space="preserve">" </w:instrText>
      </w:r>
      <w:r w:rsidR="0078635B">
        <w:rPr>
          <w:rFonts w:eastAsiaTheme="minorHAnsi"/>
        </w:rPr>
        <w:fldChar w:fldCharType="end"/>
      </w:r>
      <w:r>
        <w:rPr>
          <w:rFonts w:eastAsiaTheme="minorHAnsi"/>
        </w:rPr>
        <w:t>, the Government estimates that around $46 billion will be available to fund infrastructure over the next ten years. This is addition to funding already committed to existing infrastructure projects and includes the existing provisions that have been made within the State’s baseline estimates for capital expenditure (unallocated capital). To the extent the Government is successful in realising alternative funding sources, such as through asset recycling</w:t>
      </w:r>
      <w:r>
        <w:rPr>
          <w:rFonts w:eastAsiaTheme="minorHAnsi"/>
        </w:rPr>
        <w:fldChar w:fldCharType="begin"/>
      </w:r>
      <w:r>
        <w:instrText xml:space="preserve"> XE "</w:instrText>
      </w:r>
      <w:r w:rsidRPr="005D1792">
        <w:instrText>Asset recycling</w:instrText>
      </w:r>
      <w:r>
        <w:instrText xml:space="preserve">" </w:instrText>
      </w:r>
      <w:r>
        <w:rPr>
          <w:rFonts w:eastAsiaTheme="minorHAnsi"/>
        </w:rPr>
        <w:fldChar w:fldCharType="end"/>
      </w:r>
      <w:r>
        <w:rPr>
          <w:rFonts w:eastAsiaTheme="minorHAnsi"/>
        </w:rPr>
        <w:t xml:space="preserve"> and private investment, the State’s capital program can be expanded.</w:t>
      </w:r>
    </w:p>
    <w:p w:rsidR="007A09DB" w:rsidRDefault="007A09DB" w:rsidP="005121E0">
      <w:pPr>
        <w:pStyle w:val="Heading2"/>
        <w:rPr>
          <w:rFonts w:eastAsiaTheme="minorHAnsi"/>
        </w:rPr>
      </w:pPr>
      <w:bookmarkStart w:id="60" w:name="BP2EdSchool3"/>
      <w:bookmarkStart w:id="61" w:name="BP2CoreInfra1"/>
      <w:r>
        <w:rPr>
          <w:rFonts w:eastAsiaTheme="minorHAnsi"/>
        </w:rPr>
        <w:t>Core infrastructure</w:t>
      </w:r>
    </w:p>
    <w:p w:rsidR="007A09DB" w:rsidRDefault="007A09DB" w:rsidP="002C70F5">
      <w:pPr>
        <w:rPr>
          <w:rFonts w:eastAsiaTheme="minorHAnsi"/>
        </w:rPr>
      </w:pPr>
      <w:r>
        <w:rPr>
          <w:rFonts w:eastAsiaTheme="minorHAnsi"/>
        </w:rPr>
        <w:t>Melbourne’s expanding population is straining the capacity of school infrastructure. Demand for new schools in Melbourne’s growth corridors is significant. A proportion of this demand has been met by relocatable classrooms. However, this is a short</w:t>
      </w:r>
      <w:r>
        <w:rPr>
          <w:rFonts w:eastAsiaTheme="minorHAnsi"/>
        </w:rPr>
        <w:noBreakHyphen/>
        <w:t>term fix and cannot provide the capacity needed to meet the predicted increased demand over the medium term. In addition, a significant number of existing school buildings have been allowed to fall into a state of disrepair, and</w:t>
      </w:r>
      <w:r w:rsidRPr="00825137">
        <w:rPr>
          <w:rFonts w:eastAsiaTheme="minorHAnsi"/>
        </w:rPr>
        <w:t xml:space="preserve"> ongoing investment is required to transform our schools</w:t>
      </w:r>
      <w:r>
        <w:rPr>
          <w:rFonts w:eastAsiaTheme="minorHAnsi"/>
        </w:rPr>
        <w:fldChar w:fldCharType="begin"/>
      </w:r>
      <w:r>
        <w:instrText xml:space="preserve"> XE "</w:instrText>
      </w:r>
      <w:r w:rsidRPr="00593B40">
        <w:instrText>Education:Schools</w:instrText>
      </w:r>
      <w:r>
        <w:instrText xml:space="preserve">" </w:instrText>
      </w:r>
      <w:r>
        <w:rPr>
          <w:rFonts w:eastAsiaTheme="minorHAnsi"/>
        </w:rPr>
        <w:fldChar w:fldCharType="end"/>
      </w:r>
      <w:r w:rsidRPr="00825137">
        <w:rPr>
          <w:rFonts w:eastAsiaTheme="minorHAnsi"/>
        </w:rPr>
        <w:t xml:space="preserve"> into modernised and i</w:t>
      </w:r>
      <w:r>
        <w:rPr>
          <w:rFonts w:eastAsiaTheme="minorHAnsi"/>
        </w:rPr>
        <w:t>nnovative learning environments</w:t>
      </w:r>
      <w:r w:rsidRPr="00825137">
        <w:rPr>
          <w:rFonts w:eastAsiaTheme="minorHAnsi"/>
        </w:rPr>
        <w:t>.</w:t>
      </w:r>
    </w:p>
    <w:p w:rsidR="007A09DB" w:rsidRDefault="007A09DB" w:rsidP="002C70F5">
      <w:pPr>
        <w:rPr>
          <w:rFonts w:eastAsiaTheme="minorHAnsi"/>
        </w:rPr>
      </w:pPr>
      <w:r>
        <w:rPr>
          <w:rFonts w:eastAsiaTheme="minorHAnsi"/>
        </w:rPr>
        <w:t>Over the past decade there have been high levels of investment in health infrastructure. This investment has seen the establishment and upgrading of several key hospitals</w:t>
      </w:r>
      <w:r>
        <w:rPr>
          <w:rFonts w:eastAsiaTheme="minorHAnsi"/>
        </w:rPr>
        <w:fldChar w:fldCharType="begin"/>
      </w:r>
      <w:r>
        <w:instrText xml:space="preserve"> XE "</w:instrText>
      </w:r>
      <w:r w:rsidRPr="00682EE3">
        <w:instrText>Health:Hospitals</w:instrText>
      </w:r>
      <w:r>
        <w:instrText xml:space="preserve">" </w:instrText>
      </w:r>
      <w:r>
        <w:rPr>
          <w:rFonts w:eastAsiaTheme="minorHAnsi"/>
        </w:rPr>
        <w:fldChar w:fldCharType="end"/>
      </w:r>
      <w:r>
        <w:rPr>
          <w:rFonts w:eastAsiaTheme="minorHAnsi"/>
        </w:rPr>
        <w:t xml:space="preserve"> including the Royal Women’s Hospital, the Royal Children’s Hospital, the Victorian Comprehensive Cancer Centre and the Royal Victorian Eye and Ear Hospital. This has expanded capacity as well as modernising critical health assets. </w:t>
      </w:r>
    </w:p>
    <w:p w:rsidR="007A09DB" w:rsidRDefault="007A09DB" w:rsidP="002C70F5">
      <w:pPr>
        <w:rPr>
          <w:rFonts w:eastAsiaTheme="minorHAnsi"/>
        </w:rPr>
      </w:pPr>
      <w:r>
        <w:rPr>
          <w:rFonts w:eastAsiaTheme="minorHAnsi"/>
        </w:rPr>
        <w:t>However, demands on the system for additional capacity remain. In particular, pressure on health services</w:t>
      </w:r>
      <w:r>
        <w:rPr>
          <w:rFonts w:eastAsiaTheme="minorHAnsi"/>
        </w:rPr>
        <w:fldChar w:fldCharType="begin"/>
      </w:r>
      <w:r>
        <w:instrText xml:space="preserve"> XE "</w:instrText>
      </w:r>
      <w:r w:rsidRPr="00175AF8">
        <w:rPr>
          <w:rFonts w:eastAsiaTheme="minorHAnsi"/>
        </w:rPr>
        <w:instrText>Health:</w:instrText>
      </w:r>
      <w:r w:rsidRPr="00175AF8">
        <w:instrText>Services</w:instrText>
      </w:r>
      <w:r>
        <w:instrText xml:space="preserve">" </w:instrText>
      </w:r>
      <w:r>
        <w:rPr>
          <w:rFonts w:eastAsiaTheme="minorHAnsi"/>
        </w:rPr>
        <w:fldChar w:fldCharType="end"/>
      </w:r>
      <w:r>
        <w:rPr>
          <w:rFonts w:eastAsiaTheme="minorHAnsi"/>
        </w:rPr>
        <w:t xml:space="preserve"> in Melbourne’s growth corridors will require an expansion and reconfiguration of capacity over the coming decade. In addition, while many of our country hospitals</w:t>
      </w:r>
      <w:r>
        <w:rPr>
          <w:rFonts w:eastAsiaTheme="minorHAnsi"/>
        </w:rPr>
        <w:fldChar w:fldCharType="begin"/>
      </w:r>
      <w:r>
        <w:instrText xml:space="preserve"> XE "</w:instrText>
      </w:r>
      <w:r w:rsidRPr="00682EE3">
        <w:instrText>Health:Hospitals</w:instrText>
      </w:r>
      <w:r>
        <w:instrText xml:space="preserve">" </w:instrText>
      </w:r>
      <w:r>
        <w:rPr>
          <w:rFonts w:eastAsiaTheme="minorHAnsi"/>
        </w:rPr>
        <w:fldChar w:fldCharType="end"/>
      </w:r>
      <w:r>
        <w:rPr>
          <w:rFonts w:eastAsiaTheme="minorHAnsi"/>
        </w:rPr>
        <w:t xml:space="preserve"> have sufficient capacity to meet projected demand, a significant number are becoming dated and will require investment to update infrastructure for modern models of care. </w:t>
      </w:r>
    </w:p>
    <w:p w:rsidR="007A09DB" w:rsidRDefault="007A09DB">
      <w:pPr>
        <w:spacing w:after="0"/>
        <w:rPr>
          <w:rFonts w:eastAsiaTheme="minorHAnsi"/>
        </w:rPr>
      </w:pPr>
      <w:r>
        <w:rPr>
          <w:rFonts w:eastAsiaTheme="minorHAnsi"/>
        </w:rPr>
        <w:br w:type="page"/>
      </w:r>
    </w:p>
    <w:p w:rsidR="007A09DB" w:rsidRDefault="007A09DB" w:rsidP="002C70F5">
      <w:pPr>
        <w:rPr>
          <w:rFonts w:eastAsiaTheme="minorHAnsi"/>
        </w:rPr>
      </w:pPr>
      <w:bookmarkStart w:id="62" w:name="BP2pProd3"/>
      <w:r>
        <w:rPr>
          <w:rFonts w:eastAsiaTheme="minorHAnsi"/>
        </w:rPr>
        <w:t>Notwithstanding significant and ongoing investment in Melbourne’s transport network, road and rail networks continue to strain under steadily increasing demand. The road network is heavily congested, reducing productivity and resulting in lost time for Victorian families. The public transport</w:t>
      </w:r>
      <w:r>
        <w:rPr>
          <w:rFonts w:eastAsiaTheme="minorHAnsi"/>
        </w:rPr>
        <w:fldChar w:fldCharType="begin"/>
      </w:r>
      <w:r>
        <w:instrText xml:space="preserve"> XE "</w:instrText>
      </w:r>
      <w:r w:rsidRPr="001E4096">
        <w:rPr>
          <w:rFonts w:eastAsiaTheme="minorHAnsi"/>
        </w:rPr>
        <w:instrText>Public transport</w:instrText>
      </w:r>
      <w:r>
        <w:instrText xml:space="preserve">" </w:instrText>
      </w:r>
      <w:r>
        <w:rPr>
          <w:rFonts w:eastAsiaTheme="minorHAnsi"/>
        </w:rPr>
        <w:fldChar w:fldCharType="end"/>
      </w:r>
      <w:r>
        <w:rPr>
          <w:rFonts w:eastAsiaTheme="minorHAnsi"/>
        </w:rPr>
        <w:t xml:space="preserve"> system provides reasonable coverage over the majority of metropolitan and regional areas, but significant overcrowding during peak periods makes using the system arduous for commuters. Continuing to expand the capacity of the network is a key priority for the Government.</w:t>
      </w:r>
    </w:p>
    <w:p w:rsidR="007A09DB" w:rsidRDefault="007A09DB" w:rsidP="002C70F5">
      <w:pPr>
        <w:rPr>
          <w:rFonts w:eastAsiaTheme="minorHAnsi"/>
        </w:rPr>
      </w:pPr>
      <w:r>
        <w:rPr>
          <w:rFonts w:eastAsiaTheme="minorHAnsi"/>
        </w:rPr>
        <w:t>The</w:t>
      </w:r>
      <w:r w:rsidRPr="00D83398">
        <w:rPr>
          <w:rFonts w:eastAsiaTheme="minorHAnsi"/>
        </w:rPr>
        <w:t xml:space="preserve"> Government</w:t>
      </w:r>
      <w:r>
        <w:rPr>
          <w:rFonts w:eastAsiaTheme="minorHAnsi"/>
        </w:rPr>
        <w:t xml:space="preserve"> is committed to meeting demand and easing the stress on the health, education and transport systems. To do this, the Government</w:t>
      </w:r>
      <w:r w:rsidRPr="00D83398">
        <w:rPr>
          <w:rFonts w:eastAsiaTheme="minorHAnsi"/>
        </w:rPr>
        <w:t xml:space="preserve"> estimates around $25</w:t>
      </w:r>
      <w:r>
        <w:rPr>
          <w:rFonts w:eastAsiaTheme="minorHAnsi"/>
        </w:rPr>
        <w:t> billion</w:t>
      </w:r>
      <w:r w:rsidRPr="00D83398">
        <w:rPr>
          <w:rFonts w:eastAsiaTheme="minorHAnsi"/>
        </w:rPr>
        <w:t xml:space="preserve"> will be </w:t>
      </w:r>
      <w:r>
        <w:rPr>
          <w:rFonts w:eastAsiaTheme="minorHAnsi"/>
        </w:rPr>
        <w:t>required</w:t>
      </w:r>
      <w:r w:rsidRPr="00D83398">
        <w:rPr>
          <w:rFonts w:eastAsiaTheme="minorHAnsi"/>
        </w:rPr>
        <w:t xml:space="preserve"> over the next decade to </w:t>
      </w:r>
      <w:r>
        <w:rPr>
          <w:rFonts w:eastAsiaTheme="minorHAnsi"/>
        </w:rPr>
        <w:t>keep up with the replacement of</w:t>
      </w:r>
      <w:r w:rsidRPr="00D83398">
        <w:rPr>
          <w:rFonts w:eastAsiaTheme="minorHAnsi"/>
        </w:rPr>
        <w:t xml:space="preserve"> ageing assets and </w:t>
      </w:r>
      <w:r>
        <w:rPr>
          <w:rFonts w:eastAsiaTheme="minorHAnsi"/>
        </w:rPr>
        <w:t>extend</w:t>
      </w:r>
      <w:r w:rsidRPr="00D83398">
        <w:rPr>
          <w:rFonts w:eastAsiaTheme="minorHAnsi"/>
        </w:rPr>
        <w:t xml:space="preserve"> services to meet the demands </w:t>
      </w:r>
      <w:r>
        <w:rPr>
          <w:rFonts w:eastAsiaTheme="minorHAnsi"/>
        </w:rPr>
        <w:t>from</w:t>
      </w:r>
      <w:r w:rsidRPr="00D83398">
        <w:rPr>
          <w:rFonts w:eastAsiaTheme="minorHAnsi"/>
        </w:rPr>
        <w:t xml:space="preserve"> population</w:t>
      </w:r>
      <w:r>
        <w:rPr>
          <w:rFonts w:eastAsiaTheme="minorHAnsi"/>
        </w:rPr>
        <w:t xml:space="preserve">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D83398">
        <w:rPr>
          <w:rFonts w:eastAsiaTheme="minorHAnsi"/>
        </w:rPr>
        <w:t>.</w:t>
      </w:r>
      <w:r>
        <w:rPr>
          <w:rFonts w:eastAsiaTheme="minorHAnsi"/>
        </w:rPr>
        <w:t xml:space="preserve"> </w:t>
      </w:r>
    </w:p>
    <w:p w:rsidR="007A09DB" w:rsidRDefault="007A09DB" w:rsidP="002C70F5">
      <w:pPr>
        <w:rPr>
          <w:rFonts w:eastAsiaTheme="minorHAnsi"/>
        </w:rPr>
      </w:pPr>
      <w:r>
        <w:rPr>
          <w:rFonts w:eastAsiaTheme="minorHAnsi"/>
        </w:rPr>
        <w:t xml:space="preserve">This estimate is indicative only, but has been developed using both historical levels of investment to predict future demand, as well as using estimates based on the length of useful life of existing assets. </w:t>
      </w:r>
    </w:p>
    <w:p w:rsidR="007A09DB" w:rsidRPr="00D83398" w:rsidRDefault="007A09DB" w:rsidP="002C70F5">
      <w:pPr>
        <w:rPr>
          <w:rFonts w:eastAsiaTheme="minorHAnsi"/>
        </w:rPr>
      </w:pPr>
      <w:r w:rsidRPr="00D83398">
        <w:rPr>
          <w:rFonts w:eastAsiaTheme="minorHAnsi"/>
        </w:rPr>
        <w:t xml:space="preserve">While the actual allocations will be </w:t>
      </w:r>
      <w:r>
        <w:rPr>
          <w:rFonts w:eastAsiaTheme="minorHAnsi"/>
        </w:rPr>
        <w:t>determined</w:t>
      </w:r>
      <w:r w:rsidRPr="00D83398">
        <w:rPr>
          <w:rFonts w:eastAsiaTheme="minorHAnsi"/>
        </w:rPr>
        <w:t xml:space="preserve"> </w:t>
      </w:r>
      <w:r>
        <w:rPr>
          <w:rFonts w:eastAsiaTheme="minorHAnsi"/>
        </w:rPr>
        <w:t>through</w:t>
      </w:r>
      <w:r w:rsidRPr="00D83398">
        <w:rPr>
          <w:rFonts w:eastAsiaTheme="minorHAnsi"/>
        </w:rPr>
        <w:t xml:space="preserve"> annual budget</w:t>
      </w:r>
      <w:r>
        <w:rPr>
          <w:rFonts w:eastAsiaTheme="minorHAnsi"/>
        </w:rPr>
        <w:t xml:space="preserve"> processes</w:t>
      </w:r>
      <w:r w:rsidRPr="00D83398">
        <w:rPr>
          <w:rFonts w:eastAsiaTheme="minorHAnsi"/>
        </w:rPr>
        <w:t>, the Government anticipates that allocations over the coming decade will be in the order of:</w:t>
      </w:r>
    </w:p>
    <w:p w:rsidR="007A09DB" w:rsidRPr="00D83398" w:rsidRDefault="007A09DB" w:rsidP="002C70F5">
      <w:pPr>
        <w:pStyle w:val="BulletText"/>
        <w:rPr>
          <w:rFonts w:eastAsiaTheme="minorHAnsi"/>
        </w:rPr>
      </w:pPr>
      <w:r>
        <w:rPr>
          <w:rFonts w:eastAsiaTheme="minorHAnsi"/>
        </w:rPr>
        <w:t>$2.5–</w:t>
      </w:r>
      <w:r w:rsidRPr="00D83398">
        <w:rPr>
          <w:rFonts w:eastAsiaTheme="minorHAnsi"/>
        </w:rPr>
        <w:t>3</w:t>
      </w:r>
      <w:r>
        <w:rPr>
          <w:rFonts w:eastAsiaTheme="minorHAnsi"/>
        </w:rPr>
        <w:t> billion</w:t>
      </w:r>
      <w:r w:rsidRPr="00D83398">
        <w:rPr>
          <w:rFonts w:eastAsiaTheme="minorHAnsi"/>
        </w:rPr>
        <w:t xml:space="preserve"> for new schools and upgraded school facilities</w:t>
      </w:r>
      <w:r>
        <w:rPr>
          <w:rFonts w:eastAsiaTheme="minorHAnsi"/>
        </w:rPr>
        <w:t>;</w:t>
      </w:r>
    </w:p>
    <w:p w:rsidR="007A09DB" w:rsidRPr="00D83398" w:rsidRDefault="007A09DB" w:rsidP="002C70F5">
      <w:pPr>
        <w:pStyle w:val="BulletText"/>
        <w:rPr>
          <w:rFonts w:eastAsiaTheme="minorHAnsi"/>
        </w:rPr>
      </w:pPr>
      <w:r>
        <w:rPr>
          <w:rFonts w:eastAsiaTheme="minorHAnsi"/>
        </w:rPr>
        <w:t>$3.5–</w:t>
      </w:r>
      <w:r w:rsidRPr="00D83398">
        <w:rPr>
          <w:rFonts w:eastAsiaTheme="minorHAnsi"/>
        </w:rPr>
        <w:t>4</w:t>
      </w:r>
      <w:r>
        <w:rPr>
          <w:rFonts w:eastAsiaTheme="minorHAnsi"/>
        </w:rPr>
        <w:t> billion</w:t>
      </w:r>
      <w:r w:rsidRPr="00D83398">
        <w:rPr>
          <w:rFonts w:eastAsiaTheme="minorHAnsi"/>
        </w:rPr>
        <w:t xml:space="preserve"> for new and upgraded health facilities across the state</w:t>
      </w:r>
      <w:r>
        <w:rPr>
          <w:rFonts w:eastAsiaTheme="minorHAnsi"/>
        </w:rPr>
        <w:t>;</w:t>
      </w:r>
    </w:p>
    <w:p w:rsidR="007A09DB" w:rsidRPr="00D83398" w:rsidRDefault="007A09DB" w:rsidP="002C70F5">
      <w:pPr>
        <w:pStyle w:val="BulletText"/>
        <w:rPr>
          <w:rFonts w:eastAsiaTheme="minorHAnsi"/>
        </w:rPr>
      </w:pPr>
      <w:r>
        <w:rPr>
          <w:rFonts w:eastAsiaTheme="minorHAnsi"/>
        </w:rPr>
        <w:t>$10–</w:t>
      </w:r>
      <w:r w:rsidRPr="00D83398">
        <w:rPr>
          <w:rFonts w:eastAsiaTheme="minorHAnsi"/>
        </w:rPr>
        <w:t>15</w:t>
      </w:r>
      <w:r>
        <w:rPr>
          <w:rFonts w:eastAsiaTheme="minorHAnsi"/>
        </w:rPr>
        <w:t> billion</w:t>
      </w:r>
      <w:r w:rsidRPr="00D83398">
        <w:rPr>
          <w:rFonts w:eastAsiaTheme="minorHAnsi"/>
        </w:rPr>
        <w:t xml:space="preserve"> for upgraded and expanded road and public transport infrastructure</w:t>
      </w:r>
      <w:r>
        <w:rPr>
          <w:rFonts w:eastAsiaTheme="minorHAnsi"/>
        </w:rPr>
        <w:t>; and</w:t>
      </w:r>
    </w:p>
    <w:p w:rsidR="007A09DB" w:rsidRPr="00D83398" w:rsidRDefault="007A09DB" w:rsidP="002C70F5">
      <w:pPr>
        <w:pStyle w:val="BulletText"/>
        <w:rPr>
          <w:rFonts w:eastAsiaTheme="minorHAnsi"/>
        </w:rPr>
      </w:pPr>
      <w:r>
        <w:rPr>
          <w:rFonts w:eastAsiaTheme="minorHAnsi"/>
        </w:rPr>
        <w:t>u</w:t>
      </w:r>
      <w:r w:rsidRPr="00D83398">
        <w:rPr>
          <w:rFonts w:eastAsiaTheme="minorHAnsi"/>
        </w:rPr>
        <w:t>p to $5</w:t>
      </w:r>
      <w:r>
        <w:rPr>
          <w:rFonts w:eastAsiaTheme="minorHAnsi"/>
        </w:rPr>
        <w:t> billion</w:t>
      </w:r>
      <w:r w:rsidRPr="00D83398">
        <w:rPr>
          <w:rFonts w:eastAsiaTheme="minorHAnsi"/>
        </w:rPr>
        <w:t xml:space="preserve"> to build and maintain other government services</w:t>
      </w:r>
      <w:r>
        <w:rPr>
          <w:rFonts w:eastAsiaTheme="minorHAnsi"/>
        </w:rPr>
        <w:t>, such as public housing</w:t>
      </w:r>
      <w:r w:rsidRPr="00D83398">
        <w:rPr>
          <w:rFonts w:eastAsiaTheme="minorHAnsi"/>
        </w:rPr>
        <w:t>.</w:t>
      </w:r>
      <w:r>
        <w:rPr>
          <w:rFonts w:eastAsiaTheme="minorHAnsi"/>
        </w:rPr>
        <w:fldChar w:fldCharType="begin"/>
      </w:r>
      <w:r>
        <w:instrText xml:space="preserve"> XE "</w:instrText>
      </w:r>
      <w:r w:rsidRPr="00197ED7">
        <w:rPr>
          <w:rFonts w:eastAsiaTheme="minorHAnsi"/>
        </w:rPr>
        <w:instrText>Education:</w:instrText>
      </w:r>
      <w:r w:rsidRPr="00197ED7">
        <w:instrText>Schools</w:instrText>
      </w:r>
      <w:r>
        <w:instrText xml:space="preserve">" \r "BP2EdSchool3" </w:instrText>
      </w:r>
      <w:r>
        <w:rPr>
          <w:rFonts w:eastAsiaTheme="minorHAnsi"/>
        </w:rPr>
        <w:fldChar w:fldCharType="end"/>
      </w:r>
    </w:p>
    <w:bookmarkEnd w:id="60"/>
    <w:p w:rsidR="007A09DB" w:rsidRPr="00D83398" w:rsidRDefault="007A09DB" w:rsidP="002C70F5">
      <w:pPr>
        <w:pStyle w:val="Chartheading"/>
        <w:rPr>
          <w:rFonts w:eastAsiaTheme="minorHAnsi"/>
        </w:rPr>
      </w:pPr>
      <w:r w:rsidRPr="00D83398">
        <w:rPr>
          <w:rFonts w:eastAsiaTheme="minorHAnsi"/>
        </w:rPr>
        <w:t xml:space="preserve">Chart </w:t>
      </w:r>
      <w:r>
        <w:rPr>
          <w:rFonts w:eastAsiaTheme="minorHAnsi"/>
        </w:rPr>
        <w:t>3.8</w:t>
      </w:r>
      <w:r w:rsidRPr="00D83398">
        <w:rPr>
          <w:rFonts w:eastAsiaTheme="minorHAnsi"/>
        </w:rPr>
        <w:t xml:space="preserve">: </w:t>
      </w:r>
      <w:r>
        <w:rPr>
          <w:rFonts w:eastAsiaTheme="minorHAnsi"/>
        </w:rPr>
        <w:tab/>
        <w:t>Estimated core investment over period by sector, 2015</w:t>
      </w:r>
      <w:r>
        <w:rPr>
          <w:rFonts w:eastAsiaTheme="minorHAnsi"/>
        </w:rPr>
        <w:noBreakHyphen/>
        <w:t>16 to 2025</w:t>
      </w:r>
      <w:r>
        <w:rPr>
          <w:rFonts w:eastAsiaTheme="minorHAnsi"/>
        </w:rPr>
        <w:noBreakHyphen/>
        <w:t xml:space="preserve">26 </w:t>
      </w:r>
    </w:p>
    <w:p w:rsidR="007A09DB" w:rsidRDefault="00D71529" w:rsidP="00C65AC3">
      <w:pPr>
        <w:spacing w:after="0"/>
        <w:rPr>
          <w:rFonts w:eastAsiaTheme="minorHAnsi"/>
        </w:rPr>
      </w:pPr>
      <w:r>
        <w:rPr>
          <w:noProof/>
          <w:lang w:eastAsia="en-AU"/>
        </w:rPr>
        <w:pict>
          <v:shape id="_x0000_i1039" type="#_x0000_t75" style="width:382pt;height:225pt">
            <v:imagedata r:id="rId35" o:title=""/>
          </v:shape>
        </w:pict>
      </w:r>
    </w:p>
    <w:p w:rsidR="007A09DB" w:rsidRDefault="007A09DB" w:rsidP="00F375DB">
      <w:pPr>
        <w:pStyle w:val="Source"/>
        <w:rPr>
          <w:rFonts w:eastAsiaTheme="minorHAnsi"/>
        </w:rPr>
      </w:pPr>
      <w:r w:rsidRPr="00AF68E3">
        <w:rPr>
          <w:rFonts w:eastAsiaTheme="minorHAnsi"/>
        </w:rPr>
        <w:t>Source: Department of Treasury and Finance</w:t>
      </w:r>
    </w:p>
    <w:p w:rsidR="007A09DB" w:rsidRDefault="007A09DB" w:rsidP="005121E0">
      <w:pPr>
        <w:pStyle w:val="Heading2"/>
        <w:rPr>
          <w:rFonts w:eastAsiaTheme="minorHAnsi"/>
        </w:rPr>
      </w:pPr>
      <w:bookmarkStart w:id="63" w:name="BP2Transform1"/>
      <w:r>
        <w:rPr>
          <w:rFonts w:eastAsiaTheme="minorHAnsi"/>
        </w:rPr>
        <w:t>Transformative projects</w:t>
      </w:r>
    </w:p>
    <w:p w:rsidR="007A09DB" w:rsidRDefault="007A09DB" w:rsidP="002C70F5">
      <w:pPr>
        <w:rPr>
          <w:rFonts w:eastAsiaTheme="minorHAnsi"/>
        </w:rPr>
      </w:pPr>
      <w:r>
        <w:rPr>
          <w:rFonts w:eastAsiaTheme="minorHAnsi"/>
        </w:rPr>
        <w:t>If net debt were to increase to 6 per cent of GSP</w:t>
      </w:r>
      <w:r>
        <w:fldChar w:fldCharType="begin"/>
      </w:r>
      <w:r>
        <w:instrText xml:space="preserve"> XE "Gross state product" </w:instrText>
      </w:r>
      <w:r>
        <w:fldChar w:fldCharType="end"/>
      </w:r>
      <w:r>
        <w:rPr>
          <w:rFonts w:eastAsiaTheme="minorHAnsi"/>
        </w:rPr>
        <w:t xml:space="preserve">, and assuming a conservative estimate of additional Commonwealth funding, </w:t>
      </w:r>
      <w:r w:rsidRPr="00D83398">
        <w:rPr>
          <w:rFonts w:eastAsiaTheme="minorHAnsi"/>
        </w:rPr>
        <w:t xml:space="preserve">the Government anticipates </w:t>
      </w:r>
      <w:r>
        <w:rPr>
          <w:rFonts w:eastAsiaTheme="minorHAnsi"/>
        </w:rPr>
        <w:t xml:space="preserve">capacity </w:t>
      </w:r>
      <w:r w:rsidRPr="00D83398">
        <w:rPr>
          <w:rFonts w:eastAsiaTheme="minorHAnsi"/>
        </w:rPr>
        <w:t xml:space="preserve">to fund transformative projects </w:t>
      </w:r>
      <w:r>
        <w:rPr>
          <w:rFonts w:eastAsiaTheme="minorHAnsi"/>
        </w:rPr>
        <w:t>of around</w:t>
      </w:r>
      <w:r w:rsidRPr="00D83398">
        <w:rPr>
          <w:rFonts w:eastAsiaTheme="minorHAnsi"/>
        </w:rPr>
        <w:t xml:space="preserve"> </w:t>
      </w:r>
      <w:r>
        <w:rPr>
          <w:rFonts w:eastAsiaTheme="minorHAnsi"/>
        </w:rPr>
        <w:t>$21 billion</w:t>
      </w:r>
      <w:r w:rsidRPr="00D83398">
        <w:rPr>
          <w:rFonts w:eastAsiaTheme="minorHAnsi"/>
        </w:rPr>
        <w:t xml:space="preserve"> between now and 2025</w:t>
      </w:r>
      <w:r>
        <w:rPr>
          <w:rFonts w:eastAsiaTheme="minorHAnsi"/>
        </w:rPr>
        <w:noBreakHyphen/>
      </w:r>
      <w:r w:rsidRPr="00D83398">
        <w:rPr>
          <w:rFonts w:eastAsiaTheme="minorHAnsi"/>
        </w:rPr>
        <w:t>26.</w:t>
      </w:r>
      <w:r>
        <w:rPr>
          <w:rFonts w:eastAsiaTheme="minorHAnsi"/>
        </w:rPr>
        <w:t xml:space="preserve"> This is in addition to the</w:t>
      </w:r>
      <w:r w:rsidRPr="00D83398">
        <w:rPr>
          <w:rFonts w:eastAsiaTheme="minorHAnsi"/>
        </w:rPr>
        <w:t xml:space="preserve"> provisions </w:t>
      </w:r>
      <w:r>
        <w:rPr>
          <w:rFonts w:eastAsiaTheme="minorHAnsi"/>
        </w:rPr>
        <w:t>already set</w:t>
      </w:r>
      <w:r w:rsidRPr="00D83398">
        <w:rPr>
          <w:rFonts w:eastAsiaTheme="minorHAnsi"/>
        </w:rPr>
        <w:t xml:space="preserve"> aside to meet core infrastructure demands</w:t>
      </w:r>
      <w:r>
        <w:rPr>
          <w:rFonts w:eastAsiaTheme="minorHAnsi"/>
        </w:rPr>
        <w:t>.</w:t>
      </w:r>
      <w:r w:rsidR="0078635B" w:rsidRPr="0078635B">
        <w:rPr>
          <w:rFonts w:eastAsiaTheme="minorHAnsi"/>
        </w:rPr>
        <w:t xml:space="preserve"> </w:t>
      </w:r>
      <w:r w:rsidR="0078635B">
        <w:rPr>
          <w:rFonts w:eastAsiaTheme="minorHAnsi"/>
        </w:rPr>
        <w:fldChar w:fldCharType="begin"/>
      </w:r>
      <w:r w:rsidR="0078635B">
        <w:instrText xml:space="preserve"> XE "</w:instrText>
      </w:r>
      <w:r w:rsidR="0078635B" w:rsidRPr="004D7719">
        <w:rPr>
          <w:rFonts w:eastAsiaTheme="minorHAnsi"/>
        </w:rPr>
        <w:instrText>Core infrastructure</w:instrText>
      </w:r>
      <w:r w:rsidR="0078635B">
        <w:instrText xml:space="preserve">" \r "BP2CoreInfra1" </w:instrText>
      </w:r>
      <w:r w:rsidR="0078635B">
        <w:rPr>
          <w:rFonts w:eastAsiaTheme="minorHAnsi"/>
        </w:rPr>
        <w:fldChar w:fldCharType="end"/>
      </w:r>
    </w:p>
    <w:bookmarkEnd w:id="61"/>
    <w:p w:rsidR="007A09DB" w:rsidRDefault="007A09DB" w:rsidP="00530D14">
      <w:pPr>
        <w:rPr>
          <w:rFonts w:eastAsiaTheme="minorHAnsi"/>
        </w:rPr>
      </w:pPr>
      <w:r>
        <w:rPr>
          <w:rFonts w:eastAsiaTheme="minorHAnsi"/>
        </w:rPr>
        <w:t>Infrastructure is a key determinant of productivity. The Government is committed to using the opportunity this capacity provides to make the kinds of investments that improve Victoria’s productivity and support international competitiveness.</w:t>
      </w:r>
    </w:p>
    <w:p w:rsidR="007A09DB" w:rsidRDefault="007A09DB" w:rsidP="00884ED2">
      <w:pPr>
        <w:rPr>
          <w:rFonts w:eastAsiaTheme="minorHAnsi"/>
        </w:rPr>
      </w:pPr>
      <w:r>
        <w:rPr>
          <w:rFonts w:eastAsiaTheme="minorHAnsi"/>
        </w:rPr>
        <w:t>Accessible, efficient and reliable transport networks increase the productivity of the labour force, as well as the efficient and timely transport of goods and services. T</w:t>
      </w:r>
      <w:r w:rsidRPr="00A35170">
        <w:rPr>
          <w:rFonts w:eastAsiaTheme="minorHAnsi"/>
        </w:rPr>
        <w:t>ransport networks</w:t>
      </w:r>
      <w:r>
        <w:rPr>
          <w:rFonts w:eastAsiaTheme="minorHAnsi"/>
        </w:rPr>
        <w:t xml:space="preserve"> also improve</w:t>
      </w:r>
      <w:r w:rsidRPr="00A35170">
        <w:rPr>
          <w:rFonts w:eastAsiaTheme="minorHAnsi"/>
        </w:rPr>
        <w:t xml:space="preserve"> markets </w:t>
      </w:r>
      <w:r>
        <w:rPr>
          <w:rFonts w:eastAsiaTheme="minorHAnsi"/>
        </w:rPr>
        <w:t xml:space="preserve">and </w:t>
      </w:r>
      <w:r w:rsidRPr="00A35170">
        <w:rPr>
          <w:rFonts w:eastAsiaTheme="minorHAnsi"/>
        </w:rPr>
        <w:t xml:space="preserve">promote competition. They </w:t>
      </w:r>
      <w:r>
        <w:rPr>
          <w:rFonts w:eastAsiaTheme="minorHAnsi"/>
        </w:rPr>
        <w:t xml:space="preserve">connect </w:t>
      </w:r>
      <w:r w:rsidRPr="00A35170">
        <w:rPr>
          <w:rFonts w:eastAsiaTheme="minorHAnsi"/>
        </w:rPr>
        <w:t xml:space="preserve">consumers </w:t>
      </w:r>
      <w:r>
        <w:rPr>
          <w:rFonts w:eastAsiaTheme="minorHAnsi"/>
        </w:rPr>
        <w:t xml:space="preserve">to a greater number of </w:t>
      </w:r>
      <w:r w:rsidRPr="00A35170">
        <w:rPr>
          <w:rFonts w:eastAsiaTheme="minorHAnsi"/>
        </w:rPr>
        <w:t>businesses, and bring workers in</w:t>
      </w:r>
      <w:r>
        <w:rPr>
          <w:rFonts w:eastAsiaTheme="minorHAnsi"/>
        </w:rPr>
        <w:t>to</w:t>
      </w:r>
      <w:r w:rsidRPr="00A35170">
        <w:rPr>
          <w:rFonts w:eastAsiaTheme="minorHAnsi"/>
        </w:rPr>
        <w:t xml:space="preserve"> contact with more opportunities</w:t>
      </w:r>
      <w:r>
        <w:rPr>
          <w:rFonts w:eastAsiaTheme="minorHAnsi"/>
        </w:rPr>
        <w:t xml:space="preserve"> for employment and training</w:t>
      </w:r>
      <w:r>
        <w:rPr>
          <w:rFonts w:eastAsiaTheme="minorHAnsi"/>
        </w:rPr>
        <w:fldChar w:fldCharType="begin"/>
      </w:r>
      <w:r>
        <w:instrText xml:space="preserve"> XE "</w:instrText>
      </w:r>
      <w:r w:rsidRPr="00CA33C7">
        <w:rPr>
          <w:rFonts w:eastAsiaTheme="minorHAnsi"/>
        </w:rPr>
        <w:instrText>Training</w:instrText>
      </w:r>
      <w:r>
        <w:instrText xml:space="preserve">" </w:instrText>
      </w:r>
      <w:r>
        <w:rPr>
          <w:rFonts w:eastAsiaTheme="minorHAnsi"/>
        </w:rPr>
        <w:fldChar w:fldCharType="end"/>
      </w:r>
      <w:r w:rsidRPr="00A35170">
        <w:rPr>
          <w:rFonts w:eastAsiaTheme="minorHAnsi"/>
        </w:rPr>
        <w:t xml:space="preserve">. </w:t>
      </w:r>
    </w:p>
    <w:p w:rsidR="007A09DB" w:rsidRDefault="007A09DB" w:rsidP="002C70F5">
      <w:pPr>
        <w:rPr>
          <w:rFonts w:eastAsiaTheme="minorHAnsi"/>
        </w:rPr>
      </w:pPr>
      <w:r>
        <w:rPr>
          <w:rFonts w:eastAsiaTheme="minorHAnsi"/>
        </w:rPr>
        <w:t>A healthy and well</w:t>
      </w:r>
      <w:r>
        <w:rPr>
          <w:rFonts w:eastAsiaTheme="minorHAnsi"/>
        </w:rPr>
        <w:noBreakHyphen/>
        <w:t>educated workforce is more productive. Investment in the kind of social infrastructure that can result in a step</w:t>
      </w:r>
      <w:r>
        <w:rPr>
          <w:rFonts w:eastAsiaTheme="minorHAnsi"/>
        </w:rPr>
        <w:noBreakHyphen/>
        <w:t>change in the way health and education services are delivered is an important part of any strategy to improve productivity over the long term. Projects such as the Victorian Comprehensive Cancer Centre can change the way care is provided, with the new hospital providing significantly enhanced research facilities and supporting modern models of care for cancer patients.</w:t>
      </w:r>
      <w:r w:rsidR="0078635B">
        <w:rPr>
          <w:rFonts w:eastAsiaTheme="minorHAnsi"/>
        </w:rPr>
        <w:fldChar w:fldCharType="begin"/>
      </w:r>
      <w:r w:rsidR="0078635B">
        <w:instrText xml:space="preserve"> XE "</w:instrText>
      </w:r>
      <w:r w:rsidR="0078635B" w:rsidRPr="002B2E89">
        <w:rPr>
          <w:rFonts w:eastAsiaTheme="minorHAnsi"/>
        </w:rPr>
        <w:instrText>Transformative projects</w:instrText>
      </w:r>
      <w:r w:rsidR="0078635B">
        <w:instrText xml:space="preserve">" \r "BP2Transform1" </w:instrText>
      </w:r>
      <w:r w:rsidR="0078635B">
        <w:rPr>
          <w:rFonts w:eastAsiaTheme="minorHAnsi"/>
        </w:rPr>
        <w:fldChar w:fldCharType="end"/>
      </w:r>
    </w:p>
    <w:bookmarkEnd w:id="63"/>
    <w:p w:rsidR="007A09DB" w:rsidRDefault="007A09DB" w:rsidP="005121E0">
      <w:pPr>
        <w:pStyle w:val="Heading2"/>
        <w:rPr>
          <w:rFonts w:eastAsiaTheme="minorHAnsi"/>
        </w:rPr>
      </w:pPr>
      <w:r>
        <w:rPr>
          <w:rFonts w:eastAsiaTheme="minorHAnsi"/>
        </w:rPr>
        <w:t>Making the right investment decisions</w:t>
      </w:r>
    </w:p>
    <w:p w:rsidR="007A09DB" w:rsidRDefault="007A09DB" w:rsidP="002C70F5">
      <w:pPr>
        <w:rPr>
          <w:rFonts w:eastAsiaTheme="minorHAnsi"/>
        </w:rPr>
      </w:pPr>
      <w:r>
        <w:rPr>
          <w:rFonts w:eastAsiaTheme="minorHAnsi"/>
        </w:rPr>
        <w:t>Getting</w:t>
      </w:r>
      <w:r w:rsidRPr="00D83398">
        <w:rPr>
          <w:rFonts w:eastAsiaTheme="minorHAnsi"/>
        </w:rPr>
        <w:t xml:space="preserve"> infrastructure investment decisions </w:t>
      </w:r>
      <w:r>
        <w:rPr>
          <w:rFonts w:eastAsiaTheme="minorHAnsi"/>
        </w:rPr>
        <w:t xml:space="preserve">right </w:t>
      </w:r>
      <w:r w:rsidRPr="00D83398">
        <w:rPr>
          <w:rFonts w:eastAsiaTheme="minorHAnsi"/>
        </w:rPr>
        <w:t>is as difficult as it is important.</w:t>
      </w:r>
      <w:r>
        <w:rPr>
          <w:rFonts w:eastAsiaTheme="minorHAnsi"/>
        </w:rPr>
        <w:t xml:space="preserve"> </w:t>
      </w:r>
      <w:r w:rsidRPr="00D83398">
        <w:rPr>
          <w:rFonts w:eastAsiaTheme="minorHAnsi"/>
        </w:rPr>
        <w:t>By establishing Infrastructure Victoria</w:t>
      </w:r>
      <w:r>
        <w:rPr>
          <w:rFonts w:eastAsiaTheme="minorHAnsi"/>
        </w:rPr>
        <w:fldChar w:fldCharType="begin"/>
      </w:r>
      <w:r>
        <w:instrText xml:space="preserve"> XE "</w:instrText>
      </w:r>
      <w:r w:rsidRPr="00E67DB0">
        <w:instrText>Infrastructure Victoria</w:instrText>
      </w:r>
      <w:r>
        <w:instrText xml:space="preserve">" </w:instrText>
      </w:r>
      <w:r>
        <w:rPr>
          <w:rFonts w:eastAsiaTheme="minorHAnsi"/>
        </w:rPr>
        <w:fldChar w:fldCharType="end"/>
      </w:r>
      <w:r>
        <w:rPr>
          <w:rFonts w:eastAsiaTheme="minorHAnsi"/>
        </w:rPr>
        <w:t xml:space="preserve"> </w:t>
      </w:r>
      <w:r w:rsidRPr="00D83398">
        <w:rPr>
          <w:rFonts w:eastAsiaTheme="minorHAnsi"/>
        </w:rPr>
        <w:t>as an independent body and tasking it with developing a 30</w:t>
      </w:r>
      <w:r>
        <w:rPr>
          <w:rFonts w:eastAsiaTheme="minorHAnsi"/>
        </w:rPr>
        <w:noBreakHyphen/>
      </w:r>
      <w:r w:rsidRPr="00D83398">
        <w:rPr>
          <w:rFonts w:eastAsiaTheme="minorHAnsi"/>
        </w:rPr>
        <w:t xml:space="preserve">year infrastructure strategy, </w:t>
      </w:r>
      <w:r>
        <w:rPr>
          <w:rFonts w:eastAsiaTheme="minorHAnsi"/>
        </w:rPr>
        <w:t>the</w:t>
      </w:r>
      <w:r w:rsidRPr="00D83398">
        <w:rPr>
          <w:rFonts w:eastAsiaTheme="minorHAnsi"/>
        </w:rPr>
        <w:t xml:space="preserve"> Government is giving Victoria the best opportunity to </w:t>
      </w:r>
      <w:r>
        <w:rPr>
          <w:rFonts w:eastAsiaTheme="minorHAnsi"/>
        </w:rPr>
        <w:t>invest in</w:t>
      </w:r>
      <w:r w:rsidRPr="00D83398">
        <w:rPr>
          <w:rFonts w:eastAsiaTheme="minorHAnsi"/>
        </w:rPr>
        <w:t xml:space="preserve"> the infrastructure needed to be a modern competitive economy.</w:t>
      </w:r>
      <w:r>
        <w:rPr>
          <w:rFonts w:eastAsiaTheme="minorHAnsi"/>
        </w:rPr>
        <w:t xml:space="preserve"> </w:t>
      </w:r>
    </w:p>
    <w:p w:rsidR="007A09DB" w:rsidRDefault="007A09DB" w:rsidP="002C70F5">
      <w:pPr>
        <w:rPr>
          <w:rFonts w:eastAsiaTheme="minorHAnsi"/>
        </w:rPr>
      </w:pPr>
      <w:r>
        <w:rPr>
          <w:rFonts w:eastAsiaTheme="minorHAnsi"/>
        </w:rPr>
        <w:t xml:space="preserve">Once received, this strategy will inform the Government </w:t>
      </w:r>
      <w:r>
        <w:t>as it develops its medium to long</w:t>
      </w:r>
      <w:r>
        <w:noBreakHyphen/>
        <w:t>term plan, and in particular in prioritising the allocation of available funding to specific infrastructure projects that best meet the growth in demand for services and drive productivity growth over the next decade.</w:t>
      </w:r>
    </w:p>
    <w:p w:rsidR="007A09DB" w:rsidRDefault="007A09DB" w:rsidP="002C70F5">
      <w:pPr>
        <w:rPr>
          <w:rFonts w:eastAsiaTheme="minorHAnsi"/>
        </w:rPr>
      </w:pPr>
      <w:r w:rsidRPr="00D83398">
        <w:rPr>
          <w:rFonts w:eastAsiaTheme="minorHAnsi"/>
        </w:rPr>
        <w:t>As a combination of this structured approach to planning, and taking a longer</w:t>
      </w:r>
      <w:r>
        <w:rPr>
          <w:rFonts w:eastAsiaTheme="minorHAnsi"/>
        </w:rPr>
        <w:noBreakHyphen/>
      </w:r>
      <w:r w:rsidRPr="00D83398">
        <w:rPr>
          <w:rFonts w:eastAsiaTheme="minorHAnsi"/>
        </w:rPr>
        <w:t xml:space="preserve">term view of budgeting for infrastructure investment, the Government will </w:t>
      </w:r>
      <w:r>
        <w:rPr>
          <w:rFonts w:eastAsiaTheme="minorHAnsi"/>
        </w:rPr>
        <w:t>be maximising Victoria’s opportunity for future economic growth</w:t>
      </w:r>
      <w:r>
        <w:rPr>
          <w:rFonts w:eastAsiaTheme="minorHAnsi"/>
        </w:rPr>
        <w:fldChar w:fldCharType="begin"/>
      </w:r>
      <w:r>
        <w:instrText xml:space="preserve"> XE "</w:instrText>
      </w:r>
      <w:r w:rsidRPr="007F391C">
        <w:rPr>
          <w:rFonts w:eastAsiaTheme="minorHAnsi"/>
        </w:rPr>
        <w:instrText>Economic growth</w:instrText>
      </w:r>
      <w:r>
        <w:instrText xml:space="preserve">" </w:instrText>
      </w:r>
      <w:r>
        <w:rPr>
          <w:rFonts w:eastAsiaTheme="minorHAnsi"/>
        </w:rPr>
        <w:fldChar w:fldCharType="end"/>
      </w:r>
      <w:r w:rsidRPr="00D83398">
        <w:rPr>
          <w:rFonts w:eastAsiaTheme="minorHAnsi"/>
        </w:rPr>
        <w:t>.</w:t>
      </w:r>
      <w:bookmarkEnd w:id="62"/>
      <w:r w:rsidR="00D9023F">
        <w:rPr>
          <w:rFonts w:eastAsiaTheme="minorHAnsi"/>
        </w:rPr>
        <w:fldChar w:fldCharType="begin"/>
      </w:r>
      <w:r w:rsidR="00D9023F">
        <w:instrText xml:space="preserve"> XE "</w:instrText>
      </w:r>
      <w:r w:rsidR="00D9023F" w:rsidRPr="00022BB5">
        <w:rPr>
          <w:rFonts w:eastAsiaTheme="minorHAnsi"/>
        </w:rPr>
        <w:instrText>Productivity</w:instrText>
      </w:r>
      <w:r w:rsidR="00D9023F">
        <w:instrText xml:space="preserve">" \r "BP2pProd3" </w:instrText>
      </w:r>
      <w:r w:rsidR="00D9023F">
        <w:rPr>
          <w:rFonts w:eastAsiaTheme="minorHAnsi"/>
        </w:rPr>
        <w:fldChar w:fldCharType="end"/>
      </w:r>
    </w:p>
    <w:p w:rsidR="007A09DB" w:rsidRDefault="007A09DB" w:rsidP="002C70F5">
      <w:pPr>
        <w:rPr>
          <w:rFonts w:eastAsiaTheme="minorHAnsi"/>
        </w:rPr>
      </w:pPr>
    </w:p>
    <w:p w:rsidR="007A09DB" w:rsidRDefault="007A09DB" w:rsidP="00614836">
      <w:pPr>
        <w:rPr>
          <w:rFonts w:eastAsiaTheme="minorHAnsi"/>
        </w:rPr>
        <w:sectPr w:rsidR="007A09DB" w:rsidSect="00614836">
          <w:footerReference w:type="even" r:id="rId36"/>
          <w:footerReference w:type="default" r:id="rId37"/>
          <w:type w:val="oddPage"/>
          <w:pgSz w:w="9979" w:h="14232" w:code="287"/>
          <w:pgMar w:top="1140" w:right="1140" w:bottom="1140" w:left="1140" w:header="720" w:footer="431" w:gutter="0"/>
          <w:cols w:space="708"/>
          <w:docGrid w:linePitch="360"/>
        </w:sectPr>
      </w:pPr>
    </w:p>
    <w:p w:rsidR="007A09DB" w:rsidRDefault="007A09DB" w:rsidP="00062624">
      <w:pPr>
        <w:pStyle w:val="ChapterHeading"/>
      </w:pPr>
      <w:bookmarkStart w:id="64" w:name="_Toc449123065"/>
      <w:r>
        <w:t xml:space="preserve">Chapter 4 – </w:t>
      </w:r>
      <w:r w:rsidRPr="00BE5BA3">
        <w:t>Budget position and outlook</w:t>
      </w:r>
      <w:bookmarkEnd w:id="64"/>
    </w:p>
    <w:p w:rsidR="007A09DB" w:rsidRPr="004513AF" w:rsidRDefault="007A09DB" w:rsidP="004513AF">
      <w:pPr>
        <w:pStyle w:val="HighlightBoxBullet"/>
        <w:rPr>
          <w:rFonts w:eastAsiaTheme="minorHAnsi"/>
        </w:rPr>
      </w:pPr>
      <w:bookmarkStart w:id="65" w:name="BP2Prod4"/>
      <w:r w:rsidRPr="004513AF">
        <w:rPr>
          <w:rFonts w:eastAsiaTheme="minorHAnsi"/>
        </w:rPr>
        <w:t xml:space="preserve">The </w:t>
      </w:r>
      <w:r w:rsidRPr="004513AF">
        <w:rPr>
          <w:rFonts w:eastAsiaTheme="minorHAnsi"/>
          <w:i/>
        </w:rPr>
        <w:t>2016</w:t>
      </w:r>
      <w:r>
        <w:rPr>
          <w:rFonts w:eastAsiaTheme="minorHAnsi"/>
          <w:i/>
        </w:rPr>
        <w:noBreakHyphen/>
      </w:r>
      <w:r w:rsidRPr="004513AF">
        <w:rPr>
          <w:rFonts w:eastAsiaTheme="minorHAnsi"/>
          <w:i/>
        </w:rPr>
        <w:t>17 Budget</w:t>
      </w:r>
      <w:r w:rsidRPr="004513AF">
        <w:rPr>
          <w:rFonts w:eastAsiaTheme="minorHAnsi"/>
        </w:rPr>
        <w:t xml:space="preserve"> continues to deliver on the Government</w:t>
      </w:r>
      <w:r>
        <w:rPr>
          <w:rFonts w:eastAsiaTheme="minorHAnsi"/>
        </w:rPr>
        <w:t>’</w:t>
      </w:r>
      <w:r w:rsidRPr="004513AF">
        <w:rPr>
          <w:rFonts w:eastAsiaTheme="minorHAnsi"/>
        </w:rPr>
        <w:t xml:space="preserve">s commitment </w:t>
      </w:r>
      <w:r>
        <w:rPr>
          <w:rFonts w:eastAsiaTheme="minorHAnsi"/>
        </w:rPr>
        <w:t>to improve</w:t>
      </w:r>
      <w:r w:rsidRPr="004513AF">
        <w:rPr>
          <w:rFonts w:eastAsiaTheme="minorHAnsi"/>
        </w:rPr>
        <w:t xml:space="preserve"> the longer</w:t>
      </w:r>
      <w:r>
        <w:rPr>
          <w:rFonts w:eastAsiaTheme="minorHAnsi"/>
        </w:rPr>
        <w:noBreakHyphen/>
      </w:r>
      <w:r w:rsidRPr="004513AF">
        <w:rPr>
          <w:rFonts w:eastAsiaTheme="minorHAnsi"/>
        </w:rPr>
        <w:t>term productivity and liveability of Melbourne and regional Victoria</w:t>
      </w:r>
      <w:r>
        <w:rPr>
          <w:rFonts w:eastAsiaTheme="minorHAnsi"/>
        </w:rPr>
        <w:t xml:space="preserve"> with</w:t>
      </w:r>
      <w:r w:rsidRPr="004513AF">
        <w:rPr>
          <w:rFonts w:eastAsiaTheme="minorHAnsi"/>
        </w:rPr>
        <w:t xml:space="preserve"> $</w:t>
      </w:r>
      <w:r>
        <w:rPr>
          <w:rFonts w:eastAsiaTheme="minorHAnsi"/>
        </w:rPr>
        <w:t>6.8 billion</w:t>
      </w:r>
      <w:r w:rsidRPr="004513AF">
        <w:rPr>
          <w:rFonts w:eastAsiaTheme="minorHAnsi"/>
        </w:rPr>
        <w:t xml:space="preserve"> in new output initiatives and </w:t>
      </w:r>
      <w:r>
        <w:rPr>
          <w:rFonts w:eastAsiaTheme="minorHAnsi"/>
        </w:rPr>
        <w:t xml:space="preserve">up to </w:t>
      </w:r>
      <w:r w:rsidRPr="004513AF">
        <w:rPr>
          <w:rFonts w:eastAsiaTheme="minorHAnsi"/>
        </w:rPr>
        <w:t>$</w:t>
      </w:r>
      <w:r>
        <w:rPr>
          <w:rFonts w:eastAsiaTheme="minorHAnsi"/>
        </w:rPr>
        <w:t>12.4 billion</w:t>
      </w:r>
      <w:r w:rsidRPr="004513AF">
        <w:rPr>
          <w:rFonts w:eastAsiaTheme="minorHAnsi"/>
        </w:rPr>
        <w:t xml:space="preserve"> total estimated investment (TEI) in new asset initiatives</w:t>
      </w:r>
      <w:r>
        <w:rPr>
          <w:rFonts w:eastAsiaTheme="minorHAnsi"/>
        </w:rPr>
        <w:t>.</w:t>
      </w:r>
    </w:p>
    <w:p w:rsidR="007A09DB" w:rsidRPr="004513AF" w:rsidRDefault="007A09DB" w:rsidP="004513AF">
      <w:pPr>
        <w:pStyle w:val="HighlightBoxBullet"/>
        <w:rPr>
          <w:rFonts w:eastAsiaTheme="minorHAnsi"/>
        </w:rPr>
      </w:pPr>
      <w:r w:rsidRPr="004513AF">
        <w:rPr>
          <w:rFonts w:eastAsiaTheme="minorHAnsi"/>
        </w:rPr>
        <w:t>The general government sector operating surplus</w:t>
      </w:r>
      <w:r>
        <w:rPr>
          <w:rFonts w:eastAsiaTheme="minorHAnsi"/>
        </w:rPr>
        <w:fldChar w:fldCharType="begin"/>
      </w:r>
      <w:r>
        <w:instrText xml:space="preserve"> XE "</w:instrText>
      </w:r>
      <w:r w:rsidRPr="002C699B">
        <w:rPr>
          <w:rFonts w:eastAsiaTheme="minorHAnsi"/>
        </w:rPr>
        <w:instrText>Operating surplus</w:instrText>
      </w:r>
      <w:r>
        <w:instrText xml:space="preserve">" </w:instrText>
      </w:r>
      <w:r>
        <w:rPr>
          <w:rFonts w:eastAsiaTheme="minorHAnsi"/>
        </w:rPr>
        <w:fldChar w:fldCharType="end"/>
      </w:r>
      <w:r w:rsidRPr="004513AF">
        <w:rPr>
          <w:rFonts w:eastAsiaTheme="minorHAnsi"/>
        </w:rPr>
        <w:t xml:space="preserve"> is estimated to be $</w:t>
      </w:r>
      <w:r>
        <w:rPr>
          <w:rFonts w:eastAsiaTheme="minorHAnsi"/>
        </w:rPr>
        <w:t>2.9 billion</w:t>
      </w:r>
      <w:r w:rsidRPr="004513AF">
        <w:rPr>
          <w:rFonts w:eastAsiaTheme="minorHAnsi"/>
        </w:rPr>
        <w:t xml:space="preserve"> in 2016</w:t>
      </w:r>
      <w:r>
        <w:rPr>
          <w:rFonts w:eastAsiaTheme="minorHAnsi"/>
        </w:rPr>
        <w:noBreakHyphen/>
      </w:r>
      <w:r w:rsidRPr="004513AF">
        <w:rPr>
          <w:rFonts w:eastAsiaTheme="minorHAnsi"/>
        </w:rPr>
        <w:t>17, with strong operating surpluses averaging $</w:t>
      </w:r>
      <w:r>
        <w:rPr>
          <w:rFonts w:eastAsiaTheme="minorHAnsi"/>
        </w:rPr>
        <w:t>2.1 billion</w:t>
      </w:r>
      <w:r w:rsidRPr="004513AF">
        <w:rPr>
          <w:rFonts w:eastAsiaTheme="minorHAnsi"/>
        </w:rPr>
        <w:t xml:space="preserve"> across the forward estimates. These surpluses reflect the Government</w:t>
      </w:r>
      <w:r>
        <w:rPr>
          <w:rFonts w:eastAsiaTheme="minorHAnsi"/>
        </w:rPr>
        <w:t>’</w:t>
      </w:r>
      <w:r w:rsidRPr="004513AF">
        <w:rPr>
          <w:rFonts w:eastAsiaTheme="minorHAnsi"/>
        </w:rPr>
        <w:t>s commitment to provid</w:t>
      </w:r>
      <w:r>
        <w:rPr>
          <w:rFonts w:eastAsiaTheme="minorHAnsi"/>
        </w:rPr>
        <w:t>ing</w:t>
      </w:r>
      <w:r w:rsidRPr="004513AF">
        <w:rPr>
          <w:rFonts w:eastAsiaTheme="minorHAnsi"/>
        </w:rPr>
        <w:t xml:space="preserve"> high quality services </w:t>
      </w:r>
      <w:r>
        <w:rPr>
          <w:rFonts w:eastAsiaTheme="minorHAnsi"/>
        </w:rPr>
        <w:t xml:space="preserve">and investing in necessary infrastructure </w:t>
      </w:r>
      <w:r w:rsidRPr="004513AF">
        <w:rPr>
          <w:rFonts w:eastAsiaTheme="minorHAnsi"/>
        </w:rPr>
        <w:t>for all Victorians in a fiscally responsible manner.</w:t>
      </w:r>
    </w:p>
    <w:p w:rsidR="007A09DB" w:rsidRPr="004513AF" w:rsidRDefault="007A09DB" w:rsidP="004513AF">
      <w:pPr>
        <w:pStyle w:val="HighlightBoxBullet"/>
        <w:rPr>
          <w:rFonts w:eastAsiaTheme="minorHAnsi"/>
        </w:rPr>
      </w:pPr>
      <w:bookmarkStart w:id="66" w:name="BP2ServDel1"/>
      <w:r w:rsidRPr="004513AF">
        <w:rPr>
          <w:rFonts w:eastAsiaTheme="minorHAnsi"/>
        </w:rPr>
        <w:t>Victoria is expected to collect $</w:t>
      </w:r>
      <w:r>
        <w:rPr>
          <w:rFonts w:eastAsiaTheme="minorHAnsi"/>
        </w:rPr>
        <w:t>60.4 billion</w:t>
      </w:r>
      <w:r w:rsidRPr="004513AF">
        <w:rPr>
          <w:rFonts w:eastAsiaTheme="minorHAnsi"/>
        </w:rPr>
        <w:t xml:space="preserve"> in revenue, and spend $</w:t>
      </w:r>
      <w:r>
        <w:rPr>
          <w:rFonts w:eastAsiaTheme="minorHAnsi"/>
        </w:rPr>
        <w:t>57.5 billion</w:t>
      </w:r>
      <w:r w:rsidRPr="004513AF">
        <w:rPr>
          <w:rFonts w:eastAsiaTheme="minorHAnsi"/>
        </w:rPr>
        <w:t xml:space="preserve"> on service delivery in 2016</w:t>
      </w:r>
      <w:r>
        <w:rPr>
          <w:rFonts w:eastAsiaTheme="minorHAnsi"/>
        </w:rPr>
        <w:noBreakHyphen/>
      </w:r>
      <w:r w:rsidRPr="004513AF">
        <w:rPr>
          <w:rFonts w:eastAsiaTheme="minorHAnsi"/>
        </w:rPr>
        <w:t xml:space="preserve">17. Revenue growth is expected to average </w:t>
      </w:r>
      <w:r>
        <w:rPr>
          <w:rFonts w:eastAsiaTheme="minorHAnsi"/>
        </w:rPr>
        <w:t>3.4 per cent</w:t>
      </w:r>
      <w:r w:rsidRPr="004513AF">
        <w:rPr>
          <w:rFonts w:eastAsiaTheme="minorHAnsi"/>
        </w:rPr>
        <w:t xml:space="preserve"> </w:t>
      </w:r>
      <w:r>
        <w:rPr>
          <w:rFonts w:eastAsiaTheme="minorHAnsi"/>
        </w:rPr>
        <w:t>a year </w:t>
      </w:r>
      <w:r w:rsidRPr="004513AF">
        <w:rPr>
          <w:rFonts w:eastAsiaTheme="minorHAnsi"/>
        </w:rPr>
        <w:t>over the budget and forward estimates</w:t>
      </w:r>
      <w:r>
        <w:rPr>
          <w:rFonts w:eastAsiaTheme="minorHAnsi"/>
        </w:rPr>
        <w:t>, exceeding</w:t>
      </w:r>
      <w:r w:rsidRPr="004513AF">
        <w:rPr>
          <w:rFonts w:eastAsiaTheme="minorHAnsi"/>
        </w:rPr>
        <w:t xml:space="preserve"> average </w:t>
      </w:r>
      <w:r>
        <w:rPr>
          <w:rFonts w:eastAsiaTheme="minorHAnsi"/>
        </w:rPr>
        <w:t xml:space="preserve">expense </w:t>
      </w:r>
      <w:r w:rsidRPr="004513AF">
        <w:rPr>
          <w:rFonts w:eastAsiaTheme="minorHAnsi"/>
        </w:rPr>
        <w:t xml:space="preserve">growth of </w:t>
      </w:r>
      <w:r>
        <w:rPr>
          <w:rFonts w:eastAsiaTheme="minorHAnsi"/>
        </w:rPr>
        <w:t>3.3 per cent</w:t>
      </w:r>
      <w:r w:rsidRPr="004513AF">
        <w:rPr>
          <w:rFonts w:eastAsiaTheme="minorHAnsi"/>
        </w:rPr>
        <w:t xml:space="preserve"> a year.</w:t>
      </w:r>
    </w:p>
    <w:p w:rsidR="007A09DB" w:rsidRPr="004513AF" w:rsidRDefault="007A09DB" w:rsidP="004513AF">
      <w:pPr>
        <w:pStyle w:val="HighlightBoxBullet"/>
        <w:rPr>
          <w:rFonts w:eastAsiaTheme="minorHAnsi"/>
        </w:rPr>
      </w:pPr>
      <w:r w:rsidRPr="004513AF">
        <w:rPr>
          <w:rFonts w:eastAsiaTheme="minorHAnsi"/>
        </w:rPr>
        <w:t xml:space="preserve">Government infrastructure investment (GII) </w:t>
      </w:r>
      <w:r>
        <w:rPr>
          <w:rFonts w:eastAsiaTheme="minorHAnsi"/>
        </w:rPr>
        <w:t>i</w:t>
      </w:r>
      <w:r w:rsidRPr="004513AF">
        <w:rPr>
          <w:rFonts w:eastAsiaTheme="minorHAnsi"/>
        </w:rPr>
        <w:t>s at historically high levels. Estimated GII over the budget and</w:t>
      </w:r>
      <w:r>
        <w:rPr>
          <w:rFonts w:eastAsiaTheme="minorHAnsi"/>
        </w:rPr>
        <w:t xml:space="preserve"> forward estimates averages $7.4 billion</w:t>
      </w:r>
      <w:r w:rsidRPr="004513AF">
        <w:rPr>
          <w:rFonts w:eastAsiaTheme="minorHAnsi"/>
        </w:rPr>
        <w:t xml:space="preserve"> a year compared wit</w:t>
      </w:r>
      <w:r>
        <w:rPr>
          <w:rFonts w:eastAsiaTheme="minorHAnsi"/>
        </w:rPr>
        <w:t>h the historical average of $4.9 billion</w:t>
      </w:r>
      <w:r w:rsidRPr="004513AF">
        <w:rPr>
          <w:rFonts w:eastAsiaTheme="minorHAnsi"/>
        </w:rPr>
        <w:t xml:space="preserve"> </w:t>
      </w:r>
      <w:r>
        <w:rPr>
          <w:rFonts w:eastAsiaTheme="minorHAnsi"/>
        </w:rPr>
        <w:t>a year from</w:t>
      </w:r>
      <w:r w:rsidRPr="004513AF">
        <w:rPr>
          <w:rFonts w:eastAsiaTheme="minorHAnsi"/>
        </w:rPr>
        <w:t xml:space="preserve"> </w:t>
      </w:r>
      <w:r>
        <w:rPr>
          <w:rFonts w:eastAsiaTheme="minorHAnsi"/>
        </w:rPr>
        <w:t>2005</w:t>
      </w:r>
      <w:r>
        <w:rPr>
          <w:rFonts w:eastAsiaTheme="minorHAnsi"/>
        </w:rPr>
        <w:noBreakHyphen/>
        <w:t xml:space="preserve">06 to </w:t>
      </w:r>
      <w:r w:rsidRPr="004513AF">
        <w:rPr>
          <w:rFonts w:eastAsiaTheme="minorHAnsi"/>
        </w:rPr>
        <w:t>2015</w:t>
      </w:r>
      <w:r>
        <w:rPr>
          <w:rFonts w:eastAsiaTheme="minorHAnsi"/>
        </w:rPr>
        <w:noBreakHyphen/>
      </w:r>
      <w:r w:rsidRPr="004513AF">
        <w:rPr>
          <w:rFonts w:eastAsiaTheme="minorHAnsi"/>
        </w:rPr>
        <w:t>16.</w:t>
      </w:r>
    </w:p>
    <w:p w:rsidR="007A09DB" w:rsidRPr="004513AF" w:rsidRDefault="007A09DB" w:rsidP="004513AF">
      <w:pPr>
        <w:pStyle w:val="HighlightBoxBullet"/>
        <w:rPr>
          <w:rFonts w:eastAsiaTheme="minorHAnsi"/>
        </w:rPr>
      </w:pPr>
      <w:bookmarkStart w:id="67" w:name="BP2NetDebt3"/>
      <w:r w:rsidRPr="004513AF">
        <w:rPr>
          <w:rFonts w:eastAsiaTheme="minorHAnsi"/>
        </w:rPr>
        <w:t>Net debt is expected to be $</w:t>
      </w:r>
      <w:r>
        <w:rPr>
          <w:rFonts w:eastAsiaTheme="minorHAnsi"/>
        </w:rPr>
        <w:t>22.2 billion</w:t>
      </w:r>
      <w:r w:rsidRPr="004513AF">
        <w:rPr>
          <w:rFonts w:eastAsiaTheme="minorHAnsi"/>
        </w:rPr>
        <w:t xml:space="preserve"> by June 2020. Net debt </w:t>
      </w:r>
      <w:r>
        <w:rPr>
          <w:rFonts w:eastAsiaTheme="minorHAnsi"/>
        </w:rPr>
        <w:t>as a proportion of</w:t>
      </w:r>
      <w:r w:rsidRPr="004513AF">
        <w:rPr>
          <w:rFonts w:eastAsiaTheme="minorHAnsi"/>
        </w:rPr>
        <w:t xml:space="preserve"> gross state product</w:t>
      </w:r>
      <w:r>
        <w:rPr>
          <w:rFonts w:eastAsiaTheme="minorHAnsi"/>
        </w:rPr>
        <w:fldChar w:fldCharType="begin"/>
      </w:r>
      <w:r>
        <w:instrText xml:space="preserve"> XE "</w:instrText>
      </w:r>
      <w:r>
        <w:rPr>
          <w:rFonts w:eastAsiaTheme="minorHAnsi"/>
        </w:rPr>
        <w:instrText>Gross state product</w:instrText>
      </w:r>
      <w:r>
        <w:instrText xml:space="preserve">" </w:instrText>
      </w:r>
      <w:r>
        <w:rPr>
          <w:rFonts w:eastAsiaTheme="minorHAnsi"/>
        </w:rPr>
        <w:fldChar w:fldCharType="end"/>
      </w:r>
      <w:r w:rsidRPr="004513AF">
        <w:rPr>
          <w:rFonts w:eastAsiaTheme="minorHAnsi"/>
        </w:rPr>
        <w:t xml:space="preserve"> (GSP) is projected to decrease</w:t>
      </w:r>
      <w:r>
        <w:rPr>
          <w:rFonts w:eastAsiaTheme="minorHAnsi"/>
        </w:rPr>
        <w:t xml:space="preserve"> from its June 2016 level of 5.9 per cent</w:t>
      </w:r>
      <w:r w:rsidRPr="004513AF">
        <w:rPr>
          <w:rFonts w:eastAsiaTheme="minorHAnsi"/>
        </w:rPr>
        <w:t xml:space="preserve"> to </w:t>
      </w:r>
      <w:r>
        <w:rPr>
          <w:rFonts w:eastAsiaTheme="minorHAnsi"/>
        </w:rPr>
        <w:t>4.8 per cent</w:t>
      </w:r>
      <w:r w:rsidRPr="004513AF">
        <w:rPr>
          <w:rFonts w:eastAsiaTheme="minorHAnsi"/>
        </w:rPr>
        <w:t xml:space="preserve"> by June 2020.</w:t>
      </w:r>
    </w:p>
    <w:p w:rsidR="007A09DB" w:rsidRPr="004513AF" w:rsidRDefault="007A09DB" w:rsidP="004513AF">
      <w:pPr>
        <w:pStyle w:val="HighlightBoxBullet"/>
        <w:rPr>
          <w:rFonts w:eastAsiaTheme="minorHAnsi"/>
        </w:rPr>
      </w:pPr>
      <w:r w:rsidRPr="004513AF">
        <w:rPr>
          <w:rFonts w:eastAsiaTheme="minorHAnsi"/>
        </w:rPr>
        <w:t>The Government is on track to fully fund the State</w:t>
      </w:r>
      <w:r>
        <w:rPr>
          <w:rFonts w:eastAsiaTheme="minorHAnsi"/>
        </w:rPr>
        <w:t>’</w:t>
      </w:r>
      <w:r w:rsidRPr="004513AF">
        <w:rPr>
          <w:rFonts w:eastAsiaTheme="minorHAnsi"/>
        </w:rPr>
        <w:t>s unfunded superannuation liability</w:t>
      </w:r>
      <w:r>
        <w:rPr>
          <w:lang w:eastAsia="en-AU"/>
        </w:rPr>
        <w:fldChar w:fldCharType="begin"/>
      </w:r>
      <w:r>
        <w:instrText xml:space="preserve"> XE "</w:instrText>
      </w:r>
      <w:r w:rsidRPr="00D34997">
        <w:rPr>
          <w:lang w:eastAsia="en-AU"/>
        </w:rPr>
        <w:instrText>Superannuation</w:instrText>
      </w:r>
      <w:r w:rsidRPr="00D34997">
        <w:instrText>:</w:instrText>
      </w:r>
      <w:r>
        <w:instrText xml:space="preserve">Liability" </w:instrText>
      </w:r>
      <w:r>
        <w:rPr>
          <w:lang w:eastAsia="en-AU"/>
        </w:rPr>
        <w:fldChar w:fldCharType="end"/>
      </w:r>
      <w:r w:rsidRPr="004513AF">
        <w:rPr>
          <w:rFonts w:eastAsiaTheme="minorHAnsi"/>
        </w:rPr>
        <w:t xml:space="preserve"> by 2035.</w:t>
      </w:r>
    </w:p>
    <w:p w:rsidR="007A09DB" w:rsidRDefault="007A09DB" w:rsidP="004513AF">
      <w:pPr>
        <w:rPr>
          <w:rFonts w:eastAsiaTheme="minorHAnsi"/>
        </w:rPr>
      </w:pPr>
    </w:p>
    <w:p w:rsidR="007A09DB" w:rsidRDefault="007A09DB" w:rsidP="00626DA2">
      <w:pPr>
        <w:rPr>
          <w:rFonts w:eastAsiaTheme="minorHAnsi"/>
        </w:rPr>
      </w:pPr>
      <w:r w:rsidRPr="004513AF">
        <w:rPr>
          <w:rFonts w:eastAsiaTheme="minorHAnsi"/>
        </w:rPr>
        <w:t xml:space="preserve">This chapter outlines the budget position of the general government sector. The broader public sector is covered in Chapter 5 </w:t>
      </w:r>
      <w:r w:rsidRPr="004513AF">
        <w:rPr>
          <w:rFonts w:eastAsiaTheme="minorHAnsi"/>
          <w:i/>
        </w:rPr>
        <w:t>Position and outlook of the broader public sector</w:t>
      </w:r>
      <w:r w:rsidRPr="004513AF">
        <w:rPr>
          <w:rFonts w:eastAsiaTheme="minorHAnsi"/>
        </w:rPr>
        <w:t xml:space="preserve">. This budget paper takes into account the financial impacts as at </w:t>
      </w:r>
      <w:r>
        <w:rPr>
          <w:rFonts w:eastAsiaTheme="minorHAnsi"/>
        </w:rPr>
        <w:t>20 </w:t>
      </w:r>
      <w:r w:rsidRPr="004513AF">
        <w:rPr>
          <w:rFonts w:eastAsiaTheme="minorHAnsi"/>
        </w:rPr>
        <w:t xml:space="preserve">April 2016 of all policy decisions </w:t>
      </w:r>
      <w:r>
        <w:rPr>
          <w:rFonts w:eastAsiaTheme="minorHAnsi"/>
        </w:rPr>
        <w:t>made</w:t>
      </w:r>
      <w:r w:rsidRPr="004513AF">
        <w:rPr>
          <w:rFonts w:eastAsiaTheme="minorHAnsi"/>
        </w:rPr>
        <w:t xml:space="preserve"> by the Victorian Government, as well as Commonwealth Government funding revisions and other information that affects the financial statements, unless otherwise stated.</w:t>
      </w:r>
    </w:p>
    <w:p w:rsidR="007A09DB" w:rsidRPr="00223E33" w:rsidRDefault="007A09DB" w:rsidP="00626DA2">
      <w:pPr>
        <w:rPr>
          <w:rFonts w:eastAsiaTheme="minorHAnsi"/>
        </w:rPr>
      </w:pPr>
    </w:p>
    <w:p w:rsidR="007A09DB" w:rsidRPr="004513AF" w:rsidRDefault="007A09DB" w:rsidP="002C08B7">
      <w:pPr>
        <w:pStyle w:val="Heading1"/>
        <w:rPr>
          <w:rFonts w:eastAsiaTheme="minorHAnsi"/>
        </w:rPr>
      </w:pPr>
      <w:bookmarkStart w:id="68" w:name="_Toc449123066"/>
      <w:r w:rsidRPr="004513AF">
        <w:rPr>
          <w:rFonts w:eastAsiaTheme="minorHAnsi"/>
        </w:rPr>
        <w:t>General government sector</w:t>
      </w:r>
      <w:bookmarkEnd w:id="68"/>
    </w:p>
    <w:p w:rsidR="007A09DB" w:rsidRPr="004513AF" w:rsidRDefault="007A09DB" w:rsidP="004513AF">
      <w:pPr>
        <w:pStyle w:val="Heading2"/>
        <w:rPr>
          <w:rFonts w:eastAsiaTheme="minorHAnsi"/>
        </w:rPr>
      </w:pPr>
      <w:r w:rsidRPr="004513AF">
        <w:rPr>
          <w:rFonts w:eastAsiaTheme="minorHAnsi"/>
        </w:rPr>
        <w:t>Overview</w:t>
      </w:r>
    </w:p>
    <w:p w:rsidR="007A09DB" w:rsidRDefault="007A09DB" w:rsidP="004513AF">
      <w:pPr>
        <w:rPr>
          <w:rFonts w:eastAsiaTheme="minorHAnsi"/>
        </w:rPr>
      </w:pPr>
      <w:r w:rsidRPr="00295A9E">
        <w:rPr>
          <w:rFonts w:eastAsiaTheme="minorHAnsi"/>
        </w:rPr>
        <w:t xml:space="preserve">The </w:t>
      </w:r>
      <w:r w:rsidRPr="00295A9E">
        <w:rPr>
          <w:rFonts w:eastAsiaTheme="minorHAnsi"/>
          <w:i/>
        </w:rPr>
        <w:t>2016</w:t>
      </w:r>
      <w:r>
        <w:rPr>
          <w:rFonts w:eastAsiaTheme="minorHAnsi"/>
          <w:i/>
        </w:rPr>
        <w:noBreakHyphen/>
      </w:r>
      <w:r w:rsidRPr="00295A9E">
        <w:rPr>
          <w:rFonts w:eastAsiaTheme="minorHAnsi"/>
          <w:i/>
        </w:rPr>
        <w:t>17 Budget</w:t>
      </w:r>
      <w:r w:rsidRPr="00295A9E">
        <w:rPr>
          <w:rFonts w:eastAsiaTheme="minorHAnsi"/>
        </w:rPr>
        <w:t xml:space="preserve"> funds further improvements to key services and infrastructure investment</w:t>
      </w:r>
      <w:r>
        <w:rPr>
          <w:rFonts w:eastAsiaTheme="minorHAnsi"/>
        </w:rPr>
        <w:t>s</w:t>
      </w:r>
      <w:r w:rsidRPr="00295A9E">
        <w:rPr>
          <w:rFonts w:eastAsiaTheme="minorHAnsi"/>
        </w:rPr>
        <w:t xml:space="preserve"> across Victoria. The Government is investing $</w:t>
      </w:r>
      <w:r>
        <w:rPr>
          <w:rFonts w:eastAsiaTheme="minorHAnsi"/>
        </w:rPr>
        <w:t>6.8 billion</w:t>
      </w:r>
      <w:r w:rsidRPr="00295A9E">
        <w:rPr>
          <w:rFonts w:eastAsiaTheme="minorHAnsi"/>
        </w:rPr>
        <w:t xml:space="preserve"> in additional service delivery, and </w:t>
      </w:r>
      <w:r>
        <w:rPr>
          <w:rFonts w:eastAsiaTheme="minorHAnsi"/>
        </w:rPr>
        <w:t xml:space="preserve">up to </w:t>
      </w:r>
      <w:r w:rsidRPr="00295A9E">
        <w:rPr>
          <w:rFonts w:eastAsiaTheme="minorHAnsi"/>
        </w:rPr>
        <w:t>$</w:t>
      </w:r>
      <w:r>
        <w:rPr>
          <w:rFonts w:eastAsiaTheme="minorHAnsi"/>
        </w:rPr>
        <w:t>12.4 billion</w:t>
      </w:r>
      <w:r w:rsidRPr="00295A9E">
        <w:rPr>
          <w:rFonts w:eastAsiaTheme="minorHAnsi"/>
        </w:rPr>
        <w:t xml:space="preserve"> total estimated inves</w:t>
      </w:r>
      <w:r>
        <w:rPr>
          <w:rFonts w:eastAsiaTheme="minorHAnsi"/>
        </w:rPr>
        <w:t>tment in new asset initiatives.</w:t>
      </w:r>
    </w:p>
    <w:p w:rsidR="007A09DB" w:rsidRPr="004513AF" w:rsidRDefault="007A09DB" w:rsidP="004513AF">
      <w:pPr>
        <w:rPr>
          <w:rFonts w:eastAsiaTheme="minorHAnsi"/>
        </w:rPr>
      </w:pPr>
      <w:r w:rsidRPr="004513AF">
        <w:rPr>
          <w:rFonts w:eastAsiaTheme="minorHAnsi"/>
        </w:rPr>
        <w:t>The operating result (net result from transactions) for the general government sector is forecast to be a surplus of $</w:t>
      </w:r>
      <w:r>
        <w:rPr>
          <w:rFonts w:eastAsiaTheme="minorHAnsi"/>
        </w:rPr>
        <w:t>2.9 billion</w:t>
      </w:r>
      <w:r w:rsidRPr="004513AF">
        <w:rPr>
          <w:rFonts w:eastAsiaTheme="minorHAnsi"/>
        </w:rPr>
        <w:t xml:space="preserve"> in </w:t>
      </w:r>
      <w:r>
        <w:rPr>
          <w:rFonts w:eastAsiaTheme="minorHAnsi"/>
        </w:rPr>
        <w:t>2016</w:t>
      </w:r>
      <w:r>
        <w:rPr>
          <w:rFonts w:eastAsiaTheme="minorHAnsi"/>
        </w:rPr>
        <w:noBreakHyphen/>
        <w:t>17</w:t>
      </w:r>
      <w:r w:rsidRPr="004513AF">
        <w:rPr>
          <w:rFonts w:eastAsiaTheme="minorHAnsi"/>
        </w:rPr>
        <w:t>, and average $</w:t>
      </w:r>
      <w:r>
        <w:rPr>
          <w:rFonts w:eastAsiaTheme="minorHAnsi"/>
        </w:rPr>
        <w:t>2.1 billion</w:t>
      </w:r>
      <w:r w:rsidRPr="004513AF">
        <w:rPr>
          <w:rFonts w:eastAsiaTheme="minorHAnsi"/>
        </w:rPr>
        <w:t xml:space="preserve"> </w:t>
      </w:r>
      <w:r>
        <w:rPr>
          <w:rFonts w:eastAsiaTheme="minorHAnsi"/>
        </w:rPr>
        <w:t xml:space="preserve">a year </w:t>
      </w:r>
      <w:r w:rsidRPr="004513AF">
        <w:rPr>
          <w:rFonts w:eastAsiaTheme="minorHAnsi"/>
        </w:rPr>
        <w:t>over the forward estimates (Table 4.1). This is in line with the Government</w:t>
      </w:r>
      <w:r>
        <w:rPr>
          <w:rFonts w:eastAsiaTheme="minorHAnsi"/>
        </w:rPr>
        <w:t>’</w:t>
      </w:r>
      <w:r w:rsidRPr="004513AF">
        <w:rPr>
          <w:rFonts w:eastAsiaTheme="minorHAnsi"/>
        </w:rPr>
        <w:t xml:space="preserve">s target of </w:t>
      </w:r>
      <w:r>
        <w:rPr>
          <w:rFonts w:eastAsiaTheme="minorHAnsi"/>
        </w:rPr>
        <w:t>maintaining</w:t>
      </w:r>
      <w:r w:rsidRPr="004513AF">
        <w:rPr>
          <w:rFonts w:eastAsiaTheme="minorHAnsi"/>
        </w:rPr>
        <w:t xml:space="preserve"> </w:t>
      </w:r>
      <w:r>
        <w:rPr>
          <w:rFonts w:eastAsiaTheme="minorHAnsi"/>
        </w:rPr>
        <w:t xml:space="preserve">strong </w:t>
      </w:r>
      <w:r w:rsidRPr="004513AF">
        <w:rPr>
          <w:rFonts w:eastAsiaTheme="minorHAnsi"/>
        </w:rPr>
        <w:t>operating surpluses in each year over the budget and forward estimates.</w:t>
      </w:r>
    </w:p>
    <w:p w:rsidR="007A09DB" w:rsidRDefault="007A09DB" w:rsidP="007630E8">
      <w:pPr>
        <w:rPr>
          <w:rFonts w:eastAsiaTheme="minorHAnsi"/>
        </w:rPr>
      </w:pPr>
      <w:r>
        <w:rPr>
          <w:rFonts w:eastAsiaTheme="minorHAnsi"/>
        </w:rPr>
        <w:t>T</w:t>
      </w:r>
      <w:r w:rsidRPr="004513AF">
        <w:rPr>
          <w:rFonts w:eastAsiaTheme="minorHAnsi"/>
        </w:rPr>
        <w:t xml:space="preserve">he Government </w:t>
      </w:r>
      <w:r>
        <w:rPr>
          <w:rFonts w:eastAsiaTheme="minorHAnsi"/>
        </w:rPr>
        <w:t xml:space="preserve">has also met its </w:t>
      </w:r>
      <w:r w:rsidRPr="004513AF">
        <w:rPr>
          <w:rFonts w:eastAsiaTheme="minorHAnsi"/>
        </w:rPr>
        <w:t>objective to ensure that expenditure growth (</w:t>
      </w:r>
      <w:r>
        <w:rPr>
          <w:rFonts w:eastAsiaTheme="minorHAnsi"/>
        </w:rPr>
        <w:t>3.3 per cent</w:t>
      </w:r>
      <w:r w:rsidRPr="004513AF">
        <w:rPr>
          <w:rFonts w:eastAsiaTheme="minorHAnsi"/>
        </w:rPr>
        <w:t xml:space="preserve"> a year) is no greater than revenue growth (</w:t>
      </w:r>
      <w:r>
        <w:rPr>
          <w:rFonts w:eastAsiaTheme="minorHAnsi"/>
        </w:rPr>
        <w:t>3.4 per cent</w:t>
      </w:r>
      <w:r w:rsidRPr="004513AF">
        <w:rPr>
          <w:rFonts w:eastAsiaTheme="minorHAnsi"/>
        </w:rPr>
        <w:t xml:space="preserve"> a year), on average, over the budget and forward estimates.</w:t>
      </w:r>
    </w:p>
    <w:p w:rsidR="007A09DB" w:rsidRPr="004513AF" w:rsidRDefault="007A09DB" w:rsidP="004513AF">
      <w:pPr>
        <w:rPr>
          <w:rFonts w:eastAsiaTheme="minorHAnsi"/>
        </w:rPr>
      </w:pPr>
      <w:r w:rsidRPr="004513AF">
        <w:rPr>
          <w:rFonts w:eastAsiaTheme="minorHAnsi"/>
        </w:rPr>
        <w:t>Operating surpluses of this size are designed to insulate the State against revenue shocks</w:t>
      </w:r>
      <w:r>
        <w:rPr>
          <w:rFonts w:eastAsiaTheme="minorHAnsi"/>
        </w:rPr>
        <w:t>,</w:t>
      </w:r>
      <w:r w:rsidRPr="004513AF">
        <w:rPr>
          <w:rFonts w:eastAsiaTheme="minorHAnsi"/>
        </w:rPr>
        <w:t xml:space="preserve"> and </w:t>
      </w:r>
      <w:r>
        <w:rPr>
          <w:rFonts w:eastAsiaTheme="minorHAnsi"/>
        </w:rPr>
        <w:t xml:space="preserve">fund </w:t>
      </w:r>
      <w:r w:rsidRPr="004513AF">
        <w:rPr>
          <w:rFonts w:eastAsiaTheme="minorHAnsi"/>
        </w:rPr>
        <w:t xml:space="preserve">infrastructure investment while maintaining </w:t>
      </w:r>
      <w:r>
        <w:rPr>
          <w:rFonts w:eastAsiaTheme="minorHAnsi"/>
        </w:rPr>
        <w:t xml:space="preserve">net </w:t>
      </w:r>
      <w:r w:rsidRPr="004513AF">
        <w:rPr>
          <w:rFonts w:eastAsiaTheme="minorHAnsi"/>
        </w:rPr>
        <w:t>debt at prudent levels</w:t>
      </w:r>
      <w:r>
        <w:rPr>
          <w:rFonts w:eastAsiaTheme="minorHAnsi"/>
        </w:rPr>
        <w:t>.</w:t>
      </w:r>
      <w:r w:rsidR="00D9023F">
        <w:rPr>
          <w:rFonts w:eastAsiaTheme="minorHAnsi"/>
        </w:rPr>
        <w:fldChar w:fldCharType="begin"/>
      </w:r>
      <w:r w:rsidR="00D9023F">
        <w:instrText xml:space="preserve"> XE "</w:instrText>
      </w:r>
      <w:r w:rsidR="00D9023F" w:rsidRPr="0034587E">
        <w:rPr>
          <w:rFonts w:eastAsiaTheme="minorHAnsi"/>
        </w:rPr>
        <w:instrText>Service delivery</w:instrText>
      </w:r>
      <w:r w:rsidR="00D9023F">
        <w:instrText xml:space="preserve">" \r "BP2ServDel1" </w:instrText>
      </w:r>
      <w:r w:rsidR="00D9023F">
        <w:rPr>
          <w:rFonts w:eastAsiaTheme="minorHAnsi"/>
        </w:rPr>
        <w:fldChar w:fldCharType="end"/>
      </w:r>
    </w:p>
    <w:bookmarkEnd w:id="66"/>
    <w:p w:rsidR="007A09DB" w:rsidRPr="00A525FE" w:rsidRDefault="007A09DB" w:rsidP="001C397C">
      <w:pPr>
        <w:pStyle w:val="Tableheading"/>
        <w:rPr>
          <w:rFonts w:eastAsiaTheme="minorHAnsi"/>
        </w:rPr>
      </w:pPr>
      <w:r w:rsidRPr="004513AF">
        <w:rPr>
          <w:rFonts w:eastAsiaTheme="minorHAnsi"/>
        </w:rPr>
        <w:t xml:space="preserve">Table 4.1: </w:t>
      </w:r>
      <w:r w:rsidRPr="004513AF">
        <w:rPr>
          <w:rFonts w:eastAsiaTheme="minorHAnsi"/>
        </w:rPr>
        <w:tab/>
        <w:t>General government fiscal aggregates</w:t>
      </w:r>
    </w:p>
    <w:tbl>
      <w:tblPr>
        <w:tblW w:w="7764" w:type="dxa"/>
        <w:tblInd w:w="45" w:type="dxa"/>
        <w:tblLayout w:type="fixed"/>
        <w:tblCellMar>
          <w:left w:w="45" w:type="dxa"/>
          <w:right w:w="45" w:type="dxa"/>
        </w:tblCellMar>
        <w:tblLook w:val="0000" w:firstRow="0" w:lastRow="0" w:firstColumn="0" w:lastColumn="0" w:noHBand="0" w:noVBand="0"/>
      </w:tblPr>
      <w:tblGrid>
        <w:gridCol w:w="1814"/>
        <w:gridCol w:w="850"/>
        <w:gridCol w:w="850"/>
        <w:gridCol w:w="850"/>
        <w:gridCol w:w="850"/>
        <w:gridCol w:w="850"/>
        <w:gridCol w:w="850"/>
        <w:gridCol w:w="850"/>
      </w:tblGrid>
      <w:tr w:rsidR="007A09DB" w:rsidRPr="001C397C" w:rsidTr="001C397C">
        <w:tc>
          <w:tcPr>
            <w:tcW w:w="1814" w:type="dxa"/>
            <w:shd w:val="solid" w:color="000000" w:fill="auto"/>
          </w:tcPr>
          <w:p w:rsidR="007A09DB" w:rsidRPr="001C397C" w:rsidRDefault="007A09DB" w:rsidP="001C397C">
            <w:pPr>
              <w:pStyle w:val="Source"/>
              <w:spacing w:after="0"/>
              <w:rPr>
                <w:rFonts w:eastAsiaTheme="minorEastAsia" w:cs="Calibri"/>
                <w:iCs/>
                <w:color w:val="FFFFFF"/>
                <w:sz w:val="19"/>
                <w:szCs w:val="19"/>
                <w:lang w:eastAsia="en-AU"/>
              </w:rPr>
            </w:pPr>
            <w:r w:rsidRPr="001C397C">
              <w:rPr>
                <w:rFonts w:eastAsiaTheme="minorEastAsia" w:cs="Calibri"/>
                <w:iCs/>
                <w:color w:val="FFFFFF"/>
                <w:sz w:val="19"/>
                <w:szCs w:val="19"/>
                <w:lang w:eastAsia="en-AU"/>
              </w:rPr>
              <w:t xml:space="preserve"> </w:t>
            </w:r>
          </w:p>
        </w:tc>
        <w:tc>
          <w:tcPr>
            <w:tcW w:w="850" w:type="dxa"/>
            <w:shd w:val="solid" w:color="000000" w:fill="auto"/>
          </w:tcPr>
          <w:p w:rsidR="007A09DB" w:rsidRPr="001C397C" w:rsidRDefault="007A09DB" w:rsidP="001C397C">
            <w:pPr>
              <w:autoSpaceDE w:val="0"/>
              <w:autoSpaceDN w:val="0"/>
              <w:adjustRightInd w:val="0"/>
              <w:spacing w:after="0"/>
              <w:jc w:val="center"/>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Unit of</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15</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16</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17</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18</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19</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20</w:t>
            </w:r>
          </w:p>
        </w:tc>
      </w:tr>
      <w:tr w:rsidR="007A09DB" w:rsidRPr="001C397C" w:rsidTr="001C397C">
        <w:tc>
          <w:tcPr>
            <w:tcW w:w="1814" w:type="dxa"/>
            <w:shd w:val="solid" w:color="000000" w:fill="auto"/>
          </w:tcPr>
          <w:p w:rsidR="007A09DB" w:rsidRPr="001C397C" w:rsidRDefault="007A09DB" w:rsidP="001C397C">
            <w:pPr>
              <w:autoSpaceDE w:val="0"/>
              <w:autoSpaceDN w:val="0"/>
              <w:adjustRightInd w:val="0"/>
              <w:spacing w:after="0"/>
              <w:rPr>
                <w:rFonts w:ascii="Calibri" w:eastAsiaTheme="minorEastAsia" w:hAnsi="Calibri" w:cs="Calibri"/>
                <w:i/>
                <w:iCs/>
                <w:color w:val="FFFFFF"/>
                <w:sz w:val="19"/>
                <w:szCs w:val="19"/>
                <w:lang w:eastAsia="en-AU"/>
              </w:rPr>
            </w:pPr>
          </w:p>
        </w:tc>
        <w:tc>
          <w:tcPr>
            <w:tcW w:w="850" w:type="dxa"/>
            <w:shd w:val="solid" w:color="000000" w:fill="auto"/>
          </w:tcPr>
          <w:p w:rsidR="007A09DB" w:rsidRPr="001C397C" w:rsidRDefault="007A09DB" w:rsidP="001C397C">
            <w:pPr>
              <w:autoSpaceDE w:val="0"/>
              <w:autoSpaceDN w:val="0"/>
              <w:adjustRightInd w:val="0"/>
              <w:spacing w:after="0"/>
              <w:jc w:val="center"/>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measure</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actual</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revised</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budget</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c>
          <w:tcPr>
            <w:tcW w:w="850" w:type="dxa"/>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r>
      <w:tr w:rsidR="007A09DB" w:rsidRPr="001C397C" w:rsidTr="001C397C">
        <w:tc>
          <w:tcPr>
            <w:tcW w:w="1814" w:type="dxa"/>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Net result from transactions</w:t>
            </w:r>
          </w:p>
        </w:tc>
        <w:tc>
          <w:tcPr>
            <w:tcW w:w="850" w:type="dxa"/>
            <w:shd w:val="clear" w:color="auto" w:fill="FFFFFF"/>
          </w:tcPr>
          <w:p w:rsidR="007A09DB" w:rsidRPr="001C397C" w:rsidRDefault="007A09DB" w:rsidP="001C397C">
            <w:pPr>
              <w:autoSpaceDE w:val="0"/>
              <w:autoSpaceDN w:val="0"/>
              <w:adjustRightInd w:val="0"/>
              <w:spacing w:after="0"/>
              <w:jc w:val="center"/>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w:t>
            </w:r>
            <w:r>
              <w:rPr>
                <w:rFonts w:ascii="Calibri" w:eastAsiaTheme="minorEastAsia" w:hAnsi="Calibri" w:cs="Calibri"/>
                <w:color w:val="000000"/>
                <w:sz w:val="19"/>
                <w:szCs w:val="19"/>
                <w:lang w:eastAsia="en-AU"/>
              </w:rPr>
              <w:t> billion</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1.2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1.9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2.9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1.8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2.1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2.5 </w:t>
            </w:r>
          </w:p>
        </w:tc>
      </w:tr>
      <w:tr w:rsidR="007A09DB" w:rsidRPr="001C397C" w:rsidTr="001C397C">
        <w:tc>
          <w:tcPr>
            <w:tcW w:w="1814" w:type="dxa"/>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1C397C">
              <w:rPr>
                <w:rFonts w:ascii="Calibri" w:eastAsiaTheme="minorEastAsia" w:hAnsi="Calibri" w:cs="Calibri"/>
                <w:color w:val="000000"/>
                <w:sz w:val="19"/>
                <w:szCs w:val="19"/>
                <w:lang w:eastAsia="en-AU"/>
              </w:rPr>
              <w:t xml:space="preserve">Government infrastructure investment </w:t>
            </w:r>
            <w:r w:rsidRPr="001C397C">
              <w:rPr>
                <w:rFonts w:ascii="Calibri" w:eastAsiaTheme="minorEastAsia" w:hAnsi="Calibri" w:cs="Calibri"/>
                <w:color w:val="000000"/>
                <w:sz w:val="19"/>
                <w:szCs w:val="19"/>
                <w:vertAlign w:val="superscript"/>
                <w:lang w:eastAsia="en-AU"/>
              </w:rPr>
              <w:t>(a)(b)</w:t>
            </w:r>
          </w:p>
        </w:tc>
        <w:tc>
          <w:tcPr>
            <w:tcW w:w="850" w:type="dxa"/>
            <w:shd w:val="clear" w:color="auto" w:fill="FFFFFF"/>
          </w:tcPr>
          <w:p w:rsidR="007A09DB" w:rsidRPr="001C397C" w:rsidRDefault="007A09DB" w:rsidP="001C397C">
            <w:pPr>
              <w:autoSpaceDE w:val="0"/>
              <w:autoSpaceDN w:val="0"/>
              <w:adjustRightInd w:val="0"/>
              <w:spacing w:after="0"/>
              <w:jc w:val="center"/>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w:t>
            </w:r>
            <w:r>
              <w:rPr>
                <w:rFonts w:ascii="Calibri" w:eastAsiaTheme="minorEastAsia" w:hAnsi="Calibri" w:cs="Calibri"/>
                <w:color w:val="000000"/>
                <w:sz w:val="19"/>
                <w:szCs w:val="19"/>
                <w:lang w:eastAsia="en-AU"/>
              </w:rPr>
              <w:t> billion</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4.6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4.5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7.5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7.7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7.4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7.1 </w:t>
            </w:r>
          </w:p>
        </w:tc>
      </w:tr>
      <w:tr w:rsidR="007A09DB" w:rsidRPr="001C397C" w:rsidTr="001C397C">
        <w:tc>
          <w:tcPr>
            <w:tcW w:w="1814" w:type="dxa"/>
            <w:shd w:val="clear" w:color="auto" w:fill="FFFFFF"/>
          </w:tcPr>
          <w:p w:rsidR="007A09DB" w:rsidRPr="001C397C" w:rsidRDefault="007A09DB" w:rsidP="0088152A">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Net debt</w:t>
            </w:r>
          </w:p>
        </w:tc>
        <w:tc>
          <w:tcPr>
            <w:tcW w:w="850" w:type="dxa"/>
            <w:shd w:val="clear" w:color="auto" w:fill="FFFFFF"/>
          </w:tcPr>
          <w:p w:rsidR="007A09DB" w:rsidRPr="001C397C" w:rsidRDefault="007A09DB" w:rsidP="001C397C">
            <w:pPr>
              <w:autoSpaceDE w:val="0"/>
              <w:autoSpaceDN w:val="0"/>
              <w:adjustRightInd w:val="0"/>
              <w:spacing w:after="0"/>
              <w:jc w:val="center"/>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w:t>
            </w:r>
            <w:r>
              <w:rPr>
                <w:rFonts w:ascii="Calibri" w:eastAsiaTheme="minorEastAsia" w:hAnsi="Calibri" w:cs="Calibri"/>
                <w:color w:val="000000"/>
                <w:sz w:val="19"/>
                <w:szCs w:val="19"/>
                <w:lang w:eastAsia="en-AU"/>
              </w:rPr>
              <w:t> billion</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22.3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22.5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18.6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20.9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22.3 </w:t>
            </w:r>
          </w:p>
        </w:tc>
        <w:tc>
          <w:tcPr>
            <w:tcW w:w="850" w:type="dxa"/>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22.2 </w:t>
            </w:r>
          </w:p>
        </w:tc>
      </w:tr>
      <w:tr w:rsidR="007A09DB" w:rsidRPr="001C397C" w:rsidTr="001C397C">
        <w:tc>
          <w:tcPr>
            <w:tcW w:w="1814" w:type="dxa"/>
            <w:tcBorders>
              <w:bottom w:val="single" w:sz="12" w:space="0" w:color="auto"/>
            </w:tcBorders>
            <w:shd w:val="clear" w:color="auto" w:fill="FFFFFF"/>
          </w:tcPr>
          <w:p w:rsidR="007A09DB" w:rsidRPr="001C397C" w:rsidRDefault="007A09DB" w:rsidP="0088152A">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Net debt to GSP</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center"/>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per cent</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6.2 </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5.9 </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4.7 </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5.0 </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5.1 </w:t>
            </w:r>
          </w:p>
        </w:tc>
        <w:tc>
          <w:tcPr>
            <w:tcW w:w="850" w:type="dxa"/>
            <w:tcBorders>
              <w:bottom w:val="single" w:sz="12" w:space="0" w:color="auto"/>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 xml:space="preserve">4.8 </w:t>
            </w:r>
          </w:p>
        </w:tc>
      </w:tr>
    </w:tbl>
    <w:p w:rsidR="007A09DB" w:rsidRPr="004513AF" w:rsidRDefault="007A09DB" w:rsidP="004F35DB">
      <w:pPr>
        <w:pStyle w:val="Source"/>
        <w:rPr>
          <w:rFonts w:eastAsiaTheme="minorHAnsi"/>
        </w:rPr>
      </w:pPr>
      <w:r w:rsidRPr="004513AF">
        <w:rPr>
          <w:rFonts w:eastAsiaTheme="minorHAnsi"/>
        </w:rPr>
        <w:t>Source: Department of Treasury and Finance</w:t>
      </w:r>
    </w:p>
    <w:p w:rsidR="007A09DB" w:rsidRPr="004513AF" w:rsidRDefault="007A09DB" w:rsidP="004513AF">
      <w:pPr>
        <w:pStyle w:val="Notes"/>
        <w:rPr>
          <w:rFonts w:eastAsiaTheme="minorHAnsi"/>
        </w:rPr>
      </w:pPr>
      <w:r w:rsidRPr="004513AF">
        <w:rPr>
          <w:rFonts w:eastAsiaTheme="minorHAnsi"/>
        </w:rPr>
        <w:t>Notes:</w:t>
      </w:r>
    </w:p>
    <w:p w:rsidR="007A09DB" w:rsidRPr="004513AF" w:rsidRDefault="007A09DB" w:rsidP="004513AF">
      <w:pPr>
        <w:pStyle w:val="Notes"/>
        <w:rPr>
          <w:rFonts w:eastAsiaTheme="minorHAnsi"/>
        </w:rPr>
      </w:pPr>
      <w:r w:rsidRPr="004513AF">
        <w:rPr>
          <w:rFonts w:eastAsiaTheme="minorHAnsi"/>
        </w:rPr>
        <w:t>(a)</w:t>
      </w:r>
      <w:r w:rsidRPr="004513AF">
        <w:rPr>
          <w:rFonts w:eastAsiaTheme="minorHAnsi"/>
        </w:rPr>
        <w:tab/>
        <w:t>Includes general government net infrastructu</w:t>
      </w:r>
      <w:r>
        <w:rPr>
          <w:rFonts w:eastAsiaTheme="minorHAnsi"/>
        </w:rPr>
        <w:t>re investment and estimated cash</w:t>
      </w:r>
      <w:r w:rsidRPr="004513AF">
        <w:rPr>
          <w:rFonts w:eastAsiaTheme="minorHAnsi"/>
        </w:rPr>
        <w:t xml:space="preserve">flows for </w:t>
      </w:r>
      <w:r w:rsidRPr="00FF536B">
        <w:rPr>
          <w:rFonts w:eastAsiaTheme="minorHAnsi"/>
          <w:i w:val="0"/>
        </w:rPr>
        <w:t>Partnerships Victoria</w:t>
      </w:r>
      <w:r w:rsidRPr="004513AF">
        <w:rPr>
          <w:rFonts w:eastAsiaTheme="minorHAnsi"/>
        </w:rPr>
        <w:t xml:space="preserve"> projects.</w:t>
      </w:r>
    </w:p>
    <w:p w:rsidR="007A09DB" w:rsidRPr="004513AF" w:rsidRDefault="007A09DB" w:rsidP="004513AF">
      <w:pPr>
        <w:pStyle w:val="Notes"/>
        <w:rPr>
          <w:rFonts w:eastAsiaTheme="minorHAnsi"/>
        </w:rPr>
      </w:pPr>
      <w:r w:rsidRPr="004513AF">
        <w:rPr>
          <w:rFonts w:eastAsiaTheme="minorHAnsi"/>
        </w:rPr>
        <w:t>(b)</w:t>
      </w:r>
      <w:r w:rsidRPr="004513AF">
        <w:rPr>
          <w:rFonts w:eastAsiaTheme="minorHAnsi"/>
        </w:rPr>
        <w:tab/>
        <w:t>Excludes the impact</w:t>
      </w:r>
      <w:r>
        <w:rPr>
          <w:rFonts w:eastAsiaTheme="minorHAnsi"/>
        </w:rPr>
        <w:t xml:space="preserve"> </w:t>
      </w:r>
      <w:r w:rsidRPr="004513AF">
        <w:rPr>
          <w:rFonts w:eastAsiaTheme="minorHAnsi"/>
        </w:rPr>
        <w:t>of the medium</w:t>
      </w:r>
      <w:r>
        <w:rPr>
          <w:rFonts w:eastAsiaTheme="minorHAnsi"/>
        </w:rPr>
        <w:noBreakHyphen/>
      </w:r>
      <w:r w:rsidRPr="004513AF">
        <w:rPr>
          <w:rFonts w:eastAsiaTheme="minorHAnsi"/>
        </w:rPr>
        <w:t>term lease over the 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4513AF">
        <w:rPr>
          <w:rFonts w:eastAsiaTheme="minorHAnsi"/>
        </w:rPr>
        <w:t>.</w:t>
      </w:r>
    </w:p>
    <w:p w:rsidR="007A09DB" w:rsidRDefault="007A09DB" w:rsidP="004F35DB">
      <w:pPr>
        <w:rPr>
          <w:rFonts w:eastAsiaTheme="minorHAnsi"/>
        </w:rPr>
      </w:pPr>
    </w:p>
    <w:p w:rsidR="007A09DB" w:rsidRDefault="007A09DB" w:rsidP="004513AF">
      <w:pPr>
        <w:rPr>
          <w:rFonts w:eastAsiaTheme="minorHAnsi"/>
        </w:rPr>
      </w:pPr>
      <w:r w:rsidRPr="004513AF">
        <w:rPr>
          <w:rFonts w:eastAsiaTheme="minorHAnsi"/>
        </w:rPr>
        <w:t xml:space="preserve">Government infrastructure investment </w:t>
      </w:r>
      <w:r>
        <w:rPr>
          <w:rFonts w:eastAsiaTheme="minorHAnsi"/>
        </w:rPr>
        <w:t xml:space="preserve">(GII) </w:t>
      </w:r>
      <w:r w:rsidRPr="004513AF">
        <w:rPr>
          <w:rFonts w:eastAsiaTheme="minorHAnsi"/>
        </w:rPr>
        <w:t>over the budget and forward estimates averages $</w:t>
      </w:r>
      <w:r>
        <w:rPr>
          <w:rFonts w:eastAsiaTheme="minorHAnsi"/>
        </w:rPr>
        <w:t>7.4 billion</w:t>
      </w:r>
      <w:r w:rsidRPr="004513AF">
        <w:rPr>
          <w:rFonts w:eastAsiaTheme="minorHAnsi"/>
        </w:rPr>
        <w:t xml:space="preserve"> a year compared with the historical average of $4.9</w:t>
      </w:r>
      <w:r>
        <w:rPr>
          <w:rFonts w:eastAsiaTheme="minorHAnsi"/>
        </w:rPr>
        <w:t> billion a year over 2005</w:t>
      </w:r>
      <w:r>
        <w:rPr>
          <w:rFonts w:eastAsiaTheme="minorHAnsi"/>
        </w:rPr>
        <w:noBreakHyphen/>
        <w:t>06 to 2015</w:t>
      </w:r>
      <w:r>
        <w:rPr>
          <w:rFonts w:eastAsiaTheme="minorHAnsi"/>
        </w:rPr>
        <w:noBreakHyphen/>
      </w:r>
      <w:r w:rsidRPr="004513AF">
        <w:rPr>
          <w:rFonts w:eastAsiaTheme="minorHAnsi"/>
        </w:rPr>
        <w:t xml:space="preserve">16. </w:t>
      </w:r>
      <w:r w:rsidRPr="00BF30FC">
        <w:rPr>
          <w:rFonts w:eastAsiaTheme="minorHAnsi"/>
        </w:rPr>
        <w:t>The current level of GII, which incorporates estimates for both new investment and the offsetting impacts for asset sales and capital repatriations, reflects government decisions and current estimates for project milestones and delivery schedules.</w:t>
      </w:r>
    </w:p>
    <w:p w:rsidR="007A09DB" w:rsidRDefault="007A09DB" w:rsidP="004513AF">
      <w:pPr>
        <w:rPr>
          <w:rFonts w:eastAsiaTheme="minorHAnsi"/>
        </w:rPr>
      </w:pPr>
      <w:r w:rsidRPr="004513AF">
        <w:rPr>
          <w:rFonts w:eastAsiaTheme="minorHAnsi"/>
        </w:rPr>
        <w:t xml:space="preserve">Net debt as a proportion of GSP is expected to be </w:t>
      </w:r>
      <w:r>
        <w:rPr>
          <w:rFonts w:eastAsiaTheme="minorHAnsi"/>
        </w:rPr>
        <w:t>5.9 per cent</w:t>
      </w:r>
      <w:r w:rsidRPr="004513AF">
        <w:rPr>
          <w:rFonts w:eastAsiaTheme="minorHAnsi"/>
        </w:rPr>
        <w:t xml:space="preserve"> at June 2016 before declining sharply in </w:t>
      </w:r>
      <w:r>
        <w:rPr>
          <w:rFonts w:eastAsiaTheme="minorHAnsi"/>
        </w:rPr>
        <w:t>2016</w:t>
      </w:r>
      <w:r>
        <w:rPr>
          <w:rFonts w:eastAsiaTheme="minorHAnsi"/>
        </w:rPr>
        <w:noBreakHyphen/>
        <w:t>17</w:t>
      </w:r>
      <w:r w:rsidRPr="004513AF">
        <w:rPr>
          <w:rFonts w:eastAsiaTheme="minorHAnsi"/>
        </w:rPr>
        <w:t>, largely reflecting the receipt of proceeds from entering into a medium</w:t>
      </w:r>
      <w:r>
        <w:rPr>
          <w:rFonts w:eastAsiaTheme="minorHAnsi"/>
        </w:rPr>
        <w:noBreakHyphen/>
      </w:r>
      <w:r w:rsidRPr="004513AF">
        <w:rPr>
          <w:rFonts w:eastAsiaTheme="minorHAnsi"/>
        </w:rPr>
        <w:t>term lease over the 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4513AF">
        <w:rPr>
          <w:rFonts w:eastAsiaTheme="minorHAnsi"/>
        </w:rPr>
        <w:t xml:space="preserve">. By June 2020, net debt as a proportion of GSP is expected to be </w:t>
      </w:r>
      <w:r>
        <w:rPr>
          <w:rFonts w:eastAsiaTheme="minorHAnsi"/>
        </w:rPr>
        <w:t>4.8 per cent</w:t>
      </w:r>
      <w:r w:rsidRPr="004513AF">
        <w:rPr>
          <w:rFonts w:eastAsiaTheme="minorHAnsi"/>
        </w:rPr>
        <w:t>.</w:t>
      </w:r>
    </w:p>
    <w:p w:rsidR="007A09DB" w:rsidRDefault="007A09DB" w:rsidP="004513AF">
      <w:pPr>
        <w:rPr>
          <w:rFonts w:eastAsiaTheme="minorHAnsi"/>
        </w:rPr>
      </w:pPr>
      <w:r>
        <w:rPr>
          <w:rFonts w:eastAsiaTheme="minorHAnsi"/>
        </w:rPr>
        <w:t>Net debt of 4.8 per cent</w:t>
      </w:r>
      <w:r w:rsidRPr="00295A9E">
        <w:rPr>
          <w:rFonts w:eastAsiaTheme="minorHAnsi"/>
        </w:rPr>
        <w:t xml:space="preserve"> of GSP provides the headroom to potentially increase borrowings in the future for further productivity</w:t>
      </w:r>
      <w:r>
        <w:rPr>
          <w:rFonts w:eastAsiaTheme="minorHAnsi"/>
        </w:rPr>
        <w:noBreakHyphen/>
      </w:r>
      <w:r w:rsidRPr="00295A9E">
        <w:rPr>
          <w:rFonts w:eastAsiaTheme="minorHAnsi"/>
        </w:rPr>
        <w:t>enhancing infrastructure across Victoria, while keeping debt at levels that are consistent with a triple</w:t>
      </w:r>
      <w:r>
        <w:rPr>
          <w:rFonts w:eastAsiaTheme="minorHAnsi"/>
        </w:rPr>
        <w:noBreakHyphen/>
      </w:r>
      <w:r w:rsidRPr="00295A9E">
        <w:rPr>
          <w:rFonts w:eastAsiaTheme="minorHAnsi"/>
        </w:rPr>
        <w:t>A credit rating</w:t>
      </w:r>
      <w:r>
        <w:rPr>
          <w:rFonts w:eastAsiaTheme="minorHAnsi"/>
        </w:rP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rPr>
          <w:rFonts w:eastAsiaTheme="minorHAnsi"/>
        </w:rPr>
        <w:fldChar w:fldCharType="end"/>
      </w:r>
      <w:r w:rsidRPr="00295A9E">
        <w:rPr>
          <w:rFonts w:eastAsiaTheme="minorHAnsi"/>
        </w:rPr>
        <w:t>.</w:t>
      </w:r>
      <w:bookmarkEnd w:id="67"/>
      <w:r>
        <w:rPr>
          <w:rFonts w:eastAsiaTheme="minorHAnsi"/>
        </w:rPr>
        <w:fldChar w:fldCharType="begin"/>
      </w:r>
      <w:r>
        <w:instrText xml:space="preserve"> XE "</w:instrText>
      </w:r>
      <w:r w:rsidRPr="006B35B0">
        <w:rPr>
          <w:rFonts w:eastAsiaTheme="minorHAnsi"/>
        </w:rPr>
        <w:instrText>Debt:</w:instrText>
      </w:r>
      <w:r w:rsidRPr="006B35B0">
        <w:instrText>Net debt</w:instrText>
      </w:r>
      <w:r>
        <w:instrText xml:space="preserve">" \r "BP2NetDebt3" </w:instrText>
      </w:r>
      <w:r>
        <w:rPr>
          <w:rFonts w:eastAsiaTheme="minorHAnsi"/>
        </w:rPr>
        <w:fldChar w:fldCharType="end"/>
      </w:r>
      <w:r w:rsidR="00D9023F">
        <w:rPr>
          <w:rFonts w:eastAsiaTheme="minorHAnsi"/>
        </w:rPr>
        <w:fldChar w:fldCharType="begin"/>
      </w:r>
      <w:r w:rsidR="00D9023F">
        <w:instrText xml:space="preserve"> XE "</w:instrText>
      </w:r>
      <w:r w:rsidR="00D9023F" w:rsidRPr="00022BB5">
        <w:rPr>
          <w:rFonts w:eastAsiaTheme="minorHAnsi"/>
        </w:rPr>
        <w:instrText>Productivity</w:instrText>
      </w:r>
      <w:r w:rsidR="00D9023F">
        <w:instrText xml:space="preserve">" \r "BP2Prod4" </w:instrText>
      </w:r>
      <w:r w:rsidR="00D9023F">
        <w:rPr>
          <w:rFonts w:eastAsiaTheme="minorHAnsi"/>
        </w:rPr>
        <w:fldChar w:fldCharType="end"/>
      </w:r>
    </w:p>
    <w:p w:rsidR="007A09DB" w:rsidRPr="004513AF" w:rsidRDefault="007A09DB" w:rsidP="002C08B7">
      <w:pPr>
        <w:pStyle w:val="Heading1"/>
        <w:rPr>
          <w:rFonts w:eastAsiaTheme="minorHAnsi"/>
        </w:rPr>
      </w:pPr>
      <w:bookmarkStart w:id="69" w:name="_Toc449123067"/>
      <w:bookmarkEnd w:id="65"/>
      <w:r w:rsidRPr="004513AF">
        <w:rPr>
          <w:rFonts w:eastAsiaTheme="minorHAnsi"/>
        </w:rPr>
        <w:t>Budget and forward estimates outlook</w:t>
      </w:r>
      <w:bookmarkEnd w:id="69"/>
    </w:p>
    <w:p w:rsidR="007A09DB" w:rsidRDefault="007A09DB" w:rsidP="004513AF">
      <w:pPr>
        <w:rPr>
          <w:rFonts w:eastAsiaTheme="minorHAnsi"/>
        </w:rPr>
      </w:pPr>
      <w:r w:rsidRPr="004513AF">
        <w:rPr>
          <w:rFonts w:eastAsiaTheme="minorHAnsi"/>
        </w:rPr>
        <w:t xml:space="preserve">Table 4.2 summarises the operating statement over the budget and forward estimates for the general government sector. A comprehensive operating statement is presented in Table 1.1 </w:t>
      </w:r>
      <w:r>
        <w:rPr>
          <w:rFonts w:eastAsiaTheme="minorHAnsi"/>
        </w:rPr>
        <w:t>of</w:t>
      </w:r>
      <w:r w:rsidRPr="004513AF">
        <w:rPr>
          <w:rFonts w:eastAsiaTheme="minorHAnsi"/>
        </w:rPr>
        <w:t xml:space="preserve"> Budget Paper </w:t>
      </w:r>
      <w:r>
        <w:rPr>
          <w:rFonts w:eastAsiaTheme="minorHAnsi"/>
        </w:rPr>
        <w:t>No. </w:t>
      </w:r>
      <w:r w:rsidRPr="004513AF">
        <w:rPr>
          <w:rFonts w:eastAsiaTheme="minorHAnsi"/>
        </w:rPr>
        <w:t>5, Chapter</w:t>
      </w:r>
      <w:r>
        <w:rPr>
          <w:rFonts w:eastAsiaTheme="minorHAnsi"/>
        </w:rPr>
        <w:t> </w:t>
      </w:r>
      <w:r w:rsidRPr="004513AF">
        <w:rPr>
          <w:rFonts w:eastAsiaTheme="minorHAnsi"/>
        </w:rPr>
        <w:t xml:space="preserve">1 </w:t>
      </w:r>
      <w:r w:rsidRPr="00165693">
        <w:rPr>
          <w:rFonts w:eastAsiaTheme="minorHAnsi"/>
          <w:i/>
        </w:rPr>
        <w:t>Estimated financial statements for the g</w:t>
      </w:r>
      <w:r>
        <w:rPr>
          <w:rFonts w:eastAsiaTheme="minorHAnsi"/>
          <w:i/>
        </w:rPr>
        <w:t>eneral government sector</w:t>
      </w:r>
      <w:r w:rsidRPr="004513AF">
        <w:rPr>
          <w:rFonts w:eastAsiaTheme="minorHAnsi"/>
        </w:rPr>
        <w:t>.</w:t>
      </w:r>
    </w:p>
    <w:p w:rsidR="007A09DB" w:rsidRDefault="007A09DB" w:rsidP="004513AF">
      <w:pPr>
        <w:pStyle w:val="Tableheading"/>
        <w:rPr>
          <w:rFonts w:eastAsiaTheme="minorHAnsi"/>
        </w:rPr>
      </w:pPr>
      <w:r w:rsidRPr="004513AF">
        <w:rPr>
          <w:rFonts w:eastAsiaTheme="minorHAnsi"/>
        </w:rPr>
        <w:t xml:space="preserve">Table 4.2: </w:t>
      </w:r>
      <w:r w:rsidRPr="004513AF">
        <w:rPr>
          <w:rFonts w:eastAsiaTheme="minorHAnsi"/>
        </w:rPr>
        <w:tab/>
        <w:t>Summary operating statement for the general government sector</w:t>
      </w:r>
      <w:r w:rsidRPr="004513AF">
        <w:rPr>
          <w:rFonts w:eastAsiaTheme="minorHAnsi"/>
          <w:vertAlign w:val="superscript"/>
        </w:rPr>
        <w:t>(a)</w:t>
      </w:r>
    </w:p>
    <w:p w:rsidR="007A09DB" w:rsidRPr="001C397C" w:rsidRDefault="007A09DB" w:rsidP="001C397C">
      <w:pPr>
        <w:pStyle w:val="million"/>
        <w:rPr>
          <w:rFonts w:eastAsiaTheme="minorHAnsi"/>
          <w:b/>
          <w:bCs/>
          <w:sz w:val="15"/>
          <w:lang w:val="en-US"/>
        </w:rPr>
      </w:pPr>
      <w:r w:rsidRPr="004513AF">
        <w:rPr>
          <w:rFonts w:eastAsiaTheme="minorHAnsi"/>
        </w:rPr>
        <w:t>($</w:t>
      </w:r>
      <w:r>
        <w:rPr>
          <w:rFonts w:eastAsiaTheme="minorHAnsi"/>
        </w:rPr>
        <w:t> million</w:t>
      </w:r>
      <w:r w:rsidRPr="004513AF">
        <w:rPr>
          <w:rFonts w:eastAsiaTheme="minorHAnsi"/>
        </w:rPr>
        <w:t>)</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1C397C" w:rsidTr="001C397C">
        <w:tc>
          <w:tcPr>
            <w:tcW w:w="2665" w:type="dxa"/>
            <w:tcBorders>
              <w:top w:val="nil"/>
              <w:left w:val="nil"/>
              <w:bottom w:val="nil"/>
              <w:right w:val="nil"/>
            </w:tcBorders>
            <w:shd w:val="solid" w:color="000000" w:fill="auto"/>
          </w:tcPr>
          <w:p w:rsidR="007A09DB" w:rsidRPr="001C397C" w:rsidRDefault="007A09DB" w:rsidP="001C397C">
            <w:pPr>
              <w:pStyle w:val="Source"/>
              <w:spacing w:after="0"/>
              <w:rPr>
                <w:rFonts w:eastAsiaTheme="minorEastAsia" w:cs="Calibri"/>
                <w:iCs/>
                <w:color w:val="FFFFFF"/>
                <w:sz w:val="19"/>
                <w:szCs w:val="19"/>
                <w:lang w:eastAsia="en-AU"/>
              </w:rPr>
            </w:pPr>
            <w:r w:rsidRPr="001C397C">
              <w:rPr>
                <w:rFonts w:eastAsiaTheme="minorEastAsia" w:cs="Calibr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1C397C">
              <w:rPr>
                <w:rFonts w:ascii="Calibri" w:eastAsiaTheme="minorEastAsia" w:hAnsi="Calibri" w:cs="Calibri"/>
                <w:i/>
                <w:iCs/>
                <w:color w:val="FFFFFF"/>
                <w:sz w:val="19"/>
                <w:szCs w:val="19"/>
                <w:lang w:eastAsia="en-AU"/>
              </w:rPr>
              <w:t>20</w:t>
            </w:r>
          </w:p>
        </w:tc>
      </w:tr>
      <w:tr w:rsidR="007A09DB" w:rsidRPr="001C397C" w:rsidTr="001C397C">
        <w:tc>
          <w:tcPr>
            <w:tcW w:w="2665" w:type="dxa"/>
            <w:tcBorders>
              <w:top w:val="nil"/>
              <w:left w:val="nil"/>
              <w:right w:val="nil"/>
            </w:tcBorders>
            <w:shd w:val="solid" w:color="000000" w:fill="auto"/>
          </w:tcPr>
          <w:p w:rsidR="007A09DB" w:rsidRPr="001C397C" w:rsidRDefault="007A09DB" w:rsidP="001C397C">
            <w:pPr>
              <w:autoSpaceDE w:val="0"/>
              <w:autoSpaceDN w:val="0"/>
              <w:adjustRightInd w:val="0"/>
              <w:spacing w:after="0"/>
              <w:rPr>
                <w:rFonts w:ascii="Calibri" w:eastAsiaTheme="minorEastAsia" w:hAnsi="Calibri" w:cs="Calibri"/>
                <w:i/>
                <w:iCs/>
                <w:color w:val="FFFFFF"/>
                <w:sz w:val="19"/>
                <w:szCs w:val="19"/>
                <w:lang w:eastAsia="en-AU"/>
              </w:rPr>
            </w:pP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budget</w:t>
            </w: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1C397C" w:rsidRDefault="007A09DB" w:rsidP="001C397C">
            <w:pPr>
              <w:autoSpaceDE w:val="0"/>
              <w:autoSpaceDN w:val="0"/>
              <w:adjustRightInd w:val="0"/>
              <w:spacing w:after="0"/>
              <w:jc w:val="right"/>
              <w:rPr>
                <w:rFonts w:ascii="Calibri" w:eastAsiaTheme="minorEastAsia" w:hAnsi="Calibri" w:cs="Calibri"/>
                <w:i/>
                <w:iCs/>
                <w:color w:val="FFFFFF"/>
                <w:sz w:val="19"/>
                <w:szCs w:val="19"/>
                <w:lang w:eastAsia="en-AU"/>
              </w:rPr>
            </w:pPr>
            <w:r w:rsidRPr="001C397C">
              <w:rPr>
                <w:rFonts w:ascii="Calibri" w:eastAsiaTheme="minorEastAsia" w:hAnsi="Calibri" w:cs="Calibri"/>
                <w:i/>
                <w:iCs/>
                <w:color w:val="FFFFFF"/>
                <w:sz w:val="19"/>
                <w:szCs w:val="19"/>
                <w:lang w:eastAsia="en-AU"/>
              </w:rPr>
              <w:t>estimate</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Revenue</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Taxation</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18 339</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20 079</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21 594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21 292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22 468</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23 354</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1C397C">
              <w:rPr>
                <w:rFonts w:ascii="Calibri" w:eastAsiaTheme="minorEastAsia" w:hAnsi="Calibri" w:cs="Calibri"/>
                <w:color w:val="000000"/>
                <w:sz w:val="19"/>
                <w:szCs w:val="19"/>
                <w:lang w:eastAsia="en-AU"/>
              </w:rPr>
              <w:t xml:space="preserve">Dividends, TER and interest </w:t>
            </w:r>
            <w:r w:rsidRPr="001C397C">
              <w:rPr>
                <w:rFonts w:ascii="Calibri" w:eastAsiaTheme="minorEastAsia" w:hAnsi="Calibri" w:cs="Calibri"/>
                <w:color w:val="000000"/>
                <w:sz w:val="19"/>
                <w:szCs w:val="19"/>
                <w:vertAlign w:val="superscript"/>
                <w:lang w:eastAsia="en-AU"/>
              </w:rPr>
              <w:t>(b)</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1 940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1 557</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1 940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2 292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1 750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1 693</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Sales of goods and services</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6 482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6 643</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6 843</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7 036</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7 212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7 240</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Grant revenue</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24 503</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25 364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27 424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28 069</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28 844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29 957</w:t>
            </w:r>
          </w:p>
        </w:tc>
      </w:tr>
      <w:tr w:rsidR="007A09DB" w:rsidRPr="001C397C" w:rsidTr="001C397C">
        <w:tc>
          <w:tcPr>
            <w:tcW w:w="2665"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Other current revenue</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2 508</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2 828</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2 569</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2 320</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2 331</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2 374</w:t>
            </w:r>
          </w:p>
        </w:tc>
      </w:tr>
      <w:tr w:rsidR="007A09DB" w:rsidRPr="001C397C" w:rsidTr="001C397C">
        <w:tc>
          <w:tcPr>
            <w:tcW w:w="2665"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Total revenue</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53 772</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56 470</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60 370</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61 009</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62 604</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64 618</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change</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2.7 </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5.0 </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6.9 </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1.1 </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2.6 </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3.2 </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Expenses</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Employee expenses</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18 834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20 057</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21 298</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22 121</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23 031</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23 713</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1C397C">
              <w:rPr>
                <w:rFonts w:ascii="Calibri" w:eastAsiaTheme="minorEastAsia" w:hAnsi="Calibri" w:cs="Calibri"/>
                <w:color w:val="000000"/>
                <w:sz w:val="19"/>
                <w:szCs w:val="19"/>
                <w:lang w:eastAsia="en-AU"/>
              </w:rPr>
              <w:t xml:space="preserve">Superannuation </w:t>
            </w:r>
            <w:r w:rsidRPr="001C397C">
              <w:rPr>
                <w:rFonts w:ascii="Calibri" w:eastAsiaTheme="minorEastAsia" w:hAnsi="Calibri" w:cs="Calibri"/>
                <w:color w:val="000000"/>
                <w:sz w:val="19"/>
                <w:szCs w:val="19"/>
                <w:vertAlign w:val="superscript"/>
                <w:lang w:eastAsia="en-AU"/>
              </w:rPr>
              <w:t>(c)</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3 016</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3 008</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3 030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3 024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3 032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3 045</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Depreciation</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2 425</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2 506</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2 620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2 780</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3 039</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3 216</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Interest expense</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2 102</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2 134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2 433</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2 231</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2 254</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2 214</w:t>
            </w:r>
          </w:p>
        </w:tc>
      </w:tr>
      <w:tr w:rsidR="007A09DB" w:rsidRPr="001C397C" w:rsidTr="001C397C">
        <w:tc>
          <w:tcPr>
            <w:tcW w:w="2665" w:type="dxa"/>
            <w:tcBorders>
              <w:top w:val="nil"/>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Other operating expenses</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17 651</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18 331</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18 669</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19 358</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19 223</w:t>
            </w:r>
          </w:p>
        </w:tc>
        <w:tc>
          <w:tcPr>
            <w:tcW w:w="850" w:type="dxa"/>
            <w:tcBorders>
              <w:top w:val="nil"/>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19 923</w:t>
            </w:r>
          </w:p>
        </w:tc>
      </w:tr>
      <w:tr w:rsidR="007A09DB" w:rsidRPr="001C397C" w:rsidTr="001C397C">
        <w:tc>
          <w:tcPr>
            <w:tcW w:w="2665"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Grants and other transfers</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8 529</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8 547</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9 451</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9 697</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9 942</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color w:val="000000"/>
                <w:sz w:val="19"/>
                <w:szCs w:val="19"/>
                <w:lang w:eastAsia="en-AU"/>
              </w:rPr>
            </w:pPr>
            <w:r w:rsidRPr="001C397C">
              <w:rPr>
                <w:rFonts w:ascii="Calibri" w:eastAsiaTheme="minorEastAsia" w:hAnsi="Calibri" w:cs="Calibri"/>
                <w:color w:val="000000"/>
                <w:sz w:val="19"/>
                <w:szCs w:val="19"/>
                <w:lang w:eastAsia="en-AU"/>
              </w:rPr>
              <w:t>10 036</w:t>
            </w:r>
          </w:p>
        </w:tc>
      </w:tr>
      <w:tr w:rsidR="007A09DB" w:rsidRPr="001C397C" w:rsidTr="001C397C">
        <w:tc>
          <w:tcPr>
            <w:tcW w:w="2665"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Total expenses</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52 558</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54 582</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57 501</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59 212</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60 522</w:t>
            </w:r>
          </w:p>
        </w:tc>
        <w:tc>
          <w:tcPr>
            <w:tcW w:w="850" w:type="dxa"/>
            <w:tcBorders>
              <w:top w:val="single" w:sz="6" w:space="0" w:color="000000"/>
              <w:left w:val="nil"/>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62 147</w:t>
            </w:r>
          </w:p>
        </w:tc>
      </w:tr>
      <w:tr w:rsidR="007A09DB" w:rsidRPr="001C397C" w:rsidTr="001C397C">
        <w:tc>
          <w:tcPr>
            <w:tcW w:w="2665"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change</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4.3 </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3.9 </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5.3 </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3.0 </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2.2 </w:t>
            </w:r>
          </w:p>
        </w:tc>
        <w:tc>
          <w:tcPr>
            <w:tcW w:w="850" w:type="dxa"/>
            <w:tcBorders>
              <w:top w:val="nil"/>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i/>
                <w:iCs/>
                <w:color w:val="000000"/>
                <w:sz w:val="19"/>
                <w:szCs w:val="19"/>
                <w:lang w:eastAsia="en-AU"/>
              </w:rPr>
            </w:pPr>
            <w:r w:rsidRPr="001C397C">
              <w:rPr>
                <w:rFonts w:ascii="Calibri" w:eastAsiaTheme="minorEastAsia" w:hAnsi="Calibri" w:cs="Calibri"/>
                <w:i/>
                <w:iCs/>
                <w:color w:val="000000"/>
                <w:sz w:val="19"/>
                <w:szCs w:val="19"/>
                <w:lang w:eastAsia="en-AU"/>
              </w:rPr>
              <w:t xml:space="preserve">2.7 </w:t>
            </w:r>
          </w:p>
        </w:tc>
      </w:tr>
      <w:tr w:rsidR="007A09DB" w:rsidRPr="001C397C" w:rsidTr="001C397C">
        <w:tc>
          <w:tcPr>
            <w:tcW w:w="2665"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Net result from transactions</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1 214</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1 888</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2 869</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1 797</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2 082</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2 471</w:t>
            </w:r>
          </w:p>
        </w:tc>
      </w:tr>
      <w:tr w:rsidR="007A09DB" w:rsidRPr="001C397C" w:rsidTr="001C397C">
        <w:tc>
          <w:tcPr>
            <w:tcW w:w="2665"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1C397C">
              <w:rPr>
                <w:rFonts w:ascii="Calibri" w:eastAsiaTheme="minorEastAsia" w:hAnsi="Calibri" w:cs="Calibri"/>
                <w:b/>
                <w:bCs/>
                <w:color w:val="000000"/>
                <w:sz w:val="19"/>
                <w:szCs w:val="19"/>
                <w:lang w:eastAsia="en-AU"/>
              </w:rPr>
              <w:t xml:space="preserve">Total other economic flows included in net result </w:t>
            </w:r>
            <w:r w:rsidRPr="001C397C">
              <w:rPr>
                <w:rFonts w:ascii="Calibri" w:eastAsiaTheme="minorEastAsia" w:hAnsi="Calibri" w:cs="Calibri"/>
                <w:b/>
                <w:bCs/>
                <w:color w:val="000000"/>
                <w:sz w:val="19"/>
                <w:szCs w:val="19"/>
                <w:vertAlign w:val="superscript"/>
                <w:lang w:eastAsia="en-AU"/>
              </w:rPr>
              <w:t>(d)</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( 465)</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( 250)</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( 234)</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26</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( 241)</w:t>
            </w:r>
          </w:p>
        </w:tc>
        <w:tc>
          <w:tcPr>
            <w:tcW w:w="850" w:type="dxa"/>
            <w:tcBorders>
              <w:top w:val="single" w:sz="6" w:space="0" w:color="000000"/>
              <w:left w:val="nil"/>
              <w:bottom w:val="single" w:sz="6" w:space="0" w:color="000000"/>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( 265)</w:t>
            </w:r>
          </w:p>
        </w:tc>
      </w:tr>
      <w:tr w:rsidR="007A09DB" w:rsidRPr="001C397C" w:rsidTr="001C397C">
        <w:tc>
          <w:tcPr>
            <w:tcW w:w="2665"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Net result</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 xml:space="preserve"> 749</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1 638</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2 635</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1 823</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1 841</w:t>
            </w:r>
          </w:p>
        </w:tc>
        <w:tc>
          <w:tcPr>
            <w:tcW w:w="850" w:type="dxa"/>
            <w:tcBorders>
              <w:top w:val="single" w:sz="6" w:space="0" w:color="000000"/>
              <w:left w:val="nil"/>
              <w:bottom w:val="single" w:sz="12" w:space="0" w:color="auto"/>
              <w:right w:val="nil"/>
            </w:tcBorders>
            <w:shd w:val="clear" w:color="auto" w:fill="FFFFFF"/>
          </w:tcPr>
          <w:p w:rsidR="007A09DB" w:rsidRPr="001C397C" w:rsidRDefault="007A09DB" w:rsidP="001C397C">
            <w:pPr>
              <w:autoSpaceDE w:val="0"/>
              <w:autoSpaceDN w:val="0"/>
              <w:adjustRightInd w:val="0"/>
              <w:spacing w:after="0"/>
              <w:jc w:val="right"/>
              <w:rPr>
                <w:rFonts w:ascii="Calibri" w:eastAsiaTheme="minorEastAsia" w:hAnsi="Calibri" w:cs="Calibri"/>
                <w:b/>
                <w:bCs/>
                <w:color w:val="000000"/>
                <w:sz w:val="19"/>
                <w:szCs w:val="19"/>
                <w:lang w:eastAsia="en-AU"/>
              </w:rPr>
            </w:pPr>
            <w:r w:rsidRPr="001C397C">
              <w:rPr>
                <w:rFonts w:ascii="Calibri" w:eastAsiaTheme="minorEastAsia" w:hAnsi="Calibri" w:cs="Calibri"/>
                <w:b/>
                <w:bCs/>
                <w:color w:val="000000"/>
                <w:sz w:val="19"/>
                <w:szCs w:val="19"/>
                <w:lang w:eastAsia="en-AU"/>
              </w:rPr>
              <w:t>2 206</w:t>
            </w:r>
          </w:p>
        </w:tc>
      </w:tr>
    </w:tbl>
    <w:p w:rsidR="007A09DB" w:rsidRPr="004513AF" w:rsidRDefault="007A09DB" w:rsidP="004F35DB">
      <w:pPr>
        <w:pStyle w:val="Source"/>
        <w:rPr>
          <w:rFonts w:eastAsiaTheme="minorHAnsi"/>
        </w:rPr>
      </w:pPr>
      <w:r w:rsidRPr="004513AF">
        <w:rPr>
          <w:rFonts w:eastAsiaTheme="minorHAnsi"/>
        </w:rPr>
        <w:t>Source: Department of Treasury and Finance</w:t>
      </w:r>
    </w:p>
    <w:p w:rsidR="007A09DB" w:rsidRPr="004513AF" w:rsidRDefault="007A09DB" w:rsidP="004513AF">
      <w:pPr>
        <w:pStyle w:val="Notes"/>
        <w:rPr>
          <w:rFonts w:eastAsiaTheme="minorHAnsi"/>
        </w:rPr>
      </w:pPr>
      <w:r w:rsidRPr="004513AF">
        <w:rPr>
          <w:rFonts w:eastAsiaTheme="minorHAnsi"/>
        </w:rPr>
        <w:t>Notes:</w:t>
      </w:r>
    </w:p>
    <w:p w:rsidR="007A09DB" w:rsidRPr="004513AF" w:rsidRDefault="007A09DB" w:rsidP="004513AF">
      <w:pPr>
        <w:pStyle w:val="Notes"/>
        <w:rPr>
          <w:rFonts w:eastAsiaTheme="minorHAnsi"/>
        </w:rPr>
      </w:pPr>
      <w:r w:rsidRPr="004513AF">
        <w:rPr>
          <w:rFonts w:eastAsiaTheme="minorHAnsi"/>
        </w:rPr>
        <w:t xml:space="preserve">(a) </w:t>
      </w:r>
      <w:r w:rsidRPr="004513AF">
        <w:rPr>
          <w:rFonts w:eastAsiaTheme="minorHAnsi"/>
        </w:rPr>
        <w:tab/>
        <w:t>Figures in this table are subject to rounding to the nearest</w:t>
      </w:r>
      <w:r>
        <w:rPr>
          <w:rFonts w:eastAsiaTheme="minorHAnsi"/>
        </w:rPr>
        <w:t> million</w:t>
      </w:r>
      <w:r w:rsidRPr="004513AF">
        <w:rPr>
          <w:rFonts w:eastAsiaTheme="minorHAnsi"/>
        </w:rPr>
        <w:t xml:space="preserve"> and may not add up to totals.</w:t>
      </w:r>
    </w:p>
    <w:p w:rsidR="007A09DB" w:rsidRPr="004513AF" w:rsidRDefault="007A09DB" w:rsidP="004513AF">
      <w:pPr>
        <w:pStyle w:val="Notes"/>
        <w:rPr>
          <w:rFonts w:eastAsiaTheme="minorHAnsi"/>
        </w:rPr>
      </w:pPr>
      <w:r w:rsidRPr="004513AF">
        <w:rPr>
          <w:rFonts w:eastAsiaTheme="minorHAnsi"/>
        </w:rPr>
        <w:t xml:space="preserve">(b) </w:t>
      </w:r>
      <w:r w:rsidRPr="004513AF">
        <w:rPr>
          <w:rFonts w:eastAsiaTheme="minorHAnsi"/>
        </w:rPr>
        <w:tab/>
        <w:t>Comprises dividends, income tax and rate equivalent revenue and interest.</w:t>
      </w:r>
    </w:p>
    <w:p w:rsidR="007A09DB" w:rsidRPr="004513AF" w:rsidRDefault="007A09DB" w:rsidP="004513AF">
      <w:pPr>
        <w:pStyle w:val="Notes"/>
        <w:rPr>
          <w:rFonts w:eastAsiaTheme="minorHAnsi"/>
        </w:rPr>
      </w:pPr>
      <w:r w:rsidRPr="004513AF">
        <w:rPr>
          <w:rFonts w:eastAsiaTheme="minorHAnsi"/>
        </w:rPr>
        <w:t xml:space="preserve">(c) </w:t>
      </w:r>
      <w:r w:rsidRPr="004513AF">
        <w:rPr>
          <w:rFonts w:eastAsiaTheme="minorHAnsi"/>
        </w:rPr>
        <w:tab/>
        <w:t>Comprises superannuation interest expense and other superannuation expenses.</w:t>
      </w:r>
    </w:p>
    <w:p w:rsidR="007A09DB" w:rsidRDefault="007A09DB" w:rsidP="004513AF">
      <w:pPr>
        <w:pStyle w:val="Notes"/>
        <w:rPr>
          <w:rFonts w:eastAsiaTheme="minorHAnsi"/>
        </w:rPr>
      </w:pPr>
      <w:r w:rsidRPr="004513AF">
        <w:rPr>
          <w:rFonts w:eastAsiaTheme="minorHAnsi"/>
        </w:rPr>
        <w:t xml:space="preserve">(d) </w:t>
      </w:r>
      <w:r w:rsidRPr="004513AF">
        <w:rPr>
          <w:rFonts w:eastAsiaTheme="minorHAnsi"/>
        </w:rPr>
        <w:tab/>
        <w:t>This typically includes gains and</w:t>
      </w:r>
      <w:r>
        <w:rPr>
          <w:rFonts w:eastAsiaTheme="minorHAnsi"/>
        </w:rPr>
        <w:t xml:space="preserve"> losses from the disposal of non</w:t>
      </w:r>
      <w:r>
        <w:rPr>
          <w:rFonts w:eastAsiaTheme="minorHAnsi"/>
        </w:rPr>
        <w:noBreakHyphen/>
      </w:r>
      <w:r w:rsidRPr="004513AF">
        <w:rPr>
          <w:rFonts w:eastAsiaTheme="minorHAnsi"/>
        </w:rPr>
        <w:t>financial assets, adjustments for bad and doubtful debts and revaluations of financial assets and liabilities.</w:t>
      </w:r>
    </w:p>
    <w:p w:rsidR="007A09DB" w:rsidRDefault="007A09DB" w:rsidP="00DC1A9F">
      <w:pPr>
        <w:pStyle w:val="Heading1"/>
        <w:rPr>
          <w:rFonts w:eastAsiaTheme="minorHAnsi"/>
          <w:sz w:val="15"/>
        </w:rPr>
      </w:pPr>
      <w:r>
        <w:rPr>
          <w:rFonts w:eastAsiaTheme="minorHAnsi"/>
        </w:rPr>
        <w:br w:type="page"/>
      </w:r>
    </w:p>
    <w:p w:rsidR="007A09DB" w:rsidRPr="004513AF" w:rsidRDefault="007A09DB" w:rsidP="004513AF">
      <w:pPr>
        <w:pStyle w:val="Heading2"/>
        <w:rPr>
          <w:rFonts w:eastAsiaTheme="minorHAnsi"/>
        </w:rPr>
      </w:pPr>
      <w:r w:rsidRPr="004513AF">
        <w:rPr>
          <w:rFonts w:eastAsiaTheme="minorHAnsi"/>
        </w:rPr>
        <w:t>Revenue outlook</w:t>
      </w:r>
    </w:p>
    <w:p w:rsidR="007A09DB" w:rsidRPr="004513AF" w:rsidRDefault="007A09DB" w:rsidP="004513AF">
      <w:pPr>
        <w:rPr>
          <w:rFonts w:eastAsiaTheme="minorHAnsi"/>
        </w:rPr>
      </w:pPr>
      <w:r w:rsidRPr="004513AF">
        <w:rPr>
          <w:rFonts w:eastAsiaTheme="minorHAnsi"/>
        </w:rPr>
        <w:t>Victoria is expected to collect $</w:t>
      </w:r>
      <w:r>
        <w:rPr>
          <w:rFonts w:eastAsiaTheme="minorHAnsi"/>
        </w:rPr>
        <w:t>60.4 billion</w:t>
      </w:r>
      <w:r w:rsidRPr="004513AF">
        <w:rPr>
          <w:rFonts w:eastAsiaTheme="minorHAnsi"/>
        </w:rPr>
        <w:t xml:space="preserve"> in revenue in 2016</w:t>
      </w:r>
      <w:r>
        <w:rPr>
          <w:rFonts w:eastAsiaTheme="minorHAnsi"/>
        </w:rPr>
        <w:noBreakHyphen/>
      </w:r>
      <w:r w:rsidRPr="004513AF">
        <w:rPr>
          <w:rFonts w:eastAsiaTheme="minorHAnsi"/>
        </w:rPr>
        <w:t>17, with revenue growth averaging 3.</w:t>
      </w:r>
      <w:r>
        <w:rPr>
          <w:rFonts w:eastAsiaTheme="minorHAnsi"/>
        </w:rPr>
        <w:t>4 per cent</w:t>
      </w:r>
      <w:r w:rsidRPr="004513AF">
        <w:rPr>
          <w:rFonts w:eastAsiaTheme="minorHAnsi"/>
        </w:rPr>
        <w:t xml:space="preserve"> </w:t>
      </w:r>
      <w:r>
        <w:rPr>
          <w:rFonts w:eastAsiaTheme="minorHAnsi"/>
        </w:rPr>
        <w:t xml:space="preserve">a year </w:t>
      </w:r>
      <w:r w:rsidRPr="004513AF">
        <w:rPr>
          <w:rFonts w:eastAsiaTheme="minorHAnsi"/>
        </w:rPr>
        <w:t xml:space="preserve">over the budget and forward estimates. This is below average revenue growth of </w:t>
      </w:r>
      <w:r>
        <w:rPr>
          <w:rFonts w:eastAsiaTheme="minorHAnsi"/>
        </w:rPr>
        <w:t>5.9 per cent</w:t>
      </w:r>
      <w:r w:rsidRPr="004513AF">
        <w:rPr>
          <w:rFonts w:eastAsiaTheme="minorHAnsi"/>
        </w:rPr>
        <w:t xml:space="preserve"> </w:t>
      </w:r>
      <w:r>
        <w:rPr>
          <w:rFonts w:eastAsiaTheme="minorHAnsi"/>
        </w:rPr>
        <w:t xml:space="preserve">a year </w:t>
      </w:r>
      <w:r w:rsidRPr="004513AF">
        <w:rPr>
          <w:rFonts w:eastAsiaTheme="minorHAnsi"/>
        </w:rPr>
        <w:t>over the decade</w:t>
      </w:r>
      <w:r>
        <w:rPr>
          <w:rFonts w:eastAsiaTheme="minorHAnsi"/>
        </w:rPr>
        <w:t xml:space="preserve"> to 2015</w:t>
      </w:r>
      <w:r>
        <w:rPr>
          <w:rFonts w:eastAsiaTheme="minorHAnsi"/>
        </w:rPr>
        <w:noBreakHyphen/>
        <w:t>16</w:t>
      </w:r>
      <w:r w:rsidRPr="004513AF">
        <w:rPr>
          <w:rFonts w:eastAsiaTheme="minorHAnsi"/>
        </w:rPr>
        <w:t>.</w:t>
      </w:r>
    </w:p>
    <w:p w:rsidR="007A09DB" w:rsidRPr="004513AF" w:rsidRDefault="007A09DB" w:rsidP="004513AF">
      <w:pPr>
        <w:rPr>
          <w:rFonts w:eastAsiaTheme="minorHAnsi"/>
        </w:rPr>
      </w:pPr>
      <w:r w:rsidRPr="004513AF">
        <w:rPr>
          <w:rFonts w:eastAsiaTheme="minorHAnsi"/>
        </w:rPr>
        <w:t xml:space="preserve">As outlined in Chapter 2 </w:t>
      </w:r>
      <w:r w:rsidRPr="000C60B9">
        <w:rPr>
          <w:rFonts w:eastAsiaTheme="minorHAnsi"/>
          <w:i/>
        </w:rPr>
        <w:t>Economic context</w:t>
      </w:r>
      <w:r w:rsidRPr="004513AF">
        <w:rPr>
          <w:rFonts w:eastAsiaTheme="minorHAnsi"/>
        </w:rPr>
        <w:t>, despite uncertainty in global economic conditions</w:t>
      </w:r>
      <w:r>
        <w:rPr>
          <w:rFonts w:eastAsiaTheme="minorHAnsi"/>
        </w:rPr>
        <w:fldChar w:fldCharType="begin"/>
      </w:r>
      <w:r>
        <w:instrText xml:space="preserve"> XE "</w:instrText>
      </w:r>
      <w:r w:rsidRPr="007F391C">
        <w:rPr>
          <w:rFonts w:eastAsiaTheme="minorHAnsi"/>
        </w:rPr>
        <w:instrText>Economic conditions</w:instrText>
      </w:r>
      <w:r>
        <w:instrText xml:space="preserve">" </w:instrText>
      </w:r>
      <w:r>
        <w:rPr>
          <w:rFonts w:eastAsiaTheme="minorHAnsi"/>
        </w:rPr>
        <w:fldChar w:fldCharType="end"/>
      </w:r>
      <w:r w:rsidRPr="004513AF">
        <w:rPr>
          <w:rFonts w:eastAsiaTheme="minorHAnsi"/>
        </w:rPr>
        <w:t>, Victoria</w:t>
      </w:r>
      <w:r>
        <w:rPr>
          <w:rFonts w:eastAsiaTheme="minorHAnsi"/>
        </w:rPr>
        <w:t>’</w:t>
      </w:r>
      <w:r w:rsidRPr="004513AF">
        <w:rPr>
          <w:rFonts w:eastAsiaTheme="minorHAnsi"/>
        </w:rPr>
        <w:t xml:space="preserve">s economic outlook </w:t>
      </w:r>
      <w:r>
        <w:rPr>
          <w:rFonts w:eastAsiaTheme="minorHAnsi"/>
        </w:rPr>
        <w:t>remains</w:t>
      </w:r>
      <w:r w:rsidRPr="004513AF">
        <w:rPr>
          <w:rFonts w:eastAsiaTheme="minorHAnsi"/>
        </w:rPr>
        <w:t xml:space="preserve"> positive.</w:t>
      </w:r>
    </w:p>
    <w:p w:rsidR="007A09DB" w:rsidRPr="004513AF" w:rsidRDefault="007A09DB" w:rsidP="004513AF">
      <w:pPr>
        <w:rPr>
          <w:rFonts w:eastAsiaTheme="minorHAnsi"/>
        </w:rPr>
      </w:pPr>
      <w:r w:rsidRPr="004513AF">
        <w:rPr>
          <w:rFonts w:eastAsiaTheme="minorHAnsi"/>
        </w:rPr>
        <w:t>Over the forward estimates, historically low interest rates and the significant deprec</w:t>
      </w:r>
      <w:r>
        <w:rPr>
          <w:rFonts w:eastAsiaTheme="minorHAnsi"/>
        </w:rPr>
        <w:t>i</w:t>
      </w:r>
      <w:r w:rsidRPr="004513AF">
        <w:rPr>
          <w:rFonts w:eastAsiaTheme="minorHAnsi"/>
        </w:rPr>
        <w:t>ation in the Australian dollar will provide a boost to domestic spending. This will accelerate the transition towards stronger and more balanced growth across Australia, which will particularly benefit Victoria</w:t>
      </w:r>
      <w:r>
        <w:rPr>
          <w:rFonts w:eastAsiaTheme="minorHAnsi"/>
        </w:rPr>
        <w:t>’</w:t>
      </w:r>
      <w:r w:rsidRPr="004513AF">
        <w:rPr>
          <w:rFonts w:eastAsiaTheme="minorHAnsi"/>
        </w:rPr>
        <w:t xml:space="preserve">s diversified economy. As demand picks up, </w:t>
      </w:r>
      <w:r>
        <w:rPr>
          <w:rFonts w:eastAsiaTheme="minorHAnsi"/>
        </w:rPr>
        <w:t>it</w:t>
      </w:r>
      <w:r w:rsidRPr="004513AF">
        <w:rPr>
          <w:rFonts w:eastAsiaTheme="minorHAnsi"/>
        </w:rPr>
        <w:t xml:space="preserve"> will absorb spare capacity in the labour market, </w:t>
      </w:r>
      <w:r>
        <w:rPr>
          <w:rFonts w:eastAsiaTheme="minorHAnsi"/>
        </w:rPr>
        <w:t xml:space="preserve">which in turn will </w:t>
      </w:r>
      <w:r w:rsidRPr="004513AF">
        <w:rPr>
          <w:rFonts w:eastAsiaTheme="minorHAnsi"/>
        </w:rPr>
        <w:t>support stronger wages</w:t>
      </w: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sidRPr="004513AF">
        <w:rPr>
          <w:rFonts w:eastAsiaTheme="minorHAnsi"/>
        </w:rPr>
        <w:t>, income, consumption and revenue.</w:t>
      </w:r>
    </w:p>
    <w:p w:rsidR="007A09DB" w:rsidRPr="004513AF" w:rsidRDefault="007A09DB" w:rsidP="000C60B9">
      <w:pPr>
        <w:pStyle w:val="Heading3"/>
        <w:rPr>
          <w:rFonts w:eastAsiaTheme="minorHAnsi"/>
        </w:rPr>
      </w:pPr>
      <w:r w:rsidRPr="004513AF">
        <w:rPr>
          <w:rFonts w:eastAsiaTheme="minorHAnsi"/>
        </w:rPr>
        <w:t>Taxation</w:t>
      </w:r>
    </w:p>
    <w:p w:rsidR="007A09DB" w:rsidRPr="004513AF" w:rsidRDefault="007A09DB" w:rsidP="004513AF">
      <w:pPr>
        <w:rPr>
          <w:rFonts w:eastAsiaTheme="minorHAnsi"/>
        </w:rPr>
      </w:pPr>
      <w:r w:rsidRPr="001B4F0F">
        <w:rPr>
          <w:rFonts w:eastAsiaTheme="minorHAnsi"/>
        </w:rPr>
        <w:t>State taxation revenue</w:t>
      </w:r>
      <w:r>
        <w:rPr>
          <w:rFonts w:eastAsiaTheme="minorHAnsi"/>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rFonts w:eastAsiaTheme="minorHAnsi"/>
        </w:rPr>
        <w:fldChar w:fldCharType="end"/>
      </w:r>
      <w:r w:rsidRPr="001B4F0F">
        <w:rPr>
          <w:rFonts w:eastAsiaTheme="minorHAnsi"/>
        </w:rPr>
        <w:t xml:space="preserve"> is forecast to be $21.6</w:t>
      </w:r>
      <w:r>
        <w:rPr>
          <w:rFonts w:eastAsiaTheme="minorHAnsi"/>
        </w:rPr>
        <w:t> billion</w:t>
      </w:r>
      <w:r w:rsidRPr="001B4F0F">
        <w:rPr>
          <w:rFonts w:eastAsiaTheme="minorHAnsi"/>
        </w:rPr>
        <w:t xml:space="preserve"> in 201</w:t>
      </w:r>
      <w:r>
        <w:rPr>
          <w:rFonts w:eastAsiaTheme="minorHAnsi"/>
        </w:rPr>
        <w:t>6</w:t>
      </w:r>
      <w:r>
        <w:rPr>
          <w:rFonts w:eastAsiaTheme="minorHAnsi"/>
        </w:rPr>
        <w:noBreakHyphen/>
        <w:t>17, with growth averaging 3.9 per cent</w:t>
      </w:r>
      <w:r w:rsidRPr="001B4F0F">
        <w:rPr>
          <w:rFonts w:eastAsiaTheme="minorHAnsi"/>
        </w:rPr>
        <w:t xml:space="preserve"> a year over t</w:t>
      </w:r>
      <w:r>
        <w:rPr>
          <w:rFonts w:eastAsiaTheme="minorHAnsi"/>
        </w:rPr>
        <w:t>he budget and forward estimates.</w:t>
      </w:r>
    </w:p>
    <w:p w:rsidR="007A09DB" w:rsidRPr="004513AF" w:rsidRDefault="007A09DB" w:rsidP="004513AF">
      <w:pPr>
        <w:rPr>
          <w:rFonts w:eastAsiaTheme="minorHAnsi"/>
        </w:rPr>
      </w:pPr>
      <w:r>
        <w:rPr>
          <w:rFonts w:eastAsiaTheme="minorHAnsi"/>
        </w:rPr>
        <w:t>T</w:t>
      </w:r>
      <w:r w:rsidRPr="004513AF">
        <w:rPr>
          <w:rFonts w:eastAsiaTheme="minorHAnsi"/>
        </w:rPr>
        <w:t>he boom in Victoria</w:t>
      </w:r>
      <w:r>
        <w:rPr>
          <w:rFonts w:eastAsiaTheme="minorHAnsi"/>
        </w:rPr>
        <w:t>’</w:t>
      </w:r>
      <w:r w:rsidRPr="004513AF">
        <w:rPr>
          <w:rFonts w:eastAsiaTheme="minorHAnsi"/>
        </w:rPr>
        <w:t xml:space="preserve">s property market over the </w:t>
      </w:r>
      <w:r>
        <w:rPr>
          <w:rFonts w:eastAsiaTheme="minorHAnsi"/>
        </w:rPr>
        <w:t>p</w:t>
      </w:r>
      <w:r w:rsidRPr="004513AF">
        <w:rPr>
          <w:rFonts w:eastAsiaTheme="minorHAnsi"/>
        </w:rPr>
        <w:t>ast few years has been driven by a strengthening labour market, historically low interest rates, increased investor demand and strong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4513AF">
        <w:rPr>
          <w:rFonts w:eastAsiaTheme="minorHAnsi"/>
        </w:rPr>
        <w:t xml:space="preserve">. This </w:t>
      </w:r>
      <w:r>
        <w:rPr>
          <w:rFonts w:eastAsiaTheme="minorHAnsi"/>
        </w:rPr>
        <w:t xml:space="preserve">has </w:t>
      </w:r>
      <w:r w:rsidRPr="004513AF">
        <w:rPr>
          <w:rFonts w:eastAsiaTheme="minorHAnsi"/>
        </w:rPr>
        <w:t>led to 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4513AF">
        <w:rPr>
          <w:rFonts w:eastAsiaTheme="minorHAnsi"/>
        </w:rPr>
        <w:t xml:space="preserve"> revenue </w:t>
      </w:r>
      <w:r>
        <w:rPr>
          <w:rFonts w:eastAsiaTheme="minorHAnsi"/>
        </w:rPr>
        <w:t>growth</w:t>
      </w:r>
      <w:r w:rsidRPr="004513AF">
        <w:rPr>
          <w:rFonts w:eastAsiaTheme="minorHAnsi"/>
        </w:rPr>
        <w:t xml:space="preserve"> significantly exceeding expectations</w:t>
      </w:r>
      <w:r>
        <w:rPr>
          <w:rFonts w:eastAsiaTheme="minorHAnsi"/>
        </w:rPr>
        <w:t>,</w:t>
      </w:r>
      <w:r w:rsidRPr="004513AF">
        <w:rPr>
          <w:rFonts w:eastAsiaTheme="minorHAnsi"/>
        </w:rPr>
        <w:t xml:space="preserve"> </w:t>
      </w:r>
      <w:r>
        <w:rPr>
          <w:rFonts w:eastAsiaTheme="minorHAnsi"/>
        </w:rPr>
        <w:t xml:space="preserve">with </w:t>
      </w:r>
      <w:r w:rsidRPr="004513AF">
        <w:rPr>
          <w:rFonts w:eastAsiaTheme="minorHAnsi"/>
        </w:rPr>
        <w:t>23</w:t>
      </w:r>
      <w:r>
        <w:rPr>
          <w:rFonts w:eastAsiaTheme="minorHAnsi"/>
        </w:rPr>
        <w:t> per cent</w:t>
      </w:r>
      <w:r w:rsidRPr="004513AF">
        <w:rPr>
          <w:rFonts w:eastAsiaTheme="minorHAnsi"/>
        </w:rPr>
        <w:t xml:space="preserve"> growth in 2015</w:t>
      </w:r>
      <w:r>
        <w:rPr>
          <w:rFonts w:eastAsiaTheme="minorHAnsi"/>
        </w:rPr>
        <w:noBreakHyphen/>
        <w:t xml:space="preserve">16. The strength of </w:t>
      </w:r>
      <w:r w:rsidRPr="004513AF">
        <w:rPr>
          <w:rFonts w:eastAsiaTheme="minorHAnsi"/>
        </w:rPr>
        <w:t>land transfer duty</w:t>
      </w:r>
      <w:r>
        <w:rPr>
          <w:rFonts w:eastAsiaTheme="minorHAnsi"/>
        </w:rPr>
        <w:t xml:space="preserve"> revenue accounted for a large share of </w:t>
      </w:r>
      <w:r w:rsidRPr="004513AF">
        <w:rPr>
          <w:rFonts w:eastAsiaTheme="minorHAnsi"/>
        </w:rPr>
        <w:t>the 9.5</w:t>
      </w:r>
      <w:r>
        <w:rPr>
          <w:rFonts w:eastAsiaTheme="minorHAnsi"/>
        </w:rPr>
        <w:t> per cent</w:t>
      </w:r>
      <w:r w:rsidRPr="004513AF">
        <w:rPr>
          <w:rFonts w:eastAsiaTheme="minorHAnsi"/>
        </w:rPr>
        <w:t xml:space="preserve"> growth in total </w:t>
      </w:r>
      <w:r>
        <w:rPr>
          <w:rFonts w:eastAsiaTheme="minorHAnsi"/>
        </w:rPr>
        <w:t>taxation revenue</w:t>
      </w:r>
      <w:r>
        <w:rPr>
          <w:rFonts w:eastAsiaTheme="minorHAnsi"/>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rFonts w:eastAsiaTheme="minorHAnsi"/>
        </w:rPr>
        <w:fldChar w:fldCharType="end"/>
      </w:r>
      <w:r>
        <w:rPr>
          <w:rFonts w:eastAsiaTheme="minorHAnsi"/>
        </w:rPr>
        <w:t xml:space="preserve"> for that year.</w:t>
      </w:r>
    </w:p>
    <w:p w:rsidR="007A09DB" w:rsidRPr="004513AF" w:rsidRDefault="007A09DB" w:rsidP="004513AF">
      <w:pPr>
        <w:rPr>
          <w:rFonts w:eastAsiaTheme="minorHAnsi"/>
        </w:rPr>
      </w:pPr>
      <w:r w:rsidRPr="004513AF">
        <w:rPr>
          <w:rFonts w:eastAsiaTheme="minorHAnsi"/>
        </w:rPr>
        <w:t>Specifically:</w:t>
      </w:r>
    </w:p>
    <w:p w:rsidR="007A09DB" w:rsidRPr="004513AF" w:rsidRDefault="007A09DB" w:rsidP="00805BAF">
      <w:pPr>
        <w:pStyle w:val="BulletText"/>
        <w:rPr>
          <w:rFonts w:eastAsiaTheme="minorHAnsi"/>
        </w:rPr>
      </w:pPr>
      <w:r w:rsidRPr="004513AF">
        <w:rPr>
          <w:rFonts w:eastAsiaTheme="minorHAnsi"/>
        </w:rPr>
        <w:t>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4513AF">
        <w:rPr>
          <w:rFonts w:eastAsiaTheme="minorHAnsi"/>
        </w:rPr>
        <w:t xml:space="preserve"> revenue is expected to fall by </w:t>
      </w:r>
      <w:r>
        <w:rPr>
          <w:rFonts w:eastAsiaTheme="minorHAnsi"/>
        </w:rPr>
        <w:t>6.4 per cent</w:t>
      </w:r>
      <w:r w:rsidRPr="004513AF">
        <w:rPr>
          <w:rFonts w:eastAsiaTheme="minorHAnsi"/>
        </w:rPr>
        <w:t xml:space="preserve"> in 2016</w:t>
      </w:r>
      <w:r>
        <w:rPr>
          <w:rFonts w:eastAsiaTheme="minorHAnsi"/>
        </w:rPr>
        <w:noBreakHyphen/>
      </w:r>
      <w:r w:rsidRPr="004513AF">
        <w:rPr>
          <w:rFonts w:eastAsiaTheme="minorHAnsi"/>
        </w:rPr>
        <w:t>17 to $5.</w:t>
      </w:r>
      <w:r>
        <w:rPr>
          <w:rFonts w:eastAsiaTheme="minorHAnsi"/>
        </w:rPr>
        <w:t>7 billion</w:t>
      </w:r>
      <w:r w:rsidRPr="004513AF">
        <w:rPr>
          <w:rFonts w:eastAsiaTheme="minorHAnsi"/>
        </w:rPr>
        <w:t xml:space="preserve">. This follows significant growth in revenue over the </w:t>
      </w:r>
      <w:r>
        <w:rPr>
          <w:rFonts w:eastAsiaTheme="minorHAnsi"/>
        </w:rPr>
        <w:t>p</w:t>
      </w:r>
      <w:r w:rsidRPr="004513AF">
        <w:rPr>
          <w:rFonts w:eastAsiaTheme="minorHAnsi"/>
        </w:rPr>
        <w:t xml:space="preserve">ast few years. </w:t>
      </w:r>
      <w:r>
        <w:rPr>
          <w:rFonts w:eastAsiaTheme="minorHAnsi"/>
        </w:rPr>
        <w:t>Over the forward estimates</w:t>
      </w:r>
      <w:r w:rsidRPr="004513AF">
        <w:rPr>
          <w:rFonts w:eastAsiaTheme="minorHAnsi"/>
        </w:rPr>
        <w:t xml:space="preserve"> land transfer duty revenue is expected to </w:t>
      </w:r>
      <w:r>
        <w:rPr>
          <w:rFonts w:eastAsiaTheme="minorHAnsi"/>
        </w:rPr>
        <w:t>be at</w:t>
      </w:r>
      <w:r w:rsidRPr="004513AF">
        <w:rPr>
          <w:rFonts w:eastAsiaTheme="minorHAnsi"/>
        </w:rPr>
        <w:t xml:space="preserve"> trend growth by 2019</w:t>
      </w:r>
      <w:r>
        <w:rPr>
          <w:rFonts w:eastAsiaTheme="minorHAnsi"/>
        </w:rPr>
        <w:noBreakHyphen/>
        <w:t>20;</w:t>
      </w:r>
    </w:p>
    <w:p w:rsidR="007A09DB" w:rsidRPr="004513AF" w:rsidRDefault="007A09DB" w:rsidP="000C60B9">
      <w:pPr>
        <w:pStyle w:val="BulletText"/>
        <w:rPr>
          <w:rFonts w:eastAsiaTheme="minorHAnsi"/>
        </w:rPr>
      </w:pPr>
      <w:r w:rsidRPr="004513AF">
        <w:rPr>
          <w:rFonts w:eastAsiaTheme="minorHAnsi"/>
        </w:rPr>
        <w:t>land tax</w:t>
      </w:r>
      <w:r>
        <w:fldChar w:fldCharType="begin"/>
      </w:r>
      <w:r>
        <w:instrText xml:space="preserve"> XE "Taxation:Land tax" </w:instrText>
      </w:r>
      <w:r>
        <w:fldChar w:fldCharType="end"/>
      </w:r>
      <w:r w:rsidRPr="004513AF">
        <w:rPr>
          <w:rFonts w:eastAsiaTheme="minorHAnsi"/>
        </w:rPr>
        <w:t xml:space="preserve"> revenue is forecast to increase by 2</w:t>
      </w:r>
      <w:r>
        <w:rPr>
          <w:rFonts w:eastAsiaTheme="minorHAnsi"/>
        </w:rPr>
        <w:t>8.3 per cent</w:t>
      </w:r>
      <w:r w:rsidRPr="004513AF">
        <w:rPr>
          <w:rFonts w:eastAsiaTheme="minorHAnsi"/>
        </w:rPr>
        <w:t xml:space="preserve"> to $2.2</w:t>
      </w:r>
      <w:r>
        <w:rPr>
          <w:rFonts w:eastAsiaTheme="minorHAnsi"/>
        </w:rPr>
        <w:t> billion</w:t>
      </w:r>
      <w:r w:rsidRPr="004513AF">
        <w:rPr>
          <w:rFonts w:eastAsiaTheme="minorHAnsi"/>
        </w:rPr>
        <w:t xml:space="preserve"> in 2016</w:t>
      </w:r>
      <w:r>
        <w:rPr>
          <w:rFonts w:eastAsiaTheme="minorHAnsi"/>
        </w:rPr>
        <w:noBreakHyphen/>
      </w:r>
      <w:r w:rsidRPr="004513AF">
        <w:rPr>
          <w:rFonts w:eastAsiaTheme="minorHAnsi"/>
        </w:rPr>
        <w:t>17 as a result of the current land revaluation process. Strong growth in the property market in the two years since the last revaluation suggests that the outcome will reflect a significant increase in the value of land. Land tax revenue growth is expected to average 2.</w:t>
      </w:r>
      <w:r>
        <w:rPr>
          <w:rFonts w:eastAsiaTheme="minorHAnsi"/>
        </w:rPr>
        <w:t>5 per cent</w:t>
      </w:r>
      <w:r w:rsidRPr="004513AF">
        <w:rPr>
          <w:rFonts w:eastAsiaTheme="minorHAnsi"/>
        </w:rPr>
        <w:t xml:space="preserve"> a year over the forward estimates;</w:t>
      </w:r>
    </w:p>
    <w:p w:rsidR="007A09DB" w:rsidRDefault="007A09DB" w:rsidP="000C60B9">
      <w:pPr>
        <w:pStyle w:val="BulletText"/>
        <w:rPr>
          <w:rFonts w:eastAsiaTheme="minorHAnsi"/>
        </w:rPr>
      </w:pPr>
      <w:r w:rsidRPr="004513AF">
        <w:rPr>
          <w:rFonts w:eastAsiaTheme="minorHAnsi"/>
        </w:rPr>
        <w:t>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rsidRPr="004513AF">
        <w:rPr>
          <w:rFonts w:eastAsiaTheme="minorHAnsi"/>
        </w:rPr>
        <w:t xml:space="preserve"> revenue is expected to grow by 5.</w:t>
      </w:r>
      <w:r>
        <w:rPr>
          <w:rFonts w:eastAsiaTheme="minorHAnsi"/>
        </w:rPr>
        <w:t>3 per cent</w:t>
      </w:r>
      <w:r w:rsidRPr="004513AF">
        <w:rPr>
          <w:rFonts w:eastAsiaTheme="minorHAnsi"/>
        </w:rPr>
        <w:t xml:space="preserve"> to $5.7</w:t>
      </w:r>
      <w:r>
        <w:rPr>
          <w:rFonts w:eastAsiaTheme="minorHAnsi"/>
        </w:rPr>
        <w:t> billion</w:t>
      </w:r>
      <w:r w:rsidRPr="004513AF">
        <w:rPr>
          <w:rFonts w:eastAsiaTheme="minorHAnsi"/>
        </w:rPr>
        <w:t xml:space="preserve"> in 2016</w:t>
      </w:r>
      <w:r>
        <w:rPr>
          <w:rFonts w:eastAsiaTheme="minorHAnsi"/>
        </w:rPr>
        <w:noBreakHyphen/>
      </w:r>
      <w:r w:rsidRPr="004513AF">
        <w:rPr>
          <w:rFonts w:eastAsiaTheme="minorHAnsi"/>
        </w:rPr>
        <w:t>17</w:t>
      </w:r>
      <w:r>
        <w:rPr>
          <w:rFonts w:eastAsiaTheme="minorHAnsi"/>
        </w:rPr>
        <w:t>, with growth averaging</w:t>
      </w:r>
      <w:r w:rsidRPr="004513AF">
        <w:rPr>
          <w:rFonts w:eastAsiaTheme="minorHAnsi"/>
        </w:rPr>
        <w:t xml:space="preserve"> </w:t>
      </w:r>
      <w:r>
        <w:rPr>
          <w:rFonts w:eastAsiaTheme="minorHAnsi"/>
        </w:rPr>
        <w:t>4.7 per cent</w:t>
      </w:r>
      <w:r w:rsidRPr="004513AF">
        <w:rPr>
          <w:rFonts w:eastAsiaTheme="minorHAnsi"/>
        </w:rPr>
        <w:t xml:space="preserve"> over the forward estimates. The recovery in revenue following three years of sub</w:t>
      </w:r>
      <w:r>
        <w:rPr>
          <w:rFonts w:eastAsiaTheme="minorHAnsi"/>
        </w:rPr>
        <w:noBreakHyphen/>
      </w:r>
      <w:r w:rsidRPr="004513AF">
        <w:rPr>
          <w:rFonts w:eastAsiaTheme="minorHAnsi"/>
        </w:rPr>
        <w:t>trend growth is driven by increased aggregate hours worked</w:t>
      </w:r>
      <w:r>
        <w:rPr>
          <w:rFonts w:eastAsiaTheme="minorHAnsi"/>
        </w:rPr>
        <w:fldChar w:fldCharType="begin"/>
      </w:r>
      <w:r>
        <w:instrText xml:space="preserve"> XE "</w:instrText>
      </w:r>
      <w:r w:rsidRPr="00E67DB0">
        <w:rPr>
          <w:rFonts w:eastAsiaTheme="minorHAnsi"/>
        </w:rPr>
        <w:instrText>Hours worked</w:instrText>
      </w:r>
      <w:r>
        <w:instrText xml:space="preserve">" </w:instrText>
      </w:r>
      <w:r>
        <w:rPr>
          <w:rFonts w:eastAsiaTheme="minorHAnsi"/>
        </w:rPr>
        <w:fldChar w:fldCharType="end"/>
      </w:r>
      <w:r w:rsidRPr="004513AF">
        <w:rPr>
          <w:rFonts w:eastAsiaTheme="minorHAnsi"/>
        </w:rPr>
        <w:t xml:space="preserve"> over the past 18 months. Although conditions in the broader economy remain robust with overall employment growing above trend in 2016</w:t>
      </w:r>
      <w:r>
        <w:rPr>
          <w:rFonts w:eastAsiaTheme="minorHAnsi"/>
        </w:rPr>
        <w:noBreakHyphen/>
      </w:r>
      <w:r w:rsidRPr="004513AF">
        <w:rPr>
          <w:rFonts w:eastAsiaTheme="minorHAnsi"/>
        </w:rPr>
        <w:t>17, spare capacity in Victoria</w:t>
      </w:r>
      <w:r>
        <w:rPr>
          <w:rFonts w:eastAsiaTheme="minorHAnsi"/>
        </w:rPr>
        <w:t>’</w:t>
      </w:r>
      <w:r w:rsidRPr="004513AF">
        <w:rPr>
          <w:rFonts w:eastAsiaTheme="minorHAnsi"/>
        </w:rPr>
        <w:t xml:space="preserve">s labour market </w:t>
      </w:r>
      <w:r>
        <w:rPr>
          <w:rFonts w:eastAsiaTheme="minorHAnsi"/>
        </w:rPr>
        <w:t>will put downward pressure on wage growth</w:t>
      </w:r>
      <w:r w:rsidRPr="004513AF">
        <w:rPr>
          <w:rFonts w:eastAsiaTheme="minorHAnsi"/>
        </w:rPr>
        <w:t xml:space="preserve">. The Government has recognised there remain areas of concern in the labour market, which it is addressing through </w:t>
      </w:r>
      <w:r>
        <w:rPr>
          <w:rFonts w:eastAsiaTheme="minorHAnsi"/>
        </w:rPr>
        <w:t xml:space="preserve">initiatives in the </w:t>
      </w:r>
      <w:r w:rsidRPr="00F87EAD">
        <w:rPr>
          <w:rFonts w:eastAsiaTheme="minorHAnsi"/>
          <w:i/>
        </w:rPr>
        <w:t>2016</w:t>
      </w:r>
      <w:r>
        <w:rPr>
          <w:rFonts w:eastAsiaTheme="minorHAnsi"/>
          <w:i/>
        </w:rPr>
        <w:noBreakHyphen/>
      </w:r>
      <w:r w:rsidRPr="00F87EAD">
        <w:rPr>
          <w:rFonts w:eastAsiaTheme="minorHAnsi"/>
          <w:i/>
        </w:rPr>
        <w:t>17 Budget</w:t>
      </w:r>
      <w:r w:rsidRPr="004513AF">
        <w:rPr>
          <w:rFonts w:eastAsiaTheme="minorHAnsi"/>
        </w:rPr>
        <w:t>;</w:t>
      </w:r>
    </w:p>
    <w:p w:rsidR="007A09DB" w:rsidRDefault="007A09DB" w:rsidP="00C17390">
      <w:pPr>
        <w:pStyle w:val="Heading1"/>
        <w:rPr>
          <w:rFonts w:eastAsiaTheme="minorHAnsi"/>
        </w:rPr>
      </w:pPr>
      <w:r>
        <w:rPr>
          <w:rFonts w:eastAsiaTheme="minorHAnsi"/>
        </w:rPr>
        <w:br w:type="page"/>
      </w:r>
    </w:p>
    <w:p w:rsidR="007A09DB" w:rsidRPr="004513AF" w:rsidRDefault="007A09DB" w:rsidP="000C60B9">
      <w:pPr>
        <w:pStyle w:val="BulletText"/>
        <w:rPr>
          <w:rFonts w:eastAsiaTheme="minorHAnsi"/>
        </w:rPr>
      </w:pPr>
      <w:r w:rsidRPr="004513AF">
        <w:rPr>
          <w:rFonts w:eastAsiaTheme="minorHAnsi"/>
        </w:rPr>
        <w:t>gambling tax</w:t>
      </w:r>
      <w:r>
        <w:rPr>
          <w:rFonts w:eastAsiaTheme="minorHAnsi"/>
        </w:rPr>
        <w:fldChar w:fldCharType="begin"/>
      </w:r>
      <w:r>
        <w:instrText xml:space="preserve"> XE "</w:instrText>
      </w:r>
      <w:r w:rsidRPr="003A7D6C">
        <w:rPr>
          <w:rFonts w:eastAsiaTheme="minorHAnsi"/>
        </w:rPr>
        <w:instrText>Taxation:</w:instrText>
      </w:r>
      <w:r w:rsidRPr="003A7D6C">
        <w:instrText>Gambling</w:instrText>
      </w:r>
      <w:r>
        <w:instrText xml:space="preserve">" </w:instrText>
      </w:r>
      <w:r>
        <w:rPr>
          <w:rFonts w:eastAsiaTheme="minorHAnsi"/>
        </w:rPr>
        <w:fldChar w:fldCharType="end"/>
      </w:r>
      <w:r w:rsidRPr="004513AF">
        <w:rPr>
          <w:rFonts w:eastAsiaTheme="minorHAnsi"/>
        </w:rPr>
        <w:t xml:space="preserve"> revenue is forecast to grow by 2.</w:t>
      </w:r>
      <w:r>
        <w:rPr>
          <w:rFonts w:eastAsiaTheme="minorHAnsi"/>
        </w:rPr>
        <w:t>7 per cent</w:t>
      </w:r>
      <w:r w:rsidRPr="004513AF">
        <w:rPr>
          <w:rFonts w:eastAsiaTheme="minorHAnsi"/>
        </w:rPr>
        <w:t xml:space="preserve"> to $1.9</w:t>
      </w:r>
      <w:r>
        <w:rPr>
          <w:rFonts w:eastAsiaTheme="minorHAnsi"/>
        </w:rPr>
        <w:t> billion</w:t>
      </w:r>
      <w:r w:rsidRPr="004513AF">
        <w:rPr>
          <w:rFonts w:eastAsiaTheme="minorHAnsi"/>
        </w:rPr>
        <w:t xml:space="preserve"> in 2016</w:t>
      </w:r>
      <w:r>
        <w:rPr>
          <w:rFonts w:eastAsiaTheme="minorHAnsi"/>
        </w:rPr>
        <w:noBreakHyphen/>
      </w:r>
      <w:r w:rsidRPr="004513AF">
        <w:rPr>
          <w:rFonts w:eastAsiaTheme="minorHAnsi"/>
        </w:rPr>
        <w:t>17 and by an average of 2.</w:t>
      </w:r>
      <w:r>
        <w:rPr>
          <w:rFonts w:eastAsiaTheme="minorHAnsi"/>
        </w:rPr>
        <w:t>9 per cent</w:t>
      </w:r>
      <w:r w:rsidRPr="004513AF">
        <w:rPr>
          <w:rFonts w:eastAsiaTheme="minorHAnsi"/>
        </w:rPr>
        <w:t xml:space="preserve"> a year over the forward estimates. The growth in gambling tax</w:t>
      </w:r>
      <w:r>
        <w:rPr>
          <w:rFonts w:eastAsiaTheme="minorHAnsi"/>
        </w:rPr>
        <w:fldChar w:fldCharType="begin"/>
      </w:r>
      <w:r>
        <w:instrText xml:space="preserve"> XE "</w:instrText>
      </w:r>
      <w:r w:rsidRPr="003A7D6C">
        <w:rPr>
          <w:rFonts w:eastAsiaTheme="minorHAnsi"/>
        </w:rPr>
        <w:instrText>Taxation:</w:instrText>
      </w:r>
      <w:r w:rsidRPr="003A7D6C">
        <w:instrText>Gambling</w:instrText>
      </w:r>
      <w:r>
        <w:instrText xml:space="preserve">" </w:instrText>
      </w:r>
      <w:r>
        <w:rPr>
          <w:rFonts w:eastAsiaTheme="minorHAnsi"/>
        </w:rPr>
        <w:fldChar w:fldCharType="end"/>
      </w:r>
      <w:r w:rsidRPr="004513AF">
        <w:rPr>
          <w:rFonts w:eastAsiaTheme="minorHAnsi"/>
        </w:rPr>
        <w:t xml:space="preserve"> revenue reflects general weakness in nominal consumption expenditure. Gambling expenditure is expected to continue to decline as a share of household consumption</w:t>
      </w:r>
      <w:r>
        <w:rPr>
          <w:rFonts w:eastAsiaTheme="minorHAnsi"/>
        </w:rPr>
        <w:fldChar w:fldCharType="begin"/>
      </w:r>
      <w:r>
        <w:instrText xml:space="preserve"> XE "</w:instrText>
      </w:r>
      <w:r w:rsidRPr="00E67DB0">
        <w:rPr>
          <w:rFonts w:eastAsiaTheme="minorHAnsi"/>
        </w:rPr>
        <w:instrText>Household consumption</w:instrText>
      </w:r>
      <w:r>
        <w:instrText xml:space="preserve">" </w:instrText>
      </w:r>
      <w:r>
        <w:rPr>
          <w:rFonts w:eastAsiaTheme="minorHAnsi"/>
        </w:rPr>
        <w:fldChar w:fldCharType="end"/>
      </w:r>
      <w:r w:rsidRPr="004513AF">
        <w:rPr>
          <w:rFonts w:eastAsiaTheme="minorHAnsi"/>
        </w:rPr>
        <w:t>, weighing on revenue growth;</w:t>
      </w:r>
    </w:p>
    <w:p w:rsidR="007A09DB" w:rsidRPr="004513AF" w:rsidRDefault="007A09DB" w:rsidP="000C60B9">
      <w:pPr>
        <w:pStyle w:val="BulletText"/>
        <w:rPr>
          <w:rFonts w:eastAsiaTheme="minorHAnsi"/>
        </w:rPr>
      </w:pPr>
      <w:r w:rsidRPr="004513AF">
        <w:rPr>
          <w:rFonts w:eastAsiaTheme="minorHAnsi"/>
        </w:rPr>
        <w:t>insurance tax</w:t>
      </w:r>
      <w:r>
        <w:fldChar w:fldCharType="begin"/>
      </w:r>
      <w:r>
        <w:instrText xml:space="preserve"> XE "Taxation:Insurance" </w:instrText>
      </w:r>
      <w:r>
        <w:fldChar w:fldCharType="end"/>
      </w:r>
      <w:r w:rsidRPr="004513AF">
        <w:rPr>
          <w:rFonts w:eastAsiaTheme="minorHAnsi"/>
        </w:rPr>
        <w:t xml:space="preserve"> revenue is anticipated to grow by 6.3</w:t>
      </w:r>
      <w:r>
        <w:rPr>
          <w:rFonts w:eastAsiaTheme="minorHAnsi"/>
        </w:rPr>
        <w:t> per cent</w:t>
      </w:r>
      <w:r w:rsidRPr="004513AF">
        <w:rPr>
          <w:rFonts w:eastAsiaTheme="minorHAnsi"/>
        </w:rPr>
        <w:t xml:space="preserve"> to $1.2</w:t>
      </w:r>
      <w:r>
        <w:rPr>
          <w:rFonts w:eastAsiaTheme="minorHAnsi"/>
        </w:rPr>
        <w:t> billion</w:t>
      </w:r>
      <w:r w:rsidRPr="004513AF">
        <w:rPr>
          <w:rFonts w:eastAsiaTheme="minorHAnsi"/>
        </w:rPr>
        <w:t xml:space="preserve"> in 2016</w:t>
      </w:r>
      <w:r>
        <w:rPr>
          <w:rFonts w:eastAsiaTheme="minorHAnsi"/>
        </w:rPr>
        <w:noBreakHyphen/>
      </w:r>
      <w:r w:rsidRPr="004513AF">
        <w:rPr>
          <w:rFonts w:eastAsiaTheme="minorHAnsi"/>
        </w:rPr>
        <w:t>17, slightly below its trend growth rate of 6.8</w:t>
      </w:r>
      <w:r>
        <w:rPr>
          <w:rFonts w:eastAsiaTheme="minorHAnsi"/>
        </w:rPr>
        <w:t> per cent</w:t>
      </w:r>
      <w:r w:rsidRPr="004513AF">
        <w:rPr>
          <w:rFonts w:eastAsiaTheme="minorHAnsi"/>
        </w:rPr>
        <w:t xml:space="preserve"> a year which is expected over the forward estimates. In the past, strong competition in the insurance industry drove down premium rates in the Australian insurance market but competition from low cost and overseas insurers has started to ease due to continuing acquisition and merger activity. As a result, expected premium rates have increased moderately; and</w:t>
      </w:r>
    </w:p>
    <w:p w:rsidR="007A09DB" w:rsidRDefault="007A09DB" w:rsidP="000C60B9">
      <w:pPr>
        <w:pStyle w:val="BulletText"/>
        <w:rPr>
          <w:rFonts w:eastAsiaTheme="minorHAnsi"/>
        </w:rPr>
      </w:pPr>
      <w:r w:rsidRPr="004513AF">
        <w:rPr>
          <w:rFonts w:eastAsiaTheme="minorHAnsi"/>
        </w:rPr>
        <w:t>motor vehicle taxes</w:t>
      </w:r>
      <w:r>
        <w:rPr>
          <w:rFonts w:eastAsiaTheme="minorHAnsi"/>
        </w:rPr>
        <w:fldChar w:fldCharType="begin"/>
      </w:r>
      <w:r>
        <w:instrText xml:space="preserve"> XE "</w:instrText>
      </w:r>
      <w:r w:rsidRPr="000D0025">
        <w:rPr>
          <w:rFonts w:eastAsiaTheme="minorHAnsi"/>
        </w:rPr>
        <w:instrText>Taxation:</w:instrText>
      </w:r>
      <w:r w:rsidRPr="000D0025">
        <w:instrText>Motor vehicle</w:instrText>
      </w:r>
      <w:r>
        <w:instrText xml:space="preserve">" </w:instrText>
      </w:r>
      <w:r>
        <w:rPr>
          <w:rFonts w:eastAsiaTheme="minorHAnsi"/>
        </w:rPr>
        <w:fldChar w:fldCharType="end"/>
      </w:r>
      <w:r w:rsidRPr="004513AF">
        <w:rPr>
          <w:rFonts w:eastAsiaTheme="minorHAnsi"/>
        </w:rPr>
        <w:t xml:space="preserve"> are expected to grow by 4.</w:t>
      </w:r>
      <w:r>
        <w:rPr>
          <w:rFonts w:eastAsiaTheme="minorHAnsi"/>
        </w:rPr>
        <w:t>6 per cent</w:t>
      </w:r>
      <w:r w:rsidRPr="004513AF">
        <w:rPr>
          <w:rFonts w:eastAsiaTheme="minorHAnsi"/>
        </w:rPr>
        <w:t xml:space="preserve"> to $2.3</w:t>
      </w:r>
      <w:r>
        <w:rPr>
          <w:rFonts w:eastAsiaTheme="minorHAnsi"/>
        </w:rPr>
        <w:t> billion</w:t>
      </w:r>
      <w:r w:rsidRPr="004513AF">
        <w:rPr>
          <w:rFonts w:eastAsiaTheme="minorHAnsi"/>
        </w:rPr>
        <w:t xml:space="preserve"> in 2016</w:t>
      </w:r>
      <w:r>
        <w:rPr>
          <w:rFonts w:eastAsiaTheme="minorHAnsi"/>
        </w:rPr>
        <w:noBreakHyphen/>
      </w:r>
      <w:r w:rsidRPr="004513AF">
        <w:rPr>
          <w:rFonts w:eastAsiaTheme="minorHAnsi"/>
        </w:rPr>
        <w:t>17, and by an average of 3.7</w:t>
      </w:r>
      <w:r>
        <w:rPr>
          <w:rFonts w:eastAsiaTheme="minorHAnsi"/>
        </w:rPr>
        <w:t> per cent</w:t>
      </w:r>
      <w:r w:rsidRPr="004513AF">
        <w:rPr>
          <w:rFonts w:eastAsiaTheme="minorHAnsi"/>
        </w:rPr>
        <w:t xml:space="preserve"> over the forward estimates, in line with trend growth. Despite a period of modest income growth, motor vehicle purchases have remained resilient, supporting solid growth in motor vehicle duties. The Transport </w:t>
      </w:r>
      <w:r>
        <w:rPr>
          <w:rFonts w:eastAsiaTheme="minorHAnsi"/>
        </w:rPr>
        <w:t xml:space="preserve">and </w:t>
      </w:r>
      <w:r w:rsidRPr="004513AF">
        <w:rPr>
          <w:rFonts w:eastAsiaTheme="minorHAnsi"/>
        </w:rPr>
        <w:t>Infrastructure Co</w:t>
      </w:r>
      <w:r>
        <w:rPr>
          <w:rFonts w:eastAsiaTheme="minorHAnsi"/>
        </w:rPr>
        <w:t>uncil</w:t>
      </w:r>
      <w:r w:rsidRPr="004513AF">
        <w:rPr>
          <w:rFonts w:eastAsiaTheme="minorHAnsi"/>
        </w:rPr>
        <w:t xml:space="preserve"> </w:t>
      </w:r>
      <w:r>
        <w:rPr>
          <w:rFonts w:eastAsiaTheme="minorHAnsi"/>
        </w:rPr>
        <w:t>recently</w:t>
      </w:r>
      <w:r w:rsidRPr="004513AF">
        <w:rPr>
          <w:rFonts w:eastAsiaTheme="minorHAnsi"/>
        </w:rPr>
        <w:t xml:space="preserve"> decided to freeze nominal registration revenue for </w:t>
      </w:r>
      <w:r>
        <w:rPr>
          <w:rFonts w:eastAsiaTheme="minorHAnsi"/>
        </w:rPr>
        <w:t>h</w:t>
      </w:r>
      <w:r w:rsidRPr="004513AF">
        <w:rPr>
          <w:rFonts w:eastAsiaTheme="minorHAnsi"/>
        </w:rPr>
        <w:t xml:space="preserve">eavy </w:t>
      </w:r>
      <w:r>
        <w:rPr>
          <w:rFonts w:eastAsiaTheme="minorHAnsi"/>
        </w:rPr>
        <w:t>m</w:t>
      </w:r>
      <w:r w:rsidRPr="004513AF">
        <w:rPr>
          <w:rFonts w:eastAsiaTheme="minorHAnsi"/>
        </w:rPr>
        <w:t xml:space="preserve">otor </w:t>
      </w:r>
      <w:r>
        <w:rPr>
          <w:rFonts w:eastAsiaTheme="minorHAnsi"/>
        </w:rPr>
        <w:t>v</w:t>
      </w:r>
      <w:r w:rsidRPr="004513AF">
        <w:rPr>
          <w:rFonts w:eastAsiaTheme="minorHAnsi"/>
        </w:rPr>
        <w:t>ehicles at 2015</w:t>
      </w:r>
      <w:r>
        <w:rPr>
          <w:rFonts w:eastAsiaTheme="minorHAnsi"/>
        </w:rPr>
        <w:noBreakHyphen/>
      </w:r>
      <w:r w:rsidRPr="004513AF">
        <w:rPr>
          <w:rFonts w:eastAsiaTheme="minorHAnsi"/>
        </w:rPr>
        <w:t>16 levels for two years while the pricing scheme is reviewed.</w:t>
      </w:r>
    </w:p>
    <w:p w:rsidR="007A09DB" w:rsidRDefault="007A09DB" w:rsidP="002D2030">
      <w:pPr>
        <w:rPr>
          <w:rFonts w:eastAsiaTheme="minorHAnsi"/>
        </w:rPr>
      </w:pPr>
      <w:r w:rsidRPr="00ED1B54">
        <w:rPr>
          <w:rFonts w:eastAsiaTheme="minorHAnsi"/>
        </w:rPr>
        <w:t>The 2016</w:t>
      </w:r>
      <w:r>
        <w:rPr>
          <w:rFonts w:eastAsiaTheme="minorHAnsi"/>
        </w:rPr>
        <w:noBreakHyphen/>
      </w:r>
      <w:r w:rsidRPr="00ED1B54">
        <w:rPr>
          <w:rFonts w:eastAsiaTheme="minorHAnsi"/>
        </w:rPr>
        <w:t>17 growth rate for taxation is also due to the inclusion of an allowance for prepaid port license fees associated with entering into a medium</w:t>
      </w:r>
      <w:r>
        <w:rPr>
          <w:rFonts w:eastAsiaTheme="minorHAnsi"/>
        </w:rPr>
        <w:noBreakHyphen/>
      </w:r>
      <w:r w:rsidRPr="00ED1B54">
        <w:rPr>
          <w:rFonts w:eastAsiaTheme="minorHAnsi"/>
        </w:rPr>
        <w:t>term lease over the 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ED1B54">
        <w:rPr>
          <w:rFonts w:eastAsiaTheme="minorHAnsi"/>
        </w:rPr>
        <w:t>.</w:t>
      </w:r>
    </w:p>
    <w:p w:rsidR="007A09DB" w:rsidRPr="000C60B9" w:rsidRDefault="007A09DB" w:rsidP="000C60B9">
      <w:pPr>
        <w:pStyle w:val="Heading3"/>
        <w:rPr>
          <w:rFonts w:eastAsiaTheme="minorHAnsi"/>
        </w:rPr>
      </w:pPr>
      <w:r w:rsidRPr="000C60B9">
        <w:rPr>
          <w:rFonts w:eastAsiaTheme="minorHAnsi"/>
        </w:rPr>
        <w:t>Dividends, income tax equivalent and interest</w:t>
      </w:r>
    </w:p>
    <w:p w:rsidR="007A09DB" w:rsidRDefault="007A09DB" w:rsidP="000C60B9">
      <w:pPr>
        <w:rPr>
          <w:rFonts w:eastAsiaTheme="minorHAnsi"/>
        </w:rPr>
      </w:pPr>
      <w:r w:rsidRPr="00D57E04">
        <w:rPr>
          <w:rFonts w:eastAsiaTheme="minorHAnsi"/>
        </w:rPr>
        <w:t>Dividend and ITE revenue is projected to increase by 39</w:t>
      </w:r>
      <w:r>
        <w:rPr>
          <w:rFonts w:eastAsiaTheme="minorHAnsi"/>
        </w:rPr>
        <w:t> per cent</w:t>
      </w:r>
      <w:r w:rsidRPr="00D57E04">
        <w:rPr>
          <w:rFonts w:eastAsiaTheme="minorHAnsi"/>
        </w:rPr>
        <w:t xml:space="preserve"> in 2016</w:t>
      </w:r>
      <w:r>
        <w:rPr>
          <w:rFonts w:eastAsiaTheme="minorHAnsi"/>
        </w:rPr>
        <w:noBreakHyphen/>
      </w:r>
      <w:r w:rsidRPr="00D57E04">
        <w:rPr>
          <w:rFonts w:eastAsiaTheme="minorHAnsi"/>
        </w:rPr>
        <w:t>17 to $1.1</w:t>
      </w:r>
      <w:r>
        <w:rPr>
          <w:rFonts w:eastAsiaTheme="minorHAnsi"/>
        </w:rPr>
        <w:t> billion, largely due to the impact of lower expected dividends in 2015</w:t>
      </w:r>
      <w:r>
        <w:rPr>
          <w:rFonts w:eastAsiaTheme="minorHAnsi"/>
        </w:rPr>
        <w:noBreakHyphen/>
        <w:t xml:space="preserve">16 from the </w:t>
      </w:r>
      <w:r w:rsidRPr="00D57E04">
        <w:rPr>
          <w:rFonts w:eastAsiaTheme="minorHAnsi"/>
        </w:rPr>
        <w:t>Transport Accident Commission</w:t>
      </w:r>
      <w:r>
        <w:rPr>
          <w:rFonts w:eastAsiaTheme="minorHAnsi"/>
        </w:rPr>
        <w:t>.</w:t>
      </w:r>
      <w:r w:rsidRPr="00D57E04">
        <w:rPr>
          <w:rFonts w:eastAsiaTheme="minorHAnsi"/>
        </w:rPr>
        <w:t xml:space="preserve"> Over the forward estimates, </w:t>
      </w:r>
      <w:r>
        <w:rPr>
          <w:rFonts w:eastAsiaTheme="minorHAnsi"/>
        </w:rPr>
        <w:t xml:space="preserve">total </w:t>
      </w:r>
      <w:r w:rsidRPr="00D57E04">
        <w:rPr>
          <w:rFonts w:eastAsiaTheme="minorHAnsi"/>
        </w:rPr>
        <w:t>dividend and ITE revenues are expected to decline by an average of 9.4</w:t>
      </w:r>
      <w:r>
        <w:rPr>
          <w:rFonts w:eastAsiaTheme="minorHAnsi"/>
        </w:rPr>
        <w:t> per cent</w:t>
      </w:r>
      <w:r w:rsidRPr="00D57E04">
        <w:rPr>
          <w:rFonts w:eastAsiaTheme="minorHAnsi"/>
        </w:rPr>
        <w:t xml:space="preserve"> a year </w:t>
      </w:r>
      <w:r>
        <w:rPr>
          <w:rFonts w:eastAsiaTheme="minorHAnsi"/>
        </w:rPr>
        <w:t>to $787 million in 2019</w:t>
      </w:r>
      <w:r>
        <w:rPr>
          <w:rFonts w:eastAsiaTheme="minorHAnsi"/>
        </w:rPr>
        <w:noBreakHyphen/>
        <w:t xml:space="preserve">20, </w:t>
      </w:r>
      <w:r w:rsidRPr="00D57E04">
        <w:rPr>
          <w:rFonts w:eastAsiaTheme="minorHAnsi"/>
        </w:rPr>
        <w:t xml:space="preserve">largely due to </w:t>
      </w:r>
      <w:r>
        <w:rPr>
          <w:rFonts w:eastAsiaTheme="minorHAnsi"/>
        </w:rPr>
        <w:t xml:space="preserve">the declining profile of dividends from the </w:t>
      </w:r>
      <w:r w:rsidRPr="006545FE">
        <w:rPr>
          <w:rFonts w:eastAsiaTheme="minorHAnsi"/>
        </w:rPr>
        <w:t>public financial corporations</w:t>
      </w:r>
      <w:r>
        <w:rPr>
          <w:rFonts w:eastAsiaTheme="minorHAnsi"/>
        </w:rPr>
        <w:fldChar w:fldCharType="begin"/>
      </w:r>
      <w:r>
        <w:instrText xml:space="preserve"> XE "</w:instrText>
      </w:r>
      <w:r w:rsidRPr="001E4096">
        <w:rPr>
          <w:rFonts w:eastAsiaTheme="minorHAnsi"/>
        </w:rPr>
        <w:instrText>Public financial corporations</w:instrText>
      </w:r>
      <w:r>
        <w:instrText xml:space="preserve">" </w:instrText>
      </w:r>
      <w:r>
        <w:rPr>
          <w:rFonts w:eastAsiaTheme="minorHAnsi"/>
        </w:rPr>
        <w:fldChar w:fldCharType="end"/>
      </w:r>
      <w:r w:rsidRPr="006545FE">
        <w:rPr>
          <w:rFonts w:eastAsiaTheme="minorHAnsi"/>
        </w:rPr>
        <w:t xml:space="preserve"> </w:t>
      </w:r>
      <w:r>
        <w:rPr>
          <w:rFonts w:eastAsiaTheme="minorHAnsi"/>
        </w:rPr>
        <w:t>(PFC) sector.</w:t>
      </w:r>
    </w:p>
    <w:p w:rsidR="007A09DB" w:rsidRDefault="007A09DB" w:rsidP="000C60B9">
      <w:pPr>
        <w:rPr>
          <w:rFonts w:eastAsiaTheme="minorHAnsi"/>
        </w:rPr>
      </w:pPr>
      <w:r>
        <w:rPr>
          <w:rFonts w:eastAsiaTheme="minorHAnsi"/>
        </w:rPr>
        <w:t>I</w:t>
      </w:r>
      <w:r w:rsidRPr="000C60B9">
        <w:rPr>
          <w:rFonts w:eastAsiaTheme="minorHAnsi"/>
        </w:rPr>
        <w:t xml:space="preserve">nterest </w:t>
      </w:r>
      <w:r>
        <w:rPr>
          <w:rFonts w:eastAsiaTheme="minorHAnsi"/>
        </w:rPr>
        <w:t>income is</w:t>
      </w:r>
      <w:r w:rsidRPr="000C60B9">
        <w:rPr>
          <w:rFonts w:eastAsiaTheme="minorHAnsi"/>
        </w:rPr>
        <w:t xml:space="preserve"> earned on holdings of cash and deposits across a number of general government sector agencies including departments, hospitals</w:t>
      </w:r>
      <w:r>
        <w:rPr>
          <w:rFonts w:eastAsiaTheme="minorHAnsi"/>
        </w:rPr>
        <w:fldChar w:fldCharType="begin"/>
      </w:r>
      <w:r>
        <w:instrText xml:space="preserve"> XE "</w:instrText>
      </w:r>
      <w:r w:rsidRPr="00682EE3">
        <w:instrText>Health:Hospitals</w:instrText>
      </w:r>
      <w:r>
        <w:instrText xml:space="preserve">" </w:instrText>
      </w:r>
      <w:r>
        <w:rPr>
          <w:rFonts w:eastAsiaTheme="minorHAnsi"/>
        </w:rPr>
        <w:fldChar w:fldCharType="end"/>
      </w:r>
      <w:r w:rsidRPr="000C60B9">
        <w:rPr>
          <w:rFonts w:eastAsiaTheme="minorHAnsi"/>
        </w:rPr>
        <w:t xml:space="preserve"> and schools</w:t>
      </w:r>
      <w:r>
        <w:rPr>
          <w:rFonts w:eastAsiaTheme="minorHAnsi"/>
        </w:rPr>
        <w:fldChar w:fldCharType="begin"/>
      </w:r>
      <w:r>
        <w:instrText xml:space="preserve"> XE "</w:instrText>
      </w:r>
      <w:r w:rsidRPr="00593B40">
        <w:instrText>Education:Schools</w:instrText>
      </w:r>
      <w:r>
        <w:instrText xml:space="preserve">" </w:instrText>
      </w:r>
      <w:r>
        <w:rPr>
          <w:rFonts w:eastAsiaTheme="minorHAnsi"/>
        </w:rPr>
        <w:fldChar w:fldCharType="end"/>
      </w:r>
      <w:r w:rsidRPr="000C60B9">
        <w:rPr>
          <w:rFonts w:eastAsiaTheme="minorHAnsi"/>
        </w:rPr>
        <w:t>.</w:t>
      </w:r>
      <w:r>
        <w:rPr>
          <w:rFonts w:eastAsiaTheme="minorHAnsi"/>
        </w:rPr>
        <w:t xml:space="preserve"> Total i</w:t>
      </w:r>
      <w:r w:rsidRPr="000C60B9">
        <w:rPr>
          <w:rFonts w:eastAsiaTheme="minorHAnsi"/>
        </w:rPr>
        <w:t xml:space="preserve">nterest income is projected to </w:t>
      </w:r>
      <w:r>
        <w:rPr>
          <w:rFonts w:eastAsiaTheme="minorHAnsi"/>
        </w:rPr>
        <w:t>increase by 10.9 per cent in 2016</w:t>
      </w:r>
      <w:r>
        <w:rPr>
          <w:rFonts w:eastAsiaTheme="minorHAnsi"/>
        </w:rPr>
        <w:noBreakHyphen/>
        <w:t>17 largely due</w:t>
      </w:r>
      <w:r w:rsidRPr="002D2030">
        <w:rPr>
          <w:rFonts w:eastAsiaTheme="minorHAnsi"/>
        </w:rPr>
        <w:t xml:space="preserve"> </w:t>
      </w:r>
      <w:r>
        <w:rPr>
          <w:rFonts w:eastAsiaTheme="minorHAnsi"/>
        </w:rPr>
        <w:t>the impact of the estimated proceeds of the medium</w:t>
      </w:r>
      <w:r>
        <w:rPr>
          <w:rFonts w:eastAsiaTheme="minorHAnsi"/>
        </w:rPr>
        <w:noBreakHyphen/>
        <w:t>term lease over the 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Pr>
          <w:rFonts w:eastAsiaTheme="minorHAnsi"/>
        </w:rPr>
        <w:t xml:space="preserve">. </w:t>
      </w:r>
      <w:r w:rsidRPr="000C60B9">
        <w:rPr>
          <w:rFonts w:eastAsiaTheme="minorHAnsi"/>
        </w:rPr>
        <w:t>Across</w:t>
      </w:r>
      <w:r>
        <w:rPr>
          <w:rFonts w:eastAsiaTheme="minorHAnsi"/>
        </w:rPr>
        <w:t xml:space="preserve"> the forward estimates, average interest revenue is expected to remain relatively flat.</w:t>
      </w:r>
    </w:p>
    <w:p w:rsidR="007A09DB" w:rsidRDefault="007A09DB" w:rsidP="007630E8">
      <w:pPr>
        <w:rPr>
          <w:rFonts w:ascii="Calibri" w:eastAsiaTheme="minorHAnsi" w:hAnsi="Calibri"/>
          <w:b/>
          <w:i/>
          <w:kern w:val="28"/>
          <w:sz w:val="24"/>
          <w:szCs w:val="22"/>
        </w:rPr>
      </w:pPr>
      <w:r>
        <w:rPr>
          <w:rFonts w:eastAsiaTheme="minorHAnsi"/>
        </w:rPr>
        <w:br w:type="page"/>
      </w:r>
    </w:p>
    <w:p w:rsidR="007A09DB" w:rsidRPr="000C60B9" w:rsidRDefault="007A09DB" w:rsidP="000C60B9">
      <w:pPr>
        <w:pStyle w:val="Heading3"/>
        <w:rPr>
          <w:rFonts w:eastAsiaTheme="minorHAnsi"/>
        </w:rPr>
      </w:pPr>
      <w:r w:rsidRPr="000C60B9">
        <w:rPr>
          <w:rFonts w:eastAsiaTheme="minorHAnsi"/>
        </w:rPr>
        <w:t>Sales of goods and services</w:t>
      </w:r>
    </w:p>
    <w:p w:rsidR="007A09DB" w:rsidRDefault="007A09DB" w:rsidP="000C60B9">
      <w:pPr>
        <w:rPr>
          <w:rFonts w:eastAsiaTheme="minorHAnsi"/>
        </w:rPr>
      </w:pPr>
      <w:r w:rsidRPr="00730588">
        <w:rPr>
          <w:rFonts w:eastAsiaTheme="minorHAnsi"/>
        </w:rPr>
        <w:t>Revenue from the sales of goods and services is expected to grow by 3.0</w:t>
      </w:r>
      <w:r>
        <w:rPr>
          <w:rFonts w:eastAsiaTheme="minorHAnsi"/>
        </w:rPr>
        <w:t> per cent</w:t>
      </w:r>
      <w:r w:rsidRPr="00730588">
        <w:rPr>
          <w:rFonts w:eastAsiaTheme="minorHAnsi"/>
        </w:rPr>
        <w:t xml:space="preserve"> to $6.8</w:t>
      </w:r>
      <w:r>
        <w:rPr>
          <w:rFonts w:eastAsiaTheme="minorHAnsi"/>
        </w:rPr>
        <w:t> billion</w:t>
      </w:r>
      <w:r w:rsidRPr="00730588">
        <w:rPr>
          <w:rFonts w:eastAsiaTheme="minorHAnsi"/>
        </w:rPr>
        <w:t xml:space="preserve"> in 2016</w:t>
      </w:r>
      <w:r>
        <w:rPr>
          <w:rFonts w:eastAsiaTheme="minorHAnsi"/>
        </w:rPr>
        <w:noBreakHyphen/>
      </w:r>
      <w:r w:rsidRPr="00730588">
        <w:rPr>
          <w:rFonts w:eastAsiaTheme="minorHAnsi"/>
        </w:rPr>
        <w:t>17. This growth largely reflects an increase in the capital asset charge revenue from VicTrack that is associated with an increase in the asset base. Thereafter, growth moderates to an average of 1.9</w:t>
      </w:r>
      <w:r>
        <w:rPr>
          <w:rFonts w:eastAsiaTheme="minorHAnsi"/>
        </w:rPr>
        <w:t> per cent</w:t>
      </w:r>
      <w:r w:rsidRPr="00730588">
        <w:rPr>
          <w:rFonts w:eastAsiaTheme="minorHAnsi"/>
        </w:rPr>
        <w:t xml:space="preserve"> a year over the forward estimates.</w:t>
      </w:r>
    </w:p>
    <w:p w:rsidR="007A09DB" w:rsidRPr="000C60B9" w:rsidRDefault="007A09DB" w:rsidP="000C60B9">
      <w:pPr>
        <w:pStyle w:val="Heading3"/>
        <w:rPr>
          <w:rFonts w:eastAsiaTheme="minorHAnsi"/>
        </w:rPr>
      </w:pPr>
      <w:r w:rsidRPr="000C60B9">
        <w:rPr>
          <w:rFonts w:eastAsiaTheme="minorHAnsi"/>
        </w:rPr>
        <w:t>Grants</w:t>
      </w:r>
    </w:p>
    <w:p w:rsidR="007A09DB" w:rsidRPr="000C60B9" w:rsidRDefault="007A09DB" w:rsidP="000C60B9">
      <w:pPr>
        <w:rPr>
          <w:rFonts w:eastAsiaTheme="minorHAnsi"/>
        </w:rPr>
      </w:pPr>
      <w:r w:rsidRPr="000C60B9">
        <w:rPr>
          <w:rFonts w:eastAsiaTheme="minorHAnsi"/>
        </w:rPr>
        <w:t>Total grants revenue</w:t>
      </w:r>
      <w:r>
        <w:rPr>
          <w:rFonts w:eastAsiaTheme="minorHAnsi"/>
        </w:rPr>
        <w:fldChar w:fldCharType="begin"/>
      </w:r>
      <w:r>
        <w:instrText xml:space="preserve"> XE "</w:instrText>
      </w:r>
      <w:r w:rsidRPr="00937A6A">
        <w:rPr>
          <w:rFonts w:eastAsiaTheme="minorHAnsi"/>
        </w:rPr>
        <w:instrText>Grants:</w:instrText>
      </w:r>
      <w:r w:rsidRPr="00937A6A">
        <w:instrText>Revenue</w:instrText>
      </w:r>
      <w:r>
        <w:instrText xml:space="preserve">" </w:instrText>
      </w:r>
      <w:r>
        <w:rPr>
          <w:rFonts w:eastAsiaTheme="minorHAnsi"/>
        </w:rPr>
        <w:fldChar w:fldCharType="end"/>
      </w:r>
      <w:r w:rsidRPr="000C60B9">
        <w:rPr>
          <w:rFonts w:eastAsiaTheme="minorHAnsi"/>
        </w:rPr>
        <w:t xml:space="preserve"> is expected to grow by </w:t>
      </w:r>
      <w:r>
        <w:rPr>
          <w:rFonts w:eastAsiaTheme="minorHAnsi"/>
        </w:rPr>
        <w:t>8.1 per cent</w:t>
      </w:r>
      <w:r w:rsidRPr="000C60B9">
        <w:rPr>
          <w:rFonts w:eastAsiaTheme="minorHAnsi"/>
        </w:rPr>
        <w:t xml:space="preserve"> to $2</w:t>
      </w:r>
      <w:r>
        <w:rPr>
          <w:rFonts w:eastAsiaTheme="minorHAnsi"/>
        </w:rPr>
        <w:t>7 billion</w:t>
      </w:r>
      <w:r w:rsidRPr="000C60B9">
        <w:rPr>
          <w:rFonts w:eastAsiaTheme="minorHAnsi"/>
        </w:rPr>
        <w:t xml:space="preserve"> in 2016</w:t>
      </w:r>
      <w:r>
        <w:rPr>
          <w:rFonts w:eastAsiaTheme="minorHAnsi"/>
        </w:rPr>
        <w:noBreakHyphen/>
      </w:r>
      <w:r w:rsidRPr="000C60B9">
        <w:rPr>
          <w:rFonts w:eastAsiaTheme="minorHAnsi"/>
        </w:rPr>
        <w:t>17 and increase by 3.</w:t>
      </w:r>
      <w:r>
        <w:rPr>
          <w:rFonts w:eastAsiaTheme="minorHAnsi"/>
        </w:rPr>
        <w:t>0 per cent</w:t>
      </w:r>
      <w:r w:rsidRPr="000C60B9">
        <w:rPr>
          <w:rFonts w:eastAsiaTheme="minorHAnsi"/>
        </w:rPr>
        <w:t xml:space="preserve"> a year on</w:t>
      </w:r>
      <w:r>
        <w:rPr>
          <w:rFonts w:eastAsiaTheme="minorHAnsi"/>
        </w:rPr>
        <w:t xml:space="preserve"> average to $30 billion in 2019</w:t>
      </w:r>
      <w:r>
        <w:rPr>
          <w:rFonts w:eastAsiaTheme="minorHAnsi"/>
        </w:rPr>
        <w:noBreakHyphen/>
        <w:t>20.</w:t>
      </w:r>
    </w:p>
    <w:p w:rsidR="007A09DB" w:rsidRDefault="007A09DB" w:rsidP="00944476">
      <w:pPr>
        <w:rPr>
          <w:rFonts w:eastAsiaTheme="minorHAnsi"/>
        </w:rPr>
      </w:pPr>
      <w:r w:rsidRPr="000C60B9">
        <w:rPr>
          <w:rFonts w:eastAsiaTheme="minorHAnsi"/>
        </w:rPr>
        <w:t>GST revenue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r w:rsidRPr="000C60B9">
        <w:rPr>
          <w:rFonts w:eastAsiaTheme="minorHAnsi"/>
        </w:rPr>
        <w:t xml:space="preserve"> is estimated to </w:t>
      </w:r>
      <w:r w:rsidRPr="004513AF">
        <w:rPr>
          <w:rFonts w:eastAsiaTheme="minorHAnsi"/>
        </w:rPr>
        <w:t xml:space="preserve">grow by </w:t>
      </w:r>
      <w:r>
        <w:rPr>
          <w:rFonts w:eastAsiaTheme="minorHAnsi"/>
        </w:rPr>
        <w:t>6.5 per cent</w:t>
      </w:r>
      <w:r w:rsidRPr="004513AF">
        <w:rPr>
          <w:rFonts w:eastAsiaTheme="minorHAnsi"/>
        </w:rPr>
        <w:t xml:space="preserve"> to $</w:t>
      </w:r>
      <w:r>
        <w:rPr>
          <w:rFonts w:eastAsiaTheme="minorHAnsi"/>
        </w:rPr>
        <w:t>13.9 billion</w:t>
      </w:r>
      <w:r w:rsidRPr="004513AF">
        <w:rPr>
          <w:rFonts w:eastAsiaTheme="minorHAnsi"/>
        </w:rPr>
        <w:t xml:space="preserve"> in 2016</w:t>
      </w:r>
      <w:r>
        <w:rPr>
          <w:rFonts w:eastAsiaTheme="minorHAnsi"/>
        </w:rPr>
        <w:noBreakHyphen/>
      </w:r>
      <w:r w:rsidRPr="004513AF">
        <w:rPr>
          <w:rFonts w:eastAsiaTheme="minorHAnsi"/>
        </w:rPr>
        <w:t>17</w:t>
      </w:r>
      <w:r>
        <w:rPr>
          <w:rFonts w:eastAsiaTheme="minorHAnsi"/>
        </w:rPr>
        <w:t>. This</w:t>
      </w:r>
      <w:r w:rsidRPr="00734C6F">
        <w:rPr>
          <w:rFonts w:eastAsiaTheme="minorHAnsi"/>
        </w:rPr>
        <w:t xml:space="preserve"> </w:t>
      </w:r>
      <w:r>
        <w:rPr>
          <w:rFonts w:eastAsiaTheme="minorHAnsi"/>
        </w:rPr>
        <w:t>reflects an improvement in Victoria’s share of the national GST pool, in part, as a result of having above average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Pr>
          <w:rFonts w:eastAsiaTheme="minorHAnsi"/>
        </w:rPr>
        <w:t>, and the assessed need to invest more in infrastructure. Over the forward estimates,</w:t>
      </w:r>
      <w:r w:rsidRPr="00734C6F">
        <w:rPr>
          <w:rFonts w:eastAsiaTheme="minorHAnsi"/>
        </w:rPr>
        <w:t xml:space="preserve"> </w:t>
      </w:r>
      <w:r>
        <w:rPr>
          <w:rFonts w:eastAsiaTheme="minorHAnsi"/>
        </w:rPr>
        <w:t xml:space="preserve">growth in </w:t>
      </w:r>
      <w:r w:rsidRPr="000C60B9">
        <w:rPr>
          <w:rFonts w:eastAsiaTheme="minorHAnsi"/>
        </w:rPr>
        <w:t>GST revenue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r w:rsidRPr="00734C6F">
        <w:rPr>
          <w:rFonts w:eastAsiaTheme="minorHAnsi"/>
        </w:rPr>
        <w:t xml:space="preserve"> </w:t>
      </w:r>
      <w:r w:rsidRPr="000C60B9">
        <w:rPr>
          <w:rFonts w:eastAsiaTheme="minorHAnsi"/>
        </w:rPr>
        <w:t xml:space="preserve">is estimated to </w:t>
      </w:r>
      <w:r>
        <w:rPr>
          <w:rFonts w:eastAsiaTheme="minorHAnsi"/>
        </w:rPr>
        <w:t>be</w:t>
      </w:r>
      <w:r w:rsidRPr="004513AF">
        <w:rPr>
          <w:rFonts w:eastAsiaTheme="minorHAnsi"/>
        </w:rPr>
        <w:t xml:space="preserve"> </w:t>
      </w:r>
      <w:r>
        <w:rPr>
          <w:rFonts w:eastAsiaTheme="minorHAnsi"/>
        </w:rPr>
        <w:t>6.0 per cent.</w:t>
      </w:r>
    </w:p>
    <w:p w:rsidR="007A09DB" w:rsidRDefault="007A09DB" w:rsidP="006C5954">
      <w:pPr>
        <w:rPr>
          <w:rFonts w:eastAsiaTheme="minorHAnsi"/>
        </w:rPr>
      </w:pPr>
      <w:r w:rsidRPr="000C60B9">
        <w:rPr>
          <w:rFonts w:eastAsiaTheme="minorHAnsi"/>
        </w:rPr>
        <w:t>Commonwealth grants</w:t>
      </w:r>
      <w:r>
        <w:rPr>
          <w:rFonts w:eastAsiaTheme="minorHAnsi"/>
        </w:rPr>
        <w:fldChar w:fldCharType="begin"/>
      </w:r>
      <w:r>
        <w:instrText xml:space="preserve"> XE "</w:instrText>
      </w:r>
      <w:r w:rsidRPr="0073325C">
        <w:rPr>
          <w:rFonts w:eastAsiaTheme="minorHAnsi"/>
        </w:rPr>
        <w:instrText>Grants:</w:instrText>
      </w:r>
      <w:r w:rsidRPr="0073325C">
        <w:instrText>Commonwealth</w:instrText>
      </w:r>
      <w:r>
        <w:instrText xml:space="preserve">" </w:instrText>
      </w:r>
      <w:r>
        <w:rPr>
          <w:rFonts w:eastAsiaTheme="minorHAnsi"/>
        </w:rPr>
        <w:fldChar w:fldCharType="end"/>
      </w:r>
      <w:r w:rsidRPr="000C60B9">
        <w:rPr>
          <w:rFonts w:eastAsiaTheme="minorHAnsi"/>
        </w:rPr>
        <w:t xml:space="preserve"> for specific purposes are projected to be $1</w:t>
      </w:r>
      <w:r>
        <w:rPr>
          <w:rFonts w:eastAsiaTheme="minorHAnsi"/>
        </w:rPr>
        <w:t>3.1 billion</w:t>
      </w:r>
      <w:r w:rsidRPr="000C60B9">
        <w:rPr>
          <w:rFonts w:eastAsiaTheme="minorHAnsi"/>
        </w:rPr>
        <w:t xml:space="preserve"> a year on average across the budget and forward estimates. The Commonwealth provides these grants as contributions towards healthcare, education, disability and other services, and major infrastructure investment. While the outlook is relatively </w:t>
      </w:r>
      <w:r>
        <w:rPr>
          <w:rFonts w:eastAsiaTheme="minorHAnsi"/>
        </w:rPr>
        <w:t>flat</w:t>
      </w:r>
      <w:r w:rsidRPr="000C60B9">
        <w:rPr>
          <w:rFonts w:eastAsiaTheme="minorHAnsi"/>
        </w:rPr>
        <w:t xml:space="preserve"> across the forward estimates there is significant movement in the under</w:t>
      </w:r>
      <w:r>
        <w:rPr>
          <w:rFonts w:eastAsiaTheme="minorHAnsi"/>
        </w:rPr>
        <w:t>lying components of the grants.</w:t>
      </w:r>
    </w:p>
    <w:p w:rsidR="007A09DB" w:rsidRPr="000C60B9" w:rsidRDefault="007A09DB" w:rsidP="006C5954">
      <w:pPr>
        <w:rPr>
          <w:rFonts w:eastAsiaTheme="minorHAnsi"/>
        </w:rPr>
      </w:pPr>
      <w:r>
        <w:rPr>
          <w:rFonts w:eastAsiaTheme="minorHAnsi"/>
        </w:rPr>
        <w:t>Growth in specific Commonwealth grants</w:t>
      </w:r>
      <w:r>
        <w:rPr>
          <w:rFonts w:eastAsiaTheme="minorHAnsi"/>
        </w:rPr>
        <w:fldChar w:fldCharType="begin"/>
      </w:r>
      <w:r>
        <w:instrText xml:space="preserve"> XE "</w:instrText>
      </w:r>
      <w:r w:rsidRPr="0073325C">
        <w:rPr>
          <w:rFonts w:eastAsiaTheme="minorHAnsi"/>
        </w:rPr>
        <w:instrText>Grants:</w:instrText>
      </w:r>
      <w:r w:rsidRPr="0073325C">
        <w:instrText>Commonwealth</w:instrText>
      </w:r>
      <w:r>
        <w:instrText xml:space="preserve">" </w:instrText>
      </w:r>
      <w:r>
        <w:rPr>
          <w:rFonts w:eastAsiaTheme="minorHAnsi"/>
        </w:rPr>
        <w:fldChar w:fldCharType="end"/>
      </w:r>
      <w:r>
        <w:rPr>
          <w:rFonts w:eastAsiaTheme="minorHAnsi"/>
        </w:rPr>
        <w:t xml:space="preserve"> across the forward estimates primarily for health and education funding is partially offset by lapsing programs such as the Goulburn</w:t>
      </w:r>
      <w:r>
        <w:rPr>
          <w:rFonts w:eastAsiaTheme="minorHAnsi"/>
        </w:rPr>
        <w:noBreakHyphen/>
        <w:t>Murray Water Connections Project</w:t>
      </w:r>
      <w:r w:rsidR="0078635B">
        <w:rPr>
          <w:rFonts w:eastAsiaTheme="minorHAnsi"/>
        </w:rPr>
        <w:fldChar w:fldCharType="begin"/>
      </w:r>
      <w:r w:rsidR="0078635B">
        <w:instrText xml:space="preserve"> XE "</w:instrText>
      </w:r>
      <w:r w:rsidR="0078635B" w:rsidRPr="00717CD8">
        <w:rPr>
          <w:rFonts w:eastAsiaTheme="minorHAnsi"/>
        </w:rPr>
        <w:instrText>Goulburn</w:instrText>
      </w:r>
      <w:r w:rsidR="0078635B" w:rsidRPr="00717CD8">
        <w:rPr>
          <w:rFonts w:eastAsiaTheme="minorHAnsi"/>
        </w:rPr>
        <w:noBreakHyphen/>
        <w:instrText>Murray Water Connections Project</w:instrText>
      </w:r>
      <w:r w:rsidR="0078635B">
        <w:instrText xml:space="preserve">" </w:instrText>
      </w:r>
      <w:r w:rsidR="0078635B">
        <w:rPr>
          <w:rFonts w:eastAsiaTheme="minorHAnsi"/>
        </w:rPr>
        <w:fldChar w:fldCharType="end"/>
      </w:r>
      <w:r>
        <w:rPr>
          <w:rFonts w:eastAsiaTheme="minorHAnsi"/>
        </w:rPr>
        <w:t>.</w:t>
      </w:r>
    </w:p>
    <w:p w:rsidR="007A09DB" w:rsidRPr="000C60B9" w:rsidRDefault="007A09DB" w:rsidP="000C60B9">
      <w:pPr>
        <w:pStyle w:val="Heading3"/>
        <w:rPr>
          <w:rFonts w:eastAsiaTheme="minorHAnsi"/>
        </w:rPr>
      </w:pPr>
      <w:r w:rsidRPr="000C60B9">
        <w:rPr>
          <w:rFonts w:eastAsiaTheme="minorHAnsi"/>
        </w:rPr>
        <w:t>Other current revenue</w:t>
      </w:r>
    </w:p>
    <w:p w:rsidR="007A09DB" w:rsidRPr="000C60B9" w:rsidRDefault="007A09DB" w:rsidP="000C60B9">
      <w:pPr>
        <w:rPr>
          <w:rFonts w:eastAsiaTheme="minorHAnsi"/>
        </w:rPr>
      </w:pPr>
      <w:r w:rsidRPr="000C60B9">
        <w:rPr>
          <w:rFonts w:eastAsiaTheme="minorHAnsi"/>
        </w:rPr>
        <w:t xml:space="preserve">Other current revenue includes fines, royalties, donations and gifts, assets received free of charge and other miscellaneous revenues. Other current revenue is projected to decrease by </w:t>
      </w:r>
      <w:r>
        <w:rPr>
          <w:rFonts w:eastAsiaTheme="minorHAnsi"/>
        </w:rPr>
        <w:t>9.2 per cent</w:t>
      </w:r>
      <w:r w:rsidRPr="000C60B9">
        <w:rPr>
          <w:rFonts w:eastAsiaTheme="minorHAnsi"/>
        </w:rPr>
        <w:t xml:space="preserve"> to $2.</w:t>
      </w:r>
      <w:r>
        <w:rPr>
          <w:rFonts w:eastAsiaTheme="minorHAnsi"/>
        </w:rPr>
        <w:t>6 billion</w:t>
      </w:r>
      <w:r w:rsidRPr="000C60B9">
        <w:rPr>
          <w:rFonts w:eastAsiaTheme="minorHAnsi"/>
        </w:rPr>
        <w:t xml:space="preserve"> in 2016</w:t>
      </w:r>
      <w:r>
        <w:rPr>
          <w:rFonts w:eastAsiaTheme="minorHAnsi"/>
        </w:rPr>
        <w:noBreakHyphen/>
      </w:r>
      <w:r w:rsidRPr="000C60B9">
        <w:rPr>
          <w:rFonts w:eastAsiaTheme="minorHAnsi"/>
        </w:rPr>
        <w:t>17 largely due to a large one</w:t>
      </w:r>
      <w:r>
        <w:rPr>
          <w:rFonts w:eastAsiaTheme="minorHAnsi"/>
        </w:rPr>
        <w:noBreakHyphen/>
        <w:t xml:space="preserve">off increase in revenue </w:t>
      </w:r>
      <w:r w:rsidRPr="00CC12B8">
        <w:rPr>
          <w:rFonts w:eastAsiaTheme="minorHAnsi"/>
        </w:rPr>
        <w:t>in 2015</w:t>
      </w:r>
      <w:r>
        <w:rPr>
          <w:rFonts w:eastAsiaTheme="minorHAnsi"/>
        </w:rPr>
        <w:noBreakHyphen/>
      </w:r>
      <w:r w:rsidRPr="00CC12B8">
        <w:rPr>
          <w:rFonts w:eastAsiaTheme="minorHAnsi"/>
        </w:rPr>
        <w:t>16</w:t>
      </w:r>
      <w:r>
        <w:rPr>
          <w:rFonts w:eastAsiaTheme="minorHAnsi"/>
        </w:rPr>
        <w:t xml:space="preserve"> </w:t>
      </w:r>
      <w:r w:rsidRPr="00CC12B8">
        <w:rPr>
          <w:rFonts w:eastAsiaTheme="minorHAnsi"/>
        </w:rPr>
        <w:t xml:space="preserve">associated with the High </w:t>
      </w:r>
      <w:r>
        <w:rPr>
          <w:rFonts w:eastAsiaTheme="minorHAnsi"/>
        </w:rPr>
        <w:t>C</w:t>
      </w:r>
      <w:r w:rsidRPr="00CC12B8">
        <w:rPr>
          <w:rFonts w:eastAsiaTheme="minorHAnsi"/>
        </w:rPr>
        <w:t xml:space="preserve">ourt </w:t>
      </w:r>
      <w:r>
        <w:rPr>
          <w:rFonts w:eastAsiaTheme="minorHAnsi"/>
        </w:rPr>
        <w:t xml:space="preserve">of Australia’s decision </w:t>
      </w:r>
      <w:r w:rsidRPr="00CC12B8">
        <w:rPr>
          <w:rFonts w:eastAsiaTheme="minorHAnsi"/>
        </w:rPr>
        <w:t xml:space="preserve">in favour of the </w:t>
      </w:r>
      <w:r>
        <w:rPr>
          <w:rFonts w:eastAsiaTheme="minorHAnsi"/>
        </w:rPr>
        <w:t>State</w:t>
      </w:r>
      <w:r w:rsidRPr="00CC12B8">
        <w:rPr>
          <w:rFonts w:eastAsiaTheme="minorHAnsi"/>
        </w:rPr>
        <w:t xml:space="preserve"> </w:t>
      </w:r>
      <w:r>
        <w:rPr>
          <w:rFonts w:eastAsiaTheme="minorHAnsi"/>
        </w:rPr>
        <w:t>relating to the Tatts Group Limited’s ‘G</w:t>
      </w:r>
      <w:r w:rsidRPr="00CC12B8">
        <w:rPr>
          <w:rFonts w:eastAsiaTheme="minorHAnsi"/>
        </w:rPr>
        <w:t>am</w:t>
      </w:r>
      <w:r>
        <w:rPr>
          <w:rFonts w:eastAsiaTheme="minorHAnsi"/>
        </w:rPr>
        <w:t>bling</w:t>
      </w:r>
      <w:r w:rsidRPr="00CC12B8">
        <w:rPr>
          <w:rFonts w:eastAsiaTheme="minorHAnsi"/>
        </w:rPr>
        <w:t xml:space="preserve"> </w:t>
      </w:r>
      <w:r>
        <w:rPr>
          <w:rFonts w:eastAsiaTheme="minorHAnsi"/>
        </w:rPr>
        <w:t>Licenses’ proceedings</w:t>
      </w:r>
      <w:r w:rsidRPr="000C60B9">
        <w:rPr>
          <w:rFonts w:eastAsiaTheme="minorHAnsi"/>
        </w:rPr>
        <w:t xml:space="preserve">. Other current revenue is projected to fall by an average of </w:t>
      </w:r>
      <w:r>
        <w:rPr>
          <w:rFonts w:eastAsiaTheme="minorHAnsi"/>
        </w:rPr>
        <w:t>2.6 per cent</w:t>
      </w:r>
      <w:r w:rsidRPr="000C60B9">
        <w:rPr>
          <w:rFonts w:eastAsiaTheme="minorHAnsi"/>
        </w:rPr>
        <w:t xml:space="preserve"> a year across the forward estimates.</w:t>
      </w:r>
    </w:p>
    <w:p w:rsidR="007A09DB" w:rsidRDefault="007A09DB" w:rsidP="000C60B9">
      <w:pPr>
        <w:rPr>
          <w:rFonts w:eastAsiaTheme="minorHAnsi"/>
        </w:rPr>
      </w:pPr>
      <w:r w:rsidRPr="000C60B9">
        <w:rPr>
          <w:rFonts w:eastAsiaTheme="minorHAnsi"/>
        </w:rPr>
        <w:t xml:space="preserve">Further details of expected movements in the major categories of general government revenue are contained in Budget Paper </w:t>
      </w:r>
      <w:r>
        <w:rPr>
          <w:rFonts w:eastAsiaTheme="minorHAnsi"/>
        </w:rPr>
        <w:t>No. </w:t>
      </w:r>
      <w:r w:rsidRPr="000C60B9">
        <w:rPr>
          <w:rFonts w:eastAsiaTheme="minorHAnsi"/>
        </w:rPr>
        <w:t xml:space="preserve">5, Chapter 4 </w:t>
      </w:r>
      <w:r w:rsidRPr="000C60B9">
        <w:rPr>
          <w:rFonts w:eastAsiaTheme="minorHAnsi"/>
          <w:i/>
        </w:rPr>
        <w:t>State revenue</w:t>
      </w:r>
      <w:r w:rsidRPr="000C60B9">
        <w:rPr>
          <w:rFonts w:eastAsiaTheme="minorHAnsi"/>
        </w:rPr>
        <w:t>.</w:t>
      </w:r>
    </w:p>
    <w:p w:rsidR="007A09DB" w:rsidRDefault="007A09DB">
      <w:pPr>
        <w:spacing w:after="0"/>
        <w:rPr>
          <w:rFonts w:ascii="Calibri" w:eastAsiaTheme="minorHAnsi" w:hAnsi="Calibri"/>
          <w:b/>
          <w:i/>
          <w:kern w:val="28"/>
          <w:sz w:val="24"/>
          <w:szCs w:val="22"/>
        </w:rPr>
      </w:pPr>
      <w:r>
        <w:rPr>
          <w:rFonts w:eastAsiaTheme="minorHAnsi"/>
        </w:rPr>
        <w:br w:type="page"/>
      </w:r>
    </w:p>
    <w:p w:rsidR="007A09DB" w:rsidRPr="000C60B9" w:rsidRDefault="007A09DB" w:rsidP="000C60B9">
      <w:pPr>
        <w:pStyle w:val="Heading2"/>
        <w:rPr>
          <w:rFonts w:eastAsiaTheme="minorHAnsi"/>
        </w:rPr>
      </w:pPr>
      <w:r w:rsidRPr="000C60B9">
        <w:rPr>
          <w:rFonts w:eastAsiaTheme="minorHAnsi"/>
        </w:rPr>
        <w:t>Expenses outlook</w:t>
      </w:r>
    </w:p>
    <w:p w:rsidR="007A09DB" w:rsidRPr="000C60B9" w:rsidRDefault="007A09DB" w:rsidP="000C60B9">
      <w:pPr>
        <w:rPr>
          <w:rFonts w:eastAsiaTheme="minorHAnsi"/>
        </w:rPr>
      </w:pPr>
      <w:r w:rsidRPr="000C60B9">
        <w:rPr>
          <w:rFonts w:eastAsiaTheme="minorHAnsi"/>
        </w:rPr>
        <w:t>The Government is expected to spend $5</w:t>
      </w:r>
      <w:r>
        <w:rPr>
          <w:rFonts w:eastAsiaTheme="minorHAnsi"/>
        </w:rPr>
        <w:t>7.5 billion</w:t>
      </w:r>
      <w:r w:rsidRPr="000C60B9">
        <w:rPr>
          <w:rFonts w:eastAsiaTheme="minorHAnsi"/>
        </w:rPr>
        <w:t xml:space="preserve"> in 2016</w:t>
      </w:r>
      <w:r>
        <w:rPr>
          <w:rFonts w:eastAsiaTheme="minorHAnsi"/>
          <w:i/>
        </w:rPr>
        <w:noBreakHyphen/>
      </w:r>
      <w:r w:rsidRPr="000C60B9">
        <w:rPr>
          <w:rFonts w:eastAsiaTheme="minorHAnsi"/>
        </w:rPr>
        <w:t>17 providing services to the community. Total expenses are expected to grow by 3.</w:t>
      </w:r>
      <w:r>
        <w:rPr>
          <w:rFonts w:eastAsiaTheme="minorHAnsi"/>
        </w:rPr>
        <w:t>3 per cent</w:t>
      </w:r>
      <w:r w:rsidRPr="000C60B9">
        <w:rPr>
          <w:rFonts w:eastAsiaTheme="minorHAnsi"/>
        </w:rPr>
        <w:t xml:space="preserve"> a year on average over the budget and forward estimates to $</w:t>
      </w:r>
      <w:r>
        <w:rPr>
          <w:rFonts w:eastAsiaTheme="minorHAnsi"/>
        </w:rPr>
        <w:t>62.1 billion</w:t>
      </w:r>
      <w:r w:rsidRPr="000C60B9">
        <w:rPr>
          <w:rFonts w:eastAsiaTheme="minorHAnsi"/>
        </w:rPr>
        <w:t xml:space="preserve"> in 2019</w:t>
      </w:r>
      <w:r>
        <w:rPr>
          <w:rFonts w:eastAsiaTheme="minorHAnsi"/>
        </w:rPr>
        <w:noBreakHyphen/>
      </w:r>
      <w:r w:rsidRPr="000C60B9">
        <w:rPr>
          <w:rFonts w:eastAsiaTheme="minorHAnsi"/>
        </w:rPr>
        <w:t>20.</w:t>
      </w:r>
    </w:p>
    <w:p w:rsidR="007A09DB" w:rsidRPr="000C60B9" w:rsidRDefault="007A09DB" w:rsidP="000C60B9">
      <w:pPr>
        <w:rPr>
          <w:rFonts w:eastAsiaTheme="minorHAnsi"/>
        </w:rPr>
      </w:pPr>
      <w:r w:rsidRPr="000C60B9">
        <w:rPr>
          <w:rFonts w:eastAsiaTheme="minorHAnsi"/>
        </w:rPr>
        <w:t>The level and expected growth in expenses reflects Government invest</w:t>
      </w:r>
      <w:r>
        <w:rPr>
          <w:rFonts w:eastAsiaTheme="minorHAnsi"/>
        </w:rPr>
        <w:t>ment</w:t>
      </w:r>
      <w:r w:rsidRPr="000C60B9">
        <w:rPr>
          <w:rFonts w:eastAsiaTheme="minorHAnsi"/>
        </w:rPr>
        <w:t xml:space="preserve"> </w:t>
      </w:r>
      <w:r>
        <w:rPr>
          <w:rFonts w:eastAsiaTheme="minorHAnsi"/>
        </w:rPr>
        <w:t>to meet</w:t>
      </w:r>
      <w:r w:rsidRPr="000C60B9">
        <w:rPr>
          <w:rFonts w:eastAsiaTheme="minorHAnsi"/>
        </w:rPr>
        <w:t xml:space="preserve"> the growing demand </w:t>
      </w:r>
      <w:r>
        <w:rPr>
          <w:rFonts w:eastAsiaTheme="minorHAnsi"/>
        </w:rPr>
        <w:t>for</w:t>
      </w:r>
      <w:r w:rsidRPr="000C60B9">
        <w:rPr>
          <w:rFonts w:eastAsiaTheme="minorHAnsi"/>
        </w:rPr>
        <w:t xml:space="preserve"> core services, including on health, education and social services. Specifically:</w:t>
      </w:r>
    </w:p>
    <w:p w:rsidR="007A09DB" w:rsidRPr="0085282C" w:rsidRDefault="007A09DB" w:rsidP="0085282C">
      <w:pPr>
        <w:pStyle w:val="BulletText"/>
        <w:rPr>
          <w:rFonts w:eastAsiaTheme="minorHAnsi"/>
        </w:rPr>
      </w:pPr>
      <w:r w:rsidRPr="0085282C">
        <w:rPr>
          <w:rFonts w:eastAsiaTheme="minorHAnsi"/>
        </w:rPr>
        <w:t>grants and other transfer expenses include funding provided to non</w:t>
      </w:r>
      <w:r>
        <w:rPr>
          <w:rFonts w:eastAsiaTheme="minorHAnsi"/>
        </w:rPr>
        <w:noBreakHyphen/>
      </w:r>
      <w:r w:rsidRPr="0085282C">
        <w:rPr>
          <w:rFonts w:eastAsiaTheme="minorHAnsi"/>
        </w:rPr>
        <w:t>government schools</w:t>
      </w:r>
      <w:r>
        <w:rPr>
          <w:rFonts w:eastAsiaTheme="minorHAnsi"/>
        </w:rPr>
        <w:fldChar w:fldCharType="begin"/>
      </w:r>
      <w:r>
        <w:instrText xml:space="preserve"> XE "</w:instrText>
      </w:r>
      <w:r w:rsidRPr="00593B40">
        <w:instrText>Education:Schools</w:instrText>
      </w:r>
      <w:r>
        <w:instrText xml:space="preserve">" </w:instrText>
      </w:r>
      <w:r>
        <w:rPr>
          <w:rFonts w:eastAsiaTheme="minorHAnsi"/>
        </w:rPr>
        <w:fldChar w:fldCharType="end"/>
      </w:r>
      <w:r w:rsidRPr="0085282C">
        <w:rPr>
          <w:rFonts w:eastAsiaTheme="minorHAnsi"/>
        </w:rPr>
        <w:t>, VicTrack and V/Line for operational costs incurred in the provision of transport services, and local governments. Expen</w:t>
      </w:r>
      <w:r>
        <w:rPr>
          <w:rFonts w:eastAsiaTheme="minorHAnsi"/>
        </w:rPr>
        <w:t>ses are</w:t>
      </w:r>
      <w:r w:rsidRPr="0085282C">
        <w:rPr>
          <w:rFonts w:eastAsiaTheme="minorHAnsi"/>
        </w:rPr>
        <w:t xml:space="preserve"> forecast to increase by 1</w:t>
      </w:r>
      <w:r>
        <w:rPr>
          <w:rFonts w:eastAsiaTheme="minorHAnsi"/>
        </w:rPr>
        <w:t>0.6 per cent</w:t>
      </w:r>
      <w:r w:rsidRPr="0085282C">
        <w:rPr>
          <w:rFonts w:eastAsiaTheme="minorHAnsi"/>
        </w:rPr>
        <w:t xml:space="preserve"> to $9.5</w:t>
      </w:r>
      <w:r>
        <w:rPr>
          <w:rFonts w:eastAsiaTheme="minorHAnsi"/>
        </w:rPr>
        <w:t> billion</w:t>
      </w:r>
      <w:r w:rsidRPr="0085282C">
        <w:rPr>
          <w:rFonts w:eastAsiaTheme="minorHAnsi"/>
        </w:rPr>
        <w:t xml:space="preserve"> in 2016</w:t>
      </w:r>
      <w:r>
        <w:rPr>
          <w:rFonts w:eastAsiaTheme="minorHAnsi"/>
        </w:rPr>
        <w:noBreakHyphen/>
      </w:r>
      <w:r w:rsidRPr="0085282C">
        <w:rPr>
          <w:rFonts w:eastAsiaTheme="minorHAnsi"/>
        </w:rPr>
        <w:t>17. Thereafter</w:t>
      </w:r>
      <w:r>
        <w:rPr>
          <w:rFonts w:eastAsiaTheme="minorHAnsi"/>
        </w:rPr>
        <w:t>,</w:t>
      </w:r>
      <w:r w:rsidRPr="0085282C">
        <w:rPr>
          <w:rFonts w:eastAsiaTheme="minorHAnsi"/>
        </w:rPr>
        <w:t xml:space="preserve"> growth moderates to an average of 2.0</w:t>
      </w:r>
      <w:r>
        <w:rPr>
          <w:rFonts w:eastAsiaTheme="minorHAnsi"/>
        </w:rPr>
        <w:t> per cent</w:t>
      </w:r>
      <w:r w:rsidRPr="0085282C">
        <w:rPr>
          <w:rFonts w:eastAsiaTheme="minorHAnsi"/>
        </w:rPr>
        <w:t xml:space="preserve"> a year over the forward estimates;</w:t>
      </w:r>
    </w:p>
    <w:p w:rsidR="007A09DB" w:rsidRPr="000C60B9" w:rsidRDefault="007A09DB" w:rsidP="00C17390">
      <w:pPr>
        <w:pStyle w:val="BulletText"/>
        <w:rPr>
          <w:rFonts w:eastAsiaTheme="minorHAnsi"/>
        </w:rPr>
      </w:pPr>
      <w:r w:rsidRPr="000C60B9">
        <w:rPr>
          <w:rFonts w:eastAsiaTheme="minorHAnsi"/>
        </w:rPr>
        <w:t xml:space="preserve">depreciation expense is projected to grow by </w:t>
      </w:r>
      <w:r>
        <w:rPr>
          <w:rFonts w:eastAsiaTheme="minorHAnsi"/>
        </w:rPr>
        <w:t>4.6 per cent</w:t>
      </w:r>
      <w:r w:rsidRPr="000C60B9">
        <w:rPr>
          <w:rFonts w:eastAsiaTheme="minorHAnsi"/>
        </w:rPr>
        <w:t xml:space="preserve"> to $2.</w:t>
      </w:r>
      <w:r>
        <w:rPr>
          <w:rFonts w:eastAsiaTheme="minorHAnsi"/>
        </w:rPr>
        <w:t>6 billion</w:t>
      </w:r>
      <w:r w:rsidRPr="000C60B9">
        <w:rPr>
          <w:rFonts w:eastAsiaTheme="minorHAnsi"/>
        </w:rPr>
        <w:t xml:space="preserve"> in 2016</w:t>
      </w:r>
      <w:r>
        <w:rPr>
          <w:rFonts w:eastAsiaTheme="minorHAnsi"/>
        </w:rPr>
        <w:noBreakHyphen/>
      </w:r>
      <w:r w:rsidRPr="000C60B9">
        <w:rPr>
          <w:rFonts w:eastAsiaTheme="minorHAnsi"/>
        </w:rPr>
        <w:t xml:space="preserve">17, increasing by </w:t>
      </w:r>
      <w:r>
        <w:rPr>
          <w:rFonts w:eastAsiaTheme="minorHAnsi"/>
        </w:rPr>
        <w:t>7.1 per cent</w:t>
      </w:r>
      <w:r w:rsidRPr="000C60B9">
        <w:rPr>
          <w:rFonts w:eastAsiaTheme="minorHAnsi"/>
        </w:rPr>
        <w:t xml:space="preserve"> a year on average over the forward es</w:t>
      </w:r>
      <w:r>
        <w:rPr>
          <w:rFonts w:eastAsiaTheme="minorHAnsi"/>
        </w:rPr>
        <w:t>timates to $3.2 billion in 2019</w:t>
      </w:r>
      <w:r>
        <w:rPr>
          <w:rFonts w:eastAsiaTheme="minorHAnsi"/>
        </w:rPr>
        <w:noBreakHyphen/>
      </w:r>
      <w:r w:rsidRPr="000C60B9">
        <w:rPr>
          <w:rFonts w:eastAsiaTheme="minorHAnsi"/>
        </w:rPr>
        <w:t xml:space="preserve">20. </w:t>
      </w:r>
      <w:r>
        <w:rPr>
          <w:rFonts w:eastAsiaTheme="minorHAnsi"/>
        </w:rPr>
        <w:t>This g</w:t>
      </w:r>
      <w:r w:rsidRPr="000C60B9">
        <w:rPr>
          <w:rFonts w:eastAsiaTheme="minorHAnsi"/>
        </w:rPr>
        <w:t>rowth</w:t>
      </w:r>
      <w:r>
        <w:rPr>
          <w:rFonts w:eastAsiaTheme="minorHAnsi"/>
        </w:rPr>
        <w:t xml:space="preserve"> over the forward estimates is broadly in line with</w:t>
      </w:r>
      <w:r w:rsidRPr="000C60B9">
        <w:rPr>
          <w:rFonts w:eastAsiaTheme="minorHAnsi"/>
        </w:rPr>
        <w:t xml:space="preserve"> the Government</w:t>
      </w:r>
      <w:r>
        <w:rPr>
          <w:rFonts w:eastAsiaTheme="minorHAnsi"/>
        </w:rPr>
        <w:t>’</w:t>
      </w:r>
      <w:r w:rsidRPr="000C60B9">
        <w:rPr>
          <w:rFonts w:eastAsiaTheme="minorHAnsi"/>
        </w:rPr>
        <w:t xml:space="preserve">s </w:t>
      </w:r>
      <w:r>
        <w:rPr>
          <w:rFonts w:eastAsiaTheme="minorHAnsi"/>
        </w:rPr>
        <w:t xml:space="preserve">increased </w:t>
      </w:r>
      <w:r w:rsidRPr="000C60B9">
        <w:rPr>
          <w:rFonts w:eastAsiaTheme="minorHAnsi"/>
        </w:rPr>
        <w:t>invest</w:t>
      </w:r>
      <w:r>
        <w:rPr>
          <w:rFonts w:eastAsiaTheme="minorHAnsi"/>
        </w:rPr>
        <w:t>ment in infrastructure;</w:t>
      </w:r>
    </w:p>
    <w:p w:rsidR="007A09DB" w:rsidRPr="00805BAF" w:rsidRDefault="007A09DB" w:rsidP="00C17390">
      <w:pPr>
        <w:pStyle w:val="BulletText"/>
        <w:rPr>
          <w:rFonts w:eastAsiaTheme="minorHAnsi"/>
        </w:rPr>
      </w:pPr>
      <w:r w:rsidRPr="000C60B9">
        <w:rPr>
          <w:rFonts w:eastAsiaTheme="minorHAnsi"/>
        </w:rPr>
        <w:t>employee expenses (including superannuation), which account for 4</w:t>
      </w:r>
      <w:r>
        <w:rPr>
          <w:rFonts w:eastAsiaTheme="minorHAnsi"/>
        </w:rPr>
        <w:t>2 per cent</w:t>
      </w:r>
      <w:r w:rsidRPr="000C60B9">
        <w:rPr>
          <w:rFonts w:eastAsiaTheme="minorHAnsi"/>
        </w:rPr>
        <w:t xml:space="preserve"> of operating </w:t>
      </w:r>
      <w:r w:rsidRPr="00805BAF">
        <w:rPr>
          <w:rFonts w:eastAsiaTheme="minorHAnsi"/>
        </w:rPr>
        <w:t>expenditure</w:t>
      </w:r>
      <w:r w:rsidRPr="000C60B9">
        <w:rPr>
          <w:rFonts w:eastAsiaTheme="minorHAnsi"/>
        </w:rPr>
        <w:t xml:space="preserve"> in 2016</w:t>
      </w:r>
      <w:r>
        <w:rPr>
          <w:rFonts w:eastAsiaTheme="minorHAnsi"/>
        </w:rPr>
        <w:noBreakHyphen/>
      </w:r>
      <w:r w:rsidRPr="000C60B9">
        <w:rPr>
          <w:rFonts w:eastAsiaTheme="minorHAnsi"/>
        </w:rPr>
        <w:t xml:space="preserve">17, are projected to grow by </w:t>
      </w:r>
      <w:r>
        <w:rPr>
          <w:rFonts w:eastAsiaTheme="minorHAnsi"/>
        </w:rPr>
        <w:t>5.5 per cent</w:t>
      </w:r>
      <w:r w:rsidRPr="000C60B9">
        <w:rPr>
          <w:rFonts w:eastAsiaTheme="minorHAnsi"/>
        </w:rPr>
        <w:t xml:space="preserve"> to $2</w:t>
      </w:r>
      <w:r>
        <w:rPr>
          <w:rFonts w:eastAsiaTheme="minorHAnsi"/>
        </w:rPr>
        <w:t>4 billion</w:t>
      </w:r>
      <w:r w:rsidRPr="000C60B9">
        <w:rPr>
          <w:rFonts w:eastAsiaTheme="minorHAnsi"/>
        </w:rPr>
        <w:t xml:space="preserve"> in 2016</w:t>
      </w:r>
      <w:r>
        <w:rPr>
          <w:rFonts w:eastAsiaTheme="minorHAnsi"/>
        </w:rPr>
        <w:noBreakHyphen/>
      </w:r>
      <w:r w:rsidRPr="000C60B9">
        <w:rPr>
          <w:rFonts w:eastAsiaTheme="minorHAnsi"/>
        </w:rPr>
        <w:t>17 and by 3.</w:t>
      </w:r>
      <w:r>
        <w:rPr>
          <w:rFonts w:eastAsiaTheme="minorHAnsi"/>
        </w:rPr>
        <w:t>2 per cent</w:t>
      </w:r>
      <w:r w:rsidRPr="000C60B9">
        <w:rPr>
          <w:rFonts w:eastAsiaTheme="minorHAnsi"/>
        </w:rPr>
        <w:t xml:space="preserve"> a year on average over the forward estimates. The growth in 2016</w:t>
      </w:r>
      <w:r>
        <w:rPr>
          <w:rFonts w:eastAsiaTheme="minorHAnsi"/>
        </w:rPr>
        <w:noBreakHyphen/>
      </w:r>
      <w:r w:rsidRPr="000C60B9">
        <w:rPr>
          <w:rFonts w:eastAsiaTheme="minorHAnsi"/>
        </w:rPr>
        <w:t>17 is driven by annual growth in wages</w:t>
      </w: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sidRPr="000C60B9">
        <w:rPr>
          <w:rFonts w:eastAsiaTheme="minorHAnsi"/>
        </w:rPr>
        <w:t>, consistent with the Government</w:t>
      </w:r>
      <w:r>
        <w:rPr>
          <w:rFonts w:eastAsiaTheme="minorHAnsi"/>
        </w:rPr>
        <w:t>’</w:t>
      </w:r>
      <w:r w:rsidRPr="000C60B9">
        <w:rPr>
          <w:rFonts w:eastAsiaTheme="minorHAnsi"/>
        </w:rPr>
        <w:t xml:space="preserve">s wages policy, growth in staffing numbers associated with </w:t>
      </w:r>
      <w:r>
        <w:rPr>
          <w:rFonts w:eastAsiaTheme="minorHAnsi"/>
        </w:rPr>
        <w:t xml:space="preserve">delivering additional services, </w:t>
      </w:r>
      <w:r w:rsidRPr="000C60B9">
        <w:rPr>
          <w:rFonts w:eastAsiaTheme="minorHAnsi"/>
        </w:rPr>
        <w:t>growing hospital demand</w:t>
      </w:r>
      <w:r>
        <w:rPr>
          <w:rFonts w:eastAsiaTheme="minorHAnsi"/>
        </w:rPr>
        <w:t>,</w:t>
      </w:r>
      <w:r w:rsidRPr="000C60B9">
        <w:rPr>
          <w:rFonts w:eastAsiaTheme="minorHAnsi"/>
        </w:rPr>
        <w:t xml:space="preserve"> and increased investment in the education sector;</w:t>
      </w:r>
    </w:p>
    <w:p w:rsidR="007A09DB" w:rsidRDefault="007A09DB" w:rsidP="00805BAF">
      <w:pPr>
        <w:pStyle w:val="BulletText"/>
        <w:rPr>
          <w:rFonts w:eastAsiaTheme="minorHAnsi"/>
        </w:rPr>
      </w:pPr>
      <w:r w:rsidRPr="000C60B9">
        <w:rPr>
          <w:rFonts w:eastAsiaTheme="minorHAnsi"/>
        </w:rPr>
        <w:t xml:space="preserve">other operating expenses include the purchase of supplies and services in the human services, health and transport sectors, and maintenance expenses. Other operating expenses are projected to increase by </w:t>
      </w:r>
      <w:r>
        <w:rPr>
          <w:rFonts w:eastAsiaTheme="minorHAnsi"/>
        </w:rPr>
        <w:t>1.8 per cent</w:t>
      </w:r>
      <w:r w:rsidRPr="000C60B9">
        <w:rPr>
          <w:rFonts w:eastAsiaTheme="minorHAnsi"/>
        </w:rPr>
        <w:t xml:space="preserve"> in 2016</w:t>
      </w:r>
      <w:r>
        <w:rPr>
          <w:rFonts w:eastAsiaTheme="minorHAnsi"/>
        </w:rPr>
        <w:noBreakHyphen/>
      </w:r>
      <w:r w:rsidRPr="000C60B9">
        <w:rPr>
          <w:rFonts w:eastAsiaTheme="minorHAnsi"/>
        </w:rPr>
        <w:t xml:space="preserve">17 and grow by an average of </w:t>
      </w:r>
      <w:r>
        <w:rPr>
          <w:rFonts w:eastAsiaTheme="minorHAnsi"/>
        </w:rPr>
        <w:t>2.2 per cent</w:t>
      </w:r>
      <w:r w:rsidRPr="000C60B9">
        <w:rPr>
          <w:rFonts w:eastAsiaTheme="minorHAnsi"/>
        </w:rPr>
        <w:t xml:space="preserve"> a year to $</w:t>
      </w:r>
      <w:r>
        <w:rPr>
          <w:rFonts w:eastAsiaTheme="minorHAnsi"/>
        </w:rPr>
        <w:t>20 billion</w:t>
      </w:r>
      <w:r w:rsidRPr="000C60B9">
        <w:rPr>
          <w:rFonts w:eastAsiaTheme="minorHAnsi"/>
        </w:rPr>
        <w:t xml:space="preserve"> in 2019</w:t>
      </w:r>
      <w:r>
        <w:rPr>
          <w:rFonts w:eastAsiaTheme="minorHAnsi"/>
        </w:rPr>
        <w:noBreakHyphen/>
      </w:r>
      <w:r w:rsidRPr="000C60B9">
        <w:rPr>
          <w:rFonts w:eastAsiaTheme="minorHAnsi"/>
        </w:rPr>
        <w:t>20;</w:t>
      </w:r>
      <w:r>
        <w:rPr>
          <w:rFonts w:eastAsiaTheme="minorHAnsi"/>
        </w:rPr>
        <w:t xml:space="preserve"> and</w:t>
      </w:r>
    </w:p>
    <w:p w:rsidR="007A09DB" w:rsidRPr="005614A9" w:rsidRDefault="007A09DB" w:rsidP="005614A9">
      <w:pPr>
        <w:pStyle w:val="BulletText"/>
      </w:pPr>
      <w:r>
        <w:rPr>
          <w:rFonts w:eastAsiaTheme="minorHAnsi"/>
        </w:rPr>
        <w:t>i</w:t>
      </w:r>
      <w:r w:rsidRPr="003B45FD">
        <w:rPr>
          <w:rFonts w:eastAsiaTheme="minorHAnsi"/>
        </w:rPr>
        <w:t>nterest expense is expected to be higher in 2016</w:t>
      </w:r>
      <w:r>
        <w:rPr>
          <w:rFonts w:eastAsiaTheme="minorHAnsi"/>
        </w:rPr>
        <w:noBreakHyphen/>
      </w:r>
      <w:r w:rsidRPr="003B45FD">
        <w:rPr>
          <w:rFonts w:eastAsiaTheme="minorHAnsi"/>
        </w:rPr>
        <w:t xml:space="preserve">17 and lower thereafter, reflecting an updated program of borrowings associated with the receipt of </w:t>
      </w:r>
      <w:r>
        <w:rPr>
          <w:rFonts w:eastAsiaTheme="minorHAnsi"/>
        </w:rPr>
        <w:t xml:space="preserve">estimated </w:t>
      </w:r>
      <w:r w:rsidRPr="003B45FD">
        <w:rPr>
          <w:rFonts w:eastAsiaTheme="minorHAnsi"/>
        </w:rPr>
        <w:t xml:space="preserve">proceeds from the </w:t>
      </w:r>
      <w:r w:rsidRPr="0048495B">
        <w:t>medium</w:t>
      </w:r>
      <w:r>
        <w:noBreakHyphen/>
      </w:r>
      <w:r w:rsidRPr="0048495B">
        <w:t>term lease over the oper</w:t>
      </w:r>
      <w:r>
        <w:t>ations of the Port of Melbourne</w:t>
      </w:r>
      <w:r>
        <w:fldChar w:fldCharType="begin"/>
      </w:r>
      <w:r>
        <w:instrText xml:space="preserve"> XE "</w:instrText>
      </w:r>
      <w:r w:rsidRPr="001E4096">
        <w:rPr>
          <w:rFonts w:eastAsiaTheme="minorHAnsi"/>
        </w:rPr>
        <w:instrText>Port of Melbourne</w:instrText>
      </w:r>
      <w:r>
        <w:instrText xml:space="preserve">" </w:instrText>
      </w:r>
      <w:r>
        <w:fldChar w:fldCharType="end"/>
      </w:r>
      <w:r>
        <w:t xml:space="preserve"> into the Victorian Transport Fund</w:t>
      </w:r>
      <w:r>
        <w:fldChar w:fldCharType="begin"/>
      </w:r>
      <w:r>
        <w:instrText xml:space="preserve"> XE "</w:instrText>
      </w:r>
      <w:r w:rsidRPr="005326EA">
        <w:rPr>
          <w:rFonts w:eastAsiaTheme="minorHAnsi" w:cs="Garamond"/>
          <w:color w:val="000000"/>
          <w:szCs w:val="22"/>
        </w:rPr>
        <w:instrText>Victorian Transport Fund</w:instrText>
      </w:r>
      <w:r>
        <w:instrText xml:space="preserve">" </w:instrText>
      </w:r>
      <w:r>
        <w:fldChar w:fldCharType="end"/>
      </w:r>
      <w:r w:rsidRPr="003B45FD">
        <w:rPr>
          <w:rFonts w:eastAsiaTheme="minorHAnsi"/>
        </w:rPr>
        <w:t>.</w:t>
      </w:r>
      <w:r>
        <w:rPr>
          <w:rFonts w:eastAsiaTheme="minorHAnsi"/>
        </w:rPr>
        <w:t xml:space="preserve"> G</w:t>
      </w:r>
      <w:r w:rsidRPr="003B45FD">
        <w:rPr>
          <w:rFonts w:eastAsiaTheme="minorHAnsi"/>
        </w:rPr>
        <w:t xml:space="preserve">rowth </w:t>
      </w:r>
      <w:r>
        <w:rPr>
          <w:rFonts w:eastAsiaTheme="minorHAnsi"/>
        </w:rPr>
        <w:t xml:space="preserve">in interest expense is forecast to </w:t>
      </w:r>
      <w:r w:rsidRPr="003B45FD">
        <w:rPr>
          <w:rFonts w:eastAsiaTheme="minorHAnsi"/>
        </w:rPr>
        <w:t>averag</w:t>
      </w:r>
      <w:r>
        <w:rPr>
          <w:rFonts w:eastAsiaTheme="minorHAnsi"/>
        </w:rPr>
        <w:t>e</w:t>
      </w:r>
      <w:r w:rsidRPr="003B45FD">
        <w:rPr>
          <w:rFonts w:eastAsiaTheme="minorHAnsi"/>
        </w:rPr>
        <w:t xml:space="preserve"> </w:t>
      </w:r>
      <w:r>
        <w:rPr>
          <w:rFonts w:eastAsiaTheme="minorHAnsi"/>
        </w:rPr>
        <w:t>0.9 per cent</w:t>
      </w:r>
      <w:r w:rsidRPr="003B45FD">
        <w:rPr>
          <w:rFonts w:eastAsiaTheme="minorHAnsi"/>
        </w:rPr>
        <w:t xml:space="preserve"> a year over the budget and forward estimates </w:t>
      </w:r>
      <w:r>
        <w:rPr>
          <w:rFonts w:eastAsiaTheme="minorHAnsi"/>
        </w:rPr>
        <w:t>as a result of</w:t>
      </w:r>
      <w:r w:rsidRPr="003B45FD">
        <w:rPr>
          <w:rFonts w:eastAsiaTheme="minorHAnsi"/>
        </w:rPr>
        <w:t xml:space="preserve"> higher borrowings associated with the Government</w:t>
      </w:r>
      <w:r>
        <w:rPr>
          <w:rFonts w:eastAsiaTheme="minorHAnsi"/>
        </w:rPr>
        <w:t>’</w:t>
      </w:r>
      <w:r w:rsidRPr="003B45FD">
        <w:rPr>
          <w:rFonts w:eastAsiaTheme="minorHAnsi"/>
        </w:rPr>
        <w:t>s infrastructure program.</w:t>
      </w:r>
    </w:p>
    <w:p w:rsidR="007A09DB" w:rsidRDefault="007A09DB">
      <w:pPr>
        <w:spacing w:after="0"/>
        <w:rPr>
          <w:rFonts w:eastAsiaTheme="minorHAnsi"/>
        </w:rPr>
      </w:pPr>
      <w:r>
        <w:rPr>
          <w:rFonts w:eastAsiaTheme="minorHAnsi"/>
        </w:rPr>
        <w:br w:type="page"/>
      </w:r>
    </w:p>
    <w:p w:rsidR="007A09DB" w:rsidRPr="00551215" w:rsidRDefault="007A09DB" w:rsidP="00260CA3">
      <w:pPr>
        <w:pStyle w:val="Heading2"/>
        <w:spacing w:before="180"/>
        <w:rPr>
          <w:rFonts w:eastAsiaTheme="minorHAnsi"/>
        </w:rPr>
      </w:pPr>
      <w:r w:rsidRPr="00551215">
        <w:rPr>
          <w:rFonts w:eastAsiaTheme="minorHAnsi"/>
        </w:rPr>
        <w:t xml:space="preserve">Reconciliation of estimates to the </w:t>
      </w:r>
      <w:r w:rsidRPr="00805BAF">
        <w:rPr>
          <w:rFonts w:eastAsiaTheme="minorHAnsi"/>
          <w:i/>
        </w:rPr>
        <w:t>2015</w:t>
      </w:r>
      <w:r>
        <w:rPr>
          <w:rFonts w:eastAsiaTheme="minorHAnsi"/>
          <w:i/>
        </w:rPr>
        <w:noBreakHyphen/>
      </w:r>
      <w:r w:rsidRPr="00805BAF">
        <w:rPr>
          <w:rFonts w:eastAsiaTheme="minorHAnsi"/>
          <w:i/>
        </w:rPr>
        <w:t>16 Budget Update</w:t>
      </w:r>
    </w:p>
    <w:p w:rsidR="007A09DB" w:rsidRDefault="007A09DB" w:rsidP="00551215">
      <w:pPr>
        <w:rPr>
          <w:rFonts w:eastAsiaTheme="minorHAnsi"/>
        </w:rPr>
      </w:pPr>
      <w:r w:rsidRPr="00551215">
        <w:rPr>
          <w:rFonts w:eastAsiaTheme="minorHAnsi"/>
        </w:rPr>
        <w:t xml:space="preserve">Relative to the </w:t>
      </w:r>
      <w:r w:rsidRPr="00551215">
        <w:rPr>
          <w:rFonts w:eastAsiaTheme="minorHAnsi"/>
          <w:i/>
        </w:rPr>
        <w:t>2015</w:t>
      </w:r>
      <w:r>
        <w:rPr>
          <w:rFonts w:eastAsiaTheme="minorHAnsi"/>
          <w:i/>
        </w:rPr>
        <w:noBreakHyphen/>
      </w:r>
      <w:r w:rsidRPr="00551215">
        <w:rPr>
          <w:rFonts w:eastAsiaTheme="minorHAnsi"/>
          <w:i/>
        </w:rPr>
        <w:t>16 Budget Update</w:t>
      </w:r>
      <w:r w:rsidRPr="00551215">
        <w:rPr>
          <w:rFonts w:eastAsiaTheme="minorHAnsi"/>
        </w:rPr>
        <w:t>, the net result from transactions has been revised up by $</w:t>
      </w:r>
      <w:r>
        <w:rPr>
          <w:rFonts w:eastAsiaTheme="minorHAnsi"/>
        </w:rPr>
        <w:t>1 325 million</w:t>
      </w:r>
      <w:r w:rsidRPr="00551215">
        <w:rPr>
          <w:rFonts w:eastAsiaTheme="minorHAnsi"/>
        </w:rPr>
        <w:t xml:space="preserve"> in 2016</w:t>
      </w:r>
      <w:r>
        <w:rPr>
          <w:rFonts w:eastAsiaTheme="minorHAnsi"/>
        </w:rPr>
        <w:noBreakHyphen/>
      </w:r>
      <w:r w:rsidRPr="00551215">
        <w:rPr>
          <w:rFonts w:eastAsiaTheme="minorHAnsi"/>
        </w:rPr>
        <w:t>17</w:t>
      </w:r>
      <w:r>
        <w:rPr>
          <w:rFonts w:eastAsiaTheme="minorHAnsi"/>
        </w:rPr>
        <w:t xml:space="preserve"> and</w:t>
      </w:r>
      <w:r w:rsidRPr="00551215">
        <w:rPr>
          <w:rFonts w:eastAsiaTheme="minorHAnsi"/>
        </w:rPr>
        <w:t xml:space="preserve"> </w:t>
      </w:r>
      <w:r>
        <w:rPr>
          <w:rFonts w:eastAsiaTheme="minorHAnsi"/>
        </w:rPr>
        <w:t>$527 million in 2018</w:t>
      </w:r>
      <w:r>
        <w:rPr>
          <w:rFonts w:eastAsiaTheme="minorHAnsi"/>
        </w:rPr>
        <w:noBreakHyphen/>
        <w:t xml:space="preserve">19, but fall by </w:t>
      </w:r>
      <w:r w:rsidRPr="00551215">
        <w:rPr>
          <w:rFonts w:eastAsiaTheme="minorHAnsi"/>
        </w:rPr>
        <w:t>$</w:t>
      </w:r>
      <w:r>
        <w:rPr>
          <w:rFonts w:eastAsiaTheme="minorHAnsi"/>
        </w:rPr>
        <w:t>48 million</w:t>
      </w:r>
      <w:r w:rsidRPr="00551215">
        <w:rPr>
          <w:rFonts w:eastAsiaTheme="minorHAnsi"/>
        </w:rPr>
        <w:t xml:space="preserve"> in </w:t>
      </w:r>
      <w:r>
        <w:rPr>
          <w:rFonts w:eastAsiaTheme="minorHAnsi"/>
        </w:rPr>
        <w:t>2017</w:t>
      </w:r>
      <w:r>
        <w:rPr>
          <w:rFonts w:eastAsiaTheme="minorHAnsi"/>
        </w:rPr>
        <w:noBreakHyphen/>
        <w:t>18</w:t>
      </w:r>
      <w:r w:rsidRPr="00551215">
        <w:rPr>
          <w:rFonts w:eastAsiaTheme="minorHAnsi"/>
        </w:rPr>
        <w:t>.</w:t>
      </w:r>
    </w:p>
    <w:p w:rsidR="007A09DB" w:rsidRPr="00551215" w:rsidRDefault="007A09DB" w:rsidP="00260CA3">
      <w:pPr>
        <w:pStyle w:val="Tableheading"/>
        <w:spacing w:before="180"/>
        <w:ind w:left="1151" w:hanging="1151"/>
        <w:rPr>
          <w:rFonts w:eastAsiaTheme="minorHAnsi"/>
        </w:rPr>
      </w:pPr>
      <w:r>
        <w:rPr>
          <w:rFonts w:eastAsiaTheme="minorHAnsi"/>
        </w:rPr>
        <w:t>Table 4.3</w:t>
      </w:r>
      <w:r w:rsidRPr="00551215">
        <w:rPr>
          <w:rFonts w:eastAsiaTheme="minorHAnsi"/>
        </w:rPr>
        <w:t xml:space="preserve">: </w:t>
      </w:r>
      <w:r w:rsidRPr="00551215">
        <w:rPr>
          <w:rFonts w:eastAsiaTheme="minorHAnsi"/>
        </w:rPr>
        <w:tab/>
        <w:t xml:space="preserve">Reconciliation of estimates to the </w:t>
      </w:r>
      <w:r w:rsidRPr="00FF536B">
        <w:rPr>
          <w:rFonts w:eastAsiaTheme="minorHAnsi"/>
          <w:i/>
        </w:rPr>
        <w:t>2015</w:t>
      </w:r>
      <w:r>
        <w:rPr>
          <w:rFonts w:eastAsiaTheme="minorHAnsi"/>
          <w:i/>
        </w:rPr>
        <w:noBreakHyphen/>
      </w:r>
      <w:r w:rsidRPr="00FF536B">
        <w:rPr>
          <w:rFonts w:eastAsiaTheme="minorHAnsi"/>
          <w:i/>
        </w:rPr>
        <w:t>16 Budget Update</w:t>
      </w:r>
      <w:r w:rsidRPr="00551215">
        <w:rPr>
          <w:rFonts w:eastAsiaTheme="minorHAnsi"/>
          <w:vertAlign w:val="superscript"/>
        </w:rPr>
        <w:t>(a)</w:t>
      </w:r>
    </w:p>
    <w:p w:rsidR="007A09DB" w:rsidRPr="00B04923" w:rsidRDefault="007A09DB" w:rsidP="00B04923">
      <w:pPr>
        <w:pStyle w:val="million"/>
        <w:rPr>
          <w:rFonts w:eastAsiaTheme="minorHAnsi"/>
          <w:b/>
          <w:bCs/>
          <w:lang w:val="en-US"/>
        </w:rPr>
      </w:pPr>
      <w:r w:rsidRPr="00551215">
        <w:rPr>
          <w:rFonts w:eastAsiaTheme="minorHAnsi"/>
        </w:rPr>
        <w:t>($</w:t>
      </w:r>
      <w:r>
        <w:rPr>
          <w:rFonts w:eastAsiaTheme="minorHAnsi"/>
        </w:rPr>
        <w:t> million</w:t>
      </w:r>
      <w:r w:rsidRPr="00551215">
        <w:rPr>
          <w:rFonts w:eastAsiaTheme="minorHAnsi"/>
        </w:rPr>
        <w:t>)</w:t>
      </w:r>
    </w:p>
    <w:tbl>
      <w:tblPr>
        <w:tblW w:w="7766" w:type="dxa"/>
        <w:tblInd w:w="45" w:type="dxa"/>
        <w:tblLayout w:type="fixed"/>
        <w:tblCellMar>
          <w:left w:w="45" w:type="dxa"/>
          <w:right w:w="45" w:type="dxa"/>
        </w:tblCellMar>
        <w:tblLook w:val="0000" w:firstRow="0" w:lastRow="0" w:firstColumn="0" w:lastColumn="0" w:noHBand="0" w:noVBand="0"/>
      </w:tblPr>
      <w:tblGrid>
        <w:gridCol w:w="5216"/>
        <w:gridCol w:w="850"/>
        <w:gridCol w:w="850"/>
        <w:gridCol w:w="850"/>
      </w:tblGrid>
      <w:tr w:rsidR="007A09DB" w:rsidRPr="00B04923" w:rsidTr="00B04923">
        <w:tc>
          <w:tcPr>
            <w:tcW w:w="5216" w:type="dxa"/>
            <w:tcBorders>
              <w:top w:val="nil"/>
              <w:left w:val="nil"/>
              <w:bottom w:val="nil"/>
              <w:right w:val="nil"/>
            </w:tcBorders>
            <w:shd w:val="solid" w:color="000000" w:fill="auto"/>
          </w:tcPr>
          <w:p w:rsidR="007A09DB" w:rsidRPr="00B04923" w:rsidRDefault="007A09DB" w:rsidP="00B04923">
            <w:pPr>
              <w:pStyle w:val="million"/>
              <w:jc w:val="left"/>
              <w:rPr>
                <w:rFonts w:eastAsiaTheme="minorEastAsia" w:cs="Calibri"/>
                <w:iCs/>
                <w:color w:val="FFFFFF"/>
                <w:sz w:val="19"/>
                <w:szCs w:val="19"/>
                <w:lang w:eastAsia="en-AU"/>
              </w:rPr>
            </w:pPr>
            <w:r w:rsidRPr="00B04923">
              <w:rPr>
                <w:rFonts w:eastAsiaTheme="minorEastAsia" w:cs="Calibr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19</w:t>
            </w:r>
          </w:p>
        </w:tc>
      </w:tr>
      <w:tr w:rsidR="007A09DB" w:rsidRPr="00B04923" w:rsidTr="00B04923">
        <w:tc>
          <w:tcPr>
            <w:tcW w:w="5216" w:type="dxa"/>
            <w:tcBorders>
              <w:top w:val="nil"/>
              <w:left w:val="nil"/>
              <w:right w:val="nil"/>
            </w:tcBorders>
            <w:shd w:val="solid" w:color="000000" w:fill="auto"/>
          </w:tcPr>
          <w:p w:rsidR="007A09DB" w:rsidRPr="00B04923" w:rsidRDefault="007A09DB" w:rsidP="00B04923">
            <w:pPr>
              <w:autoSpaceDE w:val="0"/>
              <w:autoSpaceDN w:val="0"/>
              <w:adjustRightInd w:val="0"/>
              <w:spacing w:after="0"/>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budget</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estimate</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i/>
                <w:iCs/>
                <w:color w:val="000000"/>
                <w:sz w:val="19"/>
                <w:szCs w:val="19"/>
                <w:lang w:eastAsia="en-AU"/>
              </w:rPr>
            </w:pPr>
            <w:r w:rsidRPr="00B04923">
              <w:rPr>
                <w:rFonts w:ascii="Calibri" w:eastAsiaTheme="minorEastAsia" w:hAnsi="Calibri" w:cs="Calibri"/>
                <w:b/>
                <w:bCs/>
                <w:color w:val="000000"/>
                <w:sz w:val="19"/>
                <w:szCs w:val="19"/>
                <w:lang w:eastAsia="en-AU"/>
              </w:rPr>
              <w:t xml:space="preserve">Net result from transactions: </w:t>
            </w:r>
            <w:r w:rsidRPr="00B04923">
              <w:rPr>
                <w:rFonts w:ascii="Calibri" w:eastAsiaTheme="minorEastAsia" w:hAnsi="Calibri" w:cs="Calibri"/>
                <w:b/>
                <w:bCs/>
                <w:i/>
                <w:iCs/>
                <w:color w:val="000000"/>
                <w:sz w:val="19"/>
                <w:szCs w:val="19"/>
                <w:lang w:eastAsia="en-AU"/>
              </w:rPr>
              <w:t>2015</w:t>
            </w:r>
            <w:r>
              <w:rPr>
                <w:rFonts w:ascii="Calibri" w:eastAsiaTheme="minorEastAsia" w:hAnsi="Calibri" w:cs="Calibri"/>
                <w:b/>
                <w:bCs/>
                <w:i/>
                <w:iCs/>
                <w:color w:val="000000"/>
                <w:sz w:val="19"/>
                <w:szCs w:val="19"/>
                <w:lang w:eastAsia="en-AU"/>
              </w:rPr>
              <w:noBreakHyphen/>
            </w:r>
            <w:r w:rsidRPr="00B04923">
              <w:rPr>
                <w:rFonts w:ascii="Calibri" w:eastAsiaTheme="minorEastAsia" w:hAnsi="Calibri" w:cs="Calibri"/>
                <w:b/>
                <w:bCs/>
                <w:i/>
                <w:iCs/>
                <w:color w:val="000000"/>
                <w:sz w:val="19"/>
                <w:szCs w:val="19"/>
                <w:lang w:eastAsia="en-AU"/>
              </w:rPr>
              <w:t>16 Budget Update</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1 544</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1 845</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1 555</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Policy decision variations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Revenue policy decision variations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130</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174</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165</w:t>
            </w:r>
          </w:p>
        </w:tc>
      </w:tr>
      <w:tr w:rsidR="007A09DB" w:rsidRPr="00B04923" w:rsidTr="00B04923">
        <w:tc>
          <w:tcPr>
            <w:tcW w:w="5216"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   Output policy decision variations </w:t>
            </w:r>
            <w:r w:rsidRPr="00B04923">
              <w:rPr>
                <w:rFonts w:ascii="Calibri" w:eastAsiaTheme="minorEastAsia" w:hAnsi="Calibri" w:cs="Calibri"/>
                <w:color w:val="000000"/>
                <w:sz w:val="19"/>
                <w:szCs w:val="19"/>
                <w:vertAlign w:val="superscript"/>
                <w:lang w:eastAsia="en-AU"/>
              </w:rPr>
              <w:t>(b)</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color w:val="000000"/>
                <w:sz w:val="19"/>
                <w:szCs w:val="19"/>
                <w:lang w:eastAsia="en-AU"/>
              </w:rPr>
            </w:pPr>
            <w:r w:rsidRPr="00B04923">
              <w:rPr>
                <w:rFonts w:asciiTheme="minorHAnsi" w:eastAsiaTheme="minorEastAsia" w:hAnsiTheme="minorHAnsi" w:cs="Helvetica"/>
                <w:color w:val="000000"/>
                <w:sz w:val="19"/>
                <w:szCs w:val="19"/>
                <w:lang w:eastAsia="en-AU"/>
              </w:rPr>
              <w:t>(1 383)</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( 896)</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( 648)</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(1 253)</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( 722)</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( 483)</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Economic/demographic variations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Taxation</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421</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535</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773</w:t>
            </w:r>
          </w:p>
        </w:tc>
      </w:tr>
      <w:tr w:rsidR="007A09DB" w:rsidRPr="00B04923" w:rsidTr="00B04923">
        <w:tc>
          <w:tcPr>
            <w:tcW w:w="5216"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   Investment income </w:t>
            </w:r>
            <w:r w:rsidRPr="00B04923">
              <w:rPr>
                <w:rFonts w:ascii="Calibri" w:eastAsiaTheme="minorEastAsia" w:hAnsi="Calibri" w:cs="Calibri"/>
                <w:color w:val="000000"/>
                <w:sz w:val="19"/>
                <w:szCs w:val="19"/>
                <w:vertAlign w:val="superscript"/>
                <w:lang w:eastAsia="en-AU"/>
              </w:rPr>
              <w:t>(c)</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89</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397</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( 40)</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510</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932</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733</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Commonwealth grant variations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General purpose grants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225</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99</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( 131)</w:t>
            </w:r>
          </w:p>
        </w:tc>
      </w:tr>
      <w:tr w:rsidR="007A09DB" w:rsidRPr="00B04923" w:rsidTr="00B04923">
        <w:tc>
          <w:tcPr>
            <w:tcW w:w="5216"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   Specific purpose grants </w:t>
            </w:r>
            <w:r w:rsidRPr="00B04923">
              <w:rPr>
                <w:rFonts w:ascii="Calibri" w:eastAsiaTheme="minorEastAsia" w:hAnsi="Calibri" w:cs="Calibri"/>
                <w:color w:val="000000"/>
                <w:sz w:val="19"/>
                <w:szCs w:val="19"/>
                <w:vertAlign w:val="superscript"/>
                <w:lang w:eastAsia="en-AU"/>
              </w:rPr>
              <w:t>(d)</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772</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( 576)</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( 2)</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998</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( 477)</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( 133)</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Administrative variations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Calibri"/>
                <w:color w:val="000000"/>
                <w:sz w:val="19"/>
                <w:szCs w:val="19"/>
                <w:lang w:eastAsia="en-AU"/>
              </w:rPr>
            </w:pP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   Contingency offset for new policy </w:t>
            </w:r>
            <w:r w:rsidRPr="00B04923">
              <w:rPr>
                <w:rFonts w:ascii="Calibri" w:eastAsiaTheme="minorEastAsia" w:hAnsi="Calibri" w:cs="Calibri"/>
                <w:color w:val="000000"/>
                <w:sz w:val="19"/>
                <w:szCs w:val="19"/>
                <w:vertAlign w:val="superscript"/>
                <w:lang w:eastAsia="en-AU"/>
              </w:rPr>
              <w:t>(e)</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200</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200</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200</w:t>
            </w:r>
          </w:p>
        </w:tc>
      </w:tr>
      <w:tr w:rsidR="007A09DB" w:rsidRPr="00B04923" w:rsidTr="00B04923">
        <w:tc>
          <w:tcPr>
            <w:tcW w:w="5216"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Other administrative variations</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869</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18</w:t>
            </w:r>
          </w:p>
        </w:tc>
        <w:tc>
          <w:tcPr>
            <w:tcW w:w="850" w:type="dxa"/>
            <w:tcBorders>
              <w:top w:val="nil"/>
              <w:left w:val="nil"/>
              <w:bottom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Theme="minorHAnsi" w:eastAsiaTheme="minorEastAsia" w:hAnsiTheme="minorHAnsi" w:cs="Helvetica"/>
                <w:color w:val="000000"/>
                <w:sz w:val="19"/>
                <w:szCs w:val="19"/>
                <w:lang w:eastAsia="en-AU"/>
              </w:rPr>
              <w:t xml:space="preserve"> 210</w:t>
            </w:r>
          </w:p>
        </w:tc>
      </w:tr>
      <w:tr w:rsidR="007A09DB" w:rsidRPr="00B04923" w:rsidTr="00B04923">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1 069</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218</w:t>
            </w:r>
          </w:p>
        </w:tc>
        <w:tc>
          <w:tcPr>
            <w:tcW w:w="850" w:type="dxa"/>
            <w:tcBorders>
              <w:top w:val="single" w:sz="6" w:space="0" w:color="auto"/>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410</w:t>
            </w:r>
          </w:p>
        </w:tc>
      </w:tr>
      <w:tr w:rsidR="007A09DB" w:rsidRPr="00B04923" w:rsidTr="00B04923">
        <w:trPr>
          <w:trHeight w:hRule="exact" w:val="120"/>
        </w:trPr>
        <w:tc>
          <w:tcPr>
            <w:tcW w:w="5216"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p>
        </w:tc>
      </w:tr>
      <w:tr w:rsidR="007A09DB" w:rsidRPr="00B04923" w:rsidTr="00B04923">
        <w:tc>
          <w:tcPr>
            <w:tcW w:w="5216"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i/>
                <w:iCs/>
                <w:color w:val="000000"/>
                <w:sz w:val="19"/>
                <w:szCs w:val="19"/>
                <w:lang w:eastAsia="en-AU"/>
              </w:rPr>
            </w:pPr>
            <w:r w:rsidRPr="00B04923">
              <w:rPr>
                <w:rFonts w:ascii="Calibri" w:eastAsiaTheme="minorEastAsia" w:hAnsi="Calibri" w:cs="Calibri"/>
                <w:b/>
                <w:bCs/>
                <w:color w:val="000000"/>
                <w:sz w:val="19"/>
                <w:szCs w:val="19"/>
                <w:lang w:eastAsia="en-AU"/>
              </w:rPr>
              <w:t xml:space="preserve">Total variation since </w:t>
            </w:r>
            <w:r w:rsidRPr="00B04923">
              <w:rPr>
                <w:rFonts w:ascii="Calibri" w:eastAsiaTheme="minorEastAsia" w:hAnsi="Calibri" w:cs="Calibri"/>
                <w:b/>
                <w:bCs/>
                <w:i/>
                <w:iCs/>
                <w:color w:val="000000"/>
                <w:sz w:val="19"/>
                <w:szCs w:val="19"/>
                <w:lang w:eastAsia="en-AU"/>
              </w:rPr>
              <w:t>2015</w:t>
            </w:r>
            <w:r>
              <w:rPr>
                <w:rFonts w:ascii="Calibri" w:eastAsiaTheme="minorEastAsia" w:hAnsi="Calibri" w:cs="Calibri"/>
                <w:b/>
                <w:bCs/>
                <w:i/>
                <w:iCs/>
                <w:color w:val="000000"/>
                <w:sz w:val="19"/>
                <w:szCs w:val="19"/>
                <w:lang w:eastAsia="en-AU"/>
              </w:rPr>
              <w:noBreakHyphen/>
            </w:r>
            <w:r w:rsidRPr="00B04923">
              <w:rPr>
                <w:rFonts w:ascii="Calibri" w:eastAsiaTheme="minorEastAsia" w:hAnsi="Calibri" w:cs="Calibri"/>
                <w:b/>
                <w:bCs/>
                <w:i/>
                <w:iCs/>
                <w:color w:val="000000"/>
                <w:sz w:val="19"/>
                <w:szCs w:val="19"/>
                <w:lang w:eastAsia="en-AU"/>
              </w:rPr>
              <w:t>16 Budget Update</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1 325</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( 48</w:t>
            </w:r>
            <w:r w:rsidRPr="00B04923">
              <w:rPr>
                <w:rFonts w:ascii="Calibri" w:eastAsiaTheme="minorEastAsia" w:hAnsi="Calibri" w:cs="Calibri"/>
                <w:b/>
                <w:bCs/>
                <w:color w:val="000000"/>
                <w:sz w:val="19"/>
                <w:szCs w:val="19"/>
                <w:lang w:eastAsia="en-AU"/>
              </w:rPr>
              <w:t>)</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Theme="minorHAnsi" w:eastAsiaTheme="minorEastAsia" w:hAnsiTheme="minorHAnsi" w:cs="Helvetica"/>
                <w:b/>
                <w:bCs/>
                <w:color w:val="000000"/>
                <w:sz w:val="19"/>
                <w:szCs w:val="19"/>
                <w:lang w:eastAsia="en-AU"/>
              </w:rPr>
              <w:t xml:space="preserve"> 527</w:t>
            </w:r>
          </w:p>
        </w:tc>
      </w:tr>
      <w:tr w:rsidR="007A09DB" w:rsidRPr="00B04923" w:rsidTr="00B04923">
        <w:tc>
          <w:tcPr>
            <w:tcW w:w="5216"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i/>
                <w:iCs/>
                <w:color w:val="000000"/>
                <w:sz w:val="19"/>
                <w:szCs w:val="19"/>
                <w:lang w:eastAsia="en-AU"/>
              </w:rPr>
            </w:pPr>
            <w:r w:rsidRPr="00B04923">
              <w:rPr>
                <w:rFonts w:ascii="Calibri" w:eastAsiaTheme="minorEastAsia" w:hAnsi="Calibri" w:cs="Calibri"/>
                <w:b/>
                <w:bCs/>
                <w:color w:val="000000"/>
                <w:sz w:val="19"/>
                <w:szCs w:val="19"/>
                <w:lang w:eastAsia="en-AU"/>
              </w:rPr>
              <w:t xml:space="preserve">Net result from transactions: </w:t>
            </w:r>
            <w:r w:rsidRPr="00B04923">
              <w:rPr>
                <w:rFonts w:ascii="Calibri" w:eastAsiaTheme="minorEastAsia" w:hAnsi="Calibri" w:cs="Calibri"/>
                <w:b/>
                <w:bCs/>
                <w:i/>
                <w:iCs/>
                <w:color w:val="000000"/>
                <w:sz w:val="19"/>
                <w:szCs w:val="19"/>
                <w:lang w:eastAsia="en-AU"/>
              </w:rPr>
              <w:t>2016</w:t>
            </w:r>
            <w:r>
              <w:rPr>
                <w:rFonts w:ascii="Calibri" w:eastAsiaTheme="minorEastAsia" w:hAnsi="Calibri" w:cs="Calibri"/>
                <w:b/>
                <w:bCs/>
                <w:i/>
                <w:iCs/>
                <w:color w:val="000000"/>
                <w:sz w:val="19"/>
                <w:szCs w:val="19"/>
                <w:lang w:eastAsia="en-AU"/>
              </w:rPr>
              <w:noBreakHyphen/>
            </w:r>
            <w:r w:rsidRPr="00B04923">
              <w:rPr>
                <w:rFonts w:ascii="Calibri" w:eastAsiaTheme="minorEastAsia" w:hAnsi="Calibri" w:cs="Calibri"/>
                <w:b/>
                <w:bCs/>
                <w:i/>
                <w:iCs/>
                <w:color w:val="000000"/>
                <w:sz w:val="19"/>
                <w:szCs w:val="19"/>
                <w:lang w:eastAsia="en-AU"/>
              </w:rPr>
              <w:t>17 Budget</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2 869</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1 797</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Theme="minorHAnsi" w:eastAsiaTheme="minorEastAsia" w:hAnsiTheme="minorHAnsi" w:cs="Helvetica"/>
                <w:b/>
                <w:bCs/>
                <w:color w:val="000000"/>
                <w:sz w:val="19"/>
                <w:szCs w:val="19"/>
                <w:lang w:eastAsia="en-AU"/>
              </w:rPr>
            </w:pPr>
            <w:r w:rsidRPr="00B04923">
              <w:rPr>
                <w:rFonts w:asciiTheme="minorHAnsi" w:eastAsiaTheme="minorEastAsia" w:hAnsiTheme="minorHAnsi" w:cs="Helvetica"/>
                <w:b/>
                <w:bCs/>
                <w:color w:val="000000"/>
                <w:sz w:val="19"/>
                <w:szCs w:val="19"/>
                <w:lang w:eastAsia="en-AU"/>
              </w:rPr>
              <w:t>2 082</w:t>
            </w:r>
          </w:p>
        </w:tc>
      </w:tr>
    </w:tbl>
    <w:p w:rsidR="007A09DB" w:rsidRPr="00551215" w:rsidRDefault="007A09DB" w:rsidP="00260CA3">
      <w:pPr>
        <w:pStyle w:val="Source"/>
        <w:rPr>
          <w:rFonts w:eastAsiaTheme="minorHAnsi"/>
        </w:rPr>
      </w:pPr>
      <w:r w:rsidRPr="00551215">
        <w:rPr>
          <w:rFonts w:eastAsiaTheme="minorHAnsi"/>
        </w:rPr>
        <w:t>Source: Department of Treasury and Finance</w:t>
      </w:r>
    </w:p>
    <w:p w:rsidR="007A09DB" w:rsidRPr="00551215" w:rsidRDefault="007A09DB" w:rsidP="00551215">
      <w:pPr>
        <w:pStyle w:val="Notes"/>
        <w:rPr>
          <w:rFonts w:eastAsiaTheme="minorHAnsi"/>
        </w:rPr>
      </w:pPr>
      <w:r w:rsidRPr="00551215">
        <w:rPr>
          <w:rFonts w:eastAsiaTheme="minorHAnsi"/>
        </w:rPr>
        <w:t>Notes:</w:t>
      </w:r>
    </w:p>
    <w:p w:rsidR="007A09DB" w:rsidRPr="00551215" w:rsidRDefault="007A09DB" w:rsidP="00551215">
      <w:pPr>
        <w:pStyle w:val="Notes"/>
        <w:rPr>
          <w:rFonts w:eastAsiaTheme="minorHAnsi"/>
        </w:rPr>
      </w:pPr>
      <w:r w:rsidRPr="00551215">
        <w:rPr>
          <w:rFonts w:eastAsiaTheme="minorHAnsi"/>
        </w:rPr>
        <w:t xml:space="preserve">(a) </w:t>
      </w:r>
      <w:r w:rsidRPr="00551215">
        <w:rPr>
          <w:rFonts w:eastAsiaTheme="minorHAnsi"/>
        </w:rPr>
        <w:tab/>
        <w:t>Figures in this table are subject to rounding to the nearest</w:t>
      </w:r>
      <w:r>
        <w:rPr>
          <w:rFonts w:eastAsiaTheme="minorHAnsi"/>
        </w:rPr>
        <w:t> million</w:t>
      </w:r>
      <w:r w:rsidRPr="00551215">
        <w:rPr>
          <w:rFonts w:eastAsiaTheme="minorHAnsi"/>
        </w:rPr>
        <w:t xml:space="preserve"> and may not add up to totals.</w:t>
      </w:r>
    </w:p>
    <w:p w:rsidR="007A09DB" w:rsidRPr="00551215" w:rsidRDefault="007A09DB" w:rsidP="00551215">
      <w:pPr>
        <w:pStyle w:val="Notes"/>
        <w:rPr>
          <w:rFonts w:eastAsiaTheme="minorHAnsi"/>
        </w:rPr>
      </w:pPr>
      <w:r w:rsidRPr="00551215">
        <w:rPr>
          <w:rFonts w:eastAsiaTheme="minorHAnsi"/>
        </w:rPr>
        <w:t xml:space="preserve">(b) </w:t>
      </w:r>
      <w:r w:rsidRPr="00551215">
        <w:rPr>
          <w:rFonts w:eastAsiaTheme="minorHAnsi"/>
        </w:rPr>
        <w:tab/>
      </w:r>
      <w:r>
        <w:rPr>
          <w:rFonts w:eastAsiaTheme="minorHAnsi"/>
        </w:rPr>
        <w:t xml:space="preserve">This is represented in Table 4.4 </w:t>
      </w:r>
      <w:r w:rsidRPr="00551215">
        <w:rPr>
          <w:rFonts w:eastAsiaTheme="minorHAnsi"/>
        </w:rPr>
        <w:t xml:space="preserve">as the </w:t>
      </w:r>
      <w:r w:rsidRPr="00FF536B">
        <w:rPr>
          <w:rFonts w:eastAsiaTheme="minorHAnsi"/>
          <w:i w:val="0"/>
        </w:rPr>
        <w:t>2016</w:t>
      </w:r>
      <w:r>
        <w:rPr>
          <w:rFonts w:eastAsiaTheme="minorHAnsi"/>
          <w:i w:val="0"/>
        </w:rPr>
        <w:noBreakHyphen/>
      </w:r>
      <w:r w:rsidRPr="00FF536B">
        <w:rPr>
          <w:rFonts w:eastAsiaTheme="minorHAnsi"/>
          <w:i w:val="0"/>
        </w:rPr>
        <w:t>17 Budget</w:t>
      </w:r>
      <w:r w:rsidRPr="00551215">
        <w:rPr>
          <w:rFonts w:eastAsiaTheme="minorHAnsi"/>
        </w:rPr>
        <w:t xml:space="preserve"> output policy decisions.</w:t>
      </w:r>
    </w:p>
    <w:p w:rsidR="007A09DB" w:rsidRPr="00551215" w:rsidRDefault="007A09DB" w:rsidP="00551215">
      <w:pPr>
        <w:pStyle w:val="Notes"/>
        <w:rPr>
          <w:rFonts w:eastAsiaTheme="minorHAnsi"/>
        </w:rPr>
      </w:pPr>
      <w:r w:rsidRPr="00551215">
        <w:rPr>
          <w:rFonts w:eastAsiaTheme="minorHAnsi"/>
        </w:rPr>
        <w:t>(c)</w:t>
      </w:r>
      <w:r w:rsidRPr="00551215">
        <w:rPr>
          <w:rFonts w:eastAsiaTheme="minorHAnsi"/>
        </w:rPr>
        <w:tab/>
        <w:t>Investment income includes dividends and income tax and rate equivalent revenue.</w:t>
      </w:r>
    </w:p>
    <w:p w:rsidR="007A09DB" w:rsidRPr="00551215" w:rsidRDefault="007A09DB" w:rsidP="00551215">
      <w:pPr>
        <w:pStyle w:val="Notes"/>
        <w:rPr>
          <w:rFonts w:eastAsiaTheme="minorHAnsi"/>
        </w:rPr>
      </w:pPr>
      <w:r w:rsidRPr="00551215">
        <w:rPr>
          <w:rFonts w:eastAsiaTheme="minorHAnsi"/>
        </w:rPr>
        <w:t>(d)</w:t>
      </w:r>
      <w:r w:rsidRPr="00551215">
        <w:rPr>
          <w:rFonts w:eastAsiaTheme="minorHAnsi"/>
        </w:rPr>
        <w:tab/>
        <w:t>Reflects the change in grant revenue as per Note 5</w:t>
      </w:r>
      <w:r>
        <w:rPr>
          <w:rFonts w:eastAsiaTheme="minorHAnsi"/>
        </w:rPr>
        <w:t xml:space="preserve"> of </w:t>
      </w:r>
      <w:r w:rsidRPr="00551215">
        <w:rPr>
          <w:rFonts w:eastAsiaTheme="minorHAnsi"/>
        </w:rPr>
        <w:t xml:space="preserve">Budget Paper </w:t>
      </w:r>
      <w:r>
        <w:rPr>
          <w:rFonts w:eastAsiaTheme="minorHAnsi"/>
        </w:rPr>
        <w:t>No. </w:t>
      </w:r>
      <w:r w:rsidRPr="00551215">
        <w:rPr>
          <w:rFonts w:eastAsiaTheme="minorHAnsi"/>
        </w:rPr>
        <w:t xml:space="preserve">5, Chapter 1 </w:t>
      </w:r>
      <w:r w:rsidRPr="00FF536B">
        <w:rPr>
          <w:rFonts w:eastAsiaTheme="minorHAnsi"/>
          <w:i w:val="0"/>
        </w:rPr>
        <w:t xml:space="preserve">Grant </w:t>
      </w:r>
      <w:r w:rsidRPr="00AE4ADC">
        <w:rPr>
          <w:rFonts w:eastAsiaTheme="minorHAnsi"/>
          <w:i w:val="0"/>
        </w:rPr>
        <w:t>revenue less associated expense movements.</w:t>
      </w:r>
    </w:p>
    <w:p w:rsidR="007A09DB" w:rsidRPr="00F431BF" w:rsidRDefault="007A09DB" w:rsidP="00551215">
      <w:pPr>
        <w:pStyle w:val="Notes"/>
        <w:rPr>
          <w:rFonts w:eastAsiaTheme="minorHAnsi"/>
          <w:i w:val="0"/>
        </w:rPr>
      </w:pPr>
      <w:r>
        <w:rPr>
          <w:rFonts w:eastAsiaTheme="minorHAnsi"/>
        </w:rPr>
        <w:t>(e)</w:t>
      </w:r>
      <w:r>
        <w:rPr>
          <w:rFonts w:eastAsiaTheme="minorHAnsi"/>
        </w:rPr>
        <w:tab/>
        <w:t xml:space="preserve">Represents releases from the </w:t>
      </w:r>
      <w:r w:rsidRPr="00F431BF">
        <w:rPr>
          <w:rFonts w:eastAsiaTheme="minorHAnsi"/>
          <w:i w:val="0"/>
        </w:rPr>
        <w:t>Funding not allocated to specific purposes</w:t>
      </w:r>
      <w:r w:rsidRPr="00551215">
        <w:rPr>
          <w:rFonts w:eastAsiaTheme="minorHAnsi"/>
        </w:rPr>
        <w:t xml:space="preserve"> contingenc</w:t>
      </w:r>
      <w:r>
        <w:rPr>
          <w:rFonts w:eastAsiaTheme="minorHAnsi"/>
        </w:rPr>
        <w:t>y</w:t>
      </w:r>
      <w:r w:rsidRPr="00551215">
        <w:rPr>
          <w:rFonts w:eastAsiaTheme="minorHAnsi"/>
        </w:rPr>
        <w:t xml:space="preserve"> associated with demand for government services.</w:t>
      </w:r>
      <w:r>
        <w:rPr>
          <w:rFonts w:eastAsiaTheme="minorHAnsi"/>
        </w:rPr>
        <w:t xml:space="preserve"> Further information on this contingency can be found at </w:t>
      </w:r>
      <w:r w:rsidRPr="00DD0F54">
        <w:rPr>
          <w:rFonts w:eastAsiaTheme="minorHAnsi"/>
        </w:rPr>
        <w:t>Note 12(c) of Budget Paper No. 5, Chapter 1</w:t>
      </w:r>
      <w:r w:rsidRPr="00F431BF">
        <w:rPr>
          <w:rFonts w:eastAsiaTheme="minorHAnsi"/>
          <w:i w:val="0"/>
        </w:rPr>
        <w:t xml:space="preserve"> </w:t>
      </w:r>
      <w:r w:rsidRPr="002C08B7">
        <w:rPr>
          <w:rFonts w:eastAsiaTheme="minorHAnsi"/>
          <w:i w:val="0"/>
        </w:rPr>
        <w:t>Estimated financial statements for the general government sector</w:t>
      </w:r>
      <w:r w:rsidRPr="00F431BF">
        <w:rPr>
          <w:rFonts w:eastAsiaTheme="minorHAnsi"/>
          <w:i w:val="0"/>
        </w:rPr>
        <w:t>.</w:t>
      </w:r>
    </w:p>
    <w:p w:rsidR="007A09DB" w:rsidRDefault="007A09DB">
      <w:pPr>
        <w:spacing w:after="0"/>
        <w:rPr>
          <w:rFonts w:ascii="Calibri" w:eastAsiaTheme="minorHAnsi" w:hAnsi="Calibri"/>
          <w:b/>
          <w:i/>
          <w:kern w:val="28"/>
          <w:sz w:val="24"/>
          <w:szCs w:val="22"/>
        </w:rPr>
      </w:pPr>
      <w:r>
        <w:rPr>
          <w:rFonts w:eastAsiaTheme="minorHAnsi"/>
        </w:rPr>
        <w:br w:type="page"/>
      </w:r>
    </w:p>
    <w:p w:rsidR="007A09DB" w:rsidRPr="00551215" w:rsidRDefault="007A09DB" w:rsidP="00551215">
      <w:pPr>
        <w:pStyle w:val="Heading3"/>
        <w:rPr>
          <w:rFonts w:eastAsiaTheme="minorHAnsi"/>
        </w:rPr>
      </w:pPr>
      <w:r w:rsidRPr="00551215">
        <w:rPr>
          <w:rFonts w:eastAsiaTheme="minorHAnsi"/>
        </w:rPr>
        <w:t>Policy decision variations</w:t>
      </w:r>
    </w:p>
    <w:p w:rsidR="007A09DB" w:rsidRPr="00551215" w:rsidRDefault="007A09DB" w:rsidP="00551215">
      <w:pPr>
        <w:rPr>
          <w:rFonts w:eastAsiaTheme="minorHAnsi"/>
        </w:rPr>
      </w:pPr>
      <w:r>
        <w:rPr>
          <w:rFonts w:eastAsiaTheme="minorHAnsi"/>
        </w:rPr>
        <w:t>P</w:t>
      </w:r>
      <w:r w:rsidRPr="00551215">
        <w:rPr>
          <w:rFonts w:eastAsiaTheme="minorHAnsi"/>
        </w:rPr>
        <w:t>olicy variation</w:t>
      </w:r>
      <w:r>
        <w:rPr>
          <w:rFonts w:eastAsiaTheme="minorHAnsi"/>
        </w:rPr>
        <w:t>s</w:t>
      </w:r>
      <w:r w:rsidRPr="00551215">
        <w:rPr>
          <w:rFonts w:eastAsiaTheme="minorHAnsi"/>
        </w:rPr>
        <w:t xml:space="preserve"> reflect specific decision</w:t>
      </w:r>
      <w:r>
        <w:rPr>
          <w:rFonts w:eastAsiaTheme="minorHAnsi"/>
        </w:rPr>
        <w:t>s</w:t>
      </w:r>
      <w:r w:rsidRPr="00551215">
        <w:rPr>
          <w:rFonts w:eastAsiaTheme="minorHAnsi"/>
        </w:rPr>
        <w:t xml:space="preserve"> by the Government that ha</w:t>
      </w:r>
      <w:r>
        <w:rPr>
          <w:rFonts w:eastAsiaTheme="minorHAnsi"/>
        </w:rPr>
        <w:t>ve</w:t>
      </w:r>
      <w:r w:rsidRPr="00551215">
        <w:rPr>
          <w:rFonts w:eastAsiaTheme="minorHAnsi"/>
        </w:rPr>
        <w:t xml:space="preserve"> an impact on the budget and forward estimates and </w:t>
      </w:r>
      <w:r>
        <w:rPr>
          <w:rFonts w:eastAsiaTheme="minorHAnsi"/>
        </w:rPr>
        <w:t>are</w:t>
      </w:r>
      <w:r w:rsidRPr="00551215">
        <w:rPr>
          <w:rFonts w:eastAsiaTheme="minorHAnsi"/>
        </w:rPr>
        <w:t xml:space="preserve"> related to a new policy or represent a change in the </w:t>
      </w:r>
      <w:r>
        <w:rPr>
          <w:rFonts w:eastAsiaTheme="minorHAnsi"/>
        </w:rPr>
        <w:t>G</w:t>
      </w:r>
      <w:r w:rsidRPr="00551215">
        <w:rPr>
          <w:rFonts w:eastAsiaTheme="minorHAnsi"/>
        </w:rPr>
        <w:t>overnment</w:t>
      </w:r>
      <w:r>
        <w:rPr>
          <w:rFonts w:eastAsiaTheme="minorHAnsi"/>
        </w:rPr>
        <w:t>’</w:t>
      </w:r>
      <w:r w:rsidRPr="00551215">
        <w:rPr>
          <w:rFonts w:eastAsiaTheme="minorHAnsi"/>
        </w:rPr>
        <w:t>s existing policy position since the previous publication.</w:t>
      </w:r>
    </w:p>
    <w:p w:rsidR="007A09DB" w:rsidRDefault="007A09DB" w:rsidP="00DC76C0">
      <w:pPr>
        <w:pStyle w:val="Heading4"/>
        <w:rPr>
          <w:rFonts w:eastAsiaTheme="minorHAnsi"/>
        </w:rPr>
      </w:pPr>
      <w:r w:rsidRPr="00DC76C0">
        <w:rPr>
          <w:rFonts w:eastAsiaTheme="minorHAnsi"/>
        </w:rPr>
        <w:t>Revenue policy decision variations</w:t>
      </w:r>
    </w:p>
    <w:p w:rsidR="007A09DB" w:rsidRPr="000C60B9" w:rsidRDefault="007A09DB" w:rsidP="00064715">
      <w:pPr>
        <w:rPr>
          <w:rFonts w:eastAsiaTheme="minorHAnsi"/>
        </w:rPr>
      </w:pPr>
      <w:r>
        <w:rPr>
          <w:rFonts w:eastAsiaTheme="minorHAnsi"/>
        </w:rPr>
        <w:t>New revenue policy decisions have increased the operating result by an average $156 million from 2016</w:t>
      </w:r>
      <w:r>
        <w:rPr>
          <w:rFonts w:eastAsiaTheme="minorHAnsi"/>
        </w:rPr>
        <w:noBreakHyphen/>
        <w:t>17 to 2018</w:t>
      </w:r>
      <w:r>
        <w:rPr>
          <w:rFonts w:eastAsiaTheme="minorHAnsi"/>
        </w:rPr>
        <w:noBreakHyphen/>
        <w:t xml:space="preserve">19. Details of the specific policy initiatives since the </w:t>
      </w:r>
      <w:r w:rsidRPr="0052003C">
        <w:rPr>
          <w:rFonts w:eastAsiaTheme="minorHAnsi"/>
          <w:i/>
        </w:rPr>
        <w:t>201</w:t>
      </w:r>
      <w:r>
        <w:rPr>
          <w:rFonts w:eastAsiaTheme="minorHAnsi"/>
          <w:i/>
        </w:rPr>
        <w:t>5</w:t>
      </w:r>
      <w:r>
        <w:rPr>
          <w:rFonts w:eastAsiaTheme="minorHAnsi"/>
          <w:i/>
        </w:rPr>
        <w:noBreakHyphen/>
      </w:r>
      <w:r w:rsidRPr="0052003C">
        <w:rPr>
          <w:rFonts w:eastAsiaTheme="minorHAnsi"/>
          <w:i/>
        </w:rPr>
        <w:t>1</w:t>
      </w:r>
      <w:r>
        <w:rPr>
          <w:rFonts w:eastAsiaTheme="minorHAnsi"/>
          <w:i/>
        </w:rPr>
        <w:t>6</w:t>
      </w:r>
      <w:r w:rsidRPr="0052003C">
        <w:rPr>
          <w:rFonts w:eastAsiaTheme="minorHAnsi"/>
          <w:i/>
        </w:rPr>
        <w:t xml:space="preserve"> Budget</w:t>
      </w:r>
      <w:r>
        <w:rPr>
          <w:rFonts w:eastAsiaTheme="minorHAnsi"/>
          <w:i/>
        </w:rPr>
        <w:t xml:space="preserve"> Update </w:t>
      </w:r>
      <w:r>
        <w:rPr>
          <w:rFonts w:eastAsiaTheme="minorHAnsi"/>
        </w:rPr>
        <w:t xml:space="preserve">are contained in Budget Paper No. 3, Chapter 1 </w:t>
      </w:r>
      <w:r>
        <w:rPr>
          <w:rFonts w:eastAsiaTheme="minorHAnsi"/>
          <w:i/>
        </w:rPr>
        <w:t>Output, asset investment, savings and revenue initiatives.</w:t>
      </w:r>
    </w:p>
    <w:p w:rsidR="007A09DB" w:rsidRPr="00551215" w:rsidRDefault="007A09DB" w:rsidP="00DC76C0">
      <w:pPr>
        <w:pStyle w:val="Heading4"/>
        <w:rPr>
          <w:rFonts w:eastAsiaTheme="minorHAnsi"/>
        </w:rPr>
      </w:pPr>
      <w:r w:rsidRPr="00DC76C0">
        <w:rPr>
          <w:rFonts w:eastAsiaTheme="minorHAnsi"/>
        </w:rPr>
        <w:t>Output policy decision variations</w:t>
      </w:r>
    </w:p>
    <w:p w:rsidR="007A09DB" w:rsidRDefault="007A09DB" w:rsidP="00DC76C0">
      <w:pPr>
        <w:rPr>
          <w:rFonts w:eastAsiaTheme="minorHAnsi"/>
          <w:i/>
        </w:rPr>
      </w:pPr>
      <w:r w:rsidRPr="00551215">
        <w:t xml:space="preserve">The </w:t>
      </w:r>
      <w:r w:rsidRPr="00CF0BC4">
        <w:rPr>
          <w:i/>
        </w:rPr>
        <w:t>2016</w:t>
      </w:r>
      <w:r>
        <w:rPr>
          <w:i/>
        </w:rPr>
        <w:noBreakHyphen/>
      </w:r>
      <w:r w:rsidRPr="00CF0BC4">
        <w:rPr>
          <w:i/>
        </w:rPr>
        <w:t>17 Budget</w:t>
      </w:r>
      <w:r w:rsidRPr="00551215">
        <w:t xml:space="preserve"> provides $</w:t>
      </w:r>
      <w:r>
        <w:t>6.8 billion</w:t>
      </w:r>
      <w:r w:rsidRPr="00551215">
        <w:t xml:space="preserve"> in new output initiatives </w:t>
      </w:r>
      <w:r>
        <w:t xml:space="preserve">over the five years </w:t>
      </w:r>
      <w:r w:rsidRPr="00551215">
        <w:t>to 2019</w:t>
      </w:r>
      <w:r>
        <w:noBreakHyphen/>
      </w:r>
      <w:r w:rsidRPr="00551215">
        <w:t>20. Table 4.</w:t>
      </w:r>
      <w:r>
        <w:t>4</w:t>
      </w:r>
      <w:r w:rsidRPr="00551215">
        <w:t xml:space="preserve"> shows the impact of new output measures in this budget, with further detail in Budget Paper </w:t>
      </w:r>
      <w:r>
        <w:t>No. </w:t>
      </w:r>
      <w:r w:rsidRPr="00551215">
        <w:t xml:space="preserve">3, Chapter 1 </w:t>
      </w:r>
      <w:r w:rsidRPr="00551215">
        <w:rPr>
          <w:i/>
        </w:rPr>
        <w:t>Output, asset investment, savings and revenue initiatives</w:t>
      </w:r>
      <w:r w:rsidRPr="00551215">
        <w:rPr>
          <w:rFonts w:eastAsiaTheme="minorHAnsi"/>
          <w:i/>
        </w:rPr>
        <w:t>.</w:t>
      </w:r>
    </w:p>
    <w:p w:rsidR="007A09DB" w:rsidRPr="00551215" w:rsidRDefault="007A09DB" w:rsidP="00DC76C0">
      <w:pPr>
        <w:pStyle w:val="Tableheading"/>
        <w:rPr>
          <w:rFonts w:eastAsiaTheme="minorHAnsi"/>
        </w:rPr>
      </w:pPr>
      <w:r w:rsidRPr="00551215">
        <w:rPr>
          <w:rFonts w:eastAsiaTheme="minorHAnsi"/>
        </w:rPr>
        <w:t>Table 4.</w:t>
      </w:r>
      <w:r>
        <w:rPr>
          <w:rFonts w:eastAsiaTheme="minorHAnsi"/>
        </w:rPr>
        <w:t>4</w:t>
      </w:r>
      <w:r w:rsidRPr="00551215">
        <w:rPr>
          <w:rFonts w:eastAsiaTheme="minorHAnsi"/>
        </w:rPr>
        <w:t>:</w:t>
      </w:r>
      <w:r w:rsidRPr="00551215">
        <w:rPr>
          <w:rFonts w:eastAsiaTheme="minorHAnsi"/>
        </w:rPr>
        <w:tab/>
        <w:t xml:space="preserve">Net impact of the </w:t>
      </w:r>
      <w:r w:rsidRPr="00805BAF">
        <w:rPr>
          <w:rFonts w:eastAsiaTheme="minorHAnsi"/>
          <w:i/>
        </w:rPr>
        <w:t>2016</w:t>
      </w:r>
      <w:r>
        <w:rPr>
          <w:rFonts w:eastAsiaTheme="minorHAnsi"/>
          <w:i/>
        </w:rPr>
        <w:noBreakHyphen/>
      </w:r>
      <w:r w:rsidRPr="00805BAF">
        <w:rPr>
          <w:rFonts w:eastAsiaTheme="minorHAnsi"/>
          <w:i/>
        </w:rPr>
        <w:t>17 Budget</w:t>
      </w:r>
      <w:r w:rsidRPr="00551215">
        <w:rPr>
          <w:rFonts w:eastAsiaTheme="minorHAnsi"/>
        </w:rPr>
        <w:t xml:space="preserve"> new output initiatives</w:t>
      </w:r>
      <w:r w:rsidRPr="00D11F27">
        <w:rPr>
          <w:rFonts w:eastAsiaTheme="minorHAnsi"/>
          <w:vertAlign w:val="superscript"/>
        </w:rPr>
        <w:t>(a)</w:t>
      </w:r>
      <w:r>
        <w:rPr>
          <w:rFonts w:eastAsiaTheme="minorHAnsi"/>
          <w:vertAlign w:val="superscript"/>
        </w:rPr>
        <w:t>(b)</w:t>
      </w:r>
    </w:p>
    <w:p w:rsidR="007A09DB" w:rsidRPr="00B04923" w:rsidRDefault="007A09DB" w:rsidP="00B04923">
      <w:pPr>
        <w:pStyle w:val="million"/>
        <w:rPr>
          <w:rFonts w:eastAsiaTheme="minorHAnsi"/>
        </w:rPr>
      </w:pPr>
      <w:r w:rsidRPr="00551215">
        <w:rPr>
          <w:rFonts w:eastAsiaTheme="minorHAnsi"/>
        </w:rPr>
        <w:t>($</w:t>
      </w:r>
      <w:r>
        <w:rPr>
          <w:rFonts w:eastAsiaTheme="minorHAnsi"/>
        </w:rPr>
        <w:t> million</w:t>
      </w:r>
      <w:r w:rsidRPr="00551215">
        <w:rPr>
          <w:rFonts w:eastAsiaTheme="minorHAnsi"/>
        </w:rPr>
        <w:t>)</w:t>
      </w:r>
    </w:p>
    <w:tbl>
      <w:tblPr>
        <w:tblW w:w="7765" w:type="dxa"/>
        <w:tblInd w:w="45" w:type="dxa"/>
        <w:tblLayout w:type="fixed"/>
        <w:tblCellMar>
          <w:left w:w="45" w:type="dxa"/>
          <w:right w:w="45" w:type="dxa"/>
        </w:tblCellMar>
        <w:tblLook w:val="0000" w:firstRow="0" w:lastRow="0" w:firstColumn="0" w:lastColumn="0" w:noHBand="0" w:noVBand="0"/>
      </w:tblPr>
      <w:tblGrid>
        <w:gridCol w:w="4365"/>
        <w:gridCol w:w="850"/>
        <w:gridCol w:w="850"/>
        <w:gridCol w:w="850"/>
        <w:gridCol w:w="850"/>
      </w:tblGrid>
      <w:tr w:rsidR="007A09DB" w:rsidRPr="00B04923" w:rsidTr="00B04923">
        <w:tc>
          <w:tcPr>
            <w:tcW w:w="4365"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B04923">
              <w:rPr>
                <w:rFonts w:ascii="Calibri" w:eastAsiaTheme="minorEastAsia" w:hAnsi="Calibri" w:cs="Calibri"/>
                <w:i/>
                <w:iCs/>
                <w:color w:val="FFFFFF"/>
                <w:sz w:val="19"/>
                <w:szCs w:val="19"/>
                <w:lang w:eastAsia="en-AU"/>
              </w:rPr>
              <w:t>20</w:t>
            </w:r>
          </w:p>
        </w:tc>
      </w:tr>
      <w:tr w:rsidR="007A09DB" w:rsidRPr="00B04923" w:rsidTr="00B04923">
        <w:tc>
          <w:tcPr>
            <w:tcW w:w="4365" w:type="dxa"/>
            <w:tcBorders>
              <w:top w:val="nil"/>
              <w:left w:val="nil"/>
              <w:right w:val="nil"/>
            </w:tcBorders>
            <w:shd w:val="solid" w:color="000000" w:fill="auto"/>
          </w:tcPr>
          <w:p w:rsidR="007A09DB" w:rsidRPr="00B04923" w:rsidRDefault="007A09DB" w:rsidP="00B04923">
            <w:pPr>
              <w:autoSpaceDE w:val="0"/>
              <w:autoSpaceDN w:val="0"/>
              <w:adjustRightInd w:val="0"/>
              <w:spacing w:after="0"/>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budget</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04923" w:rsidRDefault="007A09DB" w:rsidP="00B04923">
            <w:pPr>
              <w:autoSpaceDE w:val="0"/>
              <w:autoSpaceDN w:val="0"/>
              <w:adjustRightInd w:val="0"/>
              <w:spacing w:after="0"/>
              <w:jc w:val="right"/>
              <w:rPr>
                <w:rFonts w:ascii="Calibri" w:eastAsiaTheme="minorEastAsia" w:hAnsi="Calibri" w:cs="Calibri"/>
                <w:i/>
                <w:iCs/>
                <w:color w:val="FFFFFF"/>
                <w:sz w:val="19"/>
                <w:szCs w:val="19"/>
                <w:lang w:eastAsia="en-AU"/>
              </w:rPr>
            </w:pPr>
            <w:r w:rsidRPr="00B04923">
              <w:rPr>
                <w:rFonts w:ascii="Calibri" w:eastAsiaTheme="minorEastAsia" w:hAnsi="Calibri" w:cs="Calibri"/>
                <w:i/>
                <w:iCs/>
                <w:color w:val="FFFFFF"/>
                <w:sz w:val="19"/>
                <w:szCs w:val="19"/>
                <w:lang w:eastAsia="en-AU"/>
              </w:rPr>
              <w:t>estimate</w:t>
            </w:r>
          </w:p>
        </w:tc>
      </w:tr>
      <w:tr w:rsidR="007A09DB" w:rsidRPr="00B04923" w:rsidTr="00B04923">
        <w:tc>
          <w:tcPr>
            <w:tcW w:w="4365"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New output initiatives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2 318</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1 729</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1 320</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1 227</w:t>
            </w:r>
          </w:p>
        </w:tc>
      </w:tr>
      <w:tr w:rsidR="007A09DB" w:rsidRPr="00B04923" w:rsidTr="00B04923">
        <w:tc>
          <w:tcPr>
            <w:tcW w:w="4365"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Less:</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w:t>
            </w:r>
          </w:p>
        </w:tc>
      </w:tr>
      <w:tr w:rsidR="007A09DB" w:rsidRPr="00B04923" w:rsidTr="00B04923">
        <w:tc>
          <w:tcPr>
            <w:tcW w:w="4365"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Funding from reprioritisation of existing resources </w:t>
            </w:r>
            <w:r w:rsidRPr="00B04923">
              <w:rPr>
                <w:rFonts w:ascii="Calibri" w:eastAsiaTheme="minorEastAsia" w:hAnsi="Calibri" w:cs="Calibri"/>
                <w:color w:val="000000"/>
                <w:sz w:val="19"/>
                <w:szCs w:val="19"/>
                <w:vertAlign w:val="superscript"/>
                <w:lang w:eastAsia="en-AU"/>
              </w:rPr>
              <w:t>(c)</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626</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509</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464</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337</w:t>
            </w:r>
          </w:p>
        </w:tc>
      </w:tr>
      <w:tr w:rsidR="007A09DB" w:rsidRPr="00B04923" w:rsidTr="00B04923">
        <w:tc>
          <w:tcPr>
            <w:tcW w:w="4365" w:type="dxa"/>
            <w:tcBorders>
              <w:top w:val="nil"/>
              <w:left w:val="nil"/>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   Adjustments </w:t>
            </w:r>
            <w:r w:rsidRPr="00B04923">
              <w:rPr>
                <w:rFonts w:ascii="Calibri" w:eastAsiaTheme="minorEastAsia" w:hAnsi="Calibri" w:cs="Calibri"/>
                <w:color w:val="000000"/>
                <w:sz w:val="19"/>
                <w:szCs w:val="19"/>
                <w:vertAlign w:val="superscript"/>
                <w:lang w:eastAsia="en-AU"/>
              </w:rPr>
              <w:t>(d)</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282</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306</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188</w:t>
            </w:r>
          </w:p>
        </w:tc>
        <w:tc>
          <w:tcPr>
            <w:tcW w:w="850" w:type="dxa"/>
            <w:tcBorders>
              <w:top w:val="nil"/>
              <w:left w:val="nil"/>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137</w:t>
            </w:r>
          </w:p>
        </w:tc>
      </w:tr>
      <w:tr w:rsidR="007A09DB" w:rsidRPr="00B04923" w:rsidTr="00B04923">
        <w:tc>
          <w:tcPr>
            <w:tcW w:w="4365"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Savings</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26</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18</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20</w:t>
            </w:r>
          </w:p>
        </w:tc>
        <w:tc>
          <w:tcPr>
            <w:tcW w:w="850" w:type="dxa"/>
            <w:tcBorders>
              <w:top w:val="nil"/>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21</w:t>
            </w:r>
          </w:p>
        </w:tc>
      </w:tr>
      <w:tr w:rsidR="007A09DB" w:rsidRPr="00B04923" w:rsidTr="00B04923">
        <w:tc>
          <w:tcPr>
            <w:tcW w:w="4365"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i/>
                <w:iCs/>
                <w:color w:val="000000"/>
                <w:sz w:val="19"/>
                <w:szCs w:val="19"/>
                <w:lang w:eastAsia="en-AU"/>
              </w:rPr>
              <w:t>2016</w:t>
            </w:r>
            <w:r>
              <w:rPr>
                <w:rFonts w:ascii="Calibri" w:eastAsiaTheme="minorEastAsia" w:hAnsi="Calibri" w:cs="Calibri"/>
                <w:b/>
                <w:bCs/>
                <w:i/>
                <w:iCs/>
                <w:color w:val="000000"/>
                <w:sz w:val="19"/>
                <w:szCs w:val="19"/>
                <w:lang w:eastAsia="en-AU"/>
              </w:rPr>
              <w:noBreakHyphen/>
            </w:r>
            <w:r w:rsidRPr="00B04923">
              <w:rPr>
                <w:rFonts w:ascii="Calibri" w:eastAsiaTheme="minorEastAsia" w:hAnsi="Calibri" w:cs="Calibri"/>
                <w:b/>
                <w:bCs/>
                <w:i/>
                <w:iCs/>
                <w:color w:val="000000"/>
                <w:sz w:val="19"/>
                <w:szCs w:val="19"/>
                <w:lang w:eastAsia="en-AU"/>
              </w:rPr>
              <w:t xml:space="preserve">17 Budget </w:t>
            </w:r>
            <w:r w:rsidRPr="00B04923">
              <w:rPr>
                <w:rFonts w:ascii="Calibri" w:eastAsiaTheme="minorEastAsia" w:hAnsi="Calibri" w:cs="Calibri"/>
                <w:b/>
                <w:bCs/>
                <w:color w:val="000000"/>
                <w:sz w:val="19"/>
                <w:szCs w:val="19"/>
                <w:lang w:eastAsia="en-AU"/>
              </w:rPr>
              <w:t>output policy decisions</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1 383</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896</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648</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732</w:t>
            </w:r>
          </w:p>
        </w:tc>
      </w:tr>
      <w:tr w:rsidR="007A09DB" w:rsidRPr="00B04923" w:rsidTr="00B04923">
        <w:tc>
          <w:tcPr>
            <w:tcW w:w="4365"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04923">
              <w:rPr>
                <w:rFonts w:ascii="Calibri" w:eastAsiaTheme="minorEastAsia" w:hAnsi="Calibri" w:cs="Calibri"/>
                <w:color w:val="000000"/>
                <w:sz w:val="19"/>
                <w:szCs w:val="19"/>
                <w:lang w:eastAsia="en-AU"/>
              </w:rPr>
              <w:t xml:space="preserve">Less: contingency offset for new policy </w:t>
            </w:r>
            <w:r w:rsidRPr="00B04923">
              <w:rPr>
                <w:rFonts w:ascii="Calibri" w:eastAsiaTheme="minorEastAsia" w:hAnsi="Calibri" w:cs="Calibri"/>
                <w:color w:val="000000"/>
                <w:sz w:val="19"/>
                <w:szCs w:val="19"/>
                <w:vertAlign w:val="superscript"/>
                <w:lang w:eastAsia="en-AU"/>
              </w:rPr>
              <w:t>(e)</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200</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200</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200</w:t>
            </w:r>
          </w:p>
        </w:tc>
        <w:tc>
          <w:tcPr>
            <w:tcW w:w="850" w:type="dxa"/>
            <w:tcBorders>
              <w:top w:val="single" w:sz="6" w:space="0" w:color="auto"/>
              <w:left w:val="nil"/>
              <w:bottom w:val="single" w:sz="6"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color w:val="000000"/>
                <w:sz w:val="19"/>
                <w:szCs w:val="19"/>
                <w:lang w:eastAsia="en-AU"/>
              </w:rPr>
            </w:pPr>
            <w:r w:rsidRPr="00B04923">
              <w:rPr>
                <w:rFonts w:ascii="Calibri" w:eastAsiaTheme="minorEastAsia" w:hAnsi="Calibri" w:cs="Calibri"/>
                <w:color w:val="000000"/>
                <w:sz w:val="19"/>
                <w:szCs w:val="19"/>
                <w:lang w:eastAsia="en-AU"/>
              </w:rPr>
              <w:t xml:space="preserve"> 200</w:t>
            </w:r>
          </w:p>
        </w:tc>
      </w:tr>
      <w:tr w:rsidR="007A09DB" w:rsidRPr="00B04923" w:rsidTr="00B04923">
        <w:tc>
          <w:tcPr>
            <w:tcW w:w="4365"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Net impact </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1 183</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696</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448</w:t>
            </w:r>
          </w:p>
        </w:tc>
        <w:tc>
          <w:tcPr>
            <w:tcW w:w="850" w:type="dxa"/>
            <w:tcBorders>
              <w:top w:val="single" w:sz="6" w:space="0" w:color="auto"/>
              <w:left w:val="nil"/>
              <w:bottom w:val="single" w:sz="12" w:space="0" w:color="auto"/>
              <w:right w:val="nil"/>
            </w:tcBorders>
            <w:shd w:val="clear" w:color="auto" w:fill="FFFFFF"/>
          </w:tcPr>
          <w:p w:rsidR="007A09DB" w:rsidRPr="00B04923" w:rsidRDefault="007A09DB" w:rsidP="00B04923">
            <w:pPr>
              <w:autoSpaceDE w:val="0"/>
              <w:autoSpaceDN w:val="0"/>
              <w:adjustRightInd w:val="0"/>
              <w:spacing w:after="0"/>
              <w:jc w:val="right"/>
              <w:rPr>
                <w:rFonts w:ascii="Calibri" w:eastAsiaTheme="minorEastAsia" w:hAnsi="Calibri" w:cs="Calibri"/>
                <w:b/>
                <w:bCs/>
                <w:color w:val="000000"/>
                <w:sz w:val="19"/>
                <w:szCs w:val="19"/>
                <w:lang w:eastAsia="en-AU"/>
              </w:rPr>
            </w:pPr>
            <w:r w:rsidRPr="00B04923">
              <w:rPr>
                <w:rFonts w:ascii="Calibri" w:eastAsiaTheme="minorEastAsia" w:hAnsi="Calibri" w:cs="Calibri"/>
                <w:b/>
                <w:bCs/>
                <w:color w:val="000000"/>
                <w:sz w:val="19"/>
                <w:szCs w:val="19"/>
                <w:lang w:eastAsia="en-AU"/>
              </w:rPr>
              <w:t xml:space="preserve"> 532</w:t>
            </w:r>
          </w:p>
        </w:tc>
      </w:tr>
    </w:tbl>
    <w:p w:rsidR="007A09DB" w:rsidRPr="00551215" w:rsidRDefault="007A09DB" w:rsidP="00DC76C0">
      <w:pPr>
        <w:pStyle w:val="Source"/>
        <w:rPr>
          <w:rFonts w:eastAsiaTheme="minorHAnsi"/>
        </w:rPr>
      </w:pPr>
      <w:r w:rsidRPr="00551215">
        <w:rPr>
          <w:rFonts w:eastAsiaTheme="minorHAnsi"/>
        </w:rPr>
        <w:t>Source: Department of Treasury and Finance</w:t>
      </w:r>
    </w:p>
    <w:p w:rsidR="007A09DB" w:rsidRPr="00551215" w:rsidRDefault="007A09DB" w:rsidP="00DC76C0">
      <w:pPr>
        <w:pStyle w:val="Notes"/>
        <w:rPr>
          <w:rFonts w:eastAsiaTheme="minorHAnsi"/>
        </w:rPr>
      </w:pPr>
      <w:r w:rsidRPr="00551215">
        <w:rPr>
          <w:rFonts w:eastAsiaTheme="minorHAnsi"/>
        </w:rPr>
        <w:t>Notes:</w:t>
      </w:r>
    </w:p>
    <w:p w:rsidR="007A09DB" w:rsidRDefault="007A09DB" w:rsidP="00DC76C0">
      <w:pPr>
        <w:pStyle w:val="Notes"/>
        <w:rPr>
          <w:rFonts w:eastAsiaTheme="minorHAnsi"/>
        </w:rPr>
      </w:pPr>
      <w:r w:rsidRPr="00551215">
        <w:rPr>
          <w:rFonts w:eastAsiaTheme="minorHAnsi"/>
        </w:rPr>
        <w:t>(a)</w:t>
      </w:r>
      <w:r w:rsidRPr="00551215">
        <w:rPr>
          <w:rFonts w:eastAsiaTheme="minorHAnsi"/>
        </w:rPr>
        <w:tab/>
        <w:t>Figures in this table are subject to rounding to the nearest</w:t>
      </w:r>
      <w:r>
        <w:rPr>
          <w:rFonts w:eastAsiaTheme="minorHAnsi"/>
        </w:rPr>
        <w:t> million</w:t>
      </w:r>
      <w:r w:rsidRPr="00551215">
        <w:rPr>
          <w:rFonts w:eastAsiaTheme="minorHAnsi"/>
        </w:rPr>
        <w:t xml:space="preserve"> and may not add up to totals.</w:t>
      </w:r>
    </w:p>
    <w:p w:rsidR="007A09DB" w:rsidRPr="00551215" w:rsidRDefault="007A09DB" w:rsidP="00325849">
      <w:pPr>
        <w:pStyle w:val="Notes"/>
        <w:rPr>
          <w:rFonts w:eastAsiaTheme="minorHAnsi"/>
        </w:rPr>
      </w:pPr>
      <w:r w:rsidRPr="00551215">
        <w:rPr>
          <w:rFonts w:eastAsiaTheme="minorHAnsi"/>
        </w:rPr>
        <w:t>(b)</w:t>
      </w:r>
      <w:r w:rsidRPr="00551215">
        <w:rPr>
          <w:rFonts w:eastAsiaTheme="minorHAnsi"/>
        </w:rPr>
        <w:tab/>
      </w:r>
      <w:r>
        <w:rPr>
          <w:rFonts w:eastAsiaTheme="minorHAnsi"/>
        </w:rPr>
        <w:t>Funding of $244 million is provided in 2015</w:t>
      </w:r>
      <w:r>
        <w:rPr>
          <w:rFonts w:eastAsiaTheme="minorHAnsi"/>
        </w:rPr>
        <w:noBreakHyphen/>
        <w:t>16.</w:t>
      </w:r>
    </w:p>
    <w:p w:rsidR="007A09DB" w:rsidRPr="00551215" w:rsidRDefault="007A09DB" w:rsidP="00DC76C0">
      <w:pPr>
        <w:pStyle w:val="Notes"/>
        <w:rPr>
          <w:rFonts w:eastAsiaTheme="minorHAnsi"/>
        </w:rPr>
      </w:pPr>
      <w:r w:rsidRPr="00551215">
        <w:rPr>
          <w:rFonts w:eastAsiaTheme="minorHAnsi"/>
        </w:rPr>
        <w:t>(</w:t>
      </w:r>
      <w:r>
        <w:rPr>
          <w:rFonts w:eastAsiaTheme="minorHAnsi"/>
        </w:rPr>
        <w:t>c</w:t>
      </w:r>
      <w:r w:rsidRPr="00551215">
        <w:rPr>
          <w:rFonts w:eastAsiaTheme="minorHAnsi"/>
        </w:rPr>
        <w:t>)</w:t>
      </w:r>
      <w:r w:rsidRPr="00551215">
        <w:rPr>
          <w:rFonts w:eastAsiaTheme="minorHAnsi"/>
        </w:rPr>
        <w:tab/>
        <w:t>This includes the reprioritisation of resources previously allocated to departments and retained revenues.</w:t>
      </w:r>
    </w:p>
    <w:p w:rsidR="007A09DB" w:rsidRPr="00551215" w:rsidRDefault="007A09DB" w:rsidP="00DC76C0">
      <w:pPr>
        <w:pStyle w:val="Notes"/>
        <w:rPr>
          <w:rFonts w:eastAsiaTheme="minorHAnsi"/>
        </w:rPr>
      </w:pPr>
      <w:r w:rsidRPr="00551215">
        <w:rPr>
          <w:rFonts w:eastAsiaTheme="minorHAnsi"/>
        </w:rPr>
        <w:t>(</w:t>
      </w:r>
      <w:r>
        <w:rPr>
          <w:rFonts w:eastAsiaTheme="minorHAnsi"/>
        </w:rPr>
        <w:t>d</w:t>
      </w:r>
      <w:r w:rsidRPr="00551215">
        <w:rPr>
          <w:rFonts w:eastAsiaTheme="minorHAnsi"/>
        </w:rPr>
        <w:t>)</w:t>
      </w:r>
      <w:r w:rsidRPr="00551215">
        <w:rPr>
          <w:rFonts w:eastAsiaTheme="minorHAnsi"/>
        </w:rPr>
        <w:tab/>
        <w:t>Primarily incorporates the net impact of the creation and release of decisions made but not yet allocated contingencies.</w:t>
      </w:r>
    </w:p>
    <w:p w:rsidR="007A09DB" w:rsidRPr="00B04923" w:rsidRDefault="007A09DB" w:rsidP="00126FE4">
      <w:pPr>
        <w:pStyle w:val="Notes"/>
        <w:rPr>
          <w:rFonts w:eastAsiaTheme="minorHAnsi"/>
        </w:rPr>
      </w:pPr>
      <w:r w:rsidRPr="00551215">
        <w:rPr>
          <w:rFonts w:eastAsiaTheme="minorHAnsi"/>
        </w:rPr>
        <w:t>(</w:t>
      </w:r>
      <w:r>
        <w:rPr>
          <w:rFonts w:eastAsiaTheme="minorHAnsi"/>
        </w:rPr>
        <w:t>e</w:t>
      </w:r>
      <w:r w:rsidRPr="00551215">
        <w:rPr>
          <w:rFonts w:eastAsiaTheme="minorHAnsi"/>
        </w:rPr>
        <w:t>)</w:t>
      </w:r>
      <w:r w:rsidRPr="00551215">
        <w:rPr>
          <w:rFonts w:eastAsiaTheme="minorHAnsi"/>
        </w:rPr>
        <w:tab/>
      </w:r>
      <w:r>
        <w:rPr>
          <w:rFonts w:eastAsiaTheme="minorHAnsi"/>
        </w:rPr>
        <w:t xml:space="preserve">Represents releases </w:t>
      </w:r>
      <w:r w:rsidRPr="00DD0F54">
        <w:rPr>
          <w:rFonts w:eastAsiaTheme="minorHAnsi"/>
        </w:rPr>
        <w:t>from the Funding not allocated to specific purposes contingency associated with demand</w:t>
      </w:r>
      <w:r w:rsidRPr="00551215">
        <w:rPr>
          <w:rFonts w:eastAsiaTheme="minorHAnsi"/>
        </w:rPr>
        <w:t xml:space="preserve"> for government services.</w:t>
      </w:r>
      <w:r>
        <w:rPr>
          <w:rFonts w:eastAsiaTheme="minorHAnsi"/>
        </w:rPr>
        <w:t xml:space="preserve"> Further information on this contingency can be found at </w:t>
      </w:r>
      <w:r w:rsidRPr="00B04923">
        <w:rPr>
          <w:rFonts w:eastAsiaTheme="minorHAnsi"/>
        </w:rPr>
        <w:t xml:space="preserve">Note 12(c) of Budget Paper </w:t>
      </w:r>
      <w:r>
        <w:rPr>
          <w:rFonts w:eastAsiaTheme="minorHAnsi"/>
        </w:rPr>
        <w:t>No. </w:t>
      </w:r>
      <w:r w:rsidRPr="00B04923">
        <w:rPr>
          <w:rFonts w:eastAsiaTheme="minorHAnsi"/>
        </w:rPr>
        <w:t xml:space="preserve">5, Chapter 1 </w:t>
      </w:r>
      <w:r w:rsidRPr="002C08B7">
        <w:rPr>
          <w:rFonts w:eastAsiaTheme="minorHAnsi"/>
          <w:i w:val="0"/>
        </w:rPr>
        <w:t>Estimated financial statements for the general government sector</w:t>
      </w:r>
      <w:r w:rsidRPr="00B04923">
        <w:rPr>
          <w:rFonts w:eastAsiaTheme="minorHAnsi"/>
        </w:rPr>
        <w:t>.</w:t>
      </w:r>
    </w:p>
    <w:p w:rsidR="007A09DB" w:rsidRDefault="007A09DB" w:rsidP="00126FE4">
      <w:pPr>
        <w:pStyle w:val="Notes"/>
        <w:rPr>
          <w:rFonts w:eastAsiaTheme="minorHAnsi"/>
        </w:rPr>
      </w:pPr>
    </w:p>
    <w:p w:rsidR="007A09DB" w:rsidRDefault="007A09DB">
      <w:pPr>
        <w:spacing w:after="0"/>
        <w:rPr>
          <w:rFonts w:eastAsiaTheme="minorHAnsi"/>
        </w:rPr>
      </w:pPr>
      <w:r>
        <w:rPr>
          <w:rFonts w:eastAsiaTheme="minorHAnsi"/>
        </w:rPr>
        <w:br w:type="page"/>
      </w:r>
    </w:p>
    <w:p w:rsidR="007A09DB" w:rsidRPr="00551215" w:rsidRDefault="007A09DB" w:rsidP="00DC76C0">
      <w:pPr>
        <w:rPr>
          <w:rFonts w:eastAsiaTheme="minorHAnsi"/>
        </w:rPr>
      </w:pPr>
      <w:r>
        <w:rPr>
          <w:rFonts w:eastAsiaTheme="minorHAnsi"/>
        </w:rPr>
        <w:t>N</w:t>
      </w:r>
      <w:r w:rsidRPr="00551215">
        <w:rPr>
          <w:rFonts w:eastAsiaTheme="minorHAnsi"/>
        </w:rPr>
        <w:t xml:space="preserve">ew output initiatives </w:t>
      </w:r>
      <w:r>
        <w:rPr>
          <w:rFonts w:eastAsiaTheme="minorHAnsi"/>
        </w:rPr>
        <w:t xml:space="preserve">in the </w:t>
      </w:r>
      <w:r w:rsidRPr="00551215">
        <w:rPr>
          <w:rFonts w:eastAsiaTheme="minorHAnsi"/>
          <w:i/>
        </w:rPr>
        <w:t>2016</w:t>
      </w:r>
      <w:r>
        <w:rPr>
          <w:rFonts w:eastAsiaTheme="minorHAnsi"/>
          <w:i/>
        </w:rPr>
        <w:noBreakHyphen/>
      </w:r>
      <w:r w:rsidRPr="00551215">
        <w:rPr>
          <w:rFonts w:eastAsiaTheme="minorHAnsi"/>
          <w:i/>
        </w:rPr>
        <w:t>17 Budget</w:t>
      </w:r>
      <w:r w:rsidRPr="00551215">
        <w:rPr>
          <w:rFonts w:eastAsiaTheme="minorHAnsi"/>
        </w:rPr>
        <w:t xml:space="preserve"> focus </w:t>
      </w:r>
      <w:r>
        <w:rPr>
          <w:rFonts w:eastAsiaTheme="minorHAnsi"/>
        </w:rPr>
        <w:t>on supporting Victoria’s most vulnerable people, boosting employment and improving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Pr>
          <w:rFonts w:eastAsiaTheme="minorHAnsi"/>
        </w:rPr>
        <w:t>. Specifically</w:t>
      </w:r>
      <w:r w:rsidRPr="00551215">
        <w:rPr>
          <w:rFonts w:eastAsiaTheme="minorHAnsi"/>
        </w:rPr>
        <w:t>:</w:t>
      </w:r>
    </w:p>
    <w:p w:rsidR="007A09DB" w:rsidRPr="00866D1F" w:rsidRDefault="007A09DB" w:rsidP="00866D1F">
      <w:pPr>
        <w:pStyle w:val="BulletText"/>
        <w:rPr>
          <w:rFonts w:eastAsiaTheme="minorHAnsi"/>
        </w:rPr>
      </w:pPr>
      <w:r w:rsidRPr="00866D1F">
        <w:rPr>
          <w:rFonts w:eastAsiaTheme="minorHAnsi"/>
        </w:rPr>
        <w:t>it presents a progressive social agenda that invests in key service delivery</w:t>
      </w:r>
      <w:r>
        <w:rPr>
          <w:rFonts w:eastAsiaTheme="minorHAnsi"/>
        </w:rPr>
        <w:fldChar w:fldCharType="begin"/>
      </w:r>
      <w:r>
        <w:instrText xml:space="preserve"> XE "</w:instrText>
      </w:r>
      <w:r w:rsidRPr="003956D9">
        <w:rPr>
          <w:rFonts w:eastAsiaTheme="minorHAnsi"/>
        </w:rPr>
        <w:instrText>Service delivery</w:instrText>
      </w:r>
      <w:r>
        <w:instrText xml:space="preserve">" </w:instrText>
      </w:r>
      <w:r>
        <w:rPr>
          <w:rFonts w:eastAsiaTheme="minorHAnsi"/>
        </w:rPr>
        <w:fldChar w:fldCharType="end"/>
      </w:r>
      <w:r w:rsidRPr="00866D1F">
        <w:rPr>
          <w:rFonts w:eastAsiaTheme="minorHAnsi"/>
        </w:rPr>
        <w:t xml:space="preserve"> across health, disability and community services, and responds to social challenges. This includes $1</w:t>
      </w:r>
      <w:r>
        <w:rPr>
          <w:rFonts w:eastAsiaTheme="minorHAnsi"/>
        </w:rPr>
        <w:t>.0 billion</w:t>
      </w:r>
      <w:r w:rsidRPr="00866D1F">
        <w:rPr>
          <w:rFonts w:eastAsiaTheme="minorHAnsi"/>
        </w:rPr>
        <w:t xml:space="preserve"> to enable health services</w:t>
      </w:r>
      <w:r>
        <w:rPr>
          <w:rFonts w:eastAsiaTheme="minorHAnsi"/>
        </w:rPr>
        <w:fldChar w:fldCharType="begin"/>
      </w:r>
      <w:r>
        <w:instrText xml:space="preserve"> XE "</w:instrText>
      </w:r>
      <w:r w:rsidRPr="00175AF8">
        <w:rPr>
          <w:rFonts w:eastAsiaTheme="minorHAnsi"/>
        </w:rPr>
        <w:instrText>Health:</w:instrText>
      </w:r>
      <w:r w:rsidRPr="00175AF8">
        <w:instrText>Services</w:instrText>
      </w:r>
      <w:r>
        <w:instrText xml:space="preserve">" </w:instrText>
      </w:r>
      <w:r>
        <w:rPr>
          <w:rFonts w:eastAsiaTheme="minorHAnsi"/>
        </w:rPr>
        <w:fldChar w:fldCharType="end"/>
      </w:r>
      <w:r w:rsidRPr="00866D1F">
        <w:rPr>
          <w:rFonts w:eastAsiaTheme="minorHAnsi"/>
        </w:rPr>
        <w:t xml:space="preserve"> to respond to growing patient demand, $335</w:t>
      </w:r>
      <w:r>
        <w:rPr>
          <w:rFonts w:eastAsiaTheme="minorHAnsi"/>
        </w:rPr>
        <w:t> million</w:t>
      </w:r>
      <w:r w:rsidRPr="00866D1F">
        <w:rPr>
          <w:rFonts w:eastAsiaTheme="minorHAnsi"/>
        </w:rPr>
        <w:t xml:space="preserve"> for health services</w:t>
      </w:r>
      <w:r>
        <w:rPr>
          <w:rFonts w:eastAsiaTheme="minorHAnsi"/>
        </w:rPr>
        <w:fldChar w:fldCharType="begin"/>
      </w:r>
      <w:r>
        <w:instrText xml:space="preserve"> XE "</w:instrText>
      </w:r>
      <w:r w:rsidRPr="00175AF8">
        <w:rPr>
          <w:rFonts w:eastAsiaTheme="minorHAnsi"/>
        </w:rPr>
        <w:instrText>Health:</w:instrText>
      </w:r>
      <w:r w:rsidRPr="00175AF8">
        <w:instrText>Services</w:instrText>
      </w:r>
      <w:r>
        <w:instrText xml:space="preserve">" </w:instrText>
      </w:r>
      <w:r>
        <w:rPr>
          <w:rFonts w:eastAsiaTheme="minorHAnsi"/>
        </w:rPr>
        <w:fldChar w:fldCharType="end"/>
      </w:r>
      <w:r w:rsidRPr="00866D1F">
        <w:rPr>
          <w:rFonts w:eastAsiaTheme="minorHAnsi"/>
        </w:rPr>
        <w:t xml:space="preserve"> to invest in elective surgery, $247</w:t>
      </w:r>
      <w:r>
        <w:rPr>
          <w:rFonts w:eastAsiaTheme="minorHAnsi"/>
        </w:rPr>
        <w:t> million</w:t>
      </w:r>
      <w:r w:rsidRPr="00866D1F">
        <w:rPr>
          <w:rFonts w:eastAsiaTheme="minorHAnsi"/>
        </w:rPr>
        <w:t xml:space="preserve"> for a range of mental health initiatives, and $</w:t>
      </w:r>
      <w:r>
        <w:rPr>
          <w:rFonts w:eastAsiaTheme="minorHAnsi"/>
        </w:rPr>
        <w:t>458 million to boost police</w:t>
      </w:r>
      <w:r w:rsidR="0078635B">
        <w:rPr>
          <w:rFonts w:eastAsiaTheme="minorHAnsi"/>
        </w:rPr>
        <w:fldChar w:fldCharType="begin"/>
      </w:r>
      <w:r w:rsidR="0078635B">
        <w:instrText xml:space="preserve"> XE "</w:instrText>
      </w:r>
      <w:r w:rsidR="0078635B" w:rsidRPr="00EE79AF">
        <w:rPr>
          <w:rFonts w:eastAsiaTheme="minorHAnsi"/>
        </w:rPr>
        <w:instrText>Police</w:instrText>
      </w:r>
      <w:r w:rsidR="0078635B">
        <w:instrText xml:space="preserve">" </w:instrText>
      </w:r>
      <w:r w:rsidR="0078635B">
        <w:rPr>
          <w:rFonts w:eastAsiaTheme="minorHAnsi"/>
        </w:rPr>
        <w:fldChar w:fldCharType="end"/>
      </w:r>
      <w:r>
        <w:rPr>
          <w:rFonts w:eastAsiaTheme="minorHAnsi"/>
        </w:rPr>
        <w:t xml:space="preserve"> capacity</w:t>
      </w:r>
      <w:r w:rsidRPr="00866D1F">
        <w:rPr>
          <w:rFonts w:eastAsiaTheme="minorHAnsi"/>
        </w:rPr>
        <w:t>;</w:t>
      </w:r>
    </w:p>
    <w:p w:rsidR="007A09DB" w:rsidRPr="00551215" w:rsidRDefault="007A09DB" w:rsidP="00DC76C0">
      <w:pPr>
        <w:pStyle w:val="BulletText"/>
        <w:rPr>
          <w:rFonts w:eastAsiaTheme="minorHAnsi"/>
        </w:rPr>
      </w:pPr>
      <w:r w:rsidRPr="001E0B7C">
        <w:rPr>
          <w:rFonts w:eastAsiaTheme="minorHAnsi"/>
        </w:rPr>
        <w:t>deliver</w:t>
      </w:r>
      <w:r>
        <w:rPr>
          <w:rFonts w:eastAsiaTheme="minorHAnsi"/>
        </w:rPr>
        <w:t>s</w:t>
      </w:r>
      <w:r w:rsidRPr="001E0B7C">
        <w:rPr>
          <w:rFonts w:eastAsiaTheme="minorHAnsi"/>
        </w:rPr>
        <w:t xml:space="preserve"> a</w:t>
      </w:r>
      <w:r>
        <w:rPr>
          <w:rFonts w:eastAsiaTheme="minorHAnsi"/>
        </w:rPr>
        <w:t>n immediate</w:t>
      </w:r>
      <w:r w:rsidRPr="001E0B7C">
        <w:rPr>
          <w:rFonts w:eastAsiaTheme="minorHAnsi"/>
        </w:rPr>
        <w:t xml:space="preserve"> family violence</w:t>
      </w:r>
      <w:r w:rsidR="0078635B">
        <w:rPr>
          <w:rFonts w:eastAsiaTheme="minorHAnsi"/>
        </w:rPr>
        <w:fldChar w:fldCharType="begin"/>
      </w:r>
      <w:r w:rsidR="0078635B">
        <w:instrText xml:space="preserve"> XE "</w:instrText>
      </w:r>
      <w:r w:rsidR="0078635B" w:rsidRPr="00B117AA">
        <w:rPr>
          <w:rFonts w:eastAsiaTheme="minorHAnsi"/>
        </w:rPr>
        <w:instrText>Family Violence</w:instrText>
      </w:r>
      <w:r w:rsidR="0078635B">
        <w:instrText xml:space="preserve">" </w:instrText>
      </w:r>
      <w:r w:rsidR="0078635B">
        <w:rPr>
          <w:rFonts w:eastAsiaTheme="minorHAnsi"/>
        </w:rPr>
        <w:fldChar w:fldCharType="end"/>
      </w:r>
      <w:r w:rsidRPr="001E0B7C">
        <w:rPr>
          <w:rFonts w:eastAsiaTheme="minorHAnsi"/>
        </w:rPr>
        <w:t xml:space="preserve"> package in response to the Royal Commiss</w:t>
      </w:r>
      <w:r>
        <w:rPr>
          <w:rFonts w:eastAsiaTheme="minorHAnsi"/>
        </w:rPr>
        <w:t>ion into Family Violence</w:t>
      </w:r>
      <w:r>
        <w:rPr>
          <w:rFonts w:eastAsiaTheme="minorHAnsi"/>
        </w:rPr>
        <w:fldChar w:fldCharType="begin"/>
      </w:r>
      <w:r>
        <w:instrText xml:space="preserve"> XE "</w:instrText>
      </w:r>
      <w:r w:rsidRPr="00B117AA">
        <w:rPr>
          <w:rFonts w:eastAsiaTheme="minorHAnsi"/>
        </w:rPr>
        <w:instrText>Family Violence:</w:instrText>
      </w:r>
      <w:r w:rsidRPr="00B117AA">
        <w:instrText>Royal Commission</w:instrText>
      </w:r>
      <w:r>
        <w:instrText xml:space="preserve">" </w:instrText>
      </w:r>
      <w:r>
        <w:rPr>
          <w:rFonts w:eastAsiaTheme="minorHAnsi"/>
        </w:rPr>
        <w:fldChar w:fldCharType="end"/>
      </w:r>
      <w:r>
        <w:rPr>
          <w:rFonts w:eastAsiaTheme="minorHAnsi"/>
        </w:rPr>
        <w:t xml:space="preserve"> report of $572 million</w:t>
      </w:r>
      <w:r w:rsidRPr="001E0B7C">
        <w:rPr>
          <w:rFonts w:eastAsiaTheme="minorHAnsi"/>
        </w:rPr>
        <w:t>. The report made 227 recommendations to transform the way in which we address family violence</w:t>
      </w:r>
      <w:r>
        <w:rPr>
          <w:rFonts w:eastAsiaTheme="minorHAnsi"/>
        </w:rPr>
        <w:t xml:space="preserve"> and the Government is committed to implementing all of these</w:t>
      </w:r>
      <w:r w:rsidRPr="00551215">
        <w:rPr>
          <w:rFonts w:eastAsiaTheme="minorHAnsi"/>
        </w:rPr>
        <w:t>; and</w:t>
      </w:r>
    </w:p>
    <w:p w:rsidR="007A09DB" w:rsidRDefault="007A09DB" w:rsidP="000D686C">
      <w:pPr>
        <w:pStyle w:val="BulletText"/>
        <w:rPr>
          <w:rFonts w:eastAsiaTheme="minorHAnsi"/>
        </w:rPr>
      </w:pPr>
      <w:r w:rsidRPr="00551215">
        <w:rPr>
          <w:rFonts w:eastAsiaTheme="minorHAnsi"/>
        </w:rPr>
        <w:t>build</w:t>
      </w:r>
      <w:r>
        <w:rPr>
          <w:rFonts w:eastAsiaTheme="minorHAnsi"/>
        </w:rPr>
        <w:t>s</w:t>
      </w:r>
      <w:r w:rsidRPr="00551215">
        <w:rPr>
          <w:rFonts w:eastAsiaTheme="minorHAnsi"/>
        </w:rPr>
        <w:t xml:space="preserve"> on the strong increase in Victorian employment through </w:t>
      </w:r>
      <w:r>
        <w:rPr>
          <w:rFonts w:eastAsiaTheme="minorHAnsi"/>
        </w:rPr>
        <w:t>initiatives</w:t>
      </w:r>
      <w:r w:rsidRPr="00551215">
        <w:rPr>
          <w:rFonts w:eastAsiaTheme="minorHAnsi"/>
        </w:rPr>
        <w:t xml:space="preserve"> </w:t>
      </w:r>
      <w:r>
        <w:rPr>
          <w:rFonts w:eastAsiaTheme="minorHAnsi"/>
        </w:rPr>
        <w:t>designed to</w:t>
      </w:r>
      <w:r w:rsidRPr="00551215">
        <w:rPr>
          <w:rFonts w:eastAsiaTheme="minorHAnsi"/>
        </w:rPr>
        <w:t xml:space="preserve"> boost trade and investment,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sidRPr="00551215">
        <w:rPr>
          <w:rFonts w:eastAsiaTheme="minorHAnsi"/>
        </w:rPr>
        <w:t xml:space="preserve"> and Victoria</w:t>
      </w:r>
      <w:r>
        <w:rPr>
          <w:rFonts w:eastAsiaTheme="minorHAnsi"/>
        </w:rPr>
        <w:t>’</w:t>
      </w:r>
      <w:r w:rsidRPr="00551215">
        <w:rPr>
          <w:rFonts w:eastAsiaTheme="minorHAnsi"/>
        </w:rPr>
        <w:t>s visitor economy. Th</w:t>
      </w:r>
      <w:r>
        <w:rPr>
          <w:rFonts w:eastAsiaTheme="minorHAnsi"/>
        </w:rPr>
        <w:t>is includes</w:t>
      </w:r>
      <w:r w:rsidRPr="00551215">
        <w:rPr>
          <w:rFonts w:eastAsiaTheme="minorHAnsi"/>
        </w:rPr>
        <w:t xml:space="preserve"> $</w:t>
      </w:r>
      <w:r>
        <w:rPr>
          <w:rFonts w:eastAsiaTheme="minorHAnsi"/>
        </w:rPr>
        <w:t>53 million</w:t>
      </w:r>
      <w:r w:rsidRPr="00551215">
        <w:rPr>
          <w:rFonts w:eastAsiaTheme="minorHAnsi"/>
        </w:rPr>
        <w:t xml:space="preserve"> for the establishment </w:t>
      </w:r>
      <w:r>
        <w:rPr>
          <w:rFonts w:eastAsiaTheme="minorHAnsi"/>
        </w:rPr>
        <w:t xml:space="preserve">of </w:t>
      </w:r>
      <w:r w:rsidRPr="00551215">
        <w:rPr>
          <w:rFonts w:eastAsiaTheme="minorHAnsi"/>
        </w:rPr>
        <w:t>Jobs Victoria</w:t>
      </w:r>
      <w:r>
        <w:rPr>
          <w:rFonts w:eastAsiaTheme="minorHAnsi"/>
        </w:rPr>
        <w:fldChar w:fldCharType="begin"/>
      </w:r>
      <w:r>
        <w:instrText xml:space="preserve"> XE "</w:instrText>
      </w:r>
      <w:r w:rsidRPr="008F63EA">
        <w:instrText>Jobs:Jobs Victoria</w:instrText>
      </w:r>
      <w:r>
        <w:instrText xml:space="preserve">" </w:instrText>
      </w:r>
      <w:r>
        <w:rPr>
          <w:rFonts w:eastAsiaTheme="minorHAnsi"/>
        </w:rPr>
        <w:fldChar w:fldCharType="end"/>
      </w:r>
      <w:r w:rsidRPr="00551215">
        <w:rPr>
          <w:rFonts w:eastAsiaTheme="minorHAnsi"/>
        </w:rPr>
        <w:t xml:space="preserve"> </w:t>
      </w:r>
      <w:r>
        <w:rPr>
          <w:rFonts w:eastAsiaTheme="minorHAnsi"/>
        </w:rPr>
        <w:t>to</w:t>
      </w:r>
      <w:r w:rsidRPr="00551215">
        <w:rPr>
          <w:rFonts w:eastAsiaTheme="minorHAnsi"/>
        </w:rPr>
        <w:t xml:space="preserve"> </w:t>
      </w:r>
      <w:r w:rsidRPr="000D686C">
        <w:rPr>
          <w:rFonts w:eastAsiaTheme="minorHAnsi"/>
        </w:rPr>
        <w:t>provide employment outcomes and work experience to Victoria</w:t>
      </w:r>
      <w:r>
        <w:rPr>
          <w:rFonts w:eastAsiaTheme="minorHAnsi"/>
        </w:rPr>
        <w:t>’</w:t>
      </w:r>
      <w:r w:rsidRPr="000D686C">
        <w:rPr>
          <w:rFonts w:eastAsiaTheme="minorHAnsi"/>
        </w:rPr>
        <w:t>s most disadvantaged and marginalised job seekers</w:t>
      </w:r>
      <w:r w:rsidRPr="00551215">
        <w:rPr>
          <w:rFonts w:eastAsiaTheme="minorHAnsi"/>
        </w:rPr>
        <w:t>.</w:t>
      </w:r>
    </w:p>
    <w:p w:rsidR="007A09DB" w:rsidRPr="00551215" w:rsidRDefault="007A09DB" w:rsidP="00551215">
      <w:pPr>
        <w:pStyle w:val="Heading3"/>
        <w:rPr>
          <w:rFonts w:eastAsiaTheme="minorHAnsi"/>
        </w:rPr>
      </w:pPr>
      <w:r w:rsidRPr="00551215">
        <w:rPr>
          <w:rFonts w:eastAsiaTheme="minorHAnsi"/>
        </w:rPr>
        <w:t>Economic and demographic variations</w:t>
      </w:r>
    </w:p>
    <w:p w:rsidR="007A09DB" w:rsidRPr="00551215" w:rsidRDefault="007A09DB" w:rsidP="00551215">
      <w:pPr>
        <w:rPr>
          <w:rFonts w:eastAsiaTheme="minorHAnsi"/>
        </w:rPr>
      </w:pPr>
      <w:r w:rsidRPr="00551215">
        <w:rPr>
          <w:rFonts w:eastAsiaTheme="minorHAnsi"/>
        </w:rPr>
        <w:t xml:space="preserve">Since the </w:t>
      </w:r>
      <w:r w:rsidRPr="00551215">
        <w:rPr>
          <w:rFonts w:eastAsiaTheme="minorHAnsi"/>
          <w:i/>
        </w:rPr>
        <w:t>2015</w:t>
      </w:r>
      <w:r>
        <w:rPr>
          <w:rFonts w:eastAsiaTheme="minorHAnsi"/>
          <w:i/>
        </w:rPr>
        <w:noBreakHyphen/>
      </w:r>
      <w:r w:rsidRPr="00551215">
        <w:rPr>
          <w:rFonts w:eastAsiaTheme="minorHAnsi"/>
          <w:i/>
        </w:rPr>
        <w:t>16 Budget Update</w:t>
      </w:r>
      <w:r w:rsidRPr="00551215">
        <w:rPr>
          <w:rFonts w:eastAsiaTheme="minorHAnsi"/>
        </w:rPr>
        <w:t>, 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551215">
        <w:rPr>
          <w:rFonts w:eastAsiaTheme="minorHAnsi"/>
        </w:rPr>
        <w:t>, land tax</w:t>
      </w:r>
      <w:r>
        <w:fldChar w:fldCharType="begin"/>
      </w:r>
      <w:r>
        <w:instrText xml:space="preserve"> XE "Taxation:Land tax" </w:instrText>
      </w:r>
      <w:r>
        <w:fldChar w:fldCharType="end"/>
      </w:r>
      <w:r w:rsidRPr="00551215">
        <w:rPr>
          <w:rFonts w:eastAsiaTheme="minorHAnsi"/>
        </w:rPr>
        <w:t xml:space="preserve"> and </w:t>
      </w:r>
      <w:r>
        <w:rPr>
          <w:rFonts w:eastAsiaTheme="minorHAnsi"/>
        </w:rPr>
        <w:t>investment income</w:t>
      </w:r>
      <w:r w:rsidRPr="00551215">
        <w:rPr>
          <w:rFonts w:eastAsiaTheme="minorHAnsi"/>
        </w:rPr>
        <w:t xml:space="preserve"> have been the key drivers in expected econo</w:t>
      </w:r>
      <w:r>
        <w:rPr>
          <w:rFonts w:eastAsiaTheme="minorHAnsi"/>
        </w:rPr>
        <w:t>mic and demographic variations:</w:t>
      </w:r>
    </w:p>
    <w:p w:rsidR="007A09DB" w:rsidRPr="00551215" w:rsidRDefault="007A09DB" w:rsidP="00551215">
      <w:pPr>
        <w:pStyle w:val="BulletText"/>
        <w:rPr>
          <w:rFonts w:eastAsiaTheme="minorHAnsi"/>
        </w:rPr>
      </w:pPr>
      <w:r w:rsidRPr="00551215">
        <w:rPr>
          <w:rFonts w:eastAsiaTheme="minorHAnsi"/>
        </w:rPr>
        <w:t>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551215">
        <w:rPr>
          <w:rFonts w:eastAsiaTheme="minorHAnsi"/>
        </w:rPr>
        <w:t xml:space="preserve"> revenue is expected to be around $</w:t>
      </w:r>
      <w:r>
        <w:rPr>
          <w:rFonts w:eastAsiaTheme="minorHAnsi"/>
        </w:rPr>
        <w:t>463 million</w:t>
      </w:r>
      <w:r w:rsidRPr="00551215">
        <w:rPr>
          <w:rFonts w:eastAsiaTheme="minorHAnsi"/>
        </w:rPr>
        <w:t xml:space="preserve"> </w:t>
      </w:r>
      <w:r>
        <w:rPr>
          <w:rFonts w:eastAsiaTheme="minorHAnsi"/>
        </w:rPr>
        <w:t>a year</w:t>
      </w:r>
      <w:r w:rsidRPr="00D11F27">
        <w:rPr>
          <w:rFonts w:eastAsiaTheme="minorHAnsi"/>
        </w:rPr>
        <w:t xml:space="preserve"> </w:t>
      </w:r>
      <w:r w:rsidRPr="00551215">
        <w:rPr>
          <w:rFonts w:eastAsiaTheme="minorHAnsi"/>
        </w:rPr>
        <w:t>higher</w:t>
      </w:r>
      <w:r>
        <w:rPr>
          <w:rFonts w:eastAsiaTheme="minorHAnsi"/>
        </w:rPr>
        <w:t xml:space="preserve"> on average </w:t>
      </w:r>
      <w:r w:rsidRPr="00551215">
        <w:rPr>
          <w:rFonts w:eastAsiaTheme="minorHAnsi"/>
        </w:rPr>
        <w:t xml:space="preserve">across the forward estimates compared with the </w:t>
      </w:r>
      <w:r w:rsidRPr="00551215">
        <w:rPr>
          <w:rFonts w:eastAsiaTheme="minorHAnsi"/>
          <w:i/>
        </w:rPr>
        <w:t>2015</w:t>
      </w:r>
      <w:r>
        <w:rPr>
          <w:rFonts w:eastAsiaTheme="minorHAnsi"/>
          <w:i/>
        </w:rPr>
        <w:noBreakHyphen/>
      </w:r>
      <w:r w:rsidRPr="00551215">
        <w:rPr>
          <w:rFonts w:eastAsiaTheme="minorHAnsi"/>
          <w:i/>
        </w:rPr>
        <w:t>16 Budget Update</w:t>
      </w:r>
      <w:r w:rsidRPr="00551215">
        <w:rPr>
          <w:rFonts w:eastAsiaTheme="minorHAnsi"/>
        </w:rPr>
        <w:t xml:space="preserve">. Over the past </w:t>
      </w:r>
      <w:r>
        <w:rPr>
          <w:rFonts w:eastAsiaTheme="minorHAnsi"/>
        </w:rPr>
        <w:t>few</w:t>
      </w:r>
      <w:r w:rsidRPr="00551215">
        <w:rPr>
          <w:rFonts w:eastAsiaTheme="minorHAnsi"/>
        </w:rPr>
        <w:t xml:space="preserve"> years, the property market has been on a strong upward trajectory driven by historically low interest rates and strong demand in both the residential and commercial markets. Land transfer duty is expected to contract by </w:t>
      </w:r>
      <w:r>
        <w:rPr>
          <w:rFonts w:eastAsiaTheme="minorHAnsi"/>
        </w:rPr>
        <w:t>6.4 per cent</w:t>
      </w:r>
      <w:r w:rsidRPr="00551215">
        <w:rPr>
          <w:rFonts w:eastAsiaTheme="minorHAnsi"/>
        </w:rPr>
        <w:t xml:space="preserve"> in the budget year </w:t>
      </w:r>
      <w:r>
        <w:rPr>
          <w:rFonts w:eastAsiaTheme="minorHAnsi"/>
        </w:rPr>
        <w:t>and revert to trend over the forward estimates</w:t>
      </w:r>
      <w:r w:rsidRPr="00551215">
        <w:rPr>
          <w:rFonts w:eastAsiaTheme="minorHAnsi"/>
        </w:rPr>
        <w:t>;</w:t>
      </w:r>
    </w:p>
    <w:p w:rsidR="007A09DB" w:rsidRPr="00551215" w:rsidRDefault="007A09DB" w:rsidP="00551215">
      <w:pPr>
        <w:pStyle w:val="BulletText"/>
        <w:rPr>
          <w:rFonts w:eastAsiaTheme="minorHAnsi"/>
        </w:rPr>
      </w:pPr>
      <w:r w:rsidRPr="00551215">
        <w:rPr>
          <w:rFonts w:eastAsiaTheme="minorHAnsi"/>
        </w:rPr>
        <w:t>land tax revenue is forecast to be $</w:t>
      </w:r>
      <w:r>
        <w:rPr>
          <w:rFonts w:eastAsiaTheme="minorHAnsi"/>
        </w:rPr>
        <w:t>186 million</w:t>
      </w:r>
      <w:r w:rsidRPr="00551215">
        <w:rPr>
          <w:rFonts w:eastAsiaTheme="minorHAnsi"/>
        </w:rPr>
        <w:t xml:space="preserve"> </w:t>
      </w:r>
      <w:r>
        <w:rPr>
          <w:rFonts w:eastAsiaTheme="minorHAnsi"/>
        </w:rPr>
        <w:t>a year</w:t>
      </w:r>
      <w:r w:rsidRPr="00D11F27">
        <w:rPr>
          <w:rFonts w:eastAsiaTheme="minorHAnsi"/>
        </w:rPr>
        <w:t xml:space="preserve"> </w:t>
      </w:r>
      <w:r w:rsidRPr="00551215">
        <w:rPr>
          <w:rFonts w:eastAsiaTheme="minorHAnsi"/>
        </w:rPr>
        <w:t>higher</w:t>
      </w:r>
      <w:r>
        <w:rPr>
          <w:rFonts w:eastAsiaTheme="minorHAnsi"/>
        </w:rPr>
        <w:t xml:space="preserve">, on average, </w:t>
      </w:r>
      <w:r w:rsidRPr="00551215">
        <w:rPr>
          <w:rFonts w:eastAsiaTheme="minorHAnsi"/>
        </w:rPr>
        <w:t xml:space="preserve">across the forward estimates compared with the </w:t>
      </w:r>
      <w:r w:rsidRPr="00551215">
        <w:rPr>
          <w:rFonts w:eastAsiaTheme="minorHAnsi"/>
          <w:i/>
        </w:rPr>
        <w:t>2015</w:t>
      </w:r>
      <w:r>
        <w:rPr>
          <w:rFonts w:eastAsiaTheme="minorHAnsi"/>
          <w:i/>
        </w:rPr>
        <w:noBreakHyphen/>
      </w:r>
      <w:r w:rsidRPr="00551215">
        <w:rPr>
          <w:rFonts w:eastAsiaTheme="minorHAnsi"/>
          <w:i/>
        </w:rPr>
        <w:t>16 Budget Update</w:t>
      </w:r>
      <w:r w:rsidRPr="00551215">
        <w:rPr>
          <w:rFonts w:eastAsiaTheme="minorHAnsi"/>
        </w:rPr>
        <w:t>. This is mainly a reflection of a stronger than expected land revaluation outcome in 2016;</w:t>
      </w:r>
    </w:p>
    <w:p w:rsidR="007A09DB" w:rsidRDefault="007A09DB" w:rsidP="00551215">
      <w:pPr>
        <w:pStyle w:val="BulletText"/>
        <w:rPr>
          <w:rFonts w:eastAsiaTheme="minorHAnsi"/>
        </w:rPr>
      </w:pPr>
      <w:r w:rsidRPr="00551215">
        <w:rPr>
          <w:rFonts w:eastAsiaTheme="minorHAnsi"/>
        </w:rPr>
        <w:t>partly offsetting upgrades to 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551215">
        <w:rPr>
          <w:rFonts w:eastAsiaTheme="minorHAnsi"/>
        </w:rPr>
        <w:t xml:space="preserve"> and land tax revenue, 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rsidRPr="00551215">
        <w:rPr>
          <w:rFonts w:eastAsiaTheme="minorHAnsi"/>
        </w:rPr>
        <w:t xml:space="preserve"> is expected to be $</w:t>
      </w:r>
      <w:r>
        <w:rPr>
          <w:rFonts w:eastAsiaTheme="minorHAnsi"/>
        </w:rPr>
        <w:t>75 million</w:t>
      </w:r>
      <w:r w:rsidRPr="00551215">
        <w:rPr>
          <w:rFonts w:eastAsiaTheme="minorHAnsi"/>
        </w:rPr>
        <w:t xml:space="preserve"> lower</w:t>
      </w:r>
      <w:r>
        <w:rPr>
          <w:rFonts w:eastAsiaTheme="minorHAnsi"/>
        </w:rPr>
        <w:t>,</w:t>
      </w:r>
      <w:r w:rsidRPr="00551215">
        <w:rPr>
          <w:rFonts w:eastAsiaTheme="minorHAnsi"/>
        </w:rPr>
        <w:t xml:space="preserve"> </w:t>
      </w:r>
      <w:r>
        <w:rPr>
          <w:rFonts w:eastAsiaTheme="minorHAnsi"/>
        </w:rPr>
        <w:t>on average,</w:t>
      </w:r>
      <w:r w:rsidRPr="00551215">
        <w:rPr>
          <w:rFonts w:eastAsiaTheme="minorHAnsi"/>
        </w:rPr>
        <w:t xml:space="preserve"> across the forward estimates compared with the </w:t>
      </w:r>
      <w:r w:rsidRPr="00551215">
        <w:rPr>
          <w:rFonts w:eastAsiaTheme="minorHAnsi"/>
          <w:i/>
        </w:rPr>
        <w:t>2015</w:t>
      </w:r>
      <w:r>
        <w:rPr>
          <w:rFonts w:eastAsiaTheme="minorHAnsi"/>
          <w:i/>
        </w:rPr>
        <w:noBreakHyphen/>
      </w:r>
      <w:r w:rsidRPr="00551215">
        <w:rPr>
          <w:rFonts w:eastAsiaTheme="minorHAnsi"/>
          <w:i/>
        </w:rPr>
        <w:t>16 Budget Update</w:t>
      </w:r>
      <w:r w:rsidRPr="00551215">
        <w:rPr>
          <w:rFonts w:eastAsiaTheme="minorHAnsi"/>
        </w:rPr>
        <w:t>. While aggregate hours worked</w:t>
      </w:r>
      <w:r>
        <w:rPr>
          <w:rFonts w:eastAsiaTheme="minorHAnsi"/>
        </w:rPr>
        <w:fldChar w:fldCharType="begin"/>
      </w:r>
      <w:r>
        <w:instrText xml:space="preserve"> XE "</w:instrText>
      </w:r>
      <w:r w:rsidRPr="00E67DB0">
        <w:rPr>
          <w:rFonts w:eastAsiaTheme="minorHAnsi"/>
        </w:rPr>
        <w:instrText>Hours worked</w:instrText>
      </w:r>
      <w:r>
        <w:instrText xml:space="preserve">" </w:instrText>
      </w:r>
      <w:r>
        <w:rPr>
          <w:rFonts w:eastAsiaTheme="minorHAnsi"/>
        </w:rPr>
        <w:fldChar w:fldCharType="end"/>
      </w:r>
      <w:r>
        <w:rPr>
          <w:rFonts w:eastAsiaTheme="minorHAnsi"/>
        </w:rPr>
        <w:t xml:space="preserve"> have improved over the past 18 </w:t>
      </w:r>
      <w:r w:rsidRPr="00551215">
        <w:rPr>
          <w:rFonts w:eastAsiaTheme="minorHAnsi"/>
        </w:rPr>
        <w:t>months and full</w:t>
      </w:r>
      <w:r>
        <w:rPr>
          <w:rFonts w:eastAsiaTheme="minorHAnsi"/>
        </w:rPr>
        <w:noBreakHyphen/>
      </w:r>
      <w:r w:rsidRPr="00551215">
        <w:rPr>
          <w:rFonts w:eastAsiaTheme="minorHAnsi"/>
        </w:rPr>
        <w:t xml:space="preserve">time employment has recently picked up, spare capacity in the labour market remains elevated. This has contributed to the recent weakness in the pace of wages growth which is forecast to improve more gradually than in the </w:t>
      </w:r>
      <w:r>
        <w:rPr>
          <w:rFonts w:eastAsiaTheme="minorHAnsi"/>
          <w:i/>
        </w:rPr>
        <w:t>2015</w:t>
      </w:r>
      <w:r>
        <w:rPr>
          <w:rFonts w:eastAsiaTheme="minorHAnsi"/>
          <w:i/>
        </w:rPr>
        <w:noBreakHyphen/>
        <w:t>16 Budget </w:t>
      </w:r>
      <w:r w:rsidRPr="00551215">
        <w:rPr>
          <w:rFonts w:eastAsiaTheme="minorHAnsi"/>
          <w:i/>
        </w:rPr>
        <w:t>Update</w:t>
      </w:r>
      <w:r w:rsidRPr="00551215">
        <w:rPr>
          <w:rFonts w:eastAsiaTheme="minorHAnsi"/>
        </w:rPr>
        <w:t>. The softer outlook for wages growth outweighs the improvements to aggregate hours worked</w:t>
      </w:r>
      <w:r>
        <w:rPr>
          <w:rFonts w:eastAsiaTheme="minorHAnsi"/>
        </w:rPr>
        <w:fldChar w:fldCharType="begin"/>
      </w:r>
      <w:r>
        <w:instrText xml:space="preserve"> XE "</w:instrText>
      </w:r>
      <w:r w:rsidRPr="00E67DB0">
        <w:rPr>
          <w:rFonts w:eastAsiaTheme="minorHAnsi"/>
        </w:rPr>
        <w:instrText>Hours worked</w:instrText>
      </w:r>
      <w:r>
        <w:instrText xml:space="preserve">" </w:instrText>
      </w:r>
      <w:r>
        <w:rPr>
          <w:rFonts w:eastAsiaTheme="minorHAnsi"/>
        </w:rPr>
        <w:fldChar w:fldCharType="end"/>
      </w:r>
      <w:r w:rsidRPr="00551215">
        <w:rPr>
          <w:rFonts w:eastAsiaTheme="minorHAnsi"/>
        </w:rPr>
        <w:t xml:space="preserve"> and stronger near</w:t>
      </w:r>
      <w:r>
        <w:rPr>
          <w:rFonts w:eastAsiaTheme="minorHAnsi"/>
        </w:rPr>
        <w:noBreakHyphen/>
      </w:r>
      <w:r w:rsidRPr="00551215">
        <w:rPr>
          <w:rFonts w:eastAsiaTheme="minorHAnsi"/>
        </w:rPr>
        <w:t>term employment growth</w:t>
      </w:r>
      <w:r>
        <w:rPr>
          <w:rFonts w:eastAsiaTheme="minorHAnsi"/>
        </w:rPr>
        <w:fldChar w:fldCharType="begin"/>
      </w:r>
      <w:r>
        <w:instrText xml:space="preserve"> XE "Labour market:</w:instrText>
      </w:r>
      <w:r w:rsidRPr="004C7B61">
        <w:rPr>
          <w:rFonts w:eastAsiaTheme="minorHAnsi"/>
        </w:rPr>
        <w:instrText>Employment</w:instrText>
      </w:r>
      <w:r>
        <w:rPr>
          <w:rFonts w:eastAsiaTheme="minorHAnsi"/>
        </w:rPr>
        <w:instrText xml:space="preserve"> g</w:instrText>
      </w:r>
      <w:r w:rsidRPr="004C7B61">
        <w:instrText>rowth</w:instrText>
      </w:r>
      <w:r>
        <w:instrText xml:space="preserve">" </w:instrText>
      </w:r>
      <w:r>
        <w:rPr>
          <w:rFonts w:eastAsiaTheme="minorHAnsi"/>
        </w:rPr>
        <w:fldChar w:fldCharType="end"/>
      </w:r>
      <w:r>
        <w:rPr>
          <w:rFonts w:eastAsiaTheme="minorHAnsi"/>
        </w:rPr>
        <w:fldChar w:fldCharType="begin"/>
      </w:r>
      <w:r>
        <w:instrText xml:space="preserve"> XE "</w:instrText>
      </w:r>
      <w:r w:rsidRPr="004C7B61">
        <w:rPr>
          <w:rFonts w:eastAsiaTheme="minorHAnsi"/>
        </w:rPr>
        <w:instrText>Employment:</w:instrText>
      </w:r>
      <w:r w:rsidRPr="004C7B61">
        <w:instrText>Growth</w:instrText>
      </w:r>
      <w:r>
        <w:instrText xml:space="preserve">" </w:instrText>
      </w:r>
      <w:r>
        <w:rPr>
          <w:rFonts w:eastAsiaTheme="minorHAnsi"/>
        </w:rPr>
        <w:fldChar w:fldCharType="end"/>
      </w:r>
      <w:r w:rsidRPr="00551215">
        <w:rPr>
          <w:rFonts w:eastAsiaTheme="minorHAnsi"/>
        </w:rPr>
        <w:t xml:space="preserve"> resulting in the downgrade to payroll tax across the forward estimates; and</w:t>
      </w:r>
    </w:p>
    <w:p w:rsidR="007A09DB" w:rsidRPr="000824F8" w:rsidRDefault="007A09DB" w:rsidP="000824F8">
      <w:pPr>
        <w:pStyle w:val="BulletText"/>
        <w:spacing w:after="0"/>
        <w:rPr>
          <w:rFonts w:eastAsiaTheme="minorHAnsi"/>
        </w:rPr>
      </w:pPr>
      <w:r w:rsidRPr="000824F8">
        <w:rPr>
          <w:rFonts w:eastAsiaTheme="minorHAnsi"/>
        </w:rPr>
        <w:t>total investment income is forecast to be $243</w:t>
      </w:r>
      <w:r>
        <w:rPr>
          <w:rFonts w:eastAsiaTheme="minorHAnsi"/>
        </w:rPr>
        <w:t> million</w:t>
      </w:r>
      <w:r w:rsidRPr="000824F8">
        <w:rPr>
          <w:rFonts w:eastAsiaTheme="minorHAnsi"/>
        </w:rPr>
        <w:t xml:space="preserve"> a year higher, on average, across 2016</w:t>
      </w:r>
      <w:r>
        <w:rPr>
          <w:rFonts w:eastAsiaTheme="minorHAnsi"/>
        </w:rPr>
        <w:noBreakHyphen/>
      </w:r>
      <w:r w:rsidRPr="000824F8">
        <w:rPr>
          <w:rFonts w:eastAsiaTheme="minorHAnsi"/>
        </w:rPr>
        <w:t>17 and 2017</w:t>
      </w:r>
      <w:r>
        <w:rPr>
          <w:rFonts w:eastAsiaTheme="minorHAnsi"/>
        </w:rPr>
        <w:noBreakHyphen/>
      </w:r>
      <w:r w:rsidRPr="000824F8">
        <w:rPr>
          <w:rFonts w:eastAsiaTheme="minorHAnsi"/>
        </w:rPr>
        <w:t xml:space="preserve">18 compared with the </w:t>
      </w:r>
      <w:r w:rsidRPr="000824F8">
        <w:rPr>
          <w:rFonts w:eastAsiaTheme="minorHAnsi"/>
          <w:i/>
        </w:rPr>
        <w:t>2015</w:t>
      </w:r>
      <w:r>
        <w:rPr>
          <w:rFonts w:eastAsiaTheme="minorHAnsi"/>
          <w:i/>
        </w:rPr>
        <w:noBreakHyphen/>
      </w:r>
      <w:r w:rsidRPr="000824F8">
        <w:rPr>
          <w:rFonts w:eastAsiaTheme="minorHAnsi"/>
          <w:i/>
        </w:rPr>
        <w:t xml:space="preserve">16 Budget Update. </w:t>
      </w:r>
      <w:r w:rsidRPr="000824F8">
        <w:rPr>
          <w:rFonts w:eastAsiaTheme="minorHAnsi"/>
        </w:rPr>
        <w:t>This is primarily due to rephasing dividends from the PFC sector.</w:t>
      </w:r>
    </w:p>
    <w:p w:rsidR="007A09DB" w:rsidRPr="00551215" w:rsidRDefault="007A09DB" w:rsidP="00551215">
      <w:pPr>
        <w:pStyle w:val="Heading3"/>
        <w:rPr>
          <w:rFonts w:eastAsiaTheme="minorHAnsi"/>
        </w:rPr>
      </w:pPr>
      <w:r w:rsidRPr="00551215">
        <w:rPr>
          <w:rFonts w:eastAsiaTheme="minorHAnsi"/>
        </w:rPr>
        <w:t>Commonwealth grants</w:t>
      </w:r>
      <w:r>
        <w:rPr>
          <w:rFonts w:eastAsiaTheme="minorHAnsi"/>
        </w:rPr>
        <w:fldChar w:fldCharType="begin"/>
      </w:r>
      <w:r>
        <w:instrText xml:space="preserve"> XE "</w:instrText>
      </w:r>
      <w:r w:rsidRPr="0073325C">
        <w:rPr>
          <w:rFonts w:eastAsiaTheme="minorHAnsi"/>
        </w:rPr>
        <w:instrText>Grants:</w:instrText>
      </w:r>
      <w:r w:rsidRPr="0073325C">
        <w:instrText>Commonwealth</w:instrText>
      </w:r>
      <w:r>
        <w:instrText xml:space="preserve">" </w:instrText>
      </w:r>
      <w:r>
        <w:rPr>
          <w:rFonts w:eastAsiaTheme="minorHAnsi"/>
        </w:rPr>
        <w:fldChar w:fldCharType="end"/>
      </w:r>
      <w:r w:rsidRPr="00551215">
        <w:rPr>
          <w:rFonts w:eastAsiaTheme="minorHAnsi"/>
        </w:rPr>
        <w:t xml:space="preserve"> variations</w:t>
      </w:r>
    </w:p>
    <w:p w:rsidR="007A09DB" w:rsidRPr="003B1D03" w:rsidRDefault="007A09DB" w:rsidP="00551215">
      <w:pPr>
        <w:rPr>
          <w:rFonts w:eastAsiaTheme="minorHAnsi"/>
        </w:rPr>
      </w:pPr>
      <w:r w:rsidRPr="003B1D03">
        <w:rPr>
          <w:rFonts w:eastAsiaTheme="minorHAnsi"/>
        </w:rPr>
        <w:t>Commonwealth general purpose grants (or GST grants</w:t>
      </w:r>
      <w:r>
        <w:rPr>
          <w:rFonts w:eastAsiaTheme="minorHAnsi"/>
        </w:rPr>
        <w:fldChar w:fldCharType="begin"/>
      </w:r>
      <w:r>
        <w:instrText xml:space="preserve"> XE "Grants:Goods and services tax" </w:instrText>
      </w:r>
      <w:r>
        <w:rPr>
          <w:rFonts w:eastAsiaTheme="minorHAnsi"/>
        </w:rPr>
        <w:fldChar w:fldCharType="end"/>
      </w:r>
      <w:r w:rsidRPr="003B1D03">
        <w:rPr>
          <w:rFonts w:eastAsiaTheme="minorHAnsi"/>
        </w:rPr>
        <w:t xml:space="preserve">) have been revised up </w:t>
      </w:r>
      <w:r>
        <w:rPr>
          <w:rFonts w:eastAsiaTheme="minorHAnsi"/>
        </w:rPr>
        <w:t xml:space="preserve">by $225 million </w:t>
      </w:r>
      <w:r w:rsidRPr="003B1D03">
        <w:rPr>
          <w:rFonts w:eastAsiaTheme="minorHAnsi"/>
        </w:rPr>
        <w:t>in 2016</w:t>
      </w:r>
      <w:r>
        <w:rPr>
          <w:rFonts w:eastAsiaTheme="minorHAnsi"/>
        </w:rPr>
        <w:noBreakHyphen/>
      </w:r>
      <w:r w:rsidRPr="003B1D03">
        <w:rPr>
          <w:rFonts w:eastAsiaTheme="minorHAnsi"/>
        </w:rPr>
        <w:t>17 and $99</w:t>
      </w:r>
      <w:r>
        <w:rPr>
          <w:rFonts w:eastAsiaTheme="minorHAnsi"/>
        </w:rPr>
        <w:t> million</w:t>
      </w:r>
      <w:r w:rsidRPr="003B1D03">
        <w:rPr>
          <w:rFonts w:eastAsiaTheme="minorHAnsi"/>
        </w:rPr>
        <w:t xml:space="preserve"> in 2017</w:t>
      </w:r>
      <w:r>
        <w:rPr>
          <w:rFonts w:eastAsiaTheme="minorHAnsi"/>
        </w:rPr>
        <w:noBreakHyphen/>
      </w:r>
      <w:r w:rsidRPr="003B1D03">
        <w:rPr>
          <w:rFonts w:eastAsiaTheme="minorHAnsi"/>
        </w:rPr>
        <w:t>18, but revised down by $131</w:t>
      </w:r>
      <w:r>
        <w:rPr>
          <w:rFonts w:eastAsiaTheme="minorHAnsi"/>
        </w:rPr>
        <w:t> million</w:t>
      </w:r>
      <w:r w:rsidRPr="003B1D03">
        <w:rPr>
          <w:rFonts w:eastAsiaTheme="minorHAnsi"/>
        </w:rPr>
        <w:t xml:space="preserve"> in 2018</w:t>
      </w:r>
      <w:r>
        <w:rPr>
          <w:rFonts w:eastAsiaTheme="minorHAnsi"/>
        </w:rPr>
        <w:noBreakHyphen/>
      </w:r>
      <w:r w:rsidRPr="003B1D03">
        <w:rPr>
          <w:rFonts w:eastAsiaTheme="minorHAnsi"/>
        </w:rPr>
        <w:t xml:space="preserve">19 compared </w:t>
      </w:r>
      <w:r>
        <w:rPr>
          <w:rFonts w:eastAsiaTheme="minorHAnsi"/>
        </w:rPr>
        <w:t>with</w:t>
      </w:r>
      <w:r w:rsidRPr="003B1D03">
        <w:rPr>
          <w:rFonts w:eastAsiaTheme="minorHAnsi"/>
        </w:rPr>
        <w:t xml:space="preserve"> the </w:t>
      </w:r>
      <w:r w:rsidRPr="003B1D03">
        <w:rPr>
          <w:rFonts w:eastAsiaTheme="minorHAnsi"/>
          <w:i/>
        </w:rPr>
        <w:t>2015</w:t>
      </w:r>
      <w:r>
        <w:rPr>
          <w:rFonts w:eastAsiaTheme="minorHAnsi"/>
          <w:i/>
        </w:rPr>
        <w:noBreakHyphen/>
      </w:r>
      <w:r w:rsidRPr="003B1D03">
        <w:rPr>
          <w:rFonts w:eastAsiaTheme="minorHAnsi"/>
          <w:i/>
        </w:rPr>
        <w:t>16 Budget Update</w:t>
      </w:r>
      <w:r w:rsidRPr="003B1D03">
        <w:rPr>
          <w:rFonts w:eastAsiaTheme="minorHAnsi"/>
        </w:rPr>
        <w:t>. This primarily reflects an increase in Victoria</w:t>
      </w:r>
      <w:r>
        <w:rPr>
          <w:rFonts w:eastAsiaTheme="minorHAnsi"/>
        </w:rPr>
        <w:t>’</w:t>
      </w:r>
      <w:r w:rsidRPr="003B1D03">
        <w:rPr>
          <w:rFonts w:eastAsiaTheme="minorHAnsi"/>
        </w:rPr>
        <w:t>s share of the national GST pool, partially offset by the lower than expected growth in the GST pool over the forward estimates.</w:t>
      </w:r>
    </w:p>
    <w:p w:rsidR="007A09DB" w:rsidRPr="0023633A" w:rsidRDefault="007A09DB" w:rsidP="0023633A">
      <w:pPr>
        <w:rPr>
          <w:rFonts w:eastAsiaTheme="minorHAnsi"/>
        </w:rPr>
      </w:pPr>
      <w:r>
        <w:rPr>
          <w:rFonts w:eastAsiaTheme="minorHAnsi"/>
        </w:rPr>
        <w:t>Net c</w:t>
      </w:r>
      <w:r w:rsidRPr="0023633A">
        <w:rPr>
          <w:rFonts w:eastAsiaTheme="minorHAnsi"/>
        </w:rPr>
        <w:t>hanges to specific purpose grants has increased the operating result by $774</w:t>
      </w:r>
      <w:r>
        <w:rPr>
          <w:rFonts w:eastAsiaTheme="minorHAnsi"/>
        </w:rPr>
        <w:t> million</w:t>
      </w:r>
      <w:r w:rsidRPr="0023633A">
        <w:rPr>
          <w:rFonts w:eastAsiaTheme="minorHAnsi"/>
        </w:rPr>
        <w:t xml:space="preserve"> in 2016</w:t>
      </w:r>
      <w:r>
        <w:rPr>
          <w:rFonts w:eastAsiaTheme="minorHAnsi"/>
        </w:rPr>
        <w:noBreakHyphen/>
      </w:r>
      <w:r w:rsidRPr="0023633A">
        <w:rPr>
          <w:rFonts w:eastAsiaTheme="minorHAnsi"/>
        </w:rPr>
        <w:t>17 but decreased it by $57</w:t>
      </w:r>
      <w:r>
        <w:rPr>
          <w:rFonts w:eastAsiaTheme="minorHAnsi"/>
        </w:rPr>
        <w:t>6 million</w:t>
      </w:r>
      <w:r w:rsidRPr="0023633A">
        <w:rPr>
          <w:rFonts w:eastAsiaTheme="minorHAnsi"/>
        </w:rPr>
        <w:t xml:space="preserve"> in 2017</w:t>
      </w:r>
      <w:r>
        <w:rPr>
          <w:rFonts w:eastAsiaTheme="minorHAnsi"/>
        </w:rPr>
        <w:noBreakHyphen/>
      </w:r>
      <w:r w:rsidRPr="0023633A">
        <w:rPr>
          <w:rFonts w:eastAsiaTheme="minorHAnsi"/>
        </w:rPr>
        <w:t xml:space="preserve">18. </w:t>
      </w:r>
      <w:r>
        <w:rPr>
          <w:rFonts w:eastAsiaTheme="minorHAnsi"/>
        </w:rPr>
        <w:t>These movements are largely due </w:t>
      </w:r>
      <w:r w:rsidRPr="0023633A">
        <w:rPr>
          <w:rFonts w:eastAsiaTheme="minorHAnsi"/>
        </w:rPr>
        <w:t>to:</w:t>
      </w:r>
    </w:p>
    <w:p w:rsidR="007A09DB" w:rsidRPr="0023633A" w:rsidRDefault="007A09DB" w:rsidP="0023633A">
      <w:pPr>
        <w:pStyle w:val="BulletText"/>
        <w:rPr>
          <w:rFonts w:eastAsiaTheme="minorHAnsi"/>
        </w:rPr>
      </w:pPr>
      <w:r w:rsidRPr="0023633A">
        <w:rPr>
          <w:rFonts w:eastAsiaTheme="minorHAnsi"/>
        </w:rPr>
        <w:t>rescheduling asset recycling</w:t>
      </w:r>
      <w:r>
        <w:rPr>
          <w:rFonts w:eastAsiaTheme="minorHAnsi"/>
        </w:rPr>
        <w:fldChar w:fldCharType="begin"/>
      </w:r>
      <w:r>
        <w:instrText xml:space="preserve"> XE "</w:instrText>
      </w:r>
      <w:r w:rsidRPr="005D1792">
        <w:instrText>Asset recycling</w:instrText>
      </w:r>
      <w:r>
        <w:instrText xml:space="preserve">" </w:instrText>
      </w:r>
      <w:r>
        <w:rPr>
          <w:rFonts w:eastAsiaTheme="minorHAnsi"/>
        </w:rPr>
        <w:fldChar w:fldCharType="end"/>
      </w:r>
      <w:r w:rsidRPr="0023633A">
        <w:rPr>
          <w:rFonts w:eastAsiaTheme="minorHAnsi"/>
        </w:rPr>
        <w:t xml:space="preserve"> </w:t>
      </w:r>
      <w:r>
        <w:rPr>
          <w:rFonts w:eastAsiaTheme="minorHAnsi"/>
        </w:rPr>
        <w:t xml:space="preserve">initiative </w:t>
      </w:r>
      <w:r w:rsidRPr="0023633A">
        <w:rPr>
          <w:rFonts w:eastAsiaTheme="minorHAnsi"/>
        </w:rPr>
        <w:t xml:space="preserve">payments </w:t>
      </w:r>
      <w:r>
        <w:rPr>
          <w:rFonts w:eastAsiaTheme="minorHAnsi"/>
        </w:rPr>
        <w:t>associated with the</w:t>
      </w:r>
      <w:r w:rsidRPr="0023633A">
        <w:rPr>
          <w:rFonts w:eastAsiaTheme="minorHAnsi"/>
        </w:rPr>
        <w:t xml:space="preserve"> </w:t>
      </w:r>
      <w:r>
        <w:rPr>
          <w:rFonts w:eastAsiaTheme="minorHAnsi"/>
        </w:rPr>
        <w:t>revised timing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Pr>
          <w:rFonts w:eastAsiaTheme="minorHAnsi"/>
        </w:rPr>
        <w:t xml:space="preserve"> lease</w:t>
      </w:r>
      <w:r w:rsidRPr="0023633A">
        <w:rPr>
          <w:rFonts w:eastAsiaTheme="minorHAnsi"/>
        </w:rPr>
        <w:t>; and</w:t>
      </w:r>
    </w:p>
    <w:p w:rsidR="007A09DB" w:rsidRPr="0023633A" w:rsidRDefault="007A09DB" w:rsidP="0023633A">
      <w:pPr>
        <w:pStyle w:val="BulletText"/>
        <w:rPr>
          <w:rFonts w:eastAsiaTheme="minorHAnsi"/>
        </w:rPr>
      </w:pPr>
      <w:r w:rsidRPr="0023633A">
        <w:rPr>
          <w:rFonts w:eastAsiaTheme="minorHAnsi"/>
        </w:rPr>
        <w:t xml:space="preserve">rescheduling </w:t>
      </w:r>
      <w:r>
        <w:rPr>
          <w:rFonts w:eastAsiaTheme="minorHAnsi"/>
        </w:rPr>
        <w:t>Goulburn</w:t>
      </w:r>
      <w:r>
        <w:rPr>
          <w:rFonts w:eastAsiaTheme="minorHAnsi"/>
        </w:rPr>
        <w:noBreakHyphen/>
        <w:t>Murray Water Connections Project grants</w:t>
      </w:r>
      <w:r w:rsidRPr="0023633A">
        <w:rPr>
          <w:rFonts w:eastAsiaTheme="minorHAnsi"/>
        </w:rPr>
        <w:t xml:space="preserve"> from 2015</w:t>
      </w:r>
      <w:r>
        <w:rPr>
          <w:rFonts w:eastAsiaTheme="minorHAnsi"/>
        </w:rPr>
        <w:noBreakHyphen/>
      </w:r>
      <w:r w:rsidRPr="0023633A">
        <w:rPr>
          <w:rFonts w:eastAsiaTheme="minorHAnsi"/>
        </w:rPr>
        <w:t>16 to 2016</w:t>
      </w:r>
      <w:r>
        <w:rPr>
          <w:rFonts w:eastAsiaTheme="minorHAnsi"/>
        </w:rPr>
        <w:noBreakHyphen/>
      </w:r>
      <w:r w:rsidRPr="0023633A">
        <w:rPr>
          <w:rFonts w:eastAsiaTheme="minorHAnsi"/>
        </w:rPr>
        <w:t xml:space="preserve">17 </w:t>
      </w:r>
      <w:r>
        <w:rPr>
          <w:rFonts w:eastAsiaTheme="minorHAnsi"/>
        </w:rPr>
        <w:t xml:space="preserve">that corresponds to a rephasing of </w:t>
      </w:r>
      <w:r w:rsidRPr="0023633A">
        <w:rPr>
          <w:rFonts w:eastAsiaTheme="minorHAnsi"/>
        </w:rPr>
        <w:t>project timelines</w:t>
      </w:r>
      <w:r>
        <w:rPr>
          <w:rFonts w:eastAsiaTheme="minorHAnsi"/>
        </w:rPr>
        <w:t xml:space="preserve"> and associated state expenditure</w:t>
      </w:r>
      <w:r w:rsidRPr="0023633A">
        <w:rPr>
          <w:rFonts w:eastAsiaTheme="minorHAnsi"/>
        </w:rPr>
        <w:t>.</w:t>
      </w:r>
    </w:p>
    <w:p w:rsidR="007A09DB" w:rsidRPr="00551215" w:rsidRDefault="007A09DB" w:rsidP="00871BE2">
      <w:pPr>
        <w:pStyle w:val="Heading3"/>
        <w:rPr>
          <w:rFonts w:eastAsiaTheme="minorHAnsi"/>
        </w:rPr>
      </w:pPr>
      <w:r w:rsidRPr="00551215">
        <w:rPr>
          <w:rFonts w:eastAsiaTheme="minorHAnsi"/>
        </w:rPr>
        <w:t>Administrative variations</w:t>
      </w:r>
    </w:p>
    <w:p w:rsidR="007A09DB" w:rsidRDefault="007A09DB" w:rsidP="003D6F24">
      <w:pPr>
        <w:rPr>
          <w:rFonts w:eastAsiaTheme="minorHAnsi"/>
        </w:rPr>
      </w:pPr>
      <w:r w:rsidRPr="00551215">
        <w:rPr>
          <w:rFonts w:eastAsiaTheme="minorHAnsi"/>
        </w:rPr>
        <w:t xml:space="preserve">The release of </w:t>
      </w:r>
      <w:r>
        <w:rPr>
          <w:rFonts w:eastAsiaTheme="minorHAnsi"/>
        </w:rPr>
        <w:t xml:space="preserve">the </w:t>
      </w:r>
      <w:r>
        <w:rPr>
          <w:rFonts w:eastAsiaTheme="minorHAnsi"/>
          <w:i/>
        </w:rPr>
        <w:t>f</w:t>
      </w:r>
      <w:r w:rsidRPr="00F431BF">
        <w:rPr>
          <w:rFonts w:eastAsiaTheme="minorHAnsi"/>
          <w:i/>
        </w:rPr>
        <w:t>unding not allocated to specific purpose</w:t>
      </w:r>
      <w:r w:rsidRPr="00A54F75">
        <w:rPr>
          <w:rFonts w:eastAsiaTheme="minorHAnsi"/>
          <w:i/>
        </w:rPr>
        <w:t>s</w:t>
      </w:r>
      <w:r w:rsidRPr="00F431BF">
        <w:rPr>
          <w:rFonts w:eastAsiaTheme="minorHAnsi"/>
        </w:rPr>
        <w:t xml:space="preserve"> </w:t>
      </w:r>
      <w:r>
        <w:rPr>
          <w:rFonts w:eastAsiaTheme="minorHAnsi"/>
        </w:rPr>
        <w:t xml:space="preserve">contingency as part of the </w:t>
      </w:r>
      <w:r w:rsidRPr="00871BE2">
        <w:rPr>
          <w:rFonts w:eastAsiaTheme="minorHAnsi"/>
          <w:i/>
        </w:rPr>
        <w:t>201</w:t>
      </w:r>
      <w:r>
        <w:rPr>
          <w:rFonts w:eastAsiaTheme="minorHAnsi"/>
          <w:i/>
        </w:rPr>
        <w:t>6</w:t>
      </w:r>
      <w:r>
        <w:rPr>
          <w:rFonts w:eastAsiaTheme="minorHAnsi"/>
          <w:i/>
        </w:rPr>
        <w:noBreakHyphen/>
      </w:r>
      <w:r w:rsidRPr="00871BE2">
        <w:rPr>
          <w:rFonts w:eastAsiaTheme="minorHAnsi"/>
          <w:i/>
        </w:rPr>
        <w:t>1</w:t>
      </w:r>
      <w:r>
        <w:rPr>
          <w:rFonts w:eastAsiaTheme="minorHAnsi"/>
          <w:i/>
        </w:rPr>
        <w:t>7 </w:t>
      </w:r>
      <w:r w:rsidRPr="00871BE2">
        <w:rPr>
          <w:rFonts w:eastAsiaTheme="minorHAnsi"/>
          <w:i/>
        </w:rPr>
        <w:t xml:space="preserve">Budget </w:t>
      </w:r>
      <w:r w:rsidRPr="00551215">
        <w:rPr>
          <w:rFonts w:eastAsiaTheme="minorHAnsi"/>
        </w:rPr>
        <w:t>to offset new policy decisions totals $</w:t>
      </w:r>
      <w:r>
        <w:rPr>
          <w:rFonts w:eastAsiaTheme="minorHAnsi"/>
        </w:rPr>
        <w:t>200 million</w:t>
      </w:r>
      <w:r w:rsidRPr="00551215">
        <w:rPr>
          <w:rFonts w:eastAsiaTheme="minorHAnsi"/>
        </w:rPr>
        <w:t xml:space="preserve"> </w:t>
      </w:r>
      <w:r>
        <w:rPr>
          <w:rFonts w:eastAsiaTheme="minorHAnsi"/>
        </w:rPr>
        <w:t xml:space="preserve">in each year across </w:t>
      </w:r>
      <w:r w:rsidRPr="00551215">
        <w:rPr>
          <w:rFonts w:eastAsiaTheme="minorHAnsi"/>
        </w:rPr>
        <w:t>2016</w:t>
      </w:r>
      <w:r>
        <w:rPr>
          <w:rFonts w:eastAsiaTheme="minorHAnsi"/>
        </w:rPr>
        <w:noBreakHyphen/>
        <w:t>17 to 2018</w:t>
      </w:r>
      <w:r>
        <w:rPr>
          <w:rFonts w:eastAsiaTheme="minorHAnsi"/>
        </w:rPr>
        <w:noBreakHyphen/>
      </w:r>
      <w:r w:rsidRPr="00551215">
        <w:rPr>
          <w:rFonts w:eastAsiaTheme="minorHAnsi"/>
        </w:rPr>
        <w:t>19</w:t>
      </w:r>
      <w:r>
        <w:rPr>
          <w:rFonts w:eastAsiaTheme="minorHAnsi"/>
        </w:rPr>
        <w:t xml:space="preserve">. </w:t>
      </w:r>
    </w:p>
    <w:p w:rsidR="007A09DB" w:rsidRDefault="007A09DB" w:rsidP="003D6F24">
      <w:pPr>
        <w:rPr>
          <w:rFonts w:eastAsiaTheme="minorHAnsi"/>
        </w:rPr>
      </w:pPr>
      <w:r w:rsidRPr="003D6F24">
        <w:rPr>
          <w:rFonts w:eastAsiaTheme="minorHAnsi"/>
        </w:rPr>
        <w:t xml:space="preserve">Other administrative variations have </w:t>
      </w:r>
      <w:r>
        <w:rPr>
          <w:rFonts w:eastAsiaTheme="minorHAnsi"/>
        </w:rPr>
        <w:t>increased</w:t>
      </w:r>
      <w:r w:rsidRPr="003D6F24">
        <w:rPr>
          <w:rFonts w:eastAsiaTheme="minorHAnsi"/>
        </w:rPr>
        <w:t xml:space="preserve"> the operating result by $</w:t>
      </w:r>
      <w:r>
        <w:rPr>
          <w:rFonts w:eastAsiaTheme="minorHAnsi"/>
        </w:rPr>
        <w:t>869 million in 2016</w:t>
      </w:r>
      <w:r>
        <w:rPr>
          <w:rFonts w:eastAsiaTheme="minorHAnsi"/>
        </w:rPr>
        <w:noBreakHyphen/>
      </w:r>
      <w:r w:rsidRPr="003D6F24">
        <w:rPr>
          <w:rFonts w:eastAsiaTheme="minorHAnsi"/>
        </w:rPr>
        <w:t>17, $</w:t>
      </w:r>
      <w:r>
        <w:rPr>
          <w:rFonts w:eastAsiaTheme="minorHAnsi"/>
        </w:rPr>
        <w:t>18 million</w:t>
      </w:r>
      <w:r w:rsidRPr="003D6F24">
        <w:rPr>
          <w:rFonts w:eastAsiaTheme="minorHAnsi"/>
        </w:rPr>
        <w:t xml:space="preserve"> in 2017</w:t>
      </w:r>
      <w:r>
        <w:rPr>
          <w:rFonts w:eastAsiaTheme="minorHAnsi"/>
        </w:rPr>
        <w:noBreakHyphen/>
      </w:r>
      <w:r w:rsidRPr="003D6F24">
        <w:rPr>
          <w:rFonts w:eastAsiaTheme="minorHAnsi"/>
        </w:rPr>
        <w:t>18</w:t>
      </w:r>
      <w:r>
        <w:rPr>
          <w:rFonts w:eastAsiaTheme="minorHAnsi"/>
        </w:rPr>
        <w:t xml:space="preserve"> and $210 million</w:t>
      </w:r>
      <w:r w:rsidRPr="003D6F24">
        <w:rPr>
          <w:rFonts w:eastAsiaTheme="minorHAnsi"/>
        </w:rPr>
        <w:t xml:space="preserve"> in 2018</w:t>
      </w:r>
      <w:r>
        <w:rPr>
          <w:rFonts w:eastAsiaTheme="minorHAnsi"/>
        </w:rPr>
        <w:noBreakHyphen/>
      </w:r>
      <w:r w:rsidRPr="003D6F24">
        <w:rPr>
          <w:rFonts w:eastAsiaTheme="minorHAnsi"/>
        </w:rPr>
        <w:t>19.</w:t>
      </w:r>
    </w:p>
    <w:p w:rsidR="007A09DB" w:rsidRPr="00825463" w:rsidRDefault="007A09DB" w:rsidP="003D6F24">
      <w:r w:rsidRPr="00ED1B54">
        <w:rPr>
          <w:rFonts w:eastAsiaTheme="minorHAnsi"/>
        </w:rPr>
        <w:t>The 2016</w:t>
      </w:r>
      <w:r>
        <w:rPr>
          <w:rFonts w:eastAsiaTheme="minorHAnsi"/>
        </w:rPr>
        <w:noBreakHyphen/>
      </w:r>
      <w:r w:rsidRPr="00ED1B54">
        <w:rPr>
          <w:rFonts w:eastAsiaTheme="minorHAnsi"/>
        </w:rPr>
        <w:t>17 increase is primarily due to the inclusion of an allowance for prepaid port license fees associated with entering into a medium</w:t>
      </w:r>
      <w:r>
        <w:rPr>
          <w:rFonts w:eastAsiaTheme="minorHAnsi"/>
        </w:rPr>
        <w:noBreakHyphen/>
      </w:r>
      <w:r w:rsidRPr="00ED1B54">
        <w:rPr>
          <w:rFonts w:eastAsiaTheme="minorHAnsi"/>
        </w:rPr>
        <w:t>term lease over the operations of the Port of Melbourne</w:t>
      </w:r>
      <w:r>
        <w:rPr>
          <w:rFonts w:eastAsiaTheme="minorHAnsi"/>
        </w:rPr>
        <w:fldChar w:fldCharType="begin"/>
      </w:r>
      <w:r>
        <w:instrText xml:space="preserve"> XE "</w:instrText>
      </w:r>
      <w:r w:rsidRPr="001E4096">
        <w:rPr>
          <w:rFonts w:eastAsiaTheme="minorHAnsi"/>
        </w:rPr>
        <w:instrText>Port of Melbourne</w:instrText>
      </w:r>
      <w:r>
        <w:instrText xml:space="preserve">" </w:instrText>
      </w:r>
      <w:r>
        <w:rPr>
          <w:rFonts w:eastAsiaTheme="minorHAnsi"/>
        </w:rPr>
        <w:fldChar w:fldCharType="end"/>
      </w:r>
      <w:r w:rsidRPr="00ED1B54">
        <w:rPr>
          <w:rFonts w:eastAsiaTheme="minorHAnsi"/>
        </w:rPr>
        <w:t>.</w:t>
      </w:r>
      <w:r w:rsidRPr="00ED1B54">
        <w:t xml:space="preserve"> Other </w:t>
      </w:r>
      <w:r w:rsidRPr="00ED1B54">
        <w:rPr>
          <w:rFonts w:eastAsiaTheme="minorHAnsi"/>
        </w:rPr>
        <w:t>movements across 2016</w:t>
      </w:r>
      <w:r>
        <w:rPr>
          <w:rFonts w:eastAsiaTheme="minorHAnsi"/>
        </w:rPr>
        <w:noBreakHyphen/>
      </w:r>
      <w:r w:rsidRPr="00ED1B54">
        <w:rPr>
          <w:rFonts w:eastAsiaTheme="minorHAnsi"/>
        </w:rPr>
        <w:t>17 to 2018</w:t>
      </w:r>
      <w:r>
        <w:rPr>
          <w:rFonts w:eastAsiaTheme="minorHAnsi"/>
        </w:rPr>
        <w:noBreakHyphen/>
      </w:r>
      <w:r w:rsidRPr="00ED1B54">
        <w:rPr>
          <w:rFonts w:eastAsiaTheme="minorHAnsi"/>
        </w:rPr>
        <w:t>19 include:</w:t>
      </w:r>
    </w:p>
    <w:p w:rsidR="007A09DB" w:rsidRDefault="007A09DB" w:rsidP="00681301">
      <w:pPr>
        <w:pStyle w:val="BulletText"/>
        <w:rPr>
          <w:rFonts w:eastAsiaTheme="minorHAnsi"/>
        </w:rPr>
      </w:pPr>
      <w:r>
        <w:rPr>
          <w:rFonts w:eastAsiaTheme="minorHAnsi"/>
        </w:rPr>
        <w:t>various changes to revenues including the continuation of the Environmental Contribution Levy;</w:t>
      </w:r>
    </w:p>
    <w:p w:rsidR="007A09DB" w:rsidRDefault="007A09DB" w:rsidP="003D6F24">
      <w:pPr>
        <w:pStyle w:val="BulletText"/>
        <w:rPr>
          <w:rFonts w:eastAsiaTheme="minorHAnsi"/>
        </w:rPr>
      </w:pPr>
      <w:r>
        <w:rPr>
          <w:rFonts w:eastAsiaTheme="minorHAnsi"/>
        </w:rPr>
        <w:t>higher revenue forecasts for outer</w:t>
      </w:r>
      <w:r>
        <w:rPr>
          <w:rFonts w:eastAsiaTheme="minorHAnsi"/>
        </w:rPr>
        <w:noBreakHyphen/>
        <w:t>budget entities such as the State’s Arts Agencies</w:t>
      </w:r>
      <w:r w:rsidRPr="003D6F24">
        <w:rPr>
          <w:rFonts w:eastAsiaTheme="minorHAnsi"/>
        </w:rPr>
        <w:t>;</w:t>
      </w:r>
    </w:p>
    <w:p w:rsidR="007A09DB" w:rsidRPr="00D70F2A" w:rsidRDefault="007A09DB" w:rsidP="00D70F2A">
      <w:pPr>
        <w:pStyle w:val="BulletText"/>
        <w:rPr>
          <w:rFonts w:eastAsiaTheme="minorHAnsi"/>
          <w:i/>
        </w:rPr>
      </w:pPr>
      <w:r w:rsidRPr="003D6F24">
        <w:rPr>
          <w:rFonts w:eastAsiaTheme="minorHAnsi"/>
        </w:rPr>
        <w:t xml:space="preserve">adjustments to the provision for decisions made but not yet allocated that is outlined in </w:t>
      </w:r>
      <w:r>
        <w:rPr>
          <w:rFonts w:eastAsiaTheme="minorHAnsi"/>
        </w:rPr>
        <w:t>n</w:t>
      </w:r>
      <w:r w:rsidRPr="003D6F24">
        <w:rPr>
          <w:rFonts w:eastAsiaTheme="minorHAnsi"/>
        </w:rPr>
        <w:t>ote 12(c)</w:t>
      </w:r>
      <w:r>
        <w:rPr>
          <w:rFonts w:eastAsiaTheme="minorHAnsi"/>
        </w:rPr>
        <w:t xml:space="preserve"> </w:t>
      </w:r>
      <w:r w:rsidRPr="00165693">
        <w:rPr>
          <w:rFonts w:eastAsiaTheme="minorHAnsi"/>
        </w:rPr>
        <w:t xml:space="preserve">of Budget Paper </w:t>
      </w:r>
      <w:r>
        <w:rPr>
          <w:rFonts w:eastAsiaTheme="minorHAnsi"/>
        </w:rPr>
        <w:t>No. </w:t>
      </w:r>
      <w:r w:rsidRPr="00165693">
        <w:rPr>
          <w:rFonts w:eastAsiaTheme="minorHAnsi"/>
        </w:rPr>
        <w:t xml:space="preserve">5, Chapter 1 </w:t>
      </w:r>
      <w:r w:rsidRPr="00165693">
        <w:rPr>
          <w:rFonts w:eastAsiaTheme="minorHAnsi"/>
          <w:i/>
        </w:rPr>
        <w:t>Estimated financial statements for the g</w:t>
      </w:r>
      <w:r>
        <w:rPr>
          <w:rFonts w:eastAsiaTheme="minorHAnsi"/>
          <w:i/>
        </w:rPr>
        <w:t>eneral government sector</w:t>
      </w:r>
      <w:r>
        <w:rPr>
          <w:rFonts w:eastAsiaTheme="minorHAnsi"/>
        </w:rPr>
        <w:t>. The impact of these changes vary between financial years</w:t>
      </w:r>
      <w:r w:rsidRPr="00D70F2A">
        <w:rPr>
          <w:rFonts w:eastAsiaTheme="minorHAnsi"/>
        </w:rPr>
        <w:t xml:space="preserve">; </w:t>
      </w:r>
      <w:r>
        <w:rPr>
          <w:rFonts w:eastAsiaTheme="minorHAnsi"/>
        </w:rPr>
        <w:t>and</w:t>
      </w:r>
    </w:p>
    <w:p w:rsidR="007A09DB" w:rsidRDefault="007A09DB" w:rsidP="003D6F24">
      <w:pPr>
        <w:pStyle w:val="BulletText"/>
        <w:rPr>
          <w:rFonts w:eastAsiaTheme="minorHAnsi"/>
        </w:rPr>
      </w:pPr>
      <w:r w:rsidRPr="003D6F24">
        <w:rPr>
          <w:rFonts w:eastAsiaTheme="minorHAnsi"/>
        </w:rPr>
        <w:t xml:space="preserve">lower </w:t>
      </w:r>
      <w:r>
        <w:rPr>
          <w:rFonts w:eastAsiaTheme="minorHAnsi"/>
        </w:rPr>
        <w:t xml:space="preserve">fees and </w:t>
      </w:r>
      <w:r w:rsidRPr="003D6F24">
        <w:rPr>
          <w:rFonts w:eastAsiaTheme="minorHAnsi"/>
        </w:rPr>
        <w:t>fines revenue</w:t>
      </w:r>
      <w:r>
        <w:rPr>
          <w:rFonts w:eastAsiaTheme="minorHAnsi"/>
        </w:rPr>
        <w:t>.</w:t>
      </w:r>
    </w:p>
    <w:p w:rsidR="007A09DB" w:rsidRDefault="007A09DB">
      <w:pPr>
        <w:spacing w:after="0"/>
        <w:rPr>
          <w:rFonts w:ascii="Calibri" w:eastAsiaTheme="minorHAnsi" w:hAnsi="Calibri"/>
          <w:b/>
          <w:kern w:val="28"/>
          <w:sz w:val="26"/>
          <w:szCs w:val="22"/>
        </w:rPr>
      </w:pPr>
      <w:r>
        <w:rPr>
          <w:rFonts w:eastAsiaTheme="minorHAnsi"/>
        </w:rPr>
        <w:br w:type="page"/>
      </w:r>
    </w:p>
    <w:p w:rsidR="007A09DB" w:rsidRPr="000E0810" w:rsidRDefault="007A09DB" w:rsidP="003D6F24">
      <w:pPr>
        <w:pStyle w:val="Heading2"/>
        <w:rPr>
          <w:rFonts w:eastAsiaTheme="minorHAnsi"/>
        </w:rPr>
      </w:pPr>
      <w:r w:rsidRPr="000E0810">
        <w:rPr>
          <w:rFonts w:eastAsiaTheme="minorHAnsi"/>
        </w:rPr>
        <w:t>Capital expenditure</w:t>
      </w:r>
    </w:p>
    <w:p w:rsidR="007A09DB" w:rsidRPr="000E0810" w:rsidRDefault="007A09DB" w:rsidP="000E0810">
      <w:pPr>
        <w:rPr>
          <w:rFonts w:eastAsiaTheme="minorHAnsi"/>
        </w:rPr>
      </w:pPr>
      <w:r>
        <w:rPr>
          <w:rFonts w:eastAsiaTheme="minorHAnsi"/>
        </w:rPr>
        <w:t xml:space="preserve">The Government is investing </w:t>
      </w:r>
      <w:r w:rsidRPr="000E0810">
        <w:rPr>
          <w:rFonts w:eastAsiaTheme="minorHAnsi"/>
        </w:rPr>
        <w:t xml:space="preserve">in new </w:t>
      </w:r>
      <w:r>
        <w:rPr>
          <w:rFonts w:eastAsiaTheme="minorHAnsi"/>
        </w:rPr>
        <w:t xml:space="preserve">and upgraded </w:t>
      </w:r>
      <w:r w:rsidRPr="000E0810">
        <w:rPr>
          <w:rFonts w:eastAsiaTheme="minorHAnsi"/>
        </w:rPr>
        <w:t>infrastructure to meet the needs of the State</w:t>
      </w:r>
      <w:r>
        <w:rPr>
          <w:rFonts w:eastAsiaTheme="minorHAnsi"/>
        </w:rPr>
        <w:t>’</w:t>
      </w:r>
      <w:r w:rsidRPr="000E0810">
        <w:rPr>
          <w:rFonts w:eastAsiaTheme="minorHAnsi"/>
        </w:rPr>
        <w:t xml:space="preserve">s rapidly growing population and expanding economy. </w:t>
      </w:r>
      <w:r>
        <w:rPr>
          <w:rFonts w:eastAsiaTheme="minorHAnsi"/>
        </w:rPr>
        <w:t xml:space="preserve">This investment is delivered through a variety of financing and contractual arrangements including projects that are directly managed by Government, and other projects that are delivered by the private sector through </w:t>
      </w:r>
      <w:r w:rsidRPr="000E0810">
        <w:rPr>
          <w:rFonts w:eastAsiaTheme="minorHAnsi"/>
        </w:rPr>
        <w:t>public private partnerships</w:t>
      </w:r>
      <w:r>
        <w:rPr>
          <w:rFonts w:eastAsiaTheme="minorHAnsi"/>
        </w:rPr>
        <w:fldChar w:fldCharType="begin"/>
      </w:r>
      <w:r>
        <w:instrText xml:space="preserve"> XE "</w:instrText>
      </w:r>
      <w:r w:rsidRPr="00FE2D3C">
        <w:rPr>
          <w:rFonts w:eastAsiaTheme="minorHAnsi"/>
        </w:rPr>
        <w:instrText>Public private partnerships</w:instrText>
      </w:r>
      <w:r w:rsidR="0078635B">
        <w:rPr>
          <w:rFonts w:eastAsiaTheme="minorHAnsi"/>
        </w:rPr>
        <w:instrText xml:space="preserve"> (PPPs)</w:instrText>
      </w:r>
      <w:r>
        <w:instrText xml:space="preserve">" </w:instrText>
      </w:r>
      <w:r>
        <w:rPr>
          <w:rFonts w:eastAsiaTheme="minorHAnsi"/>
        </w:rPr>
        <w:fldChar w:fldCharType="end"/>
      </w:r>
      <w:r w:rsidRPr="000E0810">
        <w:rPr>
          <w:rFonts w:eastAsiaTheme="minorHAnsi"/>
        </w:rPr>
        <w:t xml:space="preserve"> (PPPs). </w:t>
      </w:r>
      <w:r>
        <w:rPr>
          <w:rFonts w:eastAsiaTheme="minorHAnsi"/>
        </w:rPr>
        <w:t>The government infrastructure investment</w:t>
      </w:r>
      <w:r>
        <w:rPr>
          <w:rFonts w:eastAsiaTheme="minorHAnsi"/>
        </w:rPr>
        <w:fldChar w:fldCharType="begin"/>
      </w:r>
      <w:r>
        <w:instrText xml:space="preserve"> XE "</w:instrText>
      </w:r>
      <w:r w:rsidRPr="00A643A4">
        <w:instrText>Infrastructure investment:Government infrastructure investment</w:instrText>
      </w:r>
      <w:r>
        <w:instrText xml:space="preserve">" </w:instrText>
      </w:r>
      <w:r>
        <w:rPr>
          <w:rFonts w:eastAsiaTheme="minorHAnsi"/>
        </w:rPr>
        <w:fldChar w:fldCharType="end"/>
      </w:r>
      <w:r>
        <w:rPr>
          <w:rFonts w:eastAsiaTheme="minorHAnsi"/>
        </w:rPr>
        <w:t xml:space="preserve"> (GII) measure provides a comprehensive picture of the investment across Victoria that is funded or facilitated by the Government. </w:t>
      </w:r>
    </w:p>
    <w:p w:rsidR="007A09DB" w:rsidRDefault="007A09DB" w:rsidP="000E0810">
      <w:pPr>
        <w:rPr>
          <w:rFonts w:eastAsiaTheme="minorHAnsi"/>
        </w:rPr>
      </w:pPr>
      <w:bookmarkStart w:id="70" w:name="BP2Metro3"/>
      <w:bookmarkStart w:id="71" w:name="BP2WesternD2"/>
      <w:r w:rsidRPr="000E0810">
        <w:rPr>
          <w:rFonts w:eastAsiaTheme="minorHAnsi"/>
        </w:rPr>
        <w:t>G</w:t>
      </w:r>
      <w:r>
        <w:rPr>
          <w:rFonts w:eastAsiaTheme="minorHAnsi"/>
        </w:rPr>
        <w:t>eneral government infrastructure averages an unprecedented $7.4 billion across the budget and forward estimates, and demonstrates the Government’s commitment to investment across the State. In contrast, the average expected GII for the 11 years to 2015</w:t>
      </w:r>
      <w:r>
        <w:rPr>
          <w:rFonts w:eastAsiaTheme="minorHAnsi"/>
        </w:rPr>
        <w:noBreakHyphen/>
        <w:t>16 is $4.9 billion (Chart 4.1). The spending projected across the budget and forward estimates reflects substantial and ongoing investment in core services such as health, education and public safety, plus significant funding for transformative projects</w:t>
      </w:r>
      <w:r w:rsidR="0078635B">
        <w:rPr>
          <w:rFonts w:eastAsiaTheme="minorHAnsi"/>
        </w:rPr>
        <w:fldChar w:fldCharType="begin"/>
      </w:r>
      <w:r w:rsidR="0078635B">
        <w:instrText xml:space="preserve"> XE "</w:instrText>
      </w:r>
      <w:r w:rsidR="0078635B" w:rsidRPr="00FE3069">
        <w:rPr>
          <w:rFonts w:eastAsiaTheme="minorHAnsi"/>
        </w:rPr>
        <w:instrText>Transformative projects</w:instrText>
      </w:r>
      <w:r w:rsidR="0078635B">
        <w:instrText xml:space="preserve">" </w:instrText>
      </w:r>
      <w:r w:rsidR="0078635B">
        <w:rPr>
          <w:rFonts w:eastAsiaTheme="minorHAnsi"/>
        </w:rPr>
        <w:fldChar w:fldCharType="end"/>
      </w:r>
      <w:r>
        <w:rPr>
          <w:rFonts w:eastAsiaTheme="minorHAnsi"/>
        </w:rPr>
        <w:t xml:space="preserve"> including the Melbourne Metro Tunnel</w:t>
      </w:r>
      <w:r w:rsidRPr="00165693">
        <w:rPr>
          <w:rFonts w:eastAsiaTheme="minorHAnsi"/>
        </w:rPr>
        <w:t xml:space="preserve"> </w:t>
      </w:r>
      <w:r>
        <w:rPr>
          <w:rFonts w:eastAsiaTheme="minorHAnsi"/>
        </w:rPr>
        <w:t xml:space="preserve">and the Western Distributor. </w:t>
      </w:r>
    </w:p>
    <w:p w:rsidR="007A09DB" w:rsidRDefault="007A09DB" w:rsidP="00165693">
      <w:pPr>
        <w:pStyle w:val="Tableheading"/>
        <w:rPr>
          <w:rFonts w:eastAsiaTheme="minorHAnsi"/>
          <w:vertAlign w:val="superscript"/>
        </w:rPr>
      </w:pPr>
      <w:r w:rsidRPr="00165693">
        <w:rPr>
          <w:rFonts w:eastAsiaTheme="minorHAnsi"/>
        </w:rPr>
        <w:t>Chart 4.1:</w:t>
      </w:r>
      <w:r w:rsidRPr="00165693">
        <w:rPr>
          <w:rFonts w:eastAsiaTheme="minorHAnsi"/>
        </w:rPr>
        <w:tab/>
        <w:t>Government infrastructure investment</w:t>
      </w:r>
      <w:r w:rsidRPr="00165693">
        <w:rPr>
          <w:rFonts w:eastAsiaTheme="minorHAnsi"/>
          <w:vertAlign w:val="superscript"/>
        </w:rPr>
        <w:t>(a)(b)(c)</w:t>
      </w:r>
    </w:p>
    <w:p w:rsidR="007A09DB" w:rsidRDefault="00D71529" w:rsidP="00625222">
      <w:pPr>
        <w:pStyle w:val="Chartpara"/>
        <w:rPr>
          <w:rFonts w:eastAsiaTheme="minorHAnsi"/>
        </w:rPr>
      </w:pPr>
      <w:r>
        <w:rPr>
          <w:rFonts w:eastAsiaTheme="minorHAnsi"/>
        </w:rPr>
        <w:pict>
          <v:shape id="_x0000_i1040" type="#_x0000_t75" style="width:384pt;height:246pt">
            <v:imagedata r:id="rId38" o:title=""/>
          </v:shape>
        </w:pict>
      </w:r>
    </w:p>
    <w:p w:rsidR="007A09DB" w:rsidRPr="00165693" w:rsidRDefault="007A09DB" w:rsidP="004F35DB">
      <w:pPr>
        <w:pStyle w:val="Source"/>
        <w:rPr>
          <w:rFonts w:eastAsiaTheme="minorHAnsi"/>
        </w:rPr>
      </w:pPr>
      <w:r w:rsidRPr="00165693">
        <w:rPr>
          <w:rFonts w:eastAsiaTheme="minorHAnsi"/>
        </w:rPr>
        <w:t>Source: Department of Treasury and Finance</w:t>
      </w:r>
    </w:p>
    <w:p w:rsidR="007A09DB" w:rsidRPr="00165693" w:rsidRDefault="007A09DB" w:rsidP="00165693">
      <w:pPr>
        <w:pStyle w:val="Notes"/>
        <w:rPr>
          <w:rFonts w:eastAsiaTheme="minorHAnsi"/>
        </w:rPr>
      </w:pPr>
      <w:r w:rsidRPr="00165693">
        <w:rPr>
          <w:rFonts w:eastAsiaTheme="minorHAnsi"/>
        </w:rPr>
        <w:t>Notes:</w:t>
      </w:r>
    </w:p>
    <w:p w:rsidR="007A09DB" w:rsidRPr="00165693" w:rsidRDefault="007A09DB" w:rsidP="00165693">
      <w:pPr>
        <w:pStyle w:val="Notes"/>
        <w:rPr>
          <w:rFonts w:eastAsiaTheme="minorHAnsi"/>
        </w:rPr>
      </w:pPr>
      <w:r w:rsidRPr="00165693">
        <w:rPr>
          <w:rFonts w:eastAsiaTheme="minorHAnsi"/>
        </w:rPr>
        <w:t xml:space="preserve">(a) </w:t>
      </w:r>
      <w:r w:rsidRPr="00165693">
        <w:rPr>
          <w:rFonts w:eastAsiaTheme="minorHAnsi"/>
        </w:rPr>
        <w:tab/>
        <w:t xml:space="preserve">Includes general government net infrastructure investment and estimated cashflows for </w:t>
      </w:r>
      <w:r w:rsidRPr="00822982">
        <w:rPr>
          <w:rFonts w:eastAsiaTheme="minorHAnsi"/>
          <w:i w:val="0"/>
        </w:rPr>
        <w:t>Partnerships Victoria</w:t>
      </w:r>
      <w:r w:rsidRPr="00165693">
        <w:rPr>
          <w:rFonts w:eastAsiaTheme="minorHAnsi"/>
        </w:rPr>
        <w:t xml:space="preserve"> projects.</w:t>
      </w:r>
    </w:p>
    <w:p w:rsidR="007A09DB" w:rsidRPr="00165693" w:rsidRDefault="007A09DB" w:rsidP="00165693">
      <w:pPr>
        <w:pStyle w:val="Notes"/>
        <w:rPr>
          <w:rFonts w:eastAsiaTheme="minorHAnsi"/>
        </w:rPr>
      </w:pPr>
      <w:r w:rsidRPr="00165693">
        <w:rPr>
          <w:rFonts w:eastAsiaTheme="minorHAnsi"/>
        </w:rPr>
        <w:t>(</w:t>
      </w:r>
      <w:r>
        <w:rPr>
          <w:rFonts w:eastAsiaTheme="minorHAnsi"/>
        </w:rPr>
        <w:t xml:space="preserve">b) </w:t>
      </w:r>
      <w:r>
        <w:rPr>
          <w:rFonts w:eastAsiaTheme="minorHAnsi"/>
        </w:rPr>
        <w:tab/>
        <w:t xml:space="preserve">Excludes the impact </w:t>
      </w:r>
      <w:r w:rsidRPr="00165693">
        <w:rPr>
          <w:rFonts w:eastAsiaTheme="minorHAnsi"/>
        </w:rPr>
        <w:t>of the medium</w:t>
      </w:r>
      <w:r>
        <w:rPr>
          <w:rFonts w:eastAsiaTheme="minorHAnsi"/>
          <w:i w:val="0"/>
        </w:rPr>
        <w:noBreakHyphen/>
      </w:r>
      <w:r w:rsidRPr="00165693">
        <w:rPr>
          <w:rFonts w:eastAsiaTheme="minorHAnsi"/>
        </w:rPr>
        <w:t>term lease over the operations of the Port of Melbourne.</w:t>
      </w:r>
    </w:p>
    <w:p w:rsidR="007A09DB" w:rsidRDefault="007A09DB" w:rsidP="00165693">
      <w:pPr>
        <w:pStyle w:val="Notes"/>
        <w:rPr>
          <w:rFonts w:eastAsiaTheme="minorHAnsi"/>
        </w:rPr>
      </w:pPr>
      <w:r>
        <w:rPr>
          <w:rFonts w:eastAsiaTheme="minorHAnsi"/>
        </w:rPr>
        <w:t>(c)</w:t>
      </w:r>
      <w:r>
        <w:rPr>
          <w:rFonts w:eastAsiaTheme="minorHAnsi"/>
        </w:rPr>
        <w:tab/>
        <w:t>The figure for 2015</w:t>
      </w:r>
      <w:r>
        <w:rPr>
          <w:rFonts w:eastAsiaTheme="minorHAnsi"/>
        </w:rPr>
        <w:noBreakHyphen/>
      </w:r>
      <w:r w:rsidRPr="00165693">
        <w:rPr>
          <w:rFonts w:eastAsiaTheme="minorHAnsi"/>
        </w:rPr>
        <w:t>16 is an estimate.</w:t>
      </w:r>
    </w:p>
    <w:p w:rsidR="007A09DB" w:rsidRPr="00165693" w:rsidRDefault="007A09DB" w:rsidP="00165693">
      <w:pPr>
        <w:pStyle w:val="Heading3"/>
        <w:rPr>
          <w:rFonts w:eastAsiaTheme="minorHAnsi"/>
        </w:rPr>
      </w:pPr>
      <w:r w:rsidRPr="00165693">
        <w:rPr>
          <w:rFonts w:eastAsiaTheme="minorHAnsi"/>
        </w:rPr>
        <w:t>New asset initiatives</w:t>
      </w:r>
    </w:p>
    <w:p w:rsidR="007A09DB" w:rsidRPr="00165693" w:rsidRDefault="007A09DB" w:rsidP="00165693">
      <w:pPr>
        <w:rPr>
          <w:rFonts w:eastAsiaTheme="minorHAnsi"/>
        </w:rPr>
      </w:pPr>
      <w:r w:rsidRPr="00165693">
        <w:rPr>
          <w:rFonts w:eastAsiaTheme="minorHAnsi"/>
        </w:rPr>
        <w:t xml:space="preserve">The </w:t>
      </w:r>
      <w:r w:rsidRPr="00CF0BC4">
        <w:rPr>
          <w:rFonts w:eastAsiaTheme="minorHAnsi"/>
          <w:i/>
        </w:rPr>
        <w:t>2016</w:t>
      </w:r>
      <w:r>
        <w:rPr>
          <w:rFonts w:eastAsiaTheme="minorHAnsi"/>
          <w:i/>
        </w:rPr>
        <w:noBreakHyphen/>
      </w:r>
      <w:r w:rsidRPr="00CF0BC4">
        <w:rPr>
          <w:rFonts w:eastAsiaTheme="minorHAnsi"/>
          <w:i/>
        </w:rPr>
        <w:t>17 Budget</w:t>
      </w:r>
      <w:r w:rsidRPr="00165693">
        <w:rPr>
          <w:rFonts w:eastAsiaTheme="minorHAnsi"/>
        </w:rPr>
        <w:t xml:space="preserve"> includes up to $</w:t>
      </w:r>
      <w:r>
        <w:rPr>
          <w:rFonts w:eastAsiaTheme="minorHAnsi"/>
        </w:rPr>
        <w:t>12.4 billion</w:t>
      </w:r>
      <w:r w:rsidRPr="00165693">
        <w:rPr>
          <w:rFonts w:eastAsiaTheme="minorHAnsi"/>
        </w:rPr>
        <w:t xml:space="preserve"> TEI of new infrastructure investment that will improve the longer term productivity</w:t>
      </w:r>
      <w:r>
        <w:rPr>
          <w:rFonts w:eastAsiaTheme="minorHAnsi"/>
        </w:rPr>
        <w:fldChar w:fldCharType="begin"/>
      </w:r>
      <w:r>
        <w:instrText xml:space="preserve"> XE "</w:instrText>
      </w:r>
      <w:r w:rsidRPr="001E4096">
        <w:rPr>
          <w:rFonts w:eastAsiaTheme="minorHAnsi"/>
        </w:rPr>
        <w:instrText>Productivity</w:instrText>
      </w:r>
      <w:r>
        <w:instrText xml:space="preserve">" </w:instrText>
      </w:r>
      <w:r>
        <w:rPr>
          <w:rFonts w:eastAsiaTheme="minorHAnsi"/>
        </w:rPr>
        <w:fldChar w:fldCharType="end"/>
      </w:r>
      <w:r w:rsidRPr="00165693">
        <w:rPr>
          <w:rFonts w:eastAsiaTheme="minorHAnsi"/>
        </w:rPr>
        <w:t xml:space="preserve"> and liveability of Melbourne and regional Victoria. </w:t>
      </w:r>
    </w:p>
    <w:p w:rsidR="007A09DB" w:rsidRPr="00165693" w:rsidRDefault="007A09DB" w:rsidP="00165693">
      <w:pPr>
        <w:rPr>
          <w:rFonts w:eastAsiaTheme="minorHAnsi"/>
        </w:rPr>
      </w:pPr>
      <w:r w:rsidRPr="00165693">
        <w:rPr>
          <w:rFonts w:eastAsiaTheme="minorHAnsi"/>
        </w:rPr>
        <w:t xml:space="preserve">The </w:t>
      </w:r>
      <w:r w:rsidRPr="00165693">
        <w:rPr>
          <w:rFonts w:eastAsiaTheme="minorHAnsi"/>
          <w:i/>
        </w:rPr>
        <w:t>2015</w:t>
      </w:r>
      <w:r>
        <w:rPr>
          <w:rFonts w:eastAsiaTheme="minorHAnsi"/>
          <w:i/>
        </w:rPr>
        <w:noBreakHyphen/>
      </w:r>
      <w:r w:rsidRPr="00165693">
        <w:rPr>
          <w:rFonts w:eastAsiaTheme="minorHAnsi"/>
          <w:i/>
        </w:rPr>
        <w:t xml:space="preserve">16 Budget </w:t>
      </w:r>
      <w:r w:rsidRPr="00165693">
        <w:rPr>
          <w:rFonts w:eastAsiaTheme="minorHAnsi"/>
        </w:rPr>
        <w:t xml:space="preserve">provided funding to advance key asset election commitments including the Metro </w:t>
      </w:r>
      <w:r>
        <w:rPr>
          <w:rFonts w:eastAsiaTheme="minorHAnsi"/>
        </w:rPr>
        <w:t xml:space="preserve">Tunnel </w:t>
      </w:r>
      <w:r w:rsidRPr="00165693">
        <w:rPr>
          <w:rFonts w:eastAsiaTheme="minorHAnsi"/>
        </w:rPr>
        <w:t>and the Level Crossing Removal Program</w:t>
      </w:r>
      <w:r>
        <w:rPr>
          <w:rFonts w:eastAsiaTheme="minorHAnsi"/>
        </w:rPr>
        <w:fldChar w:fldCharType="begin"/>
      </w:r>
      <w:r>
        <w:instrText xml:space="preserve"> XE "</w:instrText>
      </w:r>
      <w:r w:rsidRPr="00E1473F">
        <w:instrText>Level Crossing Removal Program</w:instrText>
      </w:r>
      <w:r>
        <w:instrText xml:space="preserve">" </w:instrText>
      </w:r>
      <w:r>
        <w:rPr>
          <w:rFonts w:eastAsiaTheme="minorHAnsi"/>
        </w:rPr>
        <w:fldChar w:fldCharType="end"/>
      </w:r>
      <w:r w:rsidRPr="00165693">
        <w:rPr>
          <w:rFonts w:eastAsiaTheme="minorHAnsi"/>
        </w:rPr>
        <w:t xml:space="preserve">. This budget builds on that funding </w:t>
      </w:r>
      <w:r>
        <w:rPr>
          <w:rFonts w:eastAsiaTheme="minorHAnsi"/>
        </w:rPr>
        <w:t>to</w:t>
      </w:r>
      <w:r w:rsidRPr="00165693">
        <w:rPr>
          <w:rFonts w:eastAsiaTheme="minorHAnsi"/>
        </w:rPr>
        <w:t xml:space="preserve"> develop an integrated transport network</w:t>
      </w:r>
      <w:r>
        <w:rPr>
          <w:rFonts w:eastAsiaTheme="minorHAnsi"/>
        </w:rPr>
        <w:t>, including:</w:t>
      </w:r>
    </w:p>
    <w:p w:rsidR="007A09DB" w:rsidRPr="00165693" w:rsidRDefault="007A09DB" w:rsidP="00F94429">
      <w:pPr>
        <w:pStyle w:val="BulletText"/>
        <w:rPr>
          <w:rFonts w:eastAsiaTheme="minorHAnsi"/>
        </w:rPr>
      </w:pPr>
      <w:bookmarkStart w:id="72" w:name="BP2PoM2"/>
      <w:r w:rsidRPr="00165693">
        <w:rPr>
          <w:rFonts w:eastAsiaTheme="minorHAnsi"/>
        </w:rPr>
        <w:t xml:space="preserve">to deliver </w:t>
      </w:r>
      <w:r>
        <w:rPr>
          <w:rFonts w:eastAsiaTheme="minorHAnsi"/>
        </w:rPr>
        <w:t>the $5.5 billion</w:t>
      </w:r>
      <w:r w:rsidRPr="00165693">
        <w:rPr>
          <w:rFonts w:eastAsiaTheme="minorHAnsi"/>
        </w:rPr>
        <w:t xml:space="preserve"> </w:t>
      </w:r>
      <w:r>
        <w:rPr>
          <w:rFonts w:eastAsiaTheme="minorHAnsi"/>
        </w:rPr>
        <w:t xml:space="preserve">Western Distributor project, designed to </w:t>
      </w:r>
      <w:r w:rsidRPr="00F94429">
        <w:rPr>
          <w:rFonts w:eastAsiaTheme="minorHAnsi"/>
        </w:rPr>
        <w:t>provide better travel for local traffic</w:t>
      </w:r>
      <w:r>
        <w:rPr>
          <w:rFonts w:eastAsiaTheme="minorHAnsi"/>
        </w:rPr>
        <w:t xml:space="preserve"> by </w:t>
      </w:r>
      <w:r w:rsidRPr="00F94429">
        <w:rPr>
          <w:rFonts w:eastAsiaTheme="minorHAnsi"/>
        </w:rPr>
        <w:t>remov</w:t>
      </w:r>
      <w:r>
        <w:rPr>
          <w:rFonts w:eastAsiaTheme="minorHAnsi"/>
        </w:rPr>
        <w:t>ing</w:t>
      </w:r>
      <w:r w:rsidRPr="00F94429">
        <w:rPr>
          <w:rFonts w:eastAsiaTheme="minorHAnsi"/>
        </w:rPr>
        <w:t xml:space="preserve"> thousands of trucks from local streets, and improve freight access to and from the Port of Melbourne</w:t>
      </w:r>
      <w:r>
        <w:rPr>
          <w:rFonts w:eastAsiaTheme="minorHAnsi"/>
        </w:rPr>
        <w:t>. This project includes up to $400 million in funding for the Monash Freeway</w:t>
      </w:r>
      <w:r>
        <w:rPr>
          <w:rFonts w:eastAsiaTheme="minorHAnsi"/>
        </w:rPr>
        <w:fldChar w:fldCharType="begin"/>
      </w:r>
      <w:r>
        <w:instrText xml:space="preserve"> XE "</w:instrText>
      </w:r>
      <w:r w:rsidRPr="00CD3CAB">
        <w:rPr>
          <w:rFonts w:eastAsiaTheme="minorHAnsi"/>
        </w:rPr>
        <w:instrText>Monash Freeway</w:instrText>
      </w:r>
      <w:r>
        <w:instrText xml:space="preserve">" </w:instrText>
      </w:r>
      <w:r>
        <w:rPr>
          <w:rFonts w:eastAsiaTheme="minorHAnsi"/>
        </w:rPr>
        <w:fldChar w:fldCharType="end"/>
      </w:r>
      <w:r>
        <w:rPr>
          <w:rFonts w:eastAsiaTheme="minorHAnsi"/>
        </w:rPr>
        <w:t xml:space="preserve"> Upgrade;</w:t>
      </w:r>
    </w:p>
    <w:p w:rsidR="007A09DB" w:rsidRPr="00165693" w:rsidRDefault="007A09DB" w:rsidP="00E97E07">
      <w:pPr>
        <w:pStyle w:val="BulletText"/>
        <w:rPr>
          <w:rFonts w:eastAsiaTheme="minorHAnsi"/>
        </w:rPr>
      </w:pPr>
      <w:r>
        <w:rPr>
          <w:rFonts w:eastAsiaTheme="minorHAnsi"/>
        </w:rPr>
        <w:t>$1.3 billion for regional rail services</w:t>
      </w:r>
      <w:r w:rsidRPr="00E97E07">
        <w:rPr>
          <w:rFonts w:eastAsiaTheme="minorHAnsi"/>
        </w:rPr>
        <w:t xml:space="preserve"> </w:t>
      </w:r>
      <w:r>
        <w:rPr>
          <w:rFonts w:eastAsiaTheme="minorHAnsi"/>
        </w:rPr>
        <w:t>and infrastructure upgrades designed to better connect people and businesses in regional Victoria and</w:t>
      </w:r>
      <w:r w:rsidRPr="00E97E07">
        <w:rPr>
          <w:rFonts w:eastAsiaTheme="minorHAnsi"/>
        </w:rPr>
        <w:t xml:space="preserve"> </w:t>
      </w:r>
      <w:r>
        <w:rPr>
          <w:rFonts w:eastAsiaTheme="minorHAnsi"/>
        </w:rPr>
        <w:t xml:space="preserve">$1.9 billion to expand and upgrade the </w:t>
      </w:r>
      <w:r w:rsidRPr="00E97E07">
        <w:rPr>
          <w:rFonts w:eastAsiaTheme="minorHAnsi"/>
        </w:rPr>
        <w:t>metropolitan rail network</w:t>
      </w:r>
      <w:r>
        <w:rPr>
          <w:rFonts w:eastAsiaTheme="minorHAnsi"/>
        </w:rPr>
        <w:t>,</w:t>
      </w:r>
      <w:r w:rsidRPr="00E97E07">
        <w:rPr>
          <w:rFonts w:eastAsiaTheme="minorHAnsi"/>
        </w:rPr>
        <w:t xml:space="preserve"> </w:t>
      </w:r>
      <w:r>
        <w:rPr>
          <w:rFonts w:eastAsiaTheme="minorHAnsi"/>
        </w:rPr>
        <w:t>boosting performance and reliability; and</w:t>
      </w:r>
    </w:p>
    <w:p w:rsidR="007A09DB" w:rsidRPr="00165693" w:rsidRDefault="007A09DB" w:rsidP="00165693">
      <w:pPr>
        <w:pStyle w:val="BulletText"/>
        <w:rPr>
          <w:rFonts w:eastAsiaTheme="minorHAnsi"/>
        </w:rPr>
      </w:pPr>
      <w:r>
        <w:rPr>
          <w:rFonts w:eastAsiaTheme="minorHAnsi"/>
        </w:rPr>
        <w:t>c</w:t>
      </w:r>
      <w:r w:rsidRPr="00165693">
        <w:rPr>
          <w:rFonts w:eastAsiaTheme="minorHAnsi"/>
        </w:rPr>
        <w:t xml:space="preserve">apital funding to meet the demands of a growing population by expanding </w:t>
      </w:r>
      <w:r>
        <w:rPr>
          <w:rFonts w:eastAsiaTheme="minorHAnsi"/>
        </w:rPr>
        <w:t xml:space="preserve">government </w:t>
      </w:r>
      <w:r w:rsidRPr="00165693">
        <w:rPr>
          <w:rFonts w:eastAsiaTheme="minorHAnsi"/>
        </w:rPr>
        <w:t>school and hospital capacity and investing in public transport</w:t>
      </w:r>
      <w:r>
        <w:rPr>
          <w:rFonts w:eastAsiaTheme="minorHAnsi"/>
        </w:rPr>
        <w:fldChar w:fldCharType="begin"/>
      </w:r>
      <w:r>
        <w:instrText xml:space="preserve"> XE "</w:instrText>
      </w:r>
      <w:r w:rsidRPr="001E4096">
        <w:rPr>
          <w:rFonts w:eastAsiaTheme="minorHAnsi"/>
        </w:rPr>
        <w:instrText>Public transport</w:instrText>
      </w:r>
      <w:r>
        <w:instrText xml:space="preserve">" </w:instrText>
      </w:r>
      <w:r>
        <w:rPr>
          <w:rFonts w:eastAsiaTheme="minorHAnsi"/>
        </w:rPr>
        <w:fldChar w:fldCharType="end"/>
      </w:r>
      <w:r w:rsidRPr="00165693">
        <w:rPr>
          <w:rFonts w:eastAsiaTheme="minorHAnsi"/>
        </w:rPr>
        <w:t xml:space="preserve"> rolling stock.</w:t>
      </w:r>
    </w:p>
    <w:p w:rsidR="007A09DB" w:rsidRPr="00165693" w:rsidRDefault="007A09DB" w:rsidP="00165693">
      <w:pPr>
        <w:rPr>
          <w:rFonts w:eastAsiaTheme="minorHAnsi"/>
        </w:rPr>
      </w:pPr>
      <w:r w:rsidRPr="00165693">
        <w:rPr>
          <w:rFonts w:eastAsiaTheme="minorHAnsi"/>
        </w:rPr>
        <w:t xml:space="preserve">Details of individual asset initiatives can be found in Budget Paper </w:t>
      </w:r>
      <w:r>
        <w:rPr>
          <w:rFonts w:eastAsiaTheme="minorHAnsi"/>
        </w:rPr>
        <w:t>No. </w:t>
      </w:r>
      <w:r w:rsidRPr="00165693">
        <w:rPr>
          <w:rFonts w:eastAsiaTheme="minorHAnsi"/>
        </w:rPr>
        <w:t xml:space="preserve">3, Chapter 1 </w:t>
      </w:r>
      <w:r w:rsidRPr="00165693">
        <w:rPr>
          <w:rFonts w:eastAsiaTheme="minorHAnsi"/>
          <w:i/>
        </w:rPr>
        <w:t>Output, asset investment, savings and revenue initiatives</w:t>
      </w:r>
      <w:r w:rsidRPr="00165693">
        <w:rPr>
          <w:rFonts w:eastAsiaTheme="minorHAnsi"/>
        </w:rPr>
        <w:t>.</w:t>
      </w:r>
      <w:r w:rsidR="00FF6229">
        <w:rPr>
          <w:rFonts w:eastAsiaTheme="minorHAnsi"/>
        </w:rPr>
        <w:fldChar w:fldCharType="begin"/>
      </w:r>
      <w:r w:rsidR="00FF6229">
        <w:instrText xml:space="preserve"> XE "</w:instrText>
      </w:r>
      <w:r w:rsidR="00FF6229" w:rsidRPr="00A06369">
        <w:rPr>
          <w:rFonts w:eastAsiaTheme="minorHAnsi"/>
        </w:rPr>
        <w:instrText>Melbourne Metro Tunnel</w:instrText>
      </w:r>
      <w:r w:rsidR="00FF6229">
        <w:instrText xml:space="preserve">" \r "BP2Metro3" </w:instrText>
      </w:r>
      <w:r w:rsidR="00FF6229">
        <w:rPr>
          <w:rFonts w:eastAsiaTheme="minorHAnsi"/>
        </w:rPr>
        <w:fldChar w:fldCharType="end"/>
      </w:r>
      <w:r w:rsidR="00D9023F">
        <w:rPr>
          <w:rFonts w:eastAsiaTheme="minorHAnsi"/>
        </w:rPr>
        <w:fldChar w:fldCharType="begin"/>
      </w:r>
      <w:r w:rsidR="00D9023F">
        <w:instrText xml:space="preserve"> XE "</w:instrText>
      </w:r>
      <w:r w:rsidR="00D9023F" w:rsidRPr="00AB29F2">
        <w:rPr>
          <w:rFonts w:eastAsiaTheme="minorHAnsi"/>
        </w:rPr>
        <w:instrText>Western Distributor</w:instrText>
      </w:r>
      <w:r w:rsidR="00D9023F">
        <w:instrText xml:space="preserve">" \r "BP2WesternD2" </w:instrText>
      </w:r>
      <w:r w:rsidR="00D9023F">
        <w:rPr>
          <w:rFonts w:eastAsiaTheme="minorHAnsi"/>
        </w:rPr>
        <w:fldChar w:fldCharType="end"/>
      </w:r>
    </w:p>
    <w:bookmarkEnd w:id="70"/>
    <w:bookmarkEnd w:id="71"/>
    <w:p w:rsidR="007A09DB" w:rsidRDefault="007A09DB">
      <w:pPr>
        <w:spacing w:after="0"/>
        <w:rPr>
          <w:rFonts w:ascii="Calibri" w:eastAsiaTheme="minorHAnsi" w:hAnsi="Calibri"/>
          <w:b/>
          <w:kern w:val="28"/>
          <w:sz w:val="26"/>
          <w:szCs w:val="22"/>
        </w:rPr>
      </w:pPr>
      <w:r>
        <w:rPr>
          <w:rFonts w:eastAsiaTheme="minorHAnsi"/>
        </w:rPr>
        <w:br w:type="page"/>
      </w:r>
    </w:p>
    <w:p w:rsidR="007A09DB" w:rsidRPr="00165693" w:rsidRDefault="007A09DB" w:rsidP="00165693">
      <w:pPr>
        <w:pStyle w:val="Heading2"/>
        <w:rPr>
          <w:rFonts w:eastAsiaTheme="minorHAnsi"/>
        </w:rPr>
      </w:pPr>
      <w:r w:rsidRPr="00165693">
        <w:rPr>
          <w:rFonts w:eastAsiaTheme="minorHAnsi"/>
        </w:rPr>
        <w:t>Net debt</w:t>
      </w:r>
    </w:p>
    <w:p w:rsidR="007A09DB" w:rsidRDefault="007A09DB" w:rsidP="00165693">
      <w:pPr>
        <w:rPr>
          <w:rFonts w:eastAsiaTheme="minorHAnsi"/>
        </w:rPr>
      </w:pPr>
      <w:r>
        <w:rPr>
          <w:rFonts w:eastAsiaTheme="minorHAnsi"/>
        </w:rPr>
        <w:t>N</w:t>
      </w:r>
      <w:r w:rsidRPr="00165693">
        <w:rPr>
          <w:rFonts w:eastAsiaTheme="minorHAnsi"/>
        </w:rPr>
        <w:t xml:space="preserve">et debt as a proportion of GSP is expected to be </w:t>
      </w:r>
      <w:r>
        <w:rPr>
          <w:rFonts w:eastAsiaTheme="minorHAnsi"/>
        </w:rPr>
        <w:t>5.9 per cent</w:t>
      </w:r>
      <w:r w:rsidRPr="00165693">
        <w:rPr>
          <w:rFonts w:eastAsiaTheme="minorHAnsi"/>
        </w:rPr>
        <w:t xml:space="preserve"> at June 2016 (Chart 4.2) b</w:t>
      </w:r>
      <w:r>
        <w:rPr>
          <w:rFonts w:eastAsiaTheme="minorHAnsi"/>
        </w:rPr>
        <w:t>efore declining sharply in 2016</w:t>
      </w:r>
      <w:r>
        <w:rPr>
          <w:rFonts w:eastAsiaTheme="minorHAnsi"/>
        </w:rPr>
        <w:noBreakHyphen/>
      </w:r>
      <w:r w:rsidRPr="00165693">
        <w:rPr>
          <w:rFonts w:eastAsiaTheme="minorHAnsi"/>
        </w:rPr>
        <w:t>17</w:t>
      </w:r>
      <w:r>
        <w:rPr>
          <w:rFonts w:eastAsiaTheme="minorHAnsi"/>
        </w:rPr>
        <w:t>,</w:t>
      </w:r>
      <w:r w:rsidRPr="00165693">
        <w:rPr>
          <w:rFonts w:eastAsiaTheme="minorHAnsi"/>
        </w:rPr>
        <w:t xml:space="preserve"> largely reflecting the receipt of proceeds from entering into a medium</w:t>
      </w:r>
      <w:r>
        <w:rPr>
          <w:rFonts w:eastAsiaTheme="minorHAnsi"/>
        </w:rPr>
        <w:noBreakHyphen/>
      </w:r>
      <w:r w:rsidRPr="00165693">
        <w:rPr>
          <w:rFonts w:eastAsiaTheme="minorHAnsi"/>
        </w:rPr>
        <w:t>term lease over the opera</w:t>
      </w:r>
      <w:r>
        <w:rPr>
          <w:rFonts w:eastAsiaTheme="minorHAnsi"/>
        </w:rPr>
        <w:t>tions of the Port of Melbourne.</w:t>
      </w:r>
    </w:p>
    <w:p w:rsidR="007A09DB" w:rsidRPr="00165693" w:rsidRDefault="007A09DB" w:rsidP="00165693">
      <w:pPr>
        <w:rPr>
          <w:rFonts w:eastAsiaTheme="minorHAnsi"/>
        </w:rPr>
      </w:pPr>
      <w:r>
        <w:rPr>
          <w:rFonts w:eastAsiaTheme="minorHAnsi"/>
        </w:rPr>
        <w:t>Over the forward estimates, net debt to GSP is relatively stable as a result of the Government’s infrastructure program being largely funded through surplus operating cash over the period.</w:t>
      </w:r>
      <w:r w:rsidRPr="00267FB5">
        <w:rPr>
          <w:rFonts w:eastAsiaTheme="minorHAnsi"/>
        </w:rPr>
        <w:t xml:space="preserve"> </w:t>
      </w:r>
      <w:r w:rsidRPr="00165693">
        <w:rPr>
          <w:rFonts w:eastAsiaTheme="minorHAnsi"/>
        </w:rPr>
        <w:t>By June 2020</w:t>
      </w:r>
      <w:r>
        <w:rPr>
          <w:rFonts w:eastAsiaTheme="minorHAnsi"/>
        </w:rPr>
        <w:t>,</w:t>
      </w:r>
      <w:r w:rsidRPr="00165693">
        <w:rPr>
          <w:rFonts w:eastAsiaTheme="minorHAnsi"/>
        </w:rPr>
        <w:t xml:space="preserve"> net debt as a proportion of GSP is expected to be </w:t>
      </w:r>
      <w:r>
        <w:rPr>
          <w:rFonts w:eastAsiaTheme="minorHAnsi"/>
        </w:rPr>
        <w:t>4.8 per cent</w:t>
      </w:r>
      <w:r w:rsidRPr="00165693">
        <w:rPr>
          <w:rFonts w:eastAsiaTheme="minorHAnsi"/>
        </w:rPr>
        <w:t>.</w:t>
      </w:r>
    </w:p>
    <w:p w:rsidR="007A09DB" w:rsidRDefault="007A09DB" w:rsidP="00165693">
      <w:pPr>
        <w:pStyle w:val="Tableheading"/>
        <w:rPr>
          <w:rFonts w:eastAsiaTheme="minorHAnsi"/>
        </w:rPr>
      </w:pPr>
      <w:r w:rsidRPr="00165693">
        <w:rPr>
          <w:rFonts w:eastAsiaTheme="minorHAnsi"/>
        </w:rPr>
        <w:t>Chart 4.2:</w:t>
      </w:r>
      <w:r w:rsidRPr="00165693">
        <w:rPr>
          <w:rFonts w:eastAsiaTheme="minorHAnsi"/>
        </w:rPr>
        <w:tab/>
      </w:r>
      <w:r>
        <w:rPr>
          <w:rFonts w:eastAsiaTheme="minorHAnsi"/>
        </w:rPr>
        <w:t>General government net debt</w:t>
      </w:r>
    </w:p>
    <w:p w:rsidR="007A09DB" w:rsidRDefault="00D71529" w:rsidP="00DB17AB">
      <w:pPr>
        <w:pStyle w:val="Chartpara"/>
        <w:rPr>
          <w:rFonts w:eastAsiaTheme="minorHAnsi"/>
        </w:rPr>
      </w:pPr>
      <w:r>
        <w:rPr>
          <w:rFonts w:eastAsiaTheme="minorHAnsi"/>
        </w:rPr>
        <w:pict>
          <v:shape id="_x0000_i1041" type="#_x0000_t75" style="width:382.5pt;height:244pt">
            <v:imagedata r:id="rId39" o:title=""/>
          </v:shape>
        </w:pict>
      </w:r>
    </w:p>
    <w:p w:rsidR="007A09DB" w:rsidRDefault="007A09DB" w:rsidP="004405AB">
      <w:pPr>
        <w:pStyle w:val="Source"/>
        <w:rPr>
          <w:rFonts w:eastAsiaTheme="minorHAnsi"/>
        </w:rPr>
      </w:pPr>
      <w:r w:rsidRPr="00165693">
        <w:rPr>
          <w:rFonts w:eastAsiaTheme="minorHAnsi"/>
        </w:rPr>
        <w:t>Source: Department of Treasury and Finance</w:t>
      </w:r>
    </w:p>
    <w:p w:rsidR="007A09DB" w:rsidRDefault="007A09DB">
      <w:pPr>
        <w:spacing w:after="0"/>
      </w:pPr>
    </w:p>
    <w:p w:rsidR="007A09DB" w:rsidRDefault="007A09DB" w:rsidP="00A6123D">
      <w:r w:rsidRPr="003B6625">
        <w:t xml:space="preserve">The application of </w:t>
      </w:r>
      <w:r w:rsidRPr="007E4E2E">
        <w:t>cash resources for the general government sector</w:t>
      </w:r>
      <w:r w:rsidRPr="00E11E85">
        <w:t xml:space="preserve"> </w:t>
      </w:r>
      <w:r>
        <w:t>(Table 4.5) outlines the annual movements to net debt. General government sector</w:t>
      </w:r>
      <w:r w:rsidRPr="00614140">
        <w:t xml:space="preserve"> </w:t>
      </w:r>
      <w:r>
        <w:t xml:space="preserve">cash from operating activities is expected to </w:t>
      </w:r>
      <w:r w:rsidRPr="00614140">
        <w:t>averag</w:t>
      </w:r>
      <w:r>
        <w:t>e</w:t>
      </w:r>
      <w:r w:rsidRPr="00614140">
        <w:t xml:space="preserve"> $</w:t>
      </w:r>
      <w:r>
        <w:t>4.8 billion</w:t>
      </w:r>
      <w:r w:rsidRPr="00614140">
        <w:t xml:space="preserve"> a year over the budget and forward estimates. </w:t>
      </w:r>
    </w:p>
    <w:p w:rsidR="007A09DB" w:rsidRDefault="007A09DB" w:rsidP="00A6123D">
      <w:r w:rsidRPr="0048495B">
        <w:t xml:space="preserve">Total net investment in fixed assets is </w:t>
      </w:r>
      <w:r>
        <w:t xml:space="preserve">also </w:t>
      </w:r>
      <w:r w:rsidRPr="0048495B">
        <w:t>projec</w:t>
      </w:r>
      <w:r>
        <w:t xml:space="preserve">ted to average $4.8 billion a year over the same period, fully funded from cash from operations over the budget and forward estimates. Other annual movements to net debt primarily reflect the revised timing </w:t>
      </w:r>
      <w:r w:rsidRPr="00165693">
        <w:rPr>
          <w:rFonts w:eastAsiaTheme="minorHAnsi"/>
        </w:rPr>
        <w:t>from entering into a medium</w:t>
      </w:r>
      <w:r>
        <w:rPr>
          <w:rFonts w:eastAsiaTheme="minorHAnsi"/>
        </w:rPr>
        <w:noBreakHyphen/>
      </w:r>
      <w:r w:rsidRPr="00165693">
        <w:rPr>
          <w:rFonts w:eastAsiaTheme="minorHAnsi"/>
        </w:rPr>
        <w:t>term lease over the opera</w:t>
      </w:r>
      <w:r>
        <w:rPr>
          <w:rFonts w:eastAsiaTheme="minorHAnsi"/>
        </w:rPr>
        <w:t>tions of the Port of Melbourne</w:t>
      </w:r>
      <w:r>
        <w:t>.</w:t>
      </w:r>
      <w:r w:rsidR="00D9023F">
        <w:fldChar w:fldCharType="begin"/>
      </w:r>
      <w:r w:rsidR="00D9023F">
        <w:instrText xml:space="preserve"> XE "</w:instrText>
      </w:r>
      <w:r w:rsidR="00D9023F" w:rsidRPr="00B17081">
        <w:rPr>
          <w:rFonts w:eastAsiaTheme="minorHAnsi"/>
        </w:rPr>
        <w:instrText>Port of Melbourne</w:instrText>
      </w:r>
      <w:r w:rsidR="00D9023F">
        <w:instrText xml:space="preserve">" \r "BP2PoM2" </w:instrText>
      </w:r>
      <w:r w:rsidR="00D9023F">
        <w:fldChar w:fldCharType="end"/>
      </w:r>
    </w:p>
    <w:bookmarkEnd w:id="72"/>
    <w:p w:rsidR="007A09DB" w:rsidRDefault="007A09DB">
      <w:pPr>
        <w:spacing w:after="0"/>
        <w:rPr>
          <w:rFonts w:ascii="Calibri" w:eastAsiaTheme="minorHAnsi" w:hAnsi="Calibri"/>
          <w:b/>
        </w:rPr>
      </w:pPr>
      <w:r>
        <w:rPr>
          <w:rFonts w:eastAsiaTheme="minorHAnsi"/>
        </w:rPr>
        <w:br w:type="page"/>
      </w:r>
    </w:p>
    <w:p w:rsidR="007A09DB" w:rsidRPr="00165693" w:rsidRDefault="007A09DB" w:rsidP="00165693">
      <w:pPr>
        <w:pStyle w:val="Tableheading"/>
        <w:rPr>
          <w:rFonts w:eastAsiaTheme="minorHAnsi"/>
        </w:rPr>
      </w:pPr>
      <w:r w:rsidRPr="00165693">
        <w:rPr>
          <w:rFonts w:eastAsiaTheme="minorHAnsi"/>
        </w:rPr>
        <w:t>Table 4.5:</w:t>
      </w:r>
      <w:r w:rsidRPr="00165693">
        <w:rPr>
          <w:rFonts w:eastAsiaTheme="minorHAnsi"/>
        </w:rPr>
        <w:tab/>
        <w:t>Application of cash resources for the general government sector</w:t>
      </w:r>
      <w:r w:rsidRPr="00165693">
        <w:rPr>
          <w:rFonts w:eastAsiaTheme="minorHAnsi"/>
          <w:vertAlign w:val="superscript"/>
        </w:rPr>
        <w:t>(a)</w:t>
      </w:r>
    </w:p>
    <w:p w:rsidR="007A09DB" w:rsidRPr="00167BED" w:rsidRDefault="007A09DB" w:rsidP="00167BED">
      <w:pPr>
        <w:pStyle w:val="million"/>
        <w:rPr>
          <w:rFonts w:eastAsiaTheme="minorHAnsi"/>
        </w:rPr>
      </w:pPr>
      <w:r w:rsidRPr="00165693">
        <w:rPr>
          <w:rFonts w:eastAsiaTheme="minorHAnsi"/>
        </w:rPr>
        <w:t>($</w:t>
      </w:r>
      <w:r>
        <w:rPr>
          <w:rFonts w:eastAsiaTheme="minorHAnsi"/>
        </w:rPr>
        <w:t> million)</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167BED" w:rsidTr="00167BED">
        <w:tc>
          <w:tcPr>
            <w:tcW w:w="2665"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167BED">
              <w:rPr>
                <w:rFonts w:ascii="Calibri" w:eastAsiaTheme="minorEastAsia" w:hAnsi="Calibri" w:cs="Calibri"/>
                <w:i/>
                <w:iCs/>
                <w:color w:val="FFFFFF"/>
                <w:sz w:val="19"/>
                <w:szCs w:val="19"/>
                <w:lang w:eastAsia="en-AU"/>
              </w:rPr>
              <w:t>20</w:t>
            </w:r>
          </w:p>
        </w:tc>
      </w:tr>
      <w:tr w:rsidR="007A09DB" w:rsidRPr="00167BED" w:rsidTr="00167BED">
        <w:tc>
          <w:tcPr>
            <w:tcW w:w="2665" w:type="dxa"/>
            <w:tcBorders>
              <w:top w:val="nil"/>
              <w:left w:val="nil"/>
              <w:right w:val="nil"/>
            </w:tcBorders>
            <w:shd w:val="solid" w:color="000000" w:fill="auto"/>
          </w:tcPr>
          <w:p w:rsidR="007A09DB" w:rsidRPr="00167BED" w:rsidRDefault="007A09DB" w:rsidP="00167BED">
            <w:pPr>
              <w:autoSpaceDE w:val="0"/>
              <w:autoSpaceDN w:val="0"/>
              <w:adjustRightInd w:val="0"/>
              <w:spacing w:after="0"/>
              <w:rPr>
                <w:rFonts w:ascii="Calibri" w:eastAsiaTheme="minorEastAsia" w:hAnsi="Calibri" w:cs="Calibri"/>
                <w:i/>
                <w:iCs/>
                <w:color w:val="FFFFFF"/>
                <w:sz w:val="19"/>
                <w:szCs w:val="19"/>
                <w:lang w:eastAsia="en-AU"/>
              </w:rPr>
            </w:pP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budget</w:t>
            </w: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167BED" w:rsidRDefault="007A09DB" w:rsidP="00167BED">
            <w:pPr>
              <w:autoSpaceDE w:val="0"/>
              <w:autoSpaceDN w:val="0"/>
              <w:adjustRightInd w:val="0"/>
              <w:spacing w:after="0"/>
              <w:jc w:val="right"/>
              <w:rPr>
                <w:rFonts w:ascii="Calibri" w:eastAsiaTheme="minorEastAsia" w:hAnsi="Calibri" w:cs="Calibri"/>
                <w:i/>
                <w:iCs/>
                <w:color w:val="FFFFFF"/>
                <w:sz w:val="19"/>
                <w:szCs w:val="19"/>
                <w:lang w:eastAsia="en-AU"/>
              </w:rPr>
            </w:pPr>
            <w:r w:rsidRPr="00167BED">
              <w:rPr>
                <w:rFonts w:ascii="Calibri" w:eastAsiaTheme="minorEastAsia" w:hAnsi="Calibri" w:cs="Calibri"/>
                <w:i/>
                <w:iCs/>
                <w:color w:val="FFFFFF"/>
                <w:sz w:val="19"/>
                <w:szCs w:val="19"/>
                <w:lang w:eastAsia="en-AU"/>
              </w:rPr>
              <w:t>estimate</w:t>
            </w:r>
          </w:p>
        </w:tc>
      </w:tr>
      <w:tr w:rsidR="007A09DB" w:rsidRPr="00167BED" w:rsidTr="00167BED">
        <w:tc>
          <w:tcPr>
            <w:tcW w:w="2665" w:type="dxa"/>
            <w:tcBorders>
              <w:top w:val="nil"/>
              <w:left w:val="nil"/>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Net result from transactions</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1 214</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1 888</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2 869</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1 797</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2 082</w:t>
            </w:r>
          </w:p>
        </w:tc>
        <w:tc>
          <w:tcPr>
            <w:tcW w:w="850" w:type="dxa"/>
            <w:tcBorders>
              <w:top w:val="nil"/>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2 471</w:t>
            </w:r>
          </w:p>
        </w:tc>
      </w:tr>
      <w:tr w:rsidR="007A09DB" w:rsidRPr="00167BED" w:rsidTr="00167BED">
        <w:tc>
          <w:tcPr>
            <w:tcW w:w="2665"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167BED">
              <w:rPr>
                <w:rFonts w:ascii="Calibri" w:eastAsiaTheme="minorEastAsia" w:hAnsi="Calibri" w:cs="Calibri"/>
                <w:color w:val="000000"/>
                <w:sz w:val="19"/>
                <w:szCs w:val="19"/>
                <w:lang w:eastAsia="en-AU"/>
              </w:rPr>
              <w:t>Add back: non</w:t>
            </w:r>
            <w:r>
              <w:rPr>
                <w:rFonts w:ascii="Calibri" w:eastAsiaTheme="minorEastAsia" w:hAnsi="Calibri" w:cs="Calibri"/>
                <w:color w:val="000000"/>
                <w:sz w:val="19"/>
                <w:szCs w:val="19"/>
                <w:lang w:eastAsia="en-AU"/>
              </w:rPr>
              <w:noBreakHyphen/>
            </w:r>
            <w:r w:rsidRPr="00167BED">
              <w:rPr>
                <w:rFonts w:ascii="Calibri" w:eastAsiaTheme="minorEastAsia" w:hAnsi="Calibri" w:cs="Calibri"/>
                <w:color w:val="000000"/>
                <w:sz w:val="19"/>
                <w:szCs w:val="19"/>
                <w:lang w:eastAsia="en-AU"/>
              </w:rPr>
              <w:t xml:space="preserve">cash revenue and expenses (net) </w:t>
            </w:r>
            <w:r w:rsidRPr="00167BED">
              <w:rPr>
                <w:rFonts w:ascii="Calibri" w:eastAsiaTheme="minorEastAsia" w:hAnsi="Calibri" w:cs="Calibri"/>
                <w:color w:val="000000"/>
                <w:sz w:val="19"/>
                <w:szCs w:val="19"/>
                <w:vertAlign w:val="superscript"/>
                <w:lang w:eastAsia="en-AU"/>
              </w:rPr>
              <w:t>(b)</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2 605</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2 885</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2 333</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2 562</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2 438</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2 710</w:t>
            </w:r>
          </w:p>
        </w:tc>
      </w:tr>
      <w:tr w:rsidR="007A09DB" w:rsidRPr="00167BED" w:rsidTr="00167BED">
        <w:tc>
          <w:tcPr>
            <w:tcW w:w="2665"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Net cash flows from operating activities</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3 819</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4 773</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5 202</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4 359</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4 520</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5 181</w:t>
            </w:r>
          </w:p>
        </w:tc>
      </w:tr>
      <w:tr w:rsidR="007A09DB" w:rsidRPr="00167BED" w:rsidTr="00167BED">
        <w:tc>
          <w:tcPr>
            <w:tcW w:w="2665"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167BED">
              <w:rPr>
                <w:rFonts w:ascii="Calibri" w:eastAsiaTheme="minorEastAsia" w:hAnsi="Calibri" w:cs="Calibri"/>
                <w:b/>
                <w:bCs/>
                <w:color w:val="000000"/>
                <w:sz w:val="19"/>
                <w:szCs w:val="19"/>
                <w:lang w:eastAsia="en-AU"/>
              </w:rPr>
              <w:t xml:space="preserve">Less: Total net investment in fixed assets </w:t>
            </w:r>
            <w:r w:rsidRPr="00167BED">
              <w:rPr>
                <w:rFonts w:ascii="Calibri" w:eastAsiaTheme="minorEastAsia" w:hAnsi="Calibri" w:cs="Calibri"/>
                <w:b/>
                <w:bCs/>
                <w:color w:val="000000"/>
                <w:sz w:val="19"/>
                <w:szCs w:val="19"/>
                <w:vertAlign w:val="superscript"/>
                <w:lang w:eastAsia="en-AU"/>
              </w:rPr>
              <w:t>(c)</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4 854</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3 837</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6 328</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4 778</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4 426</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3 650</w:t>
            </w:r>
          </w:p>
        </w:tc>
      </w:tr>
      <w:tr w:rsidR="007A09DB" w:rsidRPr="00167BED" w:rsidTr="00167BED">
        <w:tc>
          <w:tcPr>
            <w:tcW w:w="2665"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Surplus/(deficit) of cash from operations after funding net investment in fixed assets</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(1 035)</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936</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(1 127)</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( 419)</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94</w:t>
            </w:r>
          </w:p>
        </w:tc>
        <w:tc>
          <w:tcPr>
            <w:tcW w:w="850" w:type="dxa"/>
            <w:tcBorders>
              <w:top w:val="single" w:sz="6" w:space="0" w:color="000000"/>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1 531</w:t>
            </w:r>
          </w:p>
        </w:tc>
      </w:tr>
      <w:tr w:rsidR="007A09DB" w:rsidRPr="00167BED" w:rsidTr="00167BED">
        <w:tc>
          <w:tcPr>
            <w:tcW w:w="2665"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167BED">
              <w:rPr>
                <w:rFonts w:ascii="Calibri" w:eastAsiaTheme="minorEastAsia" w:hAnsi="Calibri" w:cs="Calibri"/>
                <w:color w:val="000000"/>
                <w:sz w:val="19"/>
                <w:szCs w:val="19"/>
                <w:lang w:eastAsia="en-AU"/>
              </w:rPr>
              <w:t xml:space="preserve">Finance leases </w:t>
            </w:r>
            <w:r w:rsidRPr="00167BED">
              <w:rPr>
                <w:rFonts w:ascii="Calibri" w:eastAsiaTheme="minorEastAsia" w:hAnsi="Calibri" w:cs="Calibri"/>
                <w:color w:val="000000"/>
                <w:sz w:val="19"/>
                <w:szCs w:val="19"/>
                <w:vertAlign w:val="superscript"/>
                <w:lang w:eastAsia="en-AU"/>
              </w:rPr>
              <w:t>(d)</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99</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1 056</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517</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647</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596</w:t>
            </w:r>
          </w:p>
        </w:tc>
        <w:tc>
          <w:tcPr>
            <w:tcW w:w="850" w:type="dxa"/>
            <w:tcBorders>
              <w:top w:val="single" w:sz="6" w:space="0" w:color="000000"/>
              <w:left w:val="nil"/>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349</w:t>
            </w:r>
          </w:p>
        </w:tc>
      </w:tr>
      <w:tr w:rsidR="007A09DB" w:rsidRPr="00167BED" w:rsidTr="00167BED">
        <w:tc>
          <w:tcPr>
            <w:tcW w:w="2665"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ind w:left="227" w:hanging="227"/>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Other movements</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19</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46</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(5 536)</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1 229</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 xml:space="preserve"> 906</w:t>
            </w:r>
          </w:p>
        </w:tc>
        <w:tc>
          <w:tcPr>
            <w:tcW w:w="850" w:type="dxa"/>
            <w:tcBorders>
              <w:top w:val="nil"/>
              <w:left w:val="nil"/>
              <w:bottom w:val="single" w:sz="6" w:space="0" w:color="000000"/>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color w:val="000000"/>
                <w:sz w:val="19"/>
                <w:szCs w:val="19"/>
                <w:lang w:eastAsia="en-AU"/>
              </w:rPr>
            </w:pPr>
            <w:r w:rsidRPr="00167BED">
              <w:rPr>
                <w:rFonts w:ascii="Calibri" w:eastAsiaTheme="minorEastAsia" w:hAnsi="Calibri" w:cs="Calibri"/>
                <w:color w:val="000000"/>
                <w:sz w:val="19"/>
                <w:szCs w:val="19"/>
                <w:lang w:eastAsia="en-AU"/>
              </w:rPr>
              <w:t>1 086</w:t>
            </w:r>
          </w:p>
        </w:tc>
      </w:tr>
      <w:tr w:rsidR="007A09DB" w:rsidRPr="00167BED" w:rsidTr="00167BED">
        <w:tc>
          <w:tcPr>
            <w:tcW w:w="2665" w:type="dxa"/>
            <w:tcBorders>
              <w:top w:val="single" w:sz="6" w:space="0" w:color="000000"/>
              <w:left w:val="nil"/>
              <w:bottom w:val="single" w:sz="12" w:space="0" w:color="auto"/>
              <w:right w:val="nil"/>
            </w:tcBorders>
            <w:shd w:val="clear" w:color="auto" w:fill="FFFFFF"/>
          </w:tcPr>
          <w:p w:rsidR="007A09DB" w:rsidRPr="00167BED" w:rsidRDefault="007A09DB" w:rsidP="00A525F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Decrease/(increase) in net debt</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(1 153)</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( 166)</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3 892</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(2 294)</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(1 409)</w:t>
            </w:r>
          </w:p>
        </w:tc>
        <w:tc>
          <w:tcPr>
            <w:tcW w:w="850" w:type="dxa"/>
            <w:tcBorders>
              <w:top w:val="single" w:sz="6" w:space="0" w:color="000000"/>
              <w:left w:val="nil"/>
              <w:bottom w:val="single" w:sz="12" w:space="0" w:color="auto"/>
              <w:right w:val="nil"/>
            </w:tcBorders>
            <w:shd w:val="clear" w:color="auto" w:fill="FFFFFF"/>
          </w:tcPr>
          <w:p w:rsidR="007A09DB" w:rsidRPr="00167BED" w:rsidRDefault="007A09DB" w:rsidP="00167BED">
            <w:pPr>
              <w:autoSpaceDE w:val="0"/>
              <w:autoSpaceDN w:val="0"/>
              <w:adjustRightInd w:val="0"/>
              <w:spacing w:after="0"/>
              <w:jc w:val="right"/>
              <w:rPr>
                <w:rFonts w:ascii="Calibri" w:eastAsiaTheme="minorEastAsia" w:hAnsi="Calibri" w:cs="Calibri"/>
                <w:b/>
                <w:bCs/>
                <w:color w:val="000000"/>
                <w:sz w:val="19"/>
                <w:szCs w:val="19"/>
                <w:lang w:eastAsia="en-AU"/>
              </w:rPr>
            </w:pPr>
            <w:r w:rsidRPr="00167BED">
              <w:rPr>
                <w:rFonts w:ascii="Calibri" w:eastAsiaTheme="minorEastAsia" w:hAnsi="Calibri" w:cs="Calibri"/>
                <w:b/>
                <w:bCs/>
                <w:color w:val="000000"/>
                <w:sz w:val="19"/>
                <w:szCs w:val="19"/>
                <w:lang w:eastAsia="en-AU"/>
              </w:rPr>
              <w:t xml:space="preserve"> 97</w:t>
            </w:r>
          </w:p>
        </w:tc>
      </w:tr>
    </w:tbl>
    <w:p w:rsidR="007A09DB" w:rsidRPr="00165693" w:rsidRDefault="007A09DB" w:rsidP="003424F1">
      <w:pPr>
        <w:pStyle w:val="Source"/>
        <w:rPr>
          <w:rFonts w:eastAsiaTheme="minorHAnsi"/>
        </w:rPr>
      </w:pPr>
      <w:r w:rsidRPr="00165693">
        <w:rPr>
          <w:rFonts w:eastAsiaTheme="minorHAnsi"/>
        </w:rPr>
        <w:t>Source: Department of Treasury and Finance</w:t>
      </w:r>
    </w:p>
    <w:p w:rsidR="007A09DB" w:rsidRPr="00165693" w:rsidRDefault="007A09DB" w:rsidP="00165693">
      <w:pPr>
        <w:pStyle w:val="Notes"/>
        <w:rPr>
          <w:rFonts w:eastAsiaTheme="minorHAnsi"/>
        </w:rPr>
      </w:pPr>
      <w:r w:rsidRPr="00165693">
        <w:rPr>
          <w:rFonts w:eastAsiaTheme="minorHAnsi"/>
        </w:rPr>
        <w:t>Notes:</w:t>
      </w:r>
    </w:p>
    <w:p w:rsidR="007A09DB" w:rsidRPr="00165693" w:rsidRDefault="007A09DB" w:rsidP="00165693">
      <w:pPr>
        <w:pStyle w:val="Notes"/>
        <w:rPr>
          <w:rFonts w:eastAsiaTheme="minorHAnsi"/>
        </w:rPr>
      </w:pPr>
      <w:r w:rsidRPr="00165693">
        <w:rPr>
          <w:rFonts w:eastAsiaTheme="minorHAnsi"/>
        </w:rPr>
        <w:t xml:space="preserve">(a) </w:t>
      </w:r>
      <w:r w:rsidRPr="00165693">
        <w:rPr>
          <w:rFonts w:eastAsiaTheme="minorHAnsi"/>
        </w:rPr>
        <w:tab/>
        <w:t>Figures in this table are subject to rounding to the nearest</w:t>
      </w:r>
      <w:r>
        <w:rPr>
          <w:rFonts w:eastAsiaTheme="minorHAnsi"/>
        </w:rPr>
        <w:t> million</w:t>
      </w:r>
      <w:r w:rsidRPr="00165693">
        <w:rPr>
          <w:rFonts w:eastAsiaTheme="minorHAnsi"/>
        </w:rPr>
        <w:t xml:space="preserve"> and may not add up to totals.</w:t>
      </w:r>
    </w:p>
    <w:p w:rsidR="007A09DB" w:rsidRPr="00165693" w:rsidRDefault="007A09DB" w:rsidP="00165693">
      <w:pPr>
        <w:pStyle w:val="Notes"/>
        <w:rPr>
          <w:rFonts w:eastAsiaTheme="minorHAnsi"/>
        </w:rPr>
      </w:pPr>
      <w:r w:rsidRPr="00165693">
        <w:rPr>
          <w:rFonts w:eastAsiaTheme="minorHAnsi"/>
        </w:rPr>
        <w:t xml:space="preserve">(b) </w:t>
      </w:r>
      <w:r w:rsidRPr="00165693">
        <w:rPr>
          <w:rFonts w:eastAsiaTheme="minorHAnsi"/>
        </w:rPr>
        <w:tab/>
        <w:t>Includes depreciation, movements in the unfunded superannuation liability and liability for employee benefits.</w:t>
      </w:r>
    </w:p>
    <w:p w:rsidR="007A09DB" w:rsidRPr="00165693" w:rsidRDefault="007A09DB" w:rsidP="00165693">
      <w:pPr>
        <w:pStyle w:val="Notes"/>
        <w:rPr>
          <w:rFonts w:eastAsiaTheme="minorHAnsi"/>
        </w:rPr>
      </w:pPr>
      <w:r w:rsidRPr="00165693">
        <w:rPr>
          <w:rFonts w:eastAsiaTheme="minorHAnsi"/>
        </w:rPr>
        <w:t xml:space="preserve">(c) </w:t>
      </w:r>
      <w:r w:rsidRPr="00165693">
        <w:rPr>
          <w:rFonts w:eastAsiaTheme="minorHAnsi"/>
        </w:rPr>
        <w:tab/>
        <w:t xml:space="preserve">Includes total purchases of plant, property and equipment, and net capital contributions to other sectors of government net of proceeds from asset </w:t>
      </w:r>
      <w:r>
        <w:rPr>
          <w:rFonts w:eastAsiaTheme="minorHAnsi"/>
        </w:rPr>
        <w:t>recycling</w:t>
      </w:r>
      <w:r>
        <w:rPr>
          <w:rFonts w:eastAsiaTheme="minorHAnsi"/>
        </w:rPr>
        <w:fldChar w:fldCharType="begin"/>
      </w:r>
      <w:r>
        <w:instrText xml:space="preserve"> "</w:instrText>
      </w:r>
      <w:r w:rsidRPr="005D1792">
        <w:instrText>Asset recycling</w:instrText>
      </w:r>
      <w:r>
        <w:instrText xml:space="preserve">" </w:instrText>
      </w:r>
      <w:r>
        <w:rPr>
          <w:rFonts w:eastAsiaTheme="minorHAnsi"/>
        </w:rPr>
        <w:fldChar w:fldCharType="end"/>
      </w:r>
      <w:r w:rsidRPr="00165693">
        <w:rPr>
          <w:rFonts w:eastAsiaTheme="minorHAnsi"/>
        </w:rPr>
        <w:t>.</w:t>
      </w:r>
    </w:p>
    <w:p w:rsidR="007A09DB" w:rsidRDefault="007A09DB" w:rsidP="00165693">
      <w:pPr>
        <w:pStyle w:val="Notes"/>
        <w:rPr>
          <w:rFonts w:eastAsiaTheme="minorHAnsi"/>
        </w:rPr>
      </w:pPr>
      <w:r w:rsidRPr="00165693">
        <w:rPr>
          <w:rFonts w:eastAsiaTheme="minorHAnsi"/>
        </w:rPr>
        <w:t>(d)</w:t>
      </w:r>
      <w:r w:rsidRPr="00165693">
        <w:rPr>
          <w:rFonts w:eastAsiaTheme="minorHAnsi"/>
        </w:rPr>
        <w:tab/>
      </w:r>
      <w:r w:rsidRPr="005B0CA8">
        <w:rPr>
          <w:rFonts w:eastAsiaTheme="minorHAnsi"/>
        </w:rPr>
        <w:t>The finance lease acquisition in 2015</w:t>
      </w:r>
      <w:r>
        <w:rPr>
          <w:rFonts w:eastAsiaTheme="minorHAnsi"/>
        </w:rPr>
        <w:noBreakHyphen/>
      </w:r>
      <w:r w:rsidRPr="005B0CA8">
        <w:rPr>
          <w:rFonts w:eastAsiaTheme="minorHAnsi"/>
        </w:rPr>
        <w:t>16 relates to the Victorian Comprehensive Cancer Centre and metropolitan Melbourne buses contract. The 2016</w:t>
      </w:r>
      <w:r>
        <w:rPr>
          <w:rFonts w:eastAsiaTheme="minorHAnsi"/>
        </w:rPr>
        <w:noBreakHyphen/>
      </w:r>
      <w:r w:rsidRPr="005B0CA8">
        <w:rPr>
          <w:rFonts w:eastAsiaTheme="minorHAnsi"/>
        </w:rPr>
        <w:t xml:space="preserve">17 </w:t>
      </w:r>
      <w:r>
        <w:rPr>
          <w:rFonts w:eastAsiaTheme="minorHAnsi"/>
        </w:rPr>
        <w:t>estimate</w:t>
      </w:r>
      <w:r w:rsidRPr="005B0CA8">
        <w:rPr>
          <w:rFonts w:eastAsiaTheme="minorHAnsi"/>
        </w:rPr>
        <w:t xml:space="preserve"> relates to the new Bendigo H</w:t>
      </w:r>
      <w:r>
        <w:rPr>
          <w:rFonts w:eastAsiaTheme="minorHAnsi"/>
        </w:rPr>
        <w:t>ospital project</w:t>
      </w:r>
      <w:r w:rsidRPr="005B0CA8">
        <w:rPr>
          <w:rFonts w:eastAsiaTheme="minorHAnsi"/>
        </w:rPr>
        <w:t>, the New Schools PPP project and the metropolitan Melbourne buses contract. The 2017</w:t>
      </w:r>
      <w:r>
        <w:rPr>
          <w:rFonts w:eastAsiaTheme="minorHAnsi"/>
        </w:rPr>
        <w:noBreakHyphen/>
      </w:r>
      <w:r w:rsidRPr="005B0CA8">
        <w:rPr>
          <w:rFonts w:eastAsiaTheme="minorHAnsi"/>
        </w:rPr>
        <w:t xml:space="preserve">18 estimate relates to the new Bendigo Hospital project, Ravenhall Prison </w:t>
      </w:r>
      <w:r>
        <w:rPr>
          <w:rFonts w:eastAsiaTheme="minorHAnsi"/>
        </w:rPr>
        <w:t>and the New Schools PPP project</w:t>
      </w:r>
      <w:r w:rsidRPr="005B0CA8">
        <w:rPr>
          <w:rFonts w:eastAsiaTheme="minorHAnsi"/>
        </w:rPr>
        <w:t xml:space="preserve">. </w:t>
      </w:r>
      <w:r w:rsidRPr="00165693">
        <w:rPr>
          <w:rFonts w:eastAsiaTheme="minorHAnsi"/>
        </w:rPr>
        <w:t xml:space="preserve">The </w:t>
      </w:r>
      <w:r>
        <w:rPr>
          <w:rFonts w:eastAsiaTheme="minorHAnsi"/>
        </w:rPr>
        <w:t>2018</w:t>
      </w:r>
      <w:r>
        <w:rPr>
          <w:rFonts w:eastAsiaTheme="minorHAnsi"/>
        </w:rPr>
        <w:noBreakHyphen/>
        <w:t>19</w:t>
      </w:r>
      <w:r w:rsidRPr="00165693">
        <w:rPr>
          <w:rFonts w:eastAsiaTheme="minorHAnsi"/>
        </w:rPr>
        <w:t xml:space="preserve"> and 2019</w:t>
      </w:r>
      <w:r>
        <w:rPr>
          <w:rFonts w:eastAsiaTheme="minorHAnsi"/>
        </w:rPr>
        <w:noBreakHyphen/>
        <w:t>20 estimates</w:t>
      </w:r>
      <w:r w:rsidRPr="00165693">
        <w:rPr>
          <w:rFonts w:eastAsiaTheme="minorHAnsi"/>
        </w:rPr>
        <w:t xml:space="preserve"> relate to the High </w:t>
      </w:r>
      <w:r>
        <w:rPr>
          <w:rFonts w:eastAsiaTheme="minorHAnsi"/>
        </w:rPr>
        <w:t>C</w:t>
      </w:r>
      <w:r w:rsidRPr="00165693">
        <w:rPr>
          <w:rFonts w:eastAsiaTheme="minorHAnsi"/>
        </w:rPr>
        <w:t xml:space="preserve">apacity </w:t>
      </w:r>
      <w:r>
        <w:rPr>
          <w:rFonts w:eastAsiaTheme="minorHAnsi"/>
        </w:rPr>
        <w:t>Metro T</w:t>
      </w:r>
      <w:r w:rsidRPr="00165693">
        <w:rPr>
          <w:rFonts w:eastAsiaTheme="minorHAnsi"/>
        </w:rPr>
        <w:t>rains</w:t>
      </w:r>
      <w:r>
        <w:rPr>
          <w:rFonts w:eastAsiaTheme="minorHAnsi"/>
        </w:rPr>
        <w:t xml:space="preserve"> Project.</w:t>
      </w:r>
      <w:r>
        <w:rPr>
          <w:rFonts w:eastAsiaTheme="minorHAnsi"/>
        </w:rPr>
        <w:fldChar w:fldCharType="begin"/>
      </w:r>
      <w:r>
        <w:instrText xml:space="preserve"> XE "</w:instrText>
      </w:r>
      <w:r w:rsidRPr="00067994">
        <w:instrText>Debt:Net debt</w:instrText>
      </w:r>
      <w:r>
        <w:instrText xml:space="preserve">" \r "BP2NetDebt4" </w:instrText>
      </w:r>
      <w:r>
        <w:rPr>
          <w:rFonts w:eastAsiaTheme="minorHAnsi"/>
        </w:rPr>
        <w:fldChar w:fldCharType="end"/>
      </w:r>
    </w:p>
    <w:p w:rsidR="007A09DB" w:rsidRPr="00165693" w:rsidRDefault="007A09DB" w:rsidP="00871502">
      <w:pPr>
        <w:pStyle w:val="Heading2"/>
        <w:rPr>
          <w:rFonts w:eastAsiaTheme="minorHAnsi"/>
        </w:rPr>
      </w:pPr>
      <w:r>
        <w:rPr>
          <w:rFonts w:eastAsiaTheme="minorHAnsi"/>
        </w:rPr>
        <w:t>Unfunded superannuation liability</w:t>
      </w:r>
    </w:p>
    <w:p w:rsidR="007A09DB" w:rsidRDefault="007A09DB" w:rsidP="00871502">
      <w:pPr>
        <w:rPr>
          <w:rFonts w:eastAsiaTheme="minorHAnsi"/>
          <w:i/>
        </w:rPr>
      </w:pPr>
      <w:r>
        <w:rPr>
          <w:lang w:eastAsia="en-AU"/>
        </w:rPr>
        <w:fldChar w:fldCharType="begin"/>
      </w:r>
      <w:r>
        <w:instrText xml:space="preserve"> XE "</w:instrText>
      </w:r>
      <w:r w:rsidRPr="00D34997">
        <w:rPr>
          <w:lang w:eastAsia="en-AU"/>
        </w:rPr>
        <w:instrText>Superannuation</w:instrText>
      </w:r>
      <w:r w:rsidRPr="00D34997">
        <w:instrText>:</w:instrText>
      </w:r>
      <w:r>
        <w:instrText xml:space="preserve">Unfunded superannuation liability" </w:instrText>
      </w:r>
      <w:r>
        <w:rPr>
          <w:lang w:eastAsia="en-AU"/>
        </w:rPr>
        <w:fldChar w:fldCharType="end"/>
      </w:r>
      <w:r w:rsidRPr="00165693">
        <w:rPr>
          <w:rFonts w:eastAsiaTheme="minorHAnsi"/>
        </w:rPr>
        <w:t>The Government is on track to fully fund the State</w:t>
      </w:r>
      <w:r>
        <w:rPr>
          <w:rFonts w:eastAsiaTheme="minorHAnsi"/>
        </w:rPr>
        <w:t>’</w:t>
      </w:r>
      <w:r w:rsidRPr="00165693">
        <w:rPr>
          <w:rFonts w:eastAsiaTheme="minorHAnsi"/>
        </w:rPr>
        <w:t>s unfun</w:t>
      </w:r>
      <w:r>
        <w:rPr>
          <w:rFonts w:eastAsiaTheme="minorHAnsi"/>
        </w:rPr>
        <w:t>ded superannuation liability by </w:t>
      </w:r>
      <w:r w:rsidRPr="00165693">
        <w:rPr>
          <w:rFonts w:eastAsiaTheme="minorHAnsi"/>
        </w:rPr>
        <w:t xml:space="preserve">2035. </w:t>
      </w:r>
      <w:r>
        <w:rPr>
          <w:rFonts w:eastAsiaTheme="minorHAnsi"/>
        </w:rPr>
        <w:t>Information on</w:t>
      </w:r>
      <w:r w:rsidRPr="00165693">
        <w:rPr>
          <w:rFonts w:eastAsiaTheme="minorHAnsi"/>
        </w:rPr>
        <w:t xml:space="preserve"> </w:t>
      </w:r>
      <w:r>
        <w:rPr>
          <w:rFonts w:eastAsiaTheme="minorHAnsi"/>
        </w:rPr>
        <w:t xml:space="preserve">the reported </w:t>
      </w:r>
      <w:r w:rsidRPr="00165693">
        <w:rPr>
          <w:rFonts w:eastAsiaTheme="minorHAnsi"/>
        </w:rPr>
        <w:t xml:space="preserve">superannuation </w:t>
      </w:r>
      <w:r>
        <w:rPr>
          <w:rFonts w:eastAsiaTheme="minorHAnsi"/>
        </w:rPr>
        <w:t>liability is shown in note </w:t>
      </w:r>
      <w:r w:rsidRPr="00165693">
        <w:rPr>
          <w:rFonts w:eastAsiaTheme="minorHAnsi"/>
        </w:rPr>
        <w:t xml:space="preserve">7 of Budget Paper </w:t>
      </w:r>
      <w:r>
        <w:rPr>
          <w:rFonts w:eastAsiaTheme="minorHAnsi"/>
        </w:rPr>
        <w:t>No. </w:t>
      </w:r>
      <w:r w:rsidRPr="00165693">
        <w:rPr>
          <w:rFonts w:eastAsiaTheme="minorHAnsi"/>
        </w:rPr>
        <w:t xml:space="preserve">5, Chapter 1 </w:t>
      </w:r>
      <w:r w:rsidRPr="00165693">
        <w:rPr>
          <w:rFonts w:eastAsiaTheme="minorHAnsi"/>
          <w:i/>
        </w:rPr>
        <w:t>Estimated financial statements for the general government sector.</w:t>
      </w:r>
    </w:p>
    <w:p w:rsidR="007A09DB" w:rsidRPr="00165693" w:rsidRDefault="007A09DB" w:rsidP="002C08B7">
      <w:pPr>
        <w:pStyle w:val="Heading1"/>
        <w:rPr>
          <w:rFonts w:eastAsiaTheme="minorHAnsi"/>
        </w:rPr>
      </w:pPr>
      <w:bookmarkStart w:id="73" w:name="_Toc449123068"/>
      <w:bookmarkStart w:id="74" w:name="BP2FiscalRisks1"/>
      <w:r w:rsidRPr="00165693">
        <w:rPr>
          <w:rFonts w:eastAsiaTheme="minorHAnsi"/>
        </w:rPr>
        <w:t>Fiscal risks</w:t>
      </w:r>
      <w:bookmarkEnd w:id="73"/>
    </w:p>
    <w:p w:rsidR="007A09DB" w:rsidRPr="00165693" w:rsidRDefault="007A09DB" w:rsidP="00165693">
      <w:pPr>
        <w:rPr>
          <w:rFonts w:eastAsiaTheme="minorHAnsi"/>
        </w:rPr>
      </w:pPr>
      <w:r w:rsidRPr="00165693">
        <w:rPr>
          <w:rFonts w:eastAsiaTheme="minorHAnsi"/>
        </w:rPr>
        <w:t>This section c</w:t>
      </w:r>
      <w:r>
        <w:rPr>
          <w:rFonts w:eastAsiaTheme="minorHAnsi"/>
        </w:rPr>
        <w:t>ontains a number of known risks</w:t>
      </w:r>
      <w:r w:rsidRPr="00165693">
        <w:rPr>
          <w:rFonts w:eastAsiaTheme="minorHAnsi"/>
        </w:rPr>
        <w:t xml:space="preserve"> which</w:t>
      </w:r>
      <w:r>
        <w:rPr>
          <w:rFonts w:eastAsiaTheme="minorHAnsi"/>
        </w:rPr>
        <w:t>,</w:t>
      </w:r>
      <w:r w:rsidRPr="00165693">
        <w:rPr>
          <w:rFonts w:eastAsiaTheme="minorHAnsi"/>
        </w:rPr>
        <w:t xml:space="preserve"> if realised, are likely to impact on the State</w:t>
      </w:r>
      <w:r>
        <w:rPr>
          <w:rFonts w:eastAsiaTheme="minorHAnsi"/>
        </w:rPr>
        <w:t>’</w:t>
      </w:r>
      <w:r w:rsidRPr="00165693">
        <w:rPr>
          <w:rFonts w:eastAsiaTheme="minorHAnsi"/>
        </w:rPr>
        <w:t xml:space="preserve">s financial position and budget outcomes. </w:t>
      </w:r>
    </w:p>
    <w:p w:rsidR="007A09DB" w:rsidRPr="00165693" w:rsidRDefault="007A09DB" w:rsidP="00165693">
      <w:pPr>
        <w:rPr>
          <w:rFonts w:eastAsiaTheme="minorHAnsi"/>
        </w:rPr>
      </w:pPr>
      <w:r w:rsidRPr="00165693">
        <w:rPr>
          <w:rFonts w:eastAsiaTheme="minorHAnsi"/>
        </w:rPr>
        <w:t>Details of specific contingent assets and liabilities, defined as possible assets or liabilities that arise from past events, whose existence will be confirme</w:t>
      </w:r>
      <w:r>
        <w:rPr>
          <w:rFonts w:eastAsiaTheme="minorHAnsi"/>
        </w:rPr>
        <w:t>d only by the occurrence or non</w:t>
      </w:r>
      <w:r>
        <w:rPr>
          <w:rFonts w:eastAsiaTheme="minorHAnsi"/>
        </w:rPr>
        <w:noBreakHyphen/>
      </w:r>
      <w:r w:rsidRPr="00165693">
        <w:rPr>
          <w:rFonts w:eastAsiaTheme="minorHAnsi"/>
        </w:rPr>
        <w:t xml:space="preserve">occurrence of one or more uncertain future events not wholly within the control of the entity, are contained within Budget Paper </w:t>
      </w:r>
      <w:r>
        <w:rPr>
          <w:rFonts w:eastAsiaTheme="minorHAnsi"/>
        </w:rPr>
        <w:t>No. </w:t>
      </w:r>
      <w:r w:rsidRPr="00165693">
        <w:rPr>
          <w:rFonts w:eastAsiaTheme="minorHAnsi"/>
        </w:rPr>
        <w:t xml:space="preserve">5, Chapter 6 </w:t>
      </w:r>
      <w:r w:rsidRPr="000F2C15">
        <w:rPr>
          <w:rFonts w:eastAsiaTheme="minorHAnsi"/>
          <w:i/>
        </w:rPr>
        <w:t>Contingent assets and contingent liabilities.</w:t>
      </w:r>
    </w:p>
    <w:p w:rsidR="007A09DB" w:rsidRDefault="007A09DB">
      <w:pPr>
        <w:spacing w:after="0"/>
        <w:rPr>
          <w:rFonts w:ascii="Calibri" w:eastAsiaTheme="minorHAnsi" w:hAnsi="Calibri"/>
          <w:b/>
          <w:i/>
          <w:kern w:val="28"/>
          <w:sz w:val="24"/>
          <w:szCs w:val="22"/>
        </w:rPr>
      </w:pPr>
      <w:r>
        <w:rPr>
          <w:rFonts w:eastAsiaTheme="minorHAnsi"/>
        </w:rPr>
        <w:br w:type="page"/>
      </w:r>
    </w:p>
    <w:p w:rsidR="007A09DB" w:rsidRPr="00165693" w:rsidRDefault="007A09DB" w:rsidP="000F2C15">
      <w:pPr>
        <w:pStyle w:val="Heading3"/>
        <w:rPr>
          <w:rFonts w:eastAsiaTheme="minorHAnsi"/>
        </w:rPr>
      </w:pPr>
      <w:bookmarkStart w:id="75" w:name="BP2GenFiscalRisk1"/>
      <w:r w:rsidRPr="00165693">
        <w:rPr>
          <w:rFonts w:eastAsiaTheme="minorHAnsi"/>
        </w:rPr>
        <w:t>General fiscal risks</w:t>
      </w:r>
    </w:p>
    <w:p w:rsidR="007A09DB" w:rsidRPr="00822982" w:rsidRDefault="007A09DB" w:rsidP="00822982">
      <w:pPr>
        <w:pStyle w:val="Heading4"/>
        <w:rPr>
          <w:rFonts w:eastAsiaTheme="minorHAnsi"/>
        </w:rPr>
      </w:pPr>
      <w:r w:rsidRPr="00165693">
        <w:rPr>
          <w:rFonts w:eastAsiaTheme="minorHAnsi"/>
        </w:rPr>
        <w:t>State taxes</w:t>
      </w:r>
    </w:p>
    <w:p w:rsidR="007A09DB" w:rsidRPr="00165693" w:rsidRDefault="007A09DB" w:rsidP="00D473EA">
      <w:pPr>
        <w:rPr>
          <w:rFonts w:eastAsiaTheme="minorHAnsi"/>
        </w:rPr>
      </w:pPr>
      <w:r w:rsidRPr="00165693">
        <w:rPr>
          <w:rFonts w:eastAsiaTheme="minorHAnsi"/>
        </w:rPr>
        <w:t>State tax forecasts are primarily based on an estimated relationship between taxation revenue</w:t>
      </w:r>
      <w:r>
        <w:rPr>
          <w:rFonts w:eastAsiaTheme="minorHAnsi"/>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rFonts w:eastAsiaTheme="minorHAnsi"/>
        </w:rPr>
        <w:fldChar w:fldCharType="end"/>
      </w:r>
      <w:r w:rsidRPr="00165693">
        <w:rPr>
          <w:rFonts w:eastAsiaTheme="minorHAnsi"/>
        </w:rPr>
        <w:t xml:space="preserve"> and projected economic variables. As a result, the main source of risk to the taxation estimates is the economic environment.</w:t>
      </w:r>
    </w:p>
    <w:p w:rsidR="007A09DB" w:rsidRPr="00165693" w:rsidRDefault="007A09DB" w:rsidP="00D473EA">
      <w:pPr>
        <w:rPr>
          <w:rFonts w:eastAsiaTheme="minorHAnsi"/>
        </w:rPr>
      </w:pPr>
      <w:r w:rsidRPr="00165693">
        <w:rPr>
          <w:rFonts w:eastAsiaTheme="minorHAnsi"/>
        </w:rPr>
        <w:t>For example, higher than expected economic activity or inflation will tend to lead to higher taxation revenue</w:t>
      </w:r>
      <w:r>
        <w:rPr>
          <w:rFonts w:eastAsiaTheme="minorHAnsi"/>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rFonts w:eastAsiaTheme="minorHAnsi"/>
        </w:rPr>
        <w:fldChar w:fldCharType="end"/>
      </w:r>
      <w:r w:rsidRPr="00165693">
        <w:rPr>
          <w:rFonts w:eastAsiaTheme="minorHAnsi"/>
        </w:rPr>
        <w:t>. Specific economic risks</w:t>
      </w:r>
      <w:r>
        <w:rPr>
          <w:rFonts w:eastAsiaTheme="minorHAnsi"/>
        </w:rPr>
        <w:fldChar w:fldCharType="begin"/>
      </w:r>
      <w:r>
        <w:instrText xml:space="preserve"> XE "</w:instrText>
      </w:r>
      <w:r w:rsidRPr="00E57836">
        <w:rPr>
          <w:rFonts w:eastAsiaTheme="minorHAnsi"/>
        </w:rPr>
        <w:instrText>Risks:</w:instrText>
      </w:r>
      <w:r w:rsidRPr="00E57836">
        <w:instrText>Economic</w:instrText>
      </w:r>
      <w:r>
        <w:instrText xml:space="preserve">" </w:instrText>
      </w:r>
      <w:r>
        <w:rPr>
          <w:rFonts w:eastAsiaTheme="minorHAnsi"/>
        </w:rPr>
        <w:fldChar w:fldCharType="end"/>
      </w:r>
      <w:r w:rsidRPr="00165693">
        <w:rPr>
          <w:rFonts w:eastAsiaTheme="minorHAnsi"/>
        </w:rPr>
        <w:t xml:space="preserve"> are presented in Chapter 2 </w:t>
      </w:r>
      <w:r w:rsidRPr="000F2C15">
        <w:rPr>
          <w:rFonts w:eastAsiaTheme="minorHAnsi"/>
          <w:i/>
        </w:rPr>
        <w:t>Economic context</w:t>
      </w:r>
      <w:r w:rsidRPr="00165693">
        <w:rPr>
          <w:rFonts w:eastAsiaTheme="minorHAnsi"/>
        </w:rPr>
        <w:t xml:space="preserve"> and the fiscal implications of variations in economic parameters from forecasts are considered in Appendix A </w:t>
      </w:r>
      <w:r w:rsidRPr="000F2C15">
        <w:rPr>
          <w:rFonts w:eastAsiaTheme="minorHAnsi"/>
          <w:i/>
        </w:rPr>
        <w:t>Sensitivity analysis</w:t>
      </w:r>
      <w:r w:rsidRPr="00165693">
        <w:rPr>
          <w:rFonts w:eastAsiaTheme="minorHAnsi"/>
        </w:rPr>
        <w:t>.</w:t>
      </w:r>
    </w:p>
    <w:p w:rsidR="007A09DB" w:rsidRDefault="007A09DB" w:rsidP="00D473EA">
      <w:pPr>
        <w:rPr>
          <w:rFonts w:eastAsiaTheme="minorHAnsi"/>
        </w:rPr>
      </w:pPr>
      <w:r w:rsidRPr="00760408">
        <w:rPr>
          <w:rFonts w:eastAsiaTheme="minorHAnsi"/>
        </w:rPr>
        <w:t>There is also the risk of changes in the relationship between the economic variables and taxation revenue</w:t>
      </w:r>
      <w:r>
        <w:rPr>
          <w:rFonts w:eastAsiaTheme="minorHAnsi"/>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rFonts w:eastAsiaTheme="minorHAnsi"/>
        </w:rPr>
        <w:fldChar w:fldCharType="end"/>
      </w:r>
      <w:r w:rsidRPr="00760408">
        <w:rPr>
          <w:rFonts w:eastAsiaTheme="minorHAnsi"/>
        </w:rPr>
        <w:t xml:space="preserve"> (such as between consumer spending</w:t>
      </w:r>
      <w:r>
        <w:rPr>
          <w:rFonts w:eastAsiaTheme="minorHAnsi"/>
        </w:rPr>
        <w:fldChar w:fldCharType="begin"/>
      </w:r>
      <w:r>
        <w:instrText xml:space="preserve"> XE "</w:instrText>
      </w:r>
      <w:r w:rsidRPr="00474088">
        <w:rPr>
          <w:rFonts w:eastAsiaTheme="minorHAnsi"/>
        </w:rPr>
        <w:instrText>Consumer spending</w:instrText>
      </w:r>
      <w:r>
        <w:instrText xml:space="preserve">" </w:instrText>
      </w:r>
      <w:r>
        <w:rPr>
          <w:rFonts w:eastAsiaTheme="minorHAnsi"/>
        </w:rPr>
        <w:fldChar w:fldCharType="end"/>
      </w:r>
      <w:r w:rsidRPr="00760408">
        <w:rPr>
          <w:rFonts w:eastAsiaTheme="minorHAnsi"/>
        </w:rPr>
        <w:t xml:space="preserve"> and motor vehicle taxes</w:t>
      </w:r>
      <w:r>
        <w:rPr>
          <w:rFonts w:eastAsiaTheme="minorHAnsi"/>
        </w:rPr>
        <w:fldChar w:fldCharType="begin"/>
      </w:r>
      <w:r>
        <w:instrText xml:space="preserve"> XE "</w:instrText>
      </w:r>
      <w:r w:rsidRPr="000D0025">
        <w:rPr>
          <w:rFonts w:eastAsiaTheme="minorHAnsi"/>
        </w:rPr>
        <w:instrText>Taxation:</w:instrText>
      </w:r>
      <w:r w:rsidRPr="000D0025">
        <w:instrText>Motor vehicle</w:instrText>
      </w:r>
      <w:r>
        <w:instrText xml:space="preserve">" </w:instrText>
      </w:r>
      <w:r>
        <w:rPr>
          <w:rFonts w:eastAsiaTheme="minorHAnsi"/>
        </w:rPr>
        <w:fldChar w:fldCharType="end"/>
      </w:r>
      <w:r w:rsidRPr="00760408">
        <w:rPr>
          <w:rFonts w:eastAsiaTheme="minorHAnsi"/>
        </w:rPr>
        <w:t>, or between employment and 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rsidRPr="00760408">
        <w:rPr>
          <w:rFonts w:eastAsiaTheme="minorHAnsi"/>
        </w:rPr>
        <w:t>). Some state taxes, such as land transfer duty</w:t>
      </w:r>
      <w:r>
        <w:rPr>
          <w:rFonts w:eastAsiaTheme="minorHAnsi"/>
        </w:rPr>
        <w:fldChar w:fldCharType="begin"/>
      </w:r>
      <w:r>
        <w:instrText xml:space="preserve"> XE "</w:instrText>
      </w:r>
      <w:r w:rsidRPr="00495035">
        <w:rPr>
          <w:rFonts w:eastAsiaTheme="minorHAnsi"/>
        </w:rPr>
        <w:instrText>Land transfer duty</w:instrText>
      </w:r>
      <w:r>
        <w:instrText xml:space="preserve">" </w:instrText>
      </w:r>
      <w:r>
        <w:rPr>
          <w:rFonts w:eastAsiaTheme="minorHAnsi"/>
        </w:rP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rsidRPr="00760408">
        <w:rPr>
          <w:rFonts w:eastAsiaTheme="minorHAnsi"/>
        </w:rPr>
        <w:t>, are sourced from relatively volatile tax bases, and revenue from these sources may be subject to substantial annual variations.</w:t>
      </w:r>
    </w:p>
    <w:p w:rsidR="007A09DB" w:rsidRPr="00165693" w:rsidRDefault="007A09DB" w:rsidP="000F2C15">
      <w:pPr>
        <w:pStyle w:val="Heading4"/>
        <w:rPr>
          <w:rFonts w:eastAsiaTheme="minorHAnsi"/>
        </w:rPr>
      </w:pPr>
      <w:r w:rsidRPr="00165693">
        <w:rPr>
          <w:rFonts w:eastAsiaTheme="minorHAnsi"/>
        </w:rPr>
        <w:t>Employee expenses</w:t>
      </w:r>
    </w:p>
    <w:p w:rsidR="007A09DB" w:rsidRDefault="007A09DB" w:rsidP="00165693">
      <w:pPr>
        <w:rPr>
          <w:rFonts w:eastAsiaTheme="minorHAnsi"/>
        </w:rPr>
      </w:pPr>
      <w:r w:rsidRPr="00165693">
        <w:rPr>
          <w:rFonts w:eastAsiaTheme="minorHAnsi"/>
        </w:rPr>
        <w:t xml:space="preserve">Employee expenses are </w:t>
      </w:r>
      <w:r>
        <w:rPr>
          <w:rFonts w:eastAsiaTheme="minorHAnsi"/>
        </w:rPr>
        <w:t xml:space="preserve">always </w:t>
      </w:r>
      <w:r w:rsidRPr="00165693">
        <w:rPr>
          <w:rFonts w:eastAsiaTheme="minorHAnsi"/>
        </w:rPr>
        <w:t>the State</w:t>
      </w:r>
      <w:r>
        <w:rPr>
          <w:rFonts w:eastAsiaTheme="minorHAnsi"/>
        </w:rPr>
        <w:t>’</w:t>
      </w:r>
      <w:r w:rsidRPr="00165693">
        <w:rPr>
          <w:rFonts w:eastAsiaTheme="minorHAnsi"/>
        </w:rPr>
        <w:t>s largest expense. Wages</w:t>
      </w: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sidRPr="00165693">
        <w:rPr>
          <w:rFonts w:eastAsiaTheme="minorHAnsi"/>
        </w:rPr>
        <w:t xml:space="preserve"> policy sets the framework for enterprise agreement negotiations and in part contributes to the projection of employee expenses.</w:t>
      </w:r>
      <w:r>
        <w:rPr>
          <w:rFonts w:eastAsiaTheme="minorHAnsi"/>
        </w:rPr>
        <w:t xml:space="preserve"> The composition and profile of the workforce, and rostering arrangements also contribute to the projection of employee expenses.</w:t>
      </w:r>
    </w:p>
    <w:p w:rsidR="007A09DB" w:rsidRPr="00165693" w:rsidRDefault="007A09DB" w:rsidP="000F2C15">
      <w:pPr>
        <w:pStyle w:val="Heading4"/>
        <w:rPr>
          <w:rFonts w:eastAsiaTheme="minorHAnsi"/>
        </w:rPr>
      </w:pPr>
      <w:r w:rsidRPr="00165693">
        <w:rPr>
          <w:rFonts w:eastAsiaTheme="minorHAnsi"/>
        </w:rPr>
        <w:t>Demand growth</w:t>
      </w:r>
    </w:p>
    <w:p w:rsidR="007A09DB" w:rsidRPr="002E3737" w:rsidRDefault="007A09DB" w:rsidP="002E3737">
      <w:pPr>
        <w:rPr>
          <w:rFonts w:eastAsiaTheme="minorHAnsi"/>
        </w:rPr>
      </w:pPr>
      <w:r w:rsidRPr="002E3737">
        <w:rPr>
          <w:rFonts w:eastAsiaTheme="minorHAnsi"/>
        </w:rPr>
        <w:t>Another key risk is growth in demand for government services exceeding current projections. This can occur, for example, as a result of higher than forecast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2E3737">
        <w:rPr>
          <w:rFonts w:eastAsiaTheme="minorHAnsi"/>
        </w:rPr>
        <w:t xml:space="preserve"> or expenditure in response to unforeseen events such as natural disasters, including bushfires and floods. </w:t>
      </w:r>
    </w:p>
    <w:p w:rsidR="007A09DB" w:rsidRPr="002E3737" w:rsidRDefault="007A09DB" w:rsidP="002E3737">
      <w:pPr>
        <w:rPr>
          <w:rFonts w:eastAsiaTheme="minorHAnsi"/>
        </w:rPr>
      </w:pPr>
      <w:r w:rsidRPr="002E3737">
        <w:rPr>
          <w:rFonts w:eastAsiaTheme="minorHAnsi"/>
        </w:rPr>
        <w:t>The estimates incorporate contingency provisions to mitigate the impact of expenditure risks</w:t>
      </w:r>
      <w:r>
        <w:rPr>
          <w:rFonts w:eastAsiaTheme="minorHAnsi"/>
        </w:rPr>
        <w:fldChar w:fldCharType="begin"/>
      </w:r>
      <w:r>
        <w:instrText xml:space="preserve"> XE "</w:instrText>
      </w:r>
      <w:r w:rsidRPr="008C07F7">
        <w:rPr>
          <w:rFonts w:eastAsiaTheme="minorHAnsi"/>
        </w:rPr>
        <w:instrText>Risks:</w:instrText>
      </w:r>
      <w:r w:rsidRPr="008C07F7">
        <w:instrText>Expenditure</w:instrText>
      </w:r>
      <w:r>
        <w:instrText xml:space="preserve">" </w:instrText>
      </w:r>
      <w:r>
        <w:rPr>
          <w:rFonts w:eastAsiaTheme="minorHAnsi"/>
        </w:rPr>
        <w:fldChar w:fldCharType="end"/>
      </w:r>
      <w:r w:rsidRPr="002E3737">
        <w:rPr>
          <w:rFonts w:eastAsiaTheme="minorHAnsi"/>
        </w:rPr>
        <w:t xml:space="preserve"> which may be realised during the budget and forward estimates. The contingency provisions are designed to address the likely growth in Victoria</w:t>
      </w:r>
      <w:r>
        <w:rPr>
          <w:rFonts w:eastAsiaTheme="minorHAnsi"/>
        </w:rPr>
        <w:t>’</w:t>
      </w:r>
      <w:r w:rsidRPr="002E3737">
        <w:rPr>
          <w:rFonts w:eastAsiaTheme="minorHAnsi"/>
        </w:rPr>
        <w:t>s population and consequent derived demand for government services.</w:t>
      </w:r>
    </w:p>
    <w:p w:rsidR="007A09DB" w:rsidRPr="00165693" w:rsidRDefault="007A09DB" w:rsidP="002E3737">
      <w:pPr>
        <w:rPr>
          <w:rFonts w:eastAsiaTheme="minorHAnsi"/>
        </w:rPr>
      </w:pPr>
      <w:r w:rsidRPr="002E3737">
        <w:rPr>
          <w:rFonts w:eastAsiaTheme="minorHAnsi"/>
        </w:rPr>
        <w:t>In the longer term, the demand for services is expected to come under increasing pressure due to demographic pressures such as an ageing population. The Government will need to become increasingly efficient and innovative in the delivery of services to ensure that key priorities can continue to be met.</w:t>
      </w:r>
      <w:r w:rsidR="0078635B">
        <w:rPr>
          <w:rFonts w:eastAsiaTheme="minorHAnsi"/>
        </w:rPr>
        <w:fldChar w:fldCharType="begin"/>
      </w:r>
      <w:r w:rsidR="0078635B">
        <w:instrText xml:space="preserve"> XE "</w:instrText>
      </w:r>
      <w:r w:rsidR="0078635B" w:rsidRPr="006C5FF2">
        <w:rPr>
          <w:rFonts w:eastAsiaTheme="minorHAnsi"/>
        </w:rPr>
        <w:instrText>General fiscal risks</w:instrText>
      </w:r>
      <w:r w:rsidR="0078635B">
        <w:instrText xml:space="preserve">" \r "BP2GenFiscalRisk1" </w:instrText>
      </w:r>
      <w:r w:rsidR="0078635B">
        <w:rPr>
          <w:rFonts w:eastAsiaTheme="minorHAnsi"/>
        </w:rPr>
        <w:fldChar w:fldCharType="end"/>
      </w:r>
    </w:p>
    <w:bookmarkEnd w:id="75"/>
    <w:p w:rsidR="007A09DB" w:rsidRDefault="007A09DB">
      <w:pPr>
        <w:spacing w:after="0"/>
        <w:rPr>
          <w:rFonts w:ascii="Calibri" w:eastAsiaTheme="minorHAnsi" w:hAnsi="Calibri"/>
          <w:b/>
          <w:i/>
          <w:kern w:val="28"/>
          <w:sz w:val="24"/>
          <w:szCs w:val="22"/>
        </w:rPr>
      </w:pPr>
      <w:r>
        <w:rPr>
          <w:rFonts w:eastAsiaTheme="minorHAnsi"/>
        </w:rPr>
        <w:br w:type="page"/>
      </w:r>
    </w:p>
    <w:p w:rsidR="007A09DB" w:rsidRPr="00165693" w:rsidRDefault="007A09DB" w:rsidP="000F2C15">
      <w:pPr>
        <w:pStyle w:val="Heading3"/>
        <w:rPr>
          <w:rFonts w:eastAsiaTheme="minorHAnsi"/>
        </w:rPr>
      </w:pPr>
      <w:r w:rsidRPr="00165693">
        <w:rPr>
          <w:rFonts w:eastAsiaTheme="minorHAnsi"/>
        </w:rPr>
        <w:t>Specific fiscal risks</w:t>
      </w:r>
    </w:p>
    <w:p w:rsidR="007A09DB" w:rsidRPr="00165693" w:rsidRDefault="007A09DB" w:rsidP="000F2C15">
      <w:pPr>
        <w:pStyle w:val="Heading4"/>
        <w:rPr>
          <w:rFonts w:eastAsiaTheme="minorHAnsi"/>
        </w:rPr>
      </w:pPr>
      <w:bookmarkStart w:id="76" w:name="BP2Insurance1"/>
      <w:r w:rsidRPr="00165693">
        <w:rPr>
          <w:rFonts w:eastAsiaTheme="minorHAnsi"/>
        </w:rPr>
        <w:t>National Disability Insurance Scheme</w:t>
      </w:r>
    </w:p>
    <w:p w:rsidR="007A09DB" w:rsidRPr="00165693" w:rsidRDefault="007A09DB" w:rsidP="00165693">
      <w:pPr>
        <w:rPr>
          <w:rFonts w:eastAsiaTheme="minorHAnsi"/>
        </w:rPr>
      </w:pPr>
      <w:r>
        <w:rPr>
          <w:rFonts w:eastAsiaTheme="minorHAnsi"/>
        </w:rPr>
        <w:fldChar w:fldCharType="begin"/>
      </w:r>
      <w:r>
        <w:instrText xml:space="preserve"> XE "</w:instrText>
      </w:r>
      <w:r w:rsidRPr="00CD3CAB">
        <w:rPr>
          <w:rFonts w:eastAsiaTheme="minorHAnsi"/>
        </w:rPr>
        <w:instrText>National Disability Insurance Scheme</w:instrText>
      </w:r>
      <w:r>
        <w:instrText xml:space="preserve">" </w:instrText>
      </w:r>
      <w:r>
        <w:rPr>
          <w:rFonts w:eastAsiaTheme="minorHAnsi"/>
        </w:rPr>
        <w:fldChar w:fldCharType="end"/>
      </w:r>
      <w:r w:rsidRPr="006C7F07">
        <w:rPr>
          <w:rFonts w:eastAsiaTheme="minorHAnsi"/>
        </w:rPr>
        <w:t xml:space="preserve">Victoria </w:t>
      </w:r>
      <w:r>
        <w:rPr>
          <w:rFonts w:eastAsiaTheme="minorHAnsi"/>
        </w:rPr>
        <w:t>hosts</w:t>
      </w:r>
      <w:r w:rsidRPr="006C7F07">
        <w:rPr>
          <w:rFonts w:eastAsiaTheme="minorHAnsi"/>
        </w:rPr>
        <w:t xml:space="preserve"> a launch site for the National Disability Insurance Scheme</w:t>
      </w:r>
      <w:r>
        <w:rPr>
          <w:rFonts w:eastAsiaTheme="minorHAnsi"/>
        </w:rPr>
        <w:fldChar w:fldCharType="begin"/>
      </w:r>
      <w:r>
        <w:instrText xml:space="preserve"> XE "</w:instrText>
      </w:r>
      <w:r w:rsidRPr="00CD3CAB">
        <w:rPr>
          <w:rFonts w:eastAsiaTheme="minorHAnsi"/>
        </w:rPr>
        <w:instrText>National Disability Insurance Scheme</w:instrText>
      </w:r>
      <w:r>
        <w:instrText xml:space="preserve">" </w:instrText>
      </w:r>
      <w:r>
        <w:rPr>
          <w:rFonts w:eastAsiaTheme="minorHAnsi"/>
        </w:rPr>
        <w:fldChar w:fldCharType="end"/>
      </w:r>
      <w:r w:rsidRPr="006C7F07">
        <w:rPr>
          <w:rFonts w:eastAsiaTheme="minorHAnsi"/>
        </w:rPr>
        <w:t xml:space="preserve"> (NDIS), which will provide useful information to guide the roll out of the full scheme across the State </w:t>
      </w:r>
      <w:r>
        <w:rPr>
          <w:rFonts w:eastAsiaTheme="minorHAnsi"/>
        </w:rPr>
        <w:t>from July 2016, to be completed by</w:t>
      </w:r>
      <w:r w:rsidRPr="006C7F07">
        <w:rPr>
          <w:rFonts w:eastAsiaTheme="minorHAnsi"/>
        </w:rPr>
        <w:t xml:space="preserve"> July 2019. On 16 September 2015, the Commonwealth and Victorian Governments signed the Bilateral Agreement for the Transition to a National Disability Insurance Scheme. From 2019</w:t>
      </w:r>
      <w:r>
        <w:rPr>
          <w:rFonts w:eastAsiaTheme="minorHAnsi"/>
        </w:rPr>
        <w:noBreakHyphen/>
      </w:r>
      <w:r w:rsidRPr="006C7F07">
        <w:rPr>
          <w:rFonts w:eastAsiaTheme="minorHAnsi"/>
        </w:rPr>
        <w:t>20, Victoria</w:t>
      </w:r>
      <w:r>
        <w:rPr>
          <w:rFonts w:eastAsiaTheme="minorHAnsi"/>
        </w:rPr>
        <w:t>’</w:t>
      </w:r>
      <w:r w:rsidRPr="006C7F07">
        <w:rPr>
          <w:rFonts w:eastAsiaTheme="minorHAnsi"/>
        </w:rPr>
        <w:t>s investment in disability care and support will increase to an estimated $2.5</w:t>
      </w:r>
      <w:r>
        <w:rPr>
          <w:rFonts w:eastAsiaTheme="minorHAnsi"/>
        </w:rPr>
        <w:t> billion</w:t>
      </w:r>
      <w:r w:rsidRPr="006C7F07">
        <w:rPr>
          <w:rFonts w:eastAsiaTheme="minorHAnsi"/>
        </w:rPr>
        <w:t xml:space="preserve"> a year, with the Commonwealth providing around $2.6</w:t>
      </w:r>
      <w:r>
        <w:rPr>
          <w:rFonts w:eastAsiaTheme="minorHAnsi"/>
        </w:rPr>
        <w:t> billion</w:t>
      </w:r>
      <w:r w:rsidRPr="006C7F07">
        <w:rPr>
          <w:rFonts w:eastAsiaTheme="minorHAnsi"/>
        </w:rPr>
        <w:t xml:space="preserve"> a year. Victoria will continue to work with the Commonwealth to monitor and manage any risks associated with implementing the full scheme.</w:t>
      </w:r>
    </w:p>
    <w:p w:rsidR="007A09DB" w:rsidRPr="00165693" w:rsidRDefault="007A09DB" w:rsidP="000F2C15">
      <w:pPr>
        <w:pStyle w:val="Heading4"/>
        <w:rPr>
          <w:rFonts w:eastAsiaTheme="minorHAnsi"/>
        </w:rPr>
      </w:pPr>
      <w:r w:rsidRPr="00165693">
        <w:rPr>
          <w:rFonts w:eastAsiaTheme="minorHAnsi"/>
        </w:rPr>
        <w:t>National Injury Insurance Scheme</w:t>
      </w:r>
    </w:p>
    <w:p w:rsidR="007A09DB" w:rsidRPr="00165693" w:rsidRDefault="007A09DB" w:rsidP="00165693">
      <w:pPr>
        <w:rPr>
          <w:rFonts w:eastAsiaTheme="minorHAnsi"/>
        </w:rPr>
      </w:pPr>
      <w:r w:rsidRPr="006C7F07">
        <w:rPr>
          <w:rFonts w:eastAsiaTheme="minorHAnsi"/>
        </w:rPr>
        <w:t>The Productivity Commission recommended the establishment of a National Injury Insurance Scheme (NIIS) to support people who suffer catastrophic injuries. The Commonwealth Government expects the State to fund the total cost in Victoria of a NIIS, as well as contribute to the cost of the NDIS. Victoria already provides support for people injured in motor vehicle and workplace accidents, and is discussing other streams of a NIIS with other jurisdictions but has not agreed to implement them.</w:t>
      </w:r>
      <w:r>
        <w:rPr>
          <w:rFonts w:eastAsiaTheme="minorHAnsi"/>
        </w:rPr>
        <w:fldChar w:fldCharType="begin"/>
      </w:r>
      <w:r>
        <w:instrText xml:space="preserve"> XE "</w:instrText>
      </w:r>
      <w:r w:rsidRPr="00E67DB0">
        <w:rPr>
          <w:rFonts w:eastAsiaTheme="minorHAnsi"/>
        </w:rPr>
        <w:instrText>Insurance</w:instrText>
      </w:r>
      <w:r>
        <w:instrText xml:space="preserve">" \r "BP2Insurance1" </w:instrText>
      </w:r>
      <w:r>
        <w:rPr>
          <w:rFonts w:eastAsiaTheme="minorHAnsi"/>
        </w:rPr>
        <w:fldChar w:fldCharType="end"/>
      </w:r>
    </w:p>
    <w:bookmarkEnd w:id="76"/>
    <w:p w:rsidR="007A09DB" w:rsidRPr="00165693" w:rsidRDefault="007A09DB" w:rsidP="000F2C15">
      <w:pPr>
        <w:pStyle w:val="Heading4"/>
        <w:rPr>
          <w:rFonts w:eastAsiaTheme="minorHAnsi"/>
        </w:rPr>
      </w:pPr>
      <w:r w:rsidRPr="00165693">
        <w:rPr>
          <w:rFonts w:eastAsiaTheme="minorHAnsi"/>
        </w:rPr>
        <w:t>Commonwealth schools</w:t>
      </w:r>
      <w:r>
        <w:rPr>
          <w:rFonts w:eastAsiaTheme="minorHAnsi"/>
        </w:rPr>
        <w:fldChar w:fldCharType="begin"/>
      </w:r>
      <w:r>
        <w:instrText xml:space="preserve"> XE "</w:instrText>
      </w:r>
      <w:r w:rsidRPr="00593B40">
        <w:instrText>Education:Schools</w:instrText>
      </w:r>
      <w:r>
        <w:instrText xml:space="preserve">" </w:instrText>
      </w:r>
      <w:r>
        <w:rPr>
          <w:rFonts w:eastAsiaTheme="minorHAnsi"/>
        </w:rPr>
        <w:fldChar w:fldCharType="end"/>
      </w:r>
      <w:r w:rsidRPr="00165693">
        <w:rPr>
          <w:rFonts w:eastAsiaTheme="minorHAnsi"/>
        </w:rPr>
        <w:t xml:space="preserve"> funding</w:t>
      </w:r>
    </w:p>
    <w:p w:rsidR="007A09DB" w:rsidRPr="00165693" w:rsidRDefault="007A09DB" w:rsidP="00165693">
      <w:pPr>
        <w:rPr>
          <w:rFonts w:eastAsiaTheme="minorHAnsi"/>
        </w:rPr>
      </w:pPr>
      <w:r w:rsidRPr="006C7F07">
        <w:rPr>
          <w:rFonts w:eastAsiaTheme="minorHAnsi"/>
        </w:rPr>
        <w:t xml:space="preserve">While final State allocations for the 2018 and 2019 school years are still subject to negotiation, the </w:t>
      </w:r>
      <w:r w:rsidRPr="002E3737">
        <w:rPr>
          <w:rFonts w:eastAsiaTheme="minorHAnsi"/>
          <w:i/>
        </w:rPr>
        <w:t>2014</w:t>
      </w:r>
      <w:r>
        <w:rPr>
          <w:rFonts w:eastAsiaTheme="minorHAnsi"/>
        </w:rPr>
        <w:noBreakHyphen/>
      </w:r>
      <w:r w:rsidRPr="002E3737">
        <w:rPr>
          <w:rFonts w:eastAsiaTheme="minorHAnsi"/>
          <w:i/>
        </w:rPr>
        <w:t>15 Commonwealth Budget</w:t>
      </w:r>
      <w:r w:rsidRPr="006C7F07">
        <w:rPr>
          <w:rFonts w:eastAsiaTheme="minorHAnsi"/>
        </w:rPr>
        <w:t xml:space="preserve"> indicated that Commonwealth funding for Victorian schools</w:t>
      </w:r>
      <w:r>
        <w:rPr>
          <w:rFonts w:eastAsiaTheme="minorHAnsi"/>
        </w:rPr>
        <w:fldChar w:fldCharType="begin"/>
      </w:r>
      <w:r>
        <w:instrText xml:space="preserve"> XE "</w:instrText>
      </w:r>
      <w:r w:rsidRPr="00593B40">
        <w:instrText>Education:Schools</w:instrText>
      </w:r>
      <w:r>
        <w:instrText xml:space="preserve">" </w:instrText>
      </w:r>
      <w:r>
        <w:rPr>
          <w:rFonts w:eastAsiaTheme="minorHAnsi"/>
        </w:rPr>
        <w:fldChar w:fldCharType="end"/>
      </w:r>
      <w:r w:rsidRPr="006C7F07">
        <w:rPr>
          <w:rFonts w:eastAsiaTheme="minorHAnsi"/>
        </w:rPr>
        <w:t xml:space="preserve"> would be reduced to the rate of growth of the consumer price index</w:t>
      </w:r>
      <w:r>
        <w:rPr>
          <w:rFonts w:eastAsiaTheme="minorHAnsi"/>
        </w:rPr>
        <w:fldChar w:fldCharType="begin"/>
      </w:r>
      <w:r>
        <w:instrText xml:space="preserve"> XE "</w:instrText>
      </w:r>
      <w:r w:rsidRPr="00396261">
        <w:instrText>Inflation:Consumer price index</w:instrText>
      </w:r>
      <w:r>
        <w:instrText xml:space="preserve">" </w:instrText>
      </w:r>
      <w:r>
        <w:rPr>
          <w:rFonts w:eastAsiaTheme="minorHAnsi"/>
        </w:rPr>
        <w:fldChar w:fldCharType="end"/>
      </w:r>
      <w:r w:rsidRPr="006C7F07">
        <w:rPr>
          <w:rFonts w:eastAsiaTheme="minorHAnsi"/>
        </w:rPr>
        <w:t>, plus an adjustment for enrolment growth. This will significantly reduce Commonwealth growth funding to Victoria from 2017</w:t>
      </w:r>
      <w:r>
        <w:rPr>
          <w:rFonts w:eastAsiaTheme="minorHAnsi"/>
        </w:rPr>
        <w:noBreakHyphen/>
      </w:r>
      <w:r w:rsidRPr="006C7F07">
        <w:rPr>
          <w:rFonts w:eastAsiaTheme="minorHAnsi"/>
        </w:rPr>
        <w:t>18 onwards.</w:t>
      </w:r>
    </w:p>
    <w:p w:rsidR="007A09DB" w:rsidRPr="00165693" w:rsidRDefault="007A09DB" w:rsidP="000F2C15">
      <w:pPr>
        <w:pStyle w:val="Heading4"/>
        <w:rPr>
          <w:rFonts w:eastAsiaTheme="minorHAnsi"/>
        </w:rPr>
      </w:pPr>
      <w:r w:rsidRPr="00165693">
        <w:rPr>
          <w:rFonts w:eastAsiaTheme="minorHAnsi"/>
        </w:rPr>
        <w:t>Universal Access to Early Childhood Education</w:t>
      </w:r>
    </w:p>
    <w:p w:rsidR="007A09DB" w:rsidRPr="00165693" w:rsidRDefault="007A09DB" w:rsidP="00165693">
      <w:pPr>
        <w:rPr>
          <w:rFonts w:eastAsiaTheme="minorHAnsi"/>
        </w:rPr>
      </w:pPr>
      <w:r w:rsidRPr="002E3737">
        <w:rPr>
          <w:rFonts w:eastAsiaTheme="minorHAnsi"/>
        </w:rPr>
        <w:t>Commonwealth funding under the National Partnership Agreement on Universal Access to Early Childhood Education provides for one third of the 15 hours per week of pre</w:t>
      </w:r>
      <w:r>
        <w:rPr>
          <w:rFonts w:eastAsiaTheme="minorHAnsi"/>
        </w:rPr>
        <w:noBreakHyphen/>
      </w:r>
      <w:r w:rsidRPr="002E3737">
        <w:rPr>
          <w:rFonts w:eastAsiaTheme="minorHAnsi"/>
        </w:rPr>
        <w:t xml:space="preserve">school support per student. The </w:t>
      </w:r>
      <w:r w:rsidRPr="002E3737">
        <w:rPr>
          <w:rFonts w:eastAsiaTheme="minorHAnsi"/>
          <w:i/>
        </w:rPr>
        <w:t>2015</w:t>
      </w:r>
      <w:r>
        <w:rPr>
          <w:rFonts w:eastAsiaTheme="minorHAnsi"/>
        </w:rPr>
        <w:noBreakHyphen/>
      </w:r>
      <w:r w:rsidRPr="002E3737">
        <w:rPr>
          <w:rFonts w:eastAsiaTheme="minorHAnsi"/>
          <w:i/>
        </w:rPr>
        <w:t>16 Commonwealth Budget</w:t>
      </w:r>
      <w:r w:rsidRPr="002E3737">
        <w:rPr>
          <w:rFonts w:eastAsiaTheme="minorHAnsi"/>
        </w:rPr>
        <w:t xml:space="preserve"> indicated funding due to cease on 1 January 2016 will be continued to 31 December 2017, with ongoing Commonwealth funding uncertain.</w:t>
      </w:r>
    </w:p>
    <w:p w:rsidR="007A09DB" w:rsidRDefault="007A09DB">
      <w:pPr>
        <w:spacing w:after="0"/>
        <w:rPr>
          <w:rFonts w:ascii="Calibri" w:eastAsiaTheme="minorHAnsi" w:hAnsi="Calibri"/>
          <w:i/>
          <w:sz w:val="24"/>
          <w:szCs w:val="22"/>
        </w:rPr>
      </w:pPr>
      <w:r>
        <w:rPr>
          <w:rFonts w:eastAsiaTheme="minorHAnsi"/>
        </w:rPr>
        <w:br w:type="page"/>
      </w:r>
    </w:p>
    <w:p w:rsidR="007A09DB" w:rsidRPr="00165693" w:rsidRDefault="007A09DB" w:rsidP="000F2C15">
      <w:pPr>
        <w:pStyle w:val="Heading4"/>
        <w:rPr>
          <w:rFonts w:eastAsiaTheme="minorHAnsi"/>
        </w:rPr>
      </w:pPr>
      <w:r w:rsidRPr="00165693">
        <w:rPr>
          <w:rFonts w:eastAsiaTheme="minorHAnsi"/>
        </w:rPr>
        <w:t>National Health Reform</w:t>
      </w:r>
    </w:p>
    <w:p w:rsidR="007A09DB" w:rsidRPr="00F11402" w:rsidRDefault="007A09DB" w:rsidP="00F11402">
      <w:pPr>
        <w:rPr>
          <w:rFonts w:eastAsiaTheme="minorHAnsi"/>
        </w:rPr>
      </w:pPr>
      <w:r w:rsidRPr="00F11402">
        <w:rPr>
          <w:rFonts w:eastAsiaTheme="minorHAnsi"/>
        </w:rPr>
        <w:t xml:space="preserve">Under the National Health Reform Agreement (NHRA), Commonwealth growth funding is derived from a complex model based on the number of procedures delivered (activity) and an efficient price determined by an independent administrator. </w:t>
      </w:r>
    </w:p>
    <w:p w:rsidR="007A09DB" w:rsidRPr="00F11402" w:rsidRDefault="007A09DB" w:rsidP="00F11402">
      <w:pPr>
        <w:rPr>
          <w:rFonts w:eastAsiaTheme="minorHAnsi"/>
        </w:rPr>
      </w:pPr>
      <w:r w:rsidRPr="00F11402">
        <w:rPr>
          <w:rFonts w:eastAsiaTheme="minorHAnsi"/>
        </w:rPr>
        <w:t>These arrangements were scheduled to cease from 1 July 2017, however, in April 2016 the Commonwealth agreed to continue the NHRA until the end of 2019</w:t>
      </w:r>
      <w:r>
        <w:rPr>
          <w:rFonts w:eastAsiaTheme="minorHAnsi"/>
        </w:rPr>
        <w:noBreakHyphen/>
      </w:r>
      <w:r w:rsidRPr="00F11402">
        <w:rPr>
          <w:rFonts w:eastAsiaTheme="minorHAnsi"/>
        </w:rPr>
        <w:t>20. Conditions attached to the new agreement may increase fiscal risk for the State and are expected to include:</w:t>
      </w:r>
    </w:p>
    <w:p w:rsidR="007A09DB" w:rsidRPr="00F11402" w:rsidRDefault="007A09DB" w:rsidP="00F11402">
      <w:pPr>
        <w:pStyle w:val="BulletText"/>
        <w:rPr>
          <w:rFonts w:eastAsiaTheme="minorHAnsi"/>
        </w:rPr>
      </w:pPr>
      <w:r>
        <w:rPr>
          <w:rFonts w:eastAsiaTheme="minorHAnsi"/>
        </w:rPr>
        <w:t>a</w:t>
      </w:r>
      <w:r w:rsidRPr="00F11402">
        <w:rPr>
          <w:rFonts w:eastAsiaTheme="minorHAnsi"/>
        </w:rPr>
        <w:t xml:space="preserve"> national cap on Commonwealth annual expenditure growth of 6.5</w:t>
      </w:r>
      <w:r>
        <w:rPr>
          <w:rFonts w:eastAsiaTheme="minorHAnsi"/>
        </w:rPr>
        <w:t> per cent</w:t>
      </w:r>
      <w:r w:rsidRPr="00F11402">
        <w:rPr>
          <w:rFonts w:eastAsiaTheme="minorHAnsi"/>
        </w:rPr>
        <w:t xml:space="preserve"> (above which the State funds all hospital activity);</w:t>
      </w:r>
    </w:p>
    <w:p w:rsidR="007A09DB" w:rsidRPr="00F11402" w:rsidRDefault="007A09DB" w:rsidP="00F11402">
      <w:pPr>
        <w:pStyle w:val="BulletText"/>
        <w:rPr>
          <w:rFonts w:eastAsiaTheme="minorHAnsi"/>
        </w:rPr>
      </w:pPr>
      <w:r>
        <w:rPr>
          <w:rFonts w:eastAsiaTheme="minorHAnsi"/>
        </w:rPr>
        <w:t>t</w:t>
      </w:r>
      <w:r w:rsidRPr="00F11402">
        <w:rPr>
          <w:rFonts w:eastAsiaTheme="minorHAnsi"/>
        </w:rPr>
        <w:t>he efficient price paid by the Commonwealth will be adjusted to incorporate quality and safety indicators; and</w:t>
      </w:r>
    </w:p>
    <w:p w:rsidR="007A09DB" w:rsidRPr="00F11402" w:rsidRDefault="007A09DB" w:rsidP="00F11402">
      <w:pPr>
        <w:pStyle w:val="BulletText"/>
        <w:rPr>
          <w:rFonts w:eastAsiaTheme="minorHAnsi"/>
        </w:rPr>
      </w:pPr>
      <w:r>
        <w:rPr>
          <w:rFonts w:eastAsiaTheme="minorHAnsi"/>
        </w:rPr>
        <w:t>c</w:t>
      </w:r>
      <w:r w:rsidRPr="00F11402">
        <w:rPr>
          <w:rFonts w:eastAsiaTheme="minorHAnsi"/>
        </w:rPr>
        <w:t>oordinated care reforms may expose Victoria to jointly funding primary care programs.</w:t>
      </w:r>
    </w:p>
    <w:p w:rsidR="007A09DB" w:rsidRDefault="007A09DB" w:rsidP="00F11402">
      <w:pPr>
        <w:rPr>
          <w:rFonts w:eastAsiaTheme="minorHAnsi"/>
        </w:rPr>
      </w:pPr>
      <w:r w:rsidRPr="00F11402">
        <w:rPr>
          <w:rFonts w:eastAsiaTheme="minorHAnsi"/>
        </w:rPr>
        <w:t xml:space="preserve">Fiscal risks will become clearer once the details of the </w:t>
      </w:r>
      <w:r>
        <w:rPr>
          <w:rFonts w:eastAsiaTheme="minorHAnsi"/>
        </w:rPr>
        <w:t xml:space="preserve">new </w:t>
      </w:r>
      <w:r w:rsidRPr="00F11402">
        <w:rPr>
          <w:rFonts w:eastAsiaTheme="minorHAnsi"/>
        </w:rPr>
        <w:t>agreement are finali</w:t>
      </w:r>
      <w:r>
        <w:rPr>
          <w:rFonts w:eastAsiaTheme="minorHAnsi"/>
        </w:rPr>
        <w:t>sed.</w:t>
      </w:r>
    </w:p>
    <w:p w:rsidR="007A09DB" w:rsidRPr="00760408" w:rsidRDefault="007A09DB" w:rsidP="00760408">
      <w:pPr>
        <w:pStyle w:val="Heading4"/>
        <w:rPr>
          <w:rFonts w:eastAsiaTheme="minorHAnsi"/>
        </w:rPr>
      </w:pPr>
      <w:r w:rsidRPr="00760408">
        <w:rPr>
          <w:rFonts w:eastAsiaTheme="minorHAnsi"/>
        </w:rPr>
        <w:t>Victoria</w:t>
      </w:r>
      <w:r>
        <w:rPr>
          <w:rFonts w:eastAsiaTheme="minorHAnsi"/>
        </w:rPr>
        <w:t>’</w:t>
      </w:r>
      <w:r w:rsidRPr="00760408">
        <w:rPr>
          <w:rFonts w:eastAsiaTheme="minorHAnsi"/>
        </w:rPr>
        <w:t>s GST re</w:t>
      </w:r>
      <w:r>
        <w:rPr>
          <w:rFonts w:eastAsiaTheme="minorHAnsi"/>
        </w:rPr>
        <w:t>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p>
    <w:p w:rsidR="007A09DB" w:rsidRPr="00760408" w:rsidRDefault="007A09DB" w:rsidP="00ED6EF8">
      <w:pPr>
        <w:rPr>
          <w:rFonts w:eastAsiaTheme="minorHAnsi"/>
        </w:rPr>
      </w:pPr>
      <w:r w:rsidRPr="00760408">
        <w:rPr>
          <w:rFonts w:eastAsiaTheme="minorHAnsi"/>
        </w:rPr>
        <w:t>The distribution of GST grants</w:t>
      </w:r>
      <w:r>
        <w:rPr>
          <w:rFonts w:eastAsiaTheme="minorHAnsi"/>
        </w:rPr>
        <w:fldChar w:fldCharType="begin"/>
      </w:r>
      <w:r>
        <w:instrText xml:space="preserve"> XE "Grants:Goods and services tax" </w:instrText>
      </w:r>
      <w:r>
        <w:rPr>
          <w:rFonts w:eastAsiaTheme="minorHAnsi"/>
        </w:rPr>
        <w:fldChar w:fldCharType="end"/>
      </w:r>
      <w:r w:rsidRPr="00760408">
        <w:rPr>
          <w:rFonts w:eastAsiaTheme="minorHAnsi"/>
        </w:rPr>
        <w:t xml:space="preserve"> between states and territories is determined by the size of the national GST pool and each jurisdiction</w:t>
      </w:r>
      <w:r>
        <w:rPr>
          <w:rFonts w:eastAsiaTheme="minorHAnsi"/>
        </w:rPr>
        <w:t>’</w:t>
      </w:r>
      <w:r w:rsidRPr="00760408">
        <w:rPr>
          <w:rFonts w:eastAsiaTheme="minorHAnsi"/>
        </w:rPr>
        <w:t xml:space="preserve">s population share weighted by its GST relativity. Revenue sharing relativities are determined by the Commonwealth Treasurer, as informed by the recommendations of the Commonwealth Grants Commission (CGC). </w:t>
      </w:r>
      <w:r>
        <w:rPr>
          <w:rFonts w:eastAsiaTheme="minorHAnsi"/>
        </w:rPr>
        <w:t>Revenue drivers of Victoria’s GST relativities</w:t>
      </w:r>
      <w:r w:rsidRPr="00165693">
        <w:rPr>
          <w:rFonts w:eastAsiaTheme="minorHAnsi"/>
        </w:rPr>
        <w:t xml:space="preserve"> are discussed in Budget Paper </w:t>
      </w:r>
      <w:r>
        <w:rPr>
          <w:rFonts w:eastAsiaTheme="minorHAnsi"/>
        </w:rPr>
        <w:t>No. </w:t>
      </w:r>
      <w:r w:rsidRPr="00165693">
        <w:rPr>
          <w:rFonts w:eastAsiaTheme="minorHAnsi"/>
        </w:rPr>
        <w:t xml:space="preserve">5, Chapter 4 </w:t>
      </w:r>
      <w:r w:rsidRPr="000F2C15">
        <w:rPr>
          <w:rFonts w:eastAsiaTheme="minorHAnsi"/>
          <w:i/>
        </w:rPr>
        <w:t>State revenue</w:t>
      </w:r>
      <w:r w:rsidRPr="00165693">
        <w:rPr>
          <w:rFonts w:eastAsiaTheme="minorHAnsi"/>
        </w:rPr>
        <w:t>.</w:t>
      </w:r>
    </w:p>
    <w:p w:rsidR="007A09DB" w:rsidRPr="00ED6EF8" w:rsidRDefault="007A09DB" w:rsidP="00ED6EF8">
      <w:pPr>
        <w:rPr>
          <w:rFonts w:eastAsiaTheme="minorHAnsi"/>
        </w:rPr>
      </w:pPr>
      <w:r w:rsidRPr="00ED6EF8">
        <w:rPr>
          <w:rFonts w:eastAsiaTheme="minorHAnsi"/>
        </w:rPr>
        <w:t>The</w:t>
      </w:r>
      <w:r>
        <w:rPr>
          <w:rFonts w:eastAsiaTheme="minorHAnsi"/>
        </w:rPr>
        <w:t xml:space="preserve">re are three </w:t>
      </w:r>
      <w:r w:rsidRPr="00ED6EF8">
        <w:rPr>
          <w:rFonts w:eastAsiaTheme="minorHAnsi"/>
        </w:rPr>
        <w:t xml:space="preserve">specific </w:t>
      </w:r>
      <w:r>
        <w:rPr>
          <w:rFonts w:eastAsiaTheme="minorHAnsi"/>
        </w:rPr>
        <w:t>risks to Victoria’s GST revenue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r>
        <w:rPr>
          <w:rFonts w:eastAsiaTheme="minorHAnsi"/>
        </w:rPr>
        <w:t>.</w:t>
      </w:r>
    </w:p>
    <w:p w:rsidR="007A09DB" w:rsidRPr="00ED6EF8" w:rsidRDefault="007A09DB" w:rsidP="00ED6EF8">
      <w:pPr>
        <w:pStyle w:val="BulletText"/>
        <w:rPr>
          <w:rFonts w:eastAsiaTheme="minorHAnsi"/>
        </w:rPr>
      </w:pPr>
      <w:r w:rsidRPr="00ED6EF8">
        <w:rPr>
          <w:rFonts w:eastAsiaTheme="minorHAnsi"/>
        </w:rPr>
        <w:t>Victoria</w:t>
      </w:r>
      <w:r>
        <w:rPr>
          <w:rFonts w:eastAsiaTheme="minorHAnsi"/>
        </w:rPr>
        <w:t>’</w:t>
      </w:r>
      <w:r w:rsidRPr="00ED6EF8">
        <w:rPr>
          <w:rFonts w:eastAsiaTheme="minorHAnsi"/>
        </w:rPr>
        <w:t>s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ED6EF8">
        <w:rPr>
          <w:rFonts w:eastAsiaTheme="minorHAnsi"/>
        </w:rPr>
        <w:t xml:space="preserve"> relative to the national average is a major driver of Victoria</w:t>
      </w:r>
      <w:r>
        <w:rPr>
          <w:rFonts w:eastAsiaTheme="minorHAnsi"/>
        </w:rPr>
        <w:t>’</w:t>
      </w:r>
      <w:r w:rsidRPr="00ED6EF8">
        <w:rPr>
          <w:rFonts w:eastAsiaTheme="minorHAnsi"/>
        </w:rPr>
        <w:t>s share of the national GST pool. The transition from the mining boom is driving significant shifts in population away from Western Australia in particular. Until these trends in population growth</w:t>
      </w:r>
      <w:r>
        <w:rPr>
          <w:rFonts w:eastAsiaTheme="minorHAnsi"/>
        </w:rPr>
        <w:fldChar w:fldCharType="begin"/>
      </w:r>
      <w:r>
        <w:instrText xml:space="preserve"> XE "</w:instrText>
      </w:r>
      <w:r w:rsidRPr="00474263">
        <w:rPr>
          <w:rFonts w:eastAsiaTheme="minorHAnsi"/>
        </w:rPr>
        <w:instrText>Population:</w:instrText>
      </w:r>
      <w:r w:rsidRPr="00474263">
        <w:instrText>Growth</w:instrText>
      </w:r>
      <w:r>
        <w:instrText xml:space="preserve">" </w:instrText>
      </w:r>
      <w:r>
        <w:rPr>
          <w:rFonts w:eastAsiaTheme="minorHAnsi"/>
        </w:rPr>
        <w:fldChar w:fldCharType="end"/>
      </w:r>
      <w:r w:rsidRPr="00ED6EF8">
        <w:rPr>
          <w:rFonts w:eastAsiaTheme="minorHAnsi"/>
        </w:rPr>
        <w:t xml:space="preserve"> stabilise, this will remain a source of uncertainty for Victoria</w:t>
      </w:r>
      <w:r>
        <w:rPr>
          <w:rFonts w:eastAsiaTheme="minorHAnsi"/>
        </w:rPr>
        <w:t>’</w:t>
      </w:r>
      <w:r w:rsidRPr="00ED6EF8">
        <w:rPr>
          <w:rFonts w:eastAsiaTheme="minorHAnsi"/>
        </w:rPr>
        <w:t>s GST share. If Victoria</w:t>
      </w:r>
      <w:r>
        <w:rPr>
          <w:rFonts w:eastAsiaTheme="minorHAnsi"/>
        </w:rPr>
        <w:t>’</w:t>
      </w:r>
      <w:r w:rsidRPr="00ED6EF8">
        <w:rPr>
          <w:rFonts w:eastAsiaTheme="minorHAnsi"/>
        </w:rPr>
        <w:t>s share of net overseas migration</w:t>
      </w:r>
      <w:r>
        <w:rPr>
          <w:rFonts w:eastAsiaTheme="minorHAnsi"/>
        </w:rPr>
        <w:fldChar w:fldCharType="begin"/>
      </w:r>
      <w:r>
        <w:instrText xml:space="preserve"> XE "</w:instrText>
      </w:r>
      <w:r w:rsidRPr="00073CCE">
        <w:rPr>
          <w:rFonts w:eastAsiaTheme="minorHAnsi"/>
        </w:rPr>
        <w:instrText>Migration</w:instrText>
      </w:r>
      <w:r>
        <w:instrText xml:space="preserve">" </w:instrText>
      </w:r>
      <w:r>
        <w:rPr>
          <w:rFonts w:eastAsiaTheme="minorHAnsi"/>
        </w:rPr>
        <w:fldChar w:fldCharType="end"/>
      </w:r>
      <w:r w:rsidRPr="00ED6EF8">
        <w:rPr>
          <w:rFonts w:eastAsiaTheme="minorHAnsi"/>
        </w:rPr>
        <w:t xml:space="preserve"> remains high, this could see Victoria</w:t>
      </w:r>
      <w:r>
        <w:rPr>
          <w:rFonts w:eastAsiaTheme="minorHAnsi"/>
        </w:rPr>
        <w:t>’</w:t>
      </w:r>
      <w:r w:rsidRPr="00ED6EF8">
        <w:rPr>
          <w:rFonts w:eastAsiaTheme="minorHAnsi"/>
        </w:rPr>
        <w:t>s share of GST revenue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r w:rsidRPr="00ED6EF8">
        <w:rPr>
          <w:rFonts w:eastAsiaTheme="minorHAnsi"/>
        </w:rPr>
        <w:t xml:space="preserve"> increase. </w:t>
      </w:r>
    </w:p>
    <w:p w:rsidR="007A09DB" w:rsidRPr="00ED6EF8" w:rsidRDefault="007A09DB" w:rsidP="00ED6EF8">
      <w:pPr>
        <w:pStyle w:val="BulletText"/>
        <w:rPr>
          <w:rFonts w:eastAsiaTheme="minorHAnsi"/>
        </w:rPr>
      </w:pPr>
      <w:r w:rsidRPr="00ED6EF8">
        <w:rPr>
          <w:rFonts w:eastAsiaTheme="minorHAnsi"/>
        </w:rPr>
        <w:t>The recent strength of the property market has had a positive impact on household wealth and household consumption</w:t>
      </w:r>
      <w:r>
        <w:rPr>
          <w:rFonts w:eastAsiaTheme="minorHAnsi"/>
        </w:rPr>
        <w:fldChar w:fldCharType="begin"/>
      </w:r>
      <w:r>
        <w:instrText xml:space="preserve"> XE "</w:instrText>
      </w:r>
      <w:r w:rsidRPr="00E67DB0">
        <w:rPr>
          <w:rFonts w:eastAsiaTheme="minorHAnsi"/>
        </w:rPr>
        <w:instrText>Household consumption</w:instrText>
      </w:r>
      <w:r>
        <w:instrText xml:space="preserve">" </w:instrText>
      </w:r>
      <w:r>
        <w:rPr>
          <w:rFonts w:eastAsiaTheme="minorHAnsi"/>
        </w:rPr>
        <w:fldChar w:fldCharType="end"/>
      </w:r>
      <w:r w:rsidRPr="00ED6EF8">
        <w:rPr>
          <w:rFonts w:eastAsiaTheme="minorHAnsi"/>
        </w:rPr>
        <w:t xml:space="preserve">. </w:t>
      </w:r>
      <w:r>
        <w:rPr>
          <w:rFonts w:eastAsiaTheme="minorHAnsi"/>
        </w:rPr>
        <w:t xml:space="preserve">The potential for a moderation in growth in </w:t>
      </w:r>
      <w:r w:rsidRPr="00ED6EF8">
        <w:rPr>
          <w:rFonts w:eastAsiaTheme="minorHAnsi"/>
        </w:rPr>
        <w:t xml:space="preserve">the property market </w:t>
      </w:r>
      <w:r>
        <w:rPr>
          <w:rFonts w:eastAsiaTheme="minorHAnsi"/>
        </w:rPr>
        <w:t xml:space="preserve">creates some </w:t>
      </w:r>
      <w:r w:rsidRPr="00ED6EF8">
        <w:rPr>
          <w:rFonts w:eastAsiaTheme="minorHAnsi"/>
        </w:rPr>
        <w:t>uncertainty that could see the national GST pool grow more slowly than anticipated.</w:t>
      </w:r>
    </w:p>
    <w:p w:rsidR="007A09DB" w:rsidRDefault="007A09DB" w:rsidP="00ED6EF8">
      <w:pPr>
        <w:pStyle w:val="BulletText"/>
        <w:rPr>
          <w:rFonts w:eastAsiaTheme="minorHAnsi"/>
        </w:rPr>
      </w:pPr>
      <w:r w:rsidRPr="00ED6EF8">
        <w:rPr>
          <w:rFonts w:eastAsiaTheme="minorHAnsi"/>
        </w:rPr>
        <w:t>Mining royalties are an important driver for the per capita relativities of each jurisdiction over the forward estimates. Royalty revenue is influenced by commodity prices, the value of the Australian dollar and production and export volumes. Variation in prices, relative to our current forecasts, particularly in iron ore and coal, pose a risk for Victoria</w:t>
      </w:r>
      <w:r>
        <w:rPr>
          <w:rFonts w:eastAsiaTheme="minorHAnsi"/>
        </w:rPr>
        <w:t>’</w:t>
      </w:r>
      <w:r w:rsidRPr="00ED6EF8">
        <w:rPr>
          <w:rFonts w:eastAsiaTheme="minorHAnsi"/>
        </w:rPr>
        <w:t>s GST revenue</w:t>
      </w:r>
      <w:r>
        <w:rPr>
          <w:rFonts w:eastAsiaTheme="minorHAnsi"/>
        </w:rP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rPr>
          <w:rFonts w:eastAsiaTheme="minorHAnsi"/>
        </w:rPr>
        <w:fldChar w:fldCharType="end"/>
      </w:r>
      <w:r w:rsidRPr="00ED6EF8">
        <w:rPr>
          <w:rFonts w:eastAsiaTheme="minorHAnsi"/>
        </w:rPr>
        <w:t>.</w:t>
      </w:r>
      <w:r>
        <w:rPr>
          <w:rFonts w:eastAsiaTheme="minorHAnsi"/>
        </w:rPr>
        <w:fldChar w:fldCharType="begin"/>
      </w:r>
      <w:r>
        <w:instrText xml:space="preserve"> XE "</w:instrText>
      </w:r>
      <w:r w:rsidRPr="00252519">
        <w:rPr>
          <w:rFonts w:eastAsiaTheme="minorHAnsi"/>
        </w:rPr>
        <w:instrText>Risks:</w:instrText>
      </w:r>
      <w:r w:rsidRPr="00252519">
        <w:instrText>Fiscal</w:instrText>
      </w:r>
      <w:r>
        <w:instrText xml:space="preserve">" \r "BP2FiscalRisks1" </w:instrText>
      </w:r>
      <w:r>
        <w:rPr>
          <w:rFonts w:eastAsiaTheme="minorHAnsi"/>
        </w:rPr>
        <w:fldChar w:fldCharType="end"/>
      </w:r>
    </w:p>
    <w:bookmarkEnd w:id="74"/>
    <w:p w:rsidR="007A09DB" w:rsidRDefault="007A09DB" w:rsidP="00760408">
      <w:pPr>
        <w:rPr>
          <w:rFonts w:eastAsiaTheme="minorHAnsi"/>
        </w:rPr>
      </w:pPr>
    </w:p>
    <w:p w:rsidR="007A09DB" w:rsidRDefault="007A09DB" w:rsidP="00614836">
      <w:pPr>
        <w:rPr>
          <w:rFonts w:eastAsiaTheme="minorHAnsi"/>
        </w:rPr>
        <w:sectPr w:rsidR="007A09DB" w:rsidSect="00F302FC">
          <w:footerReference w:type="even" r:id="rId40"/>
          <w:footerReference w:type="default" r:id="rId41"/>
          <w:type w:val="oddPage"/>
          <w:pgSz w:w="9979" w:h="14181" w:code="138"/>
          <w:pgMar w:top="1138" w:right="1138" w:bottom="1138" w:left="1138" w:header="720" w:footer="432" w:gutter="0"/>
          <w:cols w:space="708"/>
          <w:docGrid w:linePitch="360"/>
        </w:sectPr>
      </w:pPr>
    </w:p>
    <w:p w:rsidR="007A09DB" w:rsidRDefault="007A09DB" w:rsidP="000A595E">
      <w:pPr>
        <w:pStyle w:val="ChapterHeading"/>
      </w:pPr>
      <w:bookmarkStart w:id="77" w:name="_Toc449123069"/>
      <w:r>
        <w:t xml:space="preserve">Chapter 5 – </w:t>
      </w:r>
      <w:r w:rsidRPr="000A595E">
        <w:t>Position</w:t>
      </w:r>
      <w:r>
        <w:t xml:space="preserve"> and outlook of the broader public sector</w:t>
      </w:r>
      <w:bookmarkEnd w:id="77"/>
    </w:p>
    <w:p w:rsidR="007A09DB" w:rsidRPr="00C47CCB" w:rsidRDefault="007A09DB" w:rsidP="00AF63EB">
      <w:pPr>
        <w:pStyle w:val="HighlightBoxBullet"/>
      </w:pPr>
      <w:bookmarkStart w:id="78" w:name="BP2NFPS1"/>
      <w:r w:rsidRPr="00C47CCB">
        <w:t>The non</w:t>
      </w:r>
      <w:r>
        <w:noBreakHyphen/>
      </w:r>
      <w:r w:rsidRPr="00C47CCB">
        <w:t>financial public sector (NF</w:t>
      </w:r>
      <w:r>
        <w:t xml:space="preserve">PS) is estimated to generate </w:t>
      </w:r>
      <w:r w:rsidRPr="00C47CCB">
        <w:t xml:space="preserve">operating </w:t>
      </w:r>
      <w:r>
        <w:t>surpluses over the budget and forward estimates</w:t>
      </w:r>
      <w:r w:rsidRPr="00C47CCB">
        <w:t xml:space="preserve">. This reflects the positive outlook in the </w:t>
      </w:r>
      <w:r w:rsidRPr="00AF63EB">
        <w:t>general</w:t>
      </w:r>
      <w:r w:rsidRPr="00C47CCB">
        <w:t xml:space="preserve"> government se</w:t>
      </w:r>
      <w:r>
        <w:t>ctor which is focused on provid</w:t>
      </w:r>
      <w:r w:rsidRPr="00C47CCB">
        <w:t>ing services at the highest level for all Victorians in a fiscally responsible manner.</w:t>
      </w:r>
    </w:p>
    <w:p w:rsidR="007A09DB" w:rsidRPr="00C47CCB" w:rsidRDefault="007A09DB" w:rsidP="00AF63EB">
      <w:pPr>
        <w:pStyle w:val="HighlightBoxBullet"/>
      </w:pPr>
      <w:r w:rsidRPr="00C47CCB">
        <w:t xml:space="preserve">NFPS </w:t>
      </w:r>
      <w:r>
        <w:t>net debt to gross state product (GSP) is estimated to be 9.8 per cent in 2015</w:t>
      </w:r>
      <w:r>
        <w:noBreakHyphen/>
        <w:t>16 before declining to 8.4 per cent</w:t>
      </w:r>
      <w:r w:rsidRPr="00C47CCB">
        <w:t xml:space="preserve"> in 2019</w:t>
      </w:r>
      <w:r>
        <w:noBreakHyphen/>
      </w:r>
      <w:r w:rsidRPr="00C47CCB">
        <w:t>20</w:t>
      </w:r>
      <w:r>
        <w:t xml:space="preserve">. </w:t>
      </w:r>
      <w:r w:rsidRPr="00C47CCB">
        <w:t>The strong outlook for the State</w:t>
      </w:r>
      <w:r>
        <w:t>’</w:t>
      </w:r>
      <w:r w:rsidRPr="00C47CCB">
        <w:t>s finan</w:t>
      </w:r>
      <w:r>
        <w:t>cial position supports Victoria’</w:t>
      </w:r>
      <w:r w:rsidRPr="00C47CCB">
        <w:t>s triple</w:t>
      </w:r>
      <w:r>
        <w:noBreakHyphen/>
      </w:r>
      <w:r w:rsidRPr="00C47CCB">
        <w:t>A credit rating</w:t>
      </w:r>
      <w:r>
        <w:fldChar w:fldCharType="begin"/>
      </w:r>
      <w:r>
        <w:instrText xml:space="preserve"> XE "</w:instrText>
      </w:r>
      <w:r w:rsidRPr="0006707C">
        <w:rPr>
          <w:rFonts w:eastAsiaTheme="minorHAnsi"/>
        </w:rPr>
        <w:instrText>Triple</w:instrText>
      </w:r>
      <w:r w:rsidRPr="0006707C">
        <w:rPr>
          <w:rFonts w:eastAsiaTheme="minorHAnsi"/>
        </w:rPr>
        <w:noBreakHyphen/>
        <w:instrText>A credit rating</w:instrText>
      </w:r>
      <w:r>
        <w:instrText xml:space="preserve">" </w:instrText>
      </w:r>
      <w:r>
        <w:fldChar w:fldCharType="end"/>
      </w:r>
      <w:r w:rsidRPr="00C47CCB">
        <w:t>.</w:t>
      </w:r>
    </w:p>
    <w:p w:rsidR="007A09DB" w:rsidRPr="00C47CCB" w:rsidRDefault="007A09DB" w:rsidP="00AF63EB">
      <w:pPr>
        <w:pStyle w:val="HighlightBoxBullet"/>
      </w:pPr>
      <w:r w:rsidRPr="00C47CCB">
        <w:t>The net result of the public financial corporations</w:t>
      </w:r>
      <w:r>
        <w:fldChar w:fldCharType="begin"/>
      </w:r>
      <w:r>
        <w:instrText xml:space="preserve"> XE "</w:instrText>
      </w:r>
      <w:r w:rsidRPr="001E4096">
        <w:rPr>
          <w:rFonts w:eastAsiaTheme="minorHAnsi"/>
        </w:rPr>
        <w:instrText>Public financial corporations</w:instrText>
      </w:r>
      <w:r>
        <w:instrText xml:space="preserve">" </w:instrText>
      </w:r>
      <w:r>
        <w:fldChar w:fldCharType="end"/>
      </w:r>
      <w:r w:rsidRPr="00C47CCB">
        <w:t xml:space="preserve"> (PFC) sector is estimated to be st</w:t>
      </w:r>
      <w:r>
        <w:t>able over time with surpluses averaging $600 million</w:t>
      </w:r>
      <w:r w:rsidRPr="00C47CCB">
        <w:t xml:space="preserve"> a year over the budget and forward estimates.</w:t>
      </w:r>
    </w:p>
    <w:p w:rsidR="007A09DB" w:rsidRPr="00C47CCB" w:rsidRDefault="007A09DB" w:rsidP="00AF63EB">
      <w:pPr>
        <w:pStyle w:val="HighlightBoxBullet"/>
      </w:pPr>
      <w:r w:rsidRPr="00C47CCB">
        <w:t>The net result from transactions of the public non</w:t>
      </w:r>
      <w:r>
        <w:noBreakHyphen/>
      </w:r>
      <w:r w:rsidRPr="00C47CCB">
        <w:t>financial corporations</w:t>
      </w:r>
      <w:r>
        <w:fldChar w:fldCharType="begin"/>
      </w:r>
      <w:r>
        <w:instrText xml:space="preserve"> XE "</w:instrText>
      </w:r>
      <w:r w:rsidRPr="001E4096">
        <w:instrText>Public non</w:instrText>
      </w:r>
      <w:r w:rsidRPr="001E4096">
        <w:noBreakHyphen/>
        <w:instrText>financial corporations</w:instrText>
      </w:r>
      <w:r>
        <w:instrText xml:space="preserve">" </w:instrText>
      </w:r>
      <w:r>
        <w:fldChar w:fldCharType="end"/>
      </w:r>
      <w:r w:rsidRPr="00C47CCB">
        <w:t xml:space="preserve"> (PNFC) sector is estimated to be an average deficit of $</w:t>
      </w:r>
      <w:r>
        <w:t>477 million</w:t>
      </w:r>
      <w:r w:rsidRPr="00C47CCB">
        <w:t xml:space="preserve"> a year over the budget and forward estimates.</w:t>
      </w:r>
    </w:p>
    <w:p w:rsidR="007A09DB" w:rsidRDefault="007A09DB" w:rsidP="00950CD5">
      <w:pPr>
        <w:tabs>
          <w:tab w:val="left" w:pos="3191"/>
        </w:tabs>
        <w:rPr>
          <w:rFonts w:eastAsiaTheme="minorHAnsi"/>
        </w:rPr>
      </w:pPr>
    </w:p>
    <w:p w:rsidR="007A09DB" w:rsidRDefault="007A09DB" w:rsidP="00950CD5">
      <w:pPr>
        <w:tabs>
          <w:tab w:val="left" w:pos="3191"/>
        </w:tabs>
        <w:rPr>
          <w:rFonts w:eastAsiaTheme="minorHAnsi"/>
        </w:rPr>
      </w:pPr>
      <w:r>
        <w:rPr>
          <w:rFonts w:eastAsiaTheme="minorHAnsi"/>
        </w:rPr>
        <w:t>This chapter provides an overview of the activities of the broader public sector, comprising:</w:t>
      </w:r>
    </w:p>
    <w:p w:rsidR="007A09DB" w:rsidRDefault="007A09DB" w:rsidP="00950CD5">
      <w:pPr>
        <w:pStyle w:val="BulletText"/>
      </w:pPr>
      <w:r>
        <w:t>the NFPS</w:t>
      </w:r>
      <w:r w:rsidRPr="001B3AC4">
        <w:t xml:space="preserve">, which consolidates the general government sector and the </w:t>
      </w:r>
      <w:r>
        <w:t xml:space="preserve">PNFC </w:t>
      </w:r>
      <w:r w:rsidRPr="001B3AC4">
        <w:t>sector. The general government sector is</w:t>
      </w:r>
      <w:r>
        <w:t xml:space="preserve"> discussed in Chapter 4 </w:t>
      </w:r>
      <w:r w:rsidRPr="00155F91">
        <w:rPr>
          <w:i/>
        </w:rPr>
        <w:t>Budget Position and Outlook</w:t>
      </w:r>
      <w:r w:rsidRPr="001B3AC4">
        <w:t>. The PNFC sector comprises a wide range of entities that provide services primarily funded from user cha</w:t>
      </w:r>
      <w:r>
        <w:t>rges and fees. The largest PNFC</w:t>
      </w:r>
      <w:r w:rsidRPr="001B3AC4">
        <w:t>s provide water, housing, transport and port services; and</w:t>
      </w:r>
    </w:p>
    <w:p w:rsidR="007A09DB" w:rsidRDefault="007A09DB" w:rsidP="00950CD5">
      <w:pPr>
        <w:pStyle w:val="BulletText"/>
      </w:pPr>
      <w:r>
        <w:t>the State of Victoria, which is the consolidation of the NFPS and the PFC sectors. PFCs can be categorised into two broad types: those that provide services to the general public and businesses (such as WorkSafe Victoria and the Transport Accident Commission), and those that provide financial services, predominantly to other government entities (such as the Victorian Funds Management Corporation, Treasury Corporation of Victoria and the Victorian Managed Insurance Authority).</w:t>
      </w:r>
    </w:p>
    <w:p w:rsidR="007A09DB" w:rsidRDefault="007A09DB" w:rsidP="00B37EF1">
      <w:pPr>
        <w:rPr>
          <w:rFonts w:eastAsiaTheme="minorHAnsi"/>
        </w:rPr>
      </w:pPr>
    </w:p>
    <w:p w:rsidR="007A09DB" w:rsidRDefault="007A09DB">
      <w:pPr>
        <w:spacing w:after="0"/>
        <w:rPr>
          <w:rFonts w:asciiTheme="minorHAnsi" w:hAnsiTheme="minorHAnsi"/>
          <w:b/>
          <w:szCs w:val="22"/>
        </w:rPr>
      </w:pPr>
      <w:r>
        <w:rPr>
          <w:rFonts w:asciiTheme="minorHAnsi" w:hAnsiTheme="minorHAnsi"/>
          <w:szCs w:val="22"/>
        </w:rPr>
        <w:br w:type="page"/>
      </w:r>
    </w:p>
    <w:p w:rsidR="007A09DB" w:rsidRDefault="007A09DB" w:rsidP="00950CD5">
      <w:pPr>
        <w:pStyle w:val="Tableheading"/>
        <w:rPr>
          <w:rFonts w:eastAsiaTheme="minorHAnsi"/>
        </w:rPr>
      </w:pPr>
      <w:bookmarkStart w:id="79" w:name="BP2OpResultNFPS1"/>
      <w:r w:rsidRPr="00A42741">
        <w:rPr>
          <w:rFonts w:asciiTheme="minorHAnsi" w:hAnsiTheme="minorHAnsi"/>
          <w:szCs w:val="22"/>
        </w:rPr>
        <w:t xml:space="preserve">Table 5.1: </w:t>
      </w:r>
      <w:r>
        <w:rPr>
          <w:rFonts w:asciiTheme="minorHAnsi" w:hAnsiTheme="minorHAnsi"/>
          <w:szCs w:val="22"/>
        </w:rPr>
        <w:tab/>
        <w:t xml:space="preserve">Summary </w:t>
      </w:r>
      <w:r w:rsidRPr="00A42741">
        <w:rPr>
          <w:rFonts w:asciiTheme="minorHAnsi" w:hAnsiTheme="minorHAnsi"/>
          <w:szCs w:val="22"/>
        </w:rPr>
        <w:t xml:space="preserve">operating statement for the </w:t>
      </w:r>
      <w:r>
        <w:rPr>
          <w:rFonts w:asciiTheme="minorHAnsi" w:hAnsiTheme="minorHAnsi"/>
          <w:szCs w:val="22"/>
        </w:rPr>
        <w:t>non</w:t>
      </w:r>
      <w:r>
        <w:rPr>
          <w:rFonts w:asciiTheme="minorHAnsi" w:hAnsiTheme="minorHAnsi"/>
          <w:szCs w:val="22"/>
        </w:rPr>
        <w:noBreakHyphen/>
        <w:t>financial public sector</w:t>
      </w:r>
      <w:r w:rsidRPr="00DB5861">
        <w:rPr>
          <w:rFonts w:asciiTheme="minorHAnsi" w:hAnsiTheme="minorHAnsi"/>
          <w:szCs w:val="22"/>
          <w:vertAlign w:val="superscript"/>
        </w:rPr>
        <w:t xml:space="preserve"> (a)</w:t>
      </w:r>
    </w:p>
    <w:p w:rsidR="007A09DB" w:rsidRPr="00B841ED" w:rsidRDefault="007A09DB" w:rsidP="00B841ED">
      <w:pPr>
        <w:pStyle w:val="million"/>
        <w:rPr>
          <w:rFonts w:eastAsiaTheme="minorEastAsia" w:cs="Calibri"/>
          <w:color w:val="000000"/>
          <w:sz w:val="19"/>
          <w:szCs w:val="19"/>
          <w:lang w:val="en-US" w:eastAsia="en-AU"/>
        </w:rPr>
      </w:pPr>
      <w:r>
        <w:rPr>
          <w:rFonts w:eastAsiaTheme="minorEastAsia"/>
          <w:lang w:eastAsia="en-AU"/>
        </w:rPr>
        <w:t>($ million)</w:t>
      </w:r>
    </w:p>
    <w:tbl>
      <w:tblPr>
        <w:tblW w:w="7767" w:type="dxa"/>
        <w:tblInd w:w="45" w:type="dxa"/>
        <w:tblLayout w:type="fixed"/>
        <w:tblCellMar>
          <w:left w:w="45" w:type="dxa"/>
          <w:right w:w="45" w:type="dxa"/>
        </w:tblCellMar>
        <w:tblLook w:val="0000" w:firstRow="0" w:lastRow="0" w:firstColumn="0" w:lastColumn="0" w:noHBand="0" w:noVBand="0"/>
      </w:tblPr>
      <w:tblGrid>
        <w:gridCol w:w="2667"/>
        <w:gridCol w:w="850"/>
        <w:gridCol w:w="850"/>
        <w:gridCol w:w="850"/>
        <w:gridCol w:w="850"/>
        <w:gridCol w:w="850"/>
        <w:gridCol w:w="850"/>
      </w:tblGrid>
      <w:tr w:rsidR="007A09DB" w:rsidRPr="00B841ED" w:rsidTr="00B841ED">
        <w:tc>
          <w:tcPr>
            <w:tcW w:w="2665"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20</w:t>
            </w:r>
          </w:p>
        </w:tc>
      </w:tr>
      <w:tr w:rsidR="007A09DB" w:rsidRPr="00B841ED" w:rsidTr="00B841ED">
        <w:tc>
          <w:tcPr>
            <w:tcW w:w="2665" w:type="dxa"/>
            <w:tcBorders>
              <w:top w:val="nil"/>
              <w:left w:val="nil"/>
              <w:right w:val="nil"/>
            </w:tcBorders>
            <w:shd w:val="solid" w:color="000000" w:fill="auto"/>
          </w:tcPr>
          <w:p w:rsidR="007A09DB" w:rsidRPr="00B841ED" w:rsidRDefault="007A09DB" w:rsidP="00B841ED">
            <w:pPr>
              <w:autoSpaceDE w:val="0"/>
              <w:autoSpaceDN w:val="0"/>
              <w:adjustRightInd w:val="0"/>
              <w:spacing w:after="0"/>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Revenue</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Taxation revenue</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17 949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19 659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21 215</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20 929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22 044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22 915</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841ED">
              <w:rPr>
                <w:rFonts w:ascii="Calibri" w:eastAsiaTheme="minorEastAsia" w:hAnsi="Calibri" w:cs="Calibri"/>
                <w:color w:val="000000"/>
                <w:sz w:val="19"/>
                <w:szCs w:val="19"/>
                <w:lang w:eastAsia="en-AU"/>
              </w:rPr>
              <w:t>Dividends, income tax equivalent and interest</w:t>
            </w:r>
            <w:r w:rsidRPr="00B841ED">
              <w:rPr>
                <w:rFonts w:ascii="Calibri" w:eastAsiaTheme="minorEastAsia" w:hAnsi="Calibri" w:cs="Calibri"/>
                <w:color w:val="000000"/>
                <w:sz w:val="19"/>
                <w:szCs w:val="19"/>
                <w:vertAlign w:val="superscript"/>
                <w:lang w:eastAsia="en-AU"/>
              </w:rPr>
              <w:t xml:space="preserve"> (b)</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1 145</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621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963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1 382</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867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858</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Sales of goods and services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10 596</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10 762</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10 862</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11 167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11 436</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11 540</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Grants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24 500</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25 354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27 418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28 064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28 838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29 951</w:t>
            </w:r>
          </w:p>
        </w:tc>
      </w:tr>
      <w:tr w:rsidR="007A09DB" w:rsidRPr="00B841ED" w:rsidTr="00B841ED">
        <w:tc>
          <w:tcPr>
            <w:tcW w:w="2665"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Other current revenue</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3 067</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3 449</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3 049</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2 805</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2 824</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2 877</w:t>
            </w:r>
          </w:p>
        </w:tc>
      </w:tr>
      <w:tr w:rsidR="007A09DB" w:rsidRPr="00B841ED" w:rsidTr="00B841ED">
        <w:tc>
          <w:tcPr>
            <w:tcW w:w="2665"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Total revenue</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57 257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59 846</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63 507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64 347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66 010</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68 141</w:t>
            </w:r>
          </w:p>
        </w:tc>
      </w:tr>
      <w:tr w:rsidR="007A09DB" w:rsidRPr="004D6D32" w:rsidTr="00B841ED">
        <w:tc>
          <w:tcPr>
            <w:tcW w:w="2665" w:type="dxa"/>
            <w:tcBorders>
              <w:top w:val="nil"/>
              <w:left w:val="nil"/>
              <w:right w:val="nil"/>
            </w:tcBorders>
            <w:shd w:val="clear" w:color="auto" w:fill="FFFFFF"/>
          </w:tcPr>
          <w:p w:rsidR="007A09DB" w:rsidRPr="004D6D32" w:rsidRDefault="007A09DB" w:rsidP="00B841ED">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4D6D32">
              <w:rPr>
                <w:rFonts w:ascii="Calibri" w:eastAsiaTheme="minorEastAsia" w:hAnsi="Calibri" w:cs="Calibri"/>
                <w:i/>
                <w:iCs/>
                <w:color w:val="000000"/>
                <w:sz w:val="19"/>
                <w:szCs w:val="19"/>
                <w:lang w:eastAsia="en-AU"/>
              </w:rPr>
              <w:t>% change</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2.3</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4.5</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6.1</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1.3</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2.6</w:t>
            </w:r>
          </w:p>
        </w:tc>
        <w:tc>
          <w:tcPr>
            <w:tcW w:w="850" w:type="dxa"/>
            <w:tcBorders>
              <w:top w:val="nil"/>
              <w:left w:val="nil"/>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3.2</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Expenses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Employee expenses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19 859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21 149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22 401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23 234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24 170</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24 886</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841ED">
              <w:rPr>
                <w:rFonts w:ascii="Calibri" w:eastAsiaTheme="minorEastAsia" w:hAnsi="Calibri" w:cs="Calibri"/>
                <w:color w:val="000000"/>
                <w:sz w:val="19"/>
                <w:szCs w:val="19"/>
                <w:lang w:eastAsia="en-AU"/>
              </w:rPr>
              <w:t xml:space="preserve">Superannuation </w:t>
            </w:r>
            <w:r w:rsidRPr="00B841ED">
              <w:rPr>
                <w:rFonts w:ascii="Calibri" w:eastAsiaTheme="minorEastAsia" w:hAnsi="Calibri" w:cs="Calibri"/>
                <w:color w:val="000000"/>
                <w:sz w:val="19"/>
                <w:szCs w:val="19"/>
                <w:vertAlign w:val="superscript"/>
                <w:lang w:eastAsia="en-AU"/>
              </w:rPr>
              <w:t>(c)</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3 121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3 104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3 129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3 123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3 134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3 149</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Depreciation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4 404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4 617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4 863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5 036</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5 398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5 603</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Interest expense</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2 801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2 711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2 926</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2 687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2 737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2 692</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Other operating expenses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20 448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21 008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21 805</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22 586</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22 424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23 021</w:t>
            </w:r>
          </w:p>
        </w:tc>
      </w:tr>
      <w:tr w:rsidR="007A09DB" w:rsidRPr="00B841ED" w:rsidTr="00B841ED">
        <w:tc>
          <w:tcPr>
            <w:tcW w:w="2665"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Grants and other transfers</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5 824</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5 532</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6 509</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6 483</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6 764</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6 854</w:t>
            </w:r>
          </w:p>
        </w:tc>
      </w:tr>
      <w:tr w:rsidR="007A09DB" w:rsidRPr="00B841ED" w:rsidTr="00B841ED">
        <w:tc>
          <w:tcPr>
            <w:tcW w:w="2665"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Total expenses</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56 457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58 122</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61 634</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63 149</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64 626</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66 205</w:t>
            </w:r>
          </w:p>
        </w:tc>
      </w:tr>
      <w:tr w:rsidR="007A09DB" w:rsidRPr="004D6D32" w:rsidTr="00B841ED">
        <w:tc>
          <w:tcPr>
            <w:tcW w:w="2665"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4D6D32">
              <w:rPr>
                <w:rFonts w:ascii="Calibri" w:eastAsiaTheme="minorEastAsia" w:hAnsi="Calibri" w:cs="Calibri"/>
                <w:i/>
                <w:iCs/>
                <w:color w:val="000000"/>
                <w:sz w:val="19"/>
                <w:szCs w:val="19"/>
                <w:lang w:eastAsia="en-AU"/>
              </w:rPr>
              <w:t>% change</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4.1</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2.9</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6.0</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2.5</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2.3</w:t>
            </w:r>
          </w:p>
        </w:tc>
        <w:tc>
          <w:tcPr>
            <w:tcW w:w="850" w:type="dxa"/>
            <w:tcBorders>
              <w:top w:val="nil"/>
              <w:left w:val="nil"/>
              <w:bottom w:val="single" w:sz="6" w:space="0" w:color="auto"/>
              <w:right w:val="nil"/>
            </w:tcBorders>
            <w:shd w:val="clear" w:color="auto" w:fill="FFFFFF"/>
          </w:tcPr>
          <w:p w:rsidR="007A09DB" w:rsidRPr="004D6D32" w:rsidRDefault="007A09DB" w:rsidP="00B841ED">
            <w:pPr>
              <w:autoSpaceDE w:val="0"/>
              <w:autoSpaceDN w:val="0"/>
              <w:adjustRightInd w:val="0"/>
              <w:spacing w:after="0"/>
              <w:jc w:val="right"/>
              <w:rPr>
                <w:rFonts w:ascii="Calibri" w:eastAsiaTheme="minorEastAsia" w:hAnsi="Calibri" w:cs="Calibri"/>
                <w:i/>
                <w:color w:val="000000"/>
                <w:sz w:val="19"/>
                <w:szCs w:val="19"/>
                <w:lang w:eastAsia="en-AU"/>
              </w:rPr>
            </w:pPr>
            <w:r w:rsidRPr="004D6D32">
              <w:rPr>
                <w:rFonts w:ascii="Calibri" w:eastAsiaTheme="minorEastAsia" w:hAnsi="Calibri" w:cs="Calibri"/>
                <w:i/>
                <w:color w:val="000000"/>
                <w:sz w:val="19"/>
                <w:szCs w:val="19"/>
                <w:lang w:eastAsia="en-AU"/>
              </w:rPr>
              <w:t>2.4</w:t>
            </w:r>
          </w:p>
        </w:tc>
      </w:tr>
      <w:tr w:rsidR="007A09DB" w:rsidRPr="00B841ED" w:rsidTr="00B841ED">
        <w:tc>
          <w:tcPr>
            <w:tcW w:w="2665"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Net result from transactions</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800</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1 724</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1 873</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1 197</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1 383</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1 936</w:t>
            </w:r>
          </w:p>
        </w:tc>
      </w:tr>
      <w:tr w:rsidR="007A09DB" w:rsidRPr="00B841ED" w:rsidTr="00B841ED">
        <w:tc>
          <w:tcPr>
            <w:tcW w:w="2665"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Total other economic flows included in net result</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( 672)</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( 232)</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( 429)</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54</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( 194)</w:t>
            </w:r>
          </w:p>
        </w:tc>
        <w:tc>
          <w:tcPr>
            <w:tcW w:w="850" w:type="dxa"/>
            <w:tcBorders>
              <w:top w:val="single" w:sz="6" w:space="0" w:color="auto"/>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( 238)</w:t>
            </w:r>
          </w:p>
        </w:tc>
      </w:tr>
      <w:tr w:rsidR="007A09DB" w:rsidRPr="00B841ED" w:rsidTr="00B841ED">
        <w:tc>
          <w:tcPr>
            <w:tcW w:w="2665"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Net result</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128</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1 492</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1 445</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1 252</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1 189</w:t>
            </w:r>
          </w:p>
        </w:tc>
        <w:tc>
          <w:tcPr>
            <w:tcW w:w="850" w:type="dxa"/>
            <w:tcBorders>
              <w:top w:val="single" w:sz="6" w:space="0" w:color="auto"/>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1 698</w:t>
            </w:r>
          </w:p>
        </w:tc>
      </w:tr>
    </w:tbl>
    <w:p w:rsidR="007A09DB" w:rsidRPr="00E124E5" w:rsidRDefault="007A09DB" w:rsidP="00FD6CAA">
      <w:pPr>
        <w:pStyle w:val="Source"/>
      </w:pPr>
      <w:r>
        <w:t>Source</w:t>
      </w:r>
      <w:r w:rsidRPr="00E124E5">
        <w:t>:</w:t>
      </w:r>
      <w:r>
        <w:t xml:space="preserve"> Department of Treasury and Finance</w:t>
      </w:r>
    </w:p>
    <w:p w:rsidR="007A09DB" w:rsidRPr="00E124E5" w:rsidRDefault="007A09DB" w:rsidP="00950CD5">
      <w:pPr>
        <w:pStyle w:val="Notes"/>
      </w:pPr>
      <w:r w:rsidRPr="00E124E5">
        <w:t>Notes:</w:t>
      </w:r>
    </w:p>
    <w:p w:rsidR="007A09DB" w:rsidRPr="00E124E5" w:rsidRDefault="007A09DB" w:rsidP="00950CD5">
      <w:pPr>
        <w:pStyle w:val="Notes"/>
      </w:pPr>
      <w:r w:rsidRPr="00E124E5">
        <w:t xml:space="preserve">(a) </w:t>
      </w:r>
      <w:r w:rsidRPr="00E124E5">
        <w:tab/>
        <w:t xml:space="preserve">This is a </w:t>
      </w:r>
      <w:r>
        <w:t>summary operating</w:t>
      </w:r>
      <w:r w:rsidRPr="00E124E5">
        <w:t xml:space="preserve"> statement. The </w:t>
      </w:r>
      <w:r>
        <w:t xml:space="preserve">comprehensive operating statement is presented in Budget Paper No. 5 </w:t>
      </w:r>
      <w:r w:rsidRPr="0011748A">
        <w:rPr>
          <w:i w:val="0"/>
        </w:rPr>
        <w:t>Statement of Finances</w:t>
      </w:r>
      <w:r w:rsidRPr="00FC2D4B">
        <w:t>.</w:t>
      </w:r>
      <w:r>
        <w:t xml:space="preserve"> Figures in this table are subject to rounding and may not add up to the totals.</w:t>
      </w:r>
    </w:p>
    <w:p w:rsidR="007A09DB" w:rsidRPr="00E124E5" w:rsidRDefault="007A09DB" w:rsidP="00950CD5">
      <w:pPr>
        <w:pStyle w:val="Notes"/>
      </w:pPr>
      <w:r w:rsidRPr="00E124E5">
        <w:t>(b)</w:t>
      </w:r>
      <w:r w:rsidRPr="00E124E5">
        <w:tab/>
      </w:r>
      <w:r>
        <w:t>Comprises dividends, income tax and rate equivalent revenue and interest</w:t>
      </w:r>
      <w:r w:rsidRPr="00E124E5">
        <w:t>.</w:t>
      </w:r>
    </w:p>
    <w:p w:rsidR="007A09DB" w:rsidRDefault="007A09DB" w:rsidP="00950CD5">
      <w:pPr>
        <w:pStyle w:val="Notes"/>
      </w:pPr>
      <w:r w:rsidRPr="00E124E5">
        <w:t>(c)</w:t>
      </w:r>
      <w:r w:rsidRPr="00E124E5">
        <w:tab/>
      </w:r>
      <w:r>
        <w:t>Comprises superannuation interest expense and other superannuation expenses.</w:t>
      </w:r>
    </w:p>
    <w:p w:rsidR="007A09DB" w:rsidRDefault="007A09DB" w:rsidP="002A4C66"/>
    <w:p w:rsidR="007A09DB" w:rsidRPr="00E124E5" w:rsidRDefault="007A09DB" w:rsidP="00950CD5">
      <w:r>
        <w:t xml:space="preserve">Table 5.1 shows that the operating performance of the NFPS is forecast to improve over the budget and forward estimates, with the net result from transactions rising to a </w:t>
      </w:r>
      <w:r w:rsidRPr="00D9621C">
        <w:t>$</w:t>
      </w:r>
      <w:r>
        <w:t>1.9 billion surplus by 2019</w:t>
      </w:r>
      <w:r>
        <w:noBreakHyphen/>
        <w:t xml:space="preserve">20. The improvement is mainly due to the general government sector, which is projected to record a net result from transactions of </w:t>
      </w:r>
      <w:r w:rsidRPr="00D9621C">
        <w:t>$</w:t>
      </w:r>
      <w:r>
        <w:t>2.5 billion in 2019</w:t>
      </w:r>
      <w:r>
        <w:noBreakHyphen/>
        <w:t>20. The components of the NFPS net operating result from transactions are shown in Chart 5.1.</w:t>
      </w:r>
      <w:bookmarkEnd w:id="78"/>
      <w:r w:rsidR="00FF6229">
        <w:fldChar w:fldCharType="begin"/>
      </w:r>
      <w:r w:rsidR="00FF6229">
        <w:instrText xml:space="preserve"> XE "</w:instrText>
      </w:r>
      <w:r w:rsidR="00FF6229" w:rsidRPr="0093435D">
        <w:instrText>Non-financial public sector</w:instrText>
      </w:r>
      <w:r w:rsidR="00FF6229">
        <w:instrText xml:space="preserve">" \r "BP2NFPS1" </w:instrText>
      </w:r>
      <w:r w:rsidR="00FF6229">
        <w:fldChar w:fldCharType="end"/>
      </w:r>
    </w:p>
    <w:p w:rsidR="007A09DB" w:rsidRPr="00A42741" w:rsidRDefault="007A09DB" w:rsidP="00950CD5">
      <w:pPr>
        <w:pStyle w:val="Chartheading"/>
      </w:pPr>
      <w:r>
        <w:t>Chart 5.1:</w:t>
      </w:r>
      <w:r>
        <w:tab/>
      </w:r>
      <w:r w:rsidRPr="00A42741">
        <w:t>Components o</w:t>
      </w:r>
      <w:r>
        <w:t>f the NFPS net operating result</w:t>
      </w:r>
      <w:r w:rsidRPr="00A42741">
        <w:t xml:space="preserve"> from transactions</w:t>
      </w:r>
    </w:p>
    <w:p w:rsidR="007A09DB" w:rsidRPr="00C57765" w:rsidRDefault="00D71529" w:rsidP="00C57765">
      <w:pPr>
        <w:pStyle w:val="Chartpara"/>
      </w:pPr>
      <w:r>
        <w:rPr>
          <w:noProof/>
          <w:lang w:eastAsia="en-AU"/>
        </w:rPr>
        <w:pict>
          <v:shape id="_x0000_i1042" type="#_x0000_t75" style="width:384pt;height:264.5pt">
            <v:imagedata r:id="rId42" o:title=""/>
          </v:shape>
        </w:pict>
      </w:r>
    </w:p>
    <w:p w:rsidR="007A09DB" w:rsidRPr="00E124E5" w:rsidRDefault="007A09DB" w:rsidP="00C57765">
      <w:pPr>
        <w:pStyle w:val="Source"/>
      </w:pPr>
      <w:r w:rsidRPr="00373500">
        <w:t>Source: Department of Treasury and Finance</w:t>
      </w:r>
    </w:p>
    <w:p w:rsidR="007A09DB" w:rsidRPr="00E124E5" w:rsidRDefault="007A09DB" w:rsidP="00950CD5">
      <w:pPr>
        <w:pStyle w:val="Notes"/>
      </w:pPr>
      <w:r w:rsidRPr="00E124E5">
        <w:t>Note:</w:t>
      </w:r>
    </w:p>
    <w:p w:rsidR="007A09DB" w:rsidRDefault="007A09DB" w:rsidP="00950CD5">
      <w:pPr>
        <w:pStyle w:val="Notes"/>
      </w:pPr>
      <w:r w:rsidRPr="00E124E5">
        <w:t xml:space="preserve">(a) </w:t>
      </w:r>
      <w:r w:rsidRPr="00E124E5">
        <w:tab/>
      </w:r>
      <w:r>
        <w:t>Eliminations include transactions between the sectors, including dividends paid from PNFCs to the general government sector.</w:t>
      </w:r>
    </w:p>
    <w:p w:rsidR="007A09DB" w:rsidRPr="00E124E5" w:rsidRDefault="007A09DB" w:rsidP="00950CD5">
      <w:pPr>
        <w:pStyle w:val="Notes"/>
      </w:pPr>
    </w:p>
    <w:p w:rsidR="007A09DB" w:rsidRDefault="007A09DB" w:rsidP="00950CD5">
      <w:pPr>
        <w:rPr>
          <w:rFonts w:eastAsiaTheme="minorHAnsi"/>
        </w:rPr>
      </w:pPr>
      <w:r>
        <w:rPr>
          <w:rFonts w:eastAsiaTheme="minorHAnsi"/>
        </w:rPr>
        <w:t>The PNFC sector is projected to record an average deficit of $477.1 million over the budget and forward estimates.</w:t>
      </w:r>
    </w:p>
    <w:p w:rsidR="007A09DB" w:rsidRDefault="007A09DB" w:rsidP="00950CD5">
      <w:pPr>
        <w:rPr>
          <w:rFonts w:eastAsiaTheme="minorHAnsi"/>
        </w:rPr>
      </w:pPr>
      <w:r>
        <w:rPr>
          <w:rFonts w:eastAsiaTheme="minorHAnsi"/>
        </w:rPr>
        <w:t>VicTrack is a major contributor towards the operating deficits of the PNFC sector. However over the budget and forward estimates, VicTrack generates significant operating cash flow surpluses averaging $112.4 million a year. These surpluses do not fully cover depreciation on its significant asset base, resulting in a deficit on the net result from transactions of, on average, $580.6 million over the budget and forward estimates. However, given the cash flow surpluses, VicTrack is in a financially sustainable position.</w:t>
      </w:r>
    </w:p>
    <w:p w:rsidR="007A09DB" w:rsidRDefault="007A09DB" w:rsidP="00950CD5">
      <w:pPr>
        <w:rPr>
          <w:rFonts w:eastAsiaTheme="minorHAnsi"/>
        </w:rPr>
      </w:pPr>
      <w:r>
        <w:rPr>
          <w:rFonts w:eastAsiaTheme="minorHAnsi"/>
        </w:rPr>
        <w:t>Most PNFC entities are projected to record operating surpluses across the budget and forward estimates. The average net result from transactions of the metropolitan water sector is $242.9 million.</w:t>
      </w:r>
      <w:r>
        <w:rPr>
          <w:rFonts w:eastAsiaTheme="minorHAnsi"/>
        </w:rPr>
        <w:fldChar w:fldCharType="begin"/>
      </w:r>
      <w:r>
        <w:instrText xml:space="preserve"> XE </w:instrText>
      </w:r>
      <w:r w:rsidRPr="00CC5883">
        <w:instrText>"</w:instrText>
      </w:r>
      <w:r w:rsidRPr="00CC5883">
        <w:rPr>
          <w:rFonts w:asciiTheme="minorHAnsi" w:hAnsiTheme="minorHAnsi"/>
          <w:szCs w:val="22"/>
        </w:rPr>
        <w:instrText>Operating result</w:instrText>
      </w:r>
      <w:r w:rsidRPr="007C5862">
        <w:instrText>:Non-financial public sector</w:instrText>
      </w:r>
      <w:r>
        <w:instrText xml:space="preserve">" \r "BP2OpResultNFPS1" </w:instrText>
      </w:r>
      <w:r>
        <w:rPr>
          <w:rFonts w:eastAsiaTheme="minorHAnsi"/>
        </w:rPr>
        <w:fldChar w:fldCharType="end"/>
      </w:r>
      <w:r>
        <w:rPr>
          <w:rFonts w:eastAsiaTheme="minorHAnsi"/>
        </w:rPr>
        <w:t xml:space="preserve"> </w:t>
      </w:r>
    </w:p>
    <w:bookmarkEnd w:id="79"/>
    <w:p w:rsidR="007A09DB" w:rsidRDefault="007A09DB">
      <w:pPr>
        <w:spacing w:after="0"/>
        <w:rPr>
          <w:rFonts w:ascii="Calibri" w:hAnsi="Calibri"/>
          <w:b/>
          <w:caps/>
          <w:sz w:val="26"/>
          <w:szCs w:val="22"/>
        </w:rPr>
      </w:pPr>
      <w:r>
        <w:br w:type="page"/>
      </w:r>
    </w:p>
    <w:p w:rsidR="007A09DB" w:rsidRDefault="007A09DB" w:rsidP="00950CD5">
      <w:pPr>
        <w:pStyle w:val="Heading1"/>
      </w:pPr>
      <w:bookmarkStart w:id="80" w:name="_Toc449123070"/>
      <w:bookmarkStart w:id="81" w:name="BP2NetDebt4"/>
      <w:r>
        <w:t>Application of cash resources</w:t>
      </w:r>
      <w:bookmarkEnd w:id="80"/>
    </w:p>
    <w:p w:rsidR="007A09DB" w:rsidRDefault="007A09DB" w:rsidP="00950CD5">
      <w:pPr>
        <w:rPr>
          <w:rFonts w:eastAsiaTheme="minorHAnsi"/>
        </w:rPr>
      </w:pPr>
      <w:r>
        <w:rPr>
          <w:rFonts w:eastAsiaTheme="minorHAnsi"/>
        </w:rPr>
        <w:t>Table 5.2 shows that the NFPS is projected to generate operating cash flow surpluses averaging $7.6 billion a year over the budget and forward estimates. The average cash flow surplus in the general government sector is $4.8 billion and $3.0 billion in the PNFC sector.</w:t>
      </w:r>
    </w:p>
    <w:p w:rsidR="007A09DB" w:rsidRPr="00A42741" w:rsidRDefault="007A09DB" w:rsidP="005405DE">
      <w:pPr>
        <w:pStyle w:val="Tableheading"/>
      </w:pPr>
      <w:r>
        <w:t>Table 5.2:</w:t>
      </w:r>
      <w:r>
        <w:tab/>
      </w:r>
      <w:r w:rsidRPr="00A42741">
        <w:t>Application of cash resources for the non</w:t>
      </w:r>
      <w:r>
        <w:noBreakHyphen/>
      </w:r>
      <w:r w:rsidRPr="00A42741">
        <w:t>financial public sector</w:t>
      </w:r>
      <w:r w:rsidRPr="00773D5A">
        <w:rPr>
          <w:vertAlign w:val="superscript"/>
        </w:rPr>
        <w:t xml:space="preserve"> (a)</w:t>
      </w:r>
    </w:p>
    <w:p w:rsidR="007A09DB" w:rsidRPr="00B841ED" w:rsidRDefault="007A09DB" w:rsidP="00B841ED">
      <w:pPr>
        <w:pStyle w:val="million"/>
        <w:rPr>
          <w:rFonts w:eastAsiaTheme="minorEastAsia"/>
          <w:lang w:val="en-US" w:eastAsia="en-AU"/>
        </w:rPr>
      </w:pPr>
      <w:r>
        <w:rPr>
          <w:rFonts w:eastAsiaTheme="minorHAnsi"/>
        </w:rPr>
        <w:t>($ million)</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B841ED" w:rsidTr="00B841ED">
        <w:tc>
          <w:tcPr>
            <w:tcW w:w="2665"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B841ED">
              <w:rPr>
                <w:rFonts w:ascii="Calibri" w:eastAsiaTheme="minorEastAsia" w:hAnsi="Calibri" w:cs="Calibri"/>
                <w:i/>
                <w:iCs/>
                <w:color w:val="FFFFFF"/>
                <w:sz w:val="19"/>
                <w:szCs w:val="19"/>
                <w:lang w:eastAsia="en-AU"/>
              </w:rPr>
              <w:t>20</w:t>
            </w:r>
          </w:p>
        </w:tc>
      </w:tr>
      <w:tr w:rsidR="007A09DB" w:rsidRPr="00B841ED" w:rsidTr="00B841ED">
        <w:tc>
          <w:tcPr>
            <w:tcW w:w="2665" w:type="dxa"/>
            <w:tcBorders>
              <w:top w:val="nil"/>
              <w:left w:val="nil"/>
              <w:right w:val="nil"/>
            </w:tcBorders>
            <w:shd w:val="solid" w:color="000000" w:fill="auto"/>
          </w:tcPr>
          <w:p w:rsidR="007A09DB" w:rsidRPr="00B841ED" w:rsidRDefault="007A09DB" w:rsidP="00B841ED">
            <w:pPr>
              <w:autoSpaceDE w:val="0"/>
              <w:autoSpaceDN w:val="0"/>
              <w:adjustRightInd w:val="0"/>
              <w:spacing w:after="0"/>
              <w:rPr>
                <w:rFonts w:ascii="Calibri" w:eastAsiaTheme="minorEastAsia" w:hAnsi="Calibri" w:cs="Calibri"/>
                <w:i/>
                <w:iCs/>
                <w:color w:val="FFFFFF"/>
                <w:sz w:val="19"/>
                <w:szCs w:val="19"/>
                <w:u w:val="single"/>
                <w:lang w:eastAsia="en-AU"/>
              </w:rPr>
            </w:pPr>
            <w:r w:rsidRPr="00B841ED">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B841ED" w:rsidRDefault="007A09DB" w:rsidP="00B841ED">
            <w:pPr>
              <w:autoSpaceDE w:val="0"/>
              <w:autoSpaceDN w:val="0"/>
              <w:adjustRightInd w:val="0"/>
              <w:spacing w:after="0"/>
              <w:jc w:val="right"/>
              <w:rPr>
                <w:rFonts w:ascii="Calibri" w:eastAsiaTheme="minorEastAsia" w:hAnsi="Calibri" w:cs="Calibri"/>
                <w:i/>
                <w:iCs/>
                <w:color w:val="FFFFFF"/>
                <w:sz w:val="19"/>
                <w:szCs w:val="19"/>
                <w:lang w:eastAsia="en-AU"/>
              </w:rPr>
            </w:pPr>
            <w:r w:rsidRPr="00B841ED">
              <w:rPr>
                <w:rFonts w:ascii="Calibri" w:eastAsiaTheme="minorEastAsia" w:hAnsi="Calibri" w:cs="Calibri"/>
                <w:i/>
                <w:iCs/>
                <w:color w:val="FFFFFF"/>
                <w:sz w:val="19"/>
                <w:szCs w:val="19"/>
                <w:lang w:eastAsia="en-AU"/>
              </w:rPr>
              <w:t>estimate</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Net result from transactions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800</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1 724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1 873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1 197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1 383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1 936</w:t>
            </w:r>
          </w:p>
        </w:tc>
      </w:tr>
      <w:tr w:rsidR="007A09DB" w:rsidRPr="00B841ED" w:rsidTr="00B841ED">
        <w:tc>
          <w:tcPr>
            <w:tcW w:w="2665"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B841ED">
              <w:rPr>
                <w:rFonts w:ascii="Calibri" w:eastAsiaTheme="minorEastAsia" w:hAnsi="Calibri" w:cs="Calibri"/>
                <w:color w:val="000000"/>
                <w:sz w:val="19"/>
                <w:szCs w:val="19"/>
                <w:lang w:eastAsia="en-AU"/>
              </w:rPr>
              <w:t>Add back: non</w:t>
            </w:r>
            <w:r>
              <w:rPr>
                <w:rFonts w:ascii="Calibri" w:eastAsiaTheme="minorEastAsia" w:hAnsi="Calibri" w:cs="Calibri"/>
                <w:color w:val="000000"/>
                <w:sz w:val="19"/>
                <w:szCs w:val="19"/>
                <w:lang w:eastAsia="en-AU"/>
              </w:rPr>
              <w:noBreakHyphen/>
            </w:r>
            <w:r w:rsidRPr="00B841ED">
              <w:rPr>
                <w:rFonts w:ascii="Calibri" w:eastAsiaTheme="minorEastAsia" w:hAnsi="Calibri" w:cs="Calibri"/>
                <w:color w:val="000000"/>
                <w:sz w:val="19"/>
                <w:szCs w:val="19"/>
                <w:lang w:eastAsia="en-AU"/>
              </w:rPr>
              <w:t xml:space="preserve">cash income and expenses (net) </w:t>
            </w:r>
            <w:r w:rsidRPr="00B841ED">
              <w:rPr>
                <w:rFonts w:ascii="Calibri" w:eastAsiaTheme="minorEastAsia" w:hAnsi="Calibri" w:cs="Calibri"/>
                <w:color w:val="000000"/>
                <w:sz w:val="19"/>
                <w:szCs w:val="19"/>
                <w:vertAlign w:val="superscript"/>
                <w:lang w:eastAsia="en-AU"/>
              </w:rPr>
              <w:t>(b)</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4 419</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4 170</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10 044</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4 567</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4 601</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4 839</w:t>
            </w:r>
          </w:p>
        </w:tc>
      </w:tr>
      <w:tr w:rsidR="007A09DB" w:rsidRPr="00B841ED" w:rsidTr="00B841ED">
        <w:tc>
          <w:tcPr>
            <w:tcW w:w="2665"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Net cash flow from operating activities</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5 219</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5 894</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11 917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5 764</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5 985</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6 775</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Less: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Net cash flows from investment in non</w:t>
            </w:r>
            <w:r>
              <w:rPr>
                <w:rFonts w:ascii="Calibri" w:eastAsiaTheme="minorEastAsia" w:hAnsi="Calibri" w:cs="Calibri"/>
                <w:color w:val="000000"/>
                <w:sz w:val="19"/>
                <w:szCs w:val="19"/>
                <w:lang w:eastAsia="en-AU"/>
              </w:rPr>
              <w:noBreakHyphen/>
            </w:r>
            <w:r w:rsidRPr="00B841ED">
              <w:rPr>
                <w:rFonts w:ascii="Calibri" w:eastAsiaTheme="minorEastAsia" w:hAnsi="Calibri" w:cs="Calibri"/>
                <w:color w:val="000000"/>
                <w:sz w:val="19"/>
                <w:szCs w:val="19"/>
                <w:lang w:eastAsia="en-AU"/>
              </w:rPr>
              <w:t>financial assets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6 011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5 931</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8 548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8 628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8 339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7 373</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Net cash flow from investment in financial assets for policy purposes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( 199)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( 368)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( 107)</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( 719)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(1 184)</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( 661)</w:t>
            </w:r>
          </w:p>
        </w:tc>
      </w:tr>
      <w:tr w:rsidR="007A09DB" w:rsidRPr="00B841ED" w:rsidTr="00B841ED">
        <w:tc>
          <w:tcPr>
            <w:tcW w:w="2665" w:type="dxa"/>
            <w:tcBorders>
              <w:top w:val="nil"/>
              <w:left w:val="nil"/>
              <w:right w:val="nil"/>
            </w:tcBorders>
            <w:shd w:val="clear" w:color="000000"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color w:val="000000"/>
                <w:sz w:val="19"/>
                <w:szCs w:val="19"/>
                <w:vertAlign w:val="superscript"/>
                <w:lang w:eastAsia="en-AU"/>
              </w:rPr>
            </w:pPr>
            <w:r w:rsidRPr="00B841ED">
              <w:rPr>
                <w:rFonts w:ascii="Calibri" w:eastAsiaTheme="minorEastAsia" w:hAnsi="Calibri" w:cs="Calibri"/>
                <w:b/>
                <w:color w:val="000000"/>
                <w:sz w:val="19"/>
                <w:szCs w:val="19"/>
                <w:lang w:eastAsia="en-AU"/>
              </w:rPr>
              <w:t xml:space="preserve">Total net investment in fixed assets </w:t>
            </w:r>
            <w:r w:rsidRPr="00B841ED">
              <w:rPr>
                <w:rFonts w:ascii="Calibri" w:eastAsiaTheme="minorEastAsia" w:hAnsi="Calibri" w:cs="Calibri"/>
                <w:b/>
                <w:color w:val="000000"/>
                <w:sz w:val="19"/>
                <w:szCs w:val="19"/>
                <w:vertAlign w:val="superscript"/>
                <w:lang w:eastAsia="en-AU"/>
              </w:rPr>
              <w:t>(c)</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5 811</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5 562</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8 441</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7 909</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7 155</w:t>
            </w:r>
          </w:p>
        </w:tc>
        <w:tc>
          <w:tcPr>
            <w:tcW w:w="850" w:type="dxa"/>
            <w:tcBorders>
              <w:top w:val="nil"/>
              <w:left w:val="nil"/>
              <w:right w:val="nil"/>
            </w:tcBorders>
            <w:shd w:val="clear" w:color="000000"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6 712</w:t>
            </w:r>
          </w:p>
        </w:tc>
      </w:tr>
      <w:tr w:rsidR="007A09DB" w:rsidRPr="00B841ED" w:rsidTr="00B841ED">
        <w:tc>
          <w:tcPr>
            <w:tcW w:w="2665"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Surplus/(deficit) of cash from operations after funding net investments in fixed assets</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( 593)</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332</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3 476</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(2 144)</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(1 170)</w:t>
            </w:r>
          </w:p>
        </w:tc>
        <w:tc>
          <w:tcPr>
            <w:tcW w:w="850" w:type="dxa"/>
            <w:tcBorders>
              <w:top w:val="nil"/>
              <w:left w:val="nil"/>
              <w:bottom w:val="single" w:sz="6"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bCs/>
                <w:color w:val="000000"/>
                <w:sz w:val="19"/>
                <w:szCs w:val="19"/>
                <w:lang w:eastAsia="en-AU"/>
              </w:rPr>
              <w:t xml:space="preserve"> 63</w:t>
            </w:r>
          </w:p>
        </w:tc>
      </w:tr>
      <w:tr w:rsidR="007A09DB" w:rsidRPr="00B841ED" w:rsidTr="00B841ED">
        <w:tc>
          <w:tcPr>
            <w:tcW w:w="2665"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bCs/>
                <w:color w:val="000000"/>
                <w:sz w:val="19"/>
                <w:szCs w:val="19"/>
                <w:lang w:eastAsia="en-AU"/>
              </w:rPr>
            </w:pPr>
            <w:r w:rsidRPr="00B841ED">
              <w:rPr>
                <w:rFonts w:ascii="Calibri" w:eastAsiaTheme="minorEastAsia" w:hAnsi="Calibri" w:cs="Calibri"/>
                <w:bCs/>
                <w:color w:val="000000"/>
                <w:sz w:val="19"/>
                <w:szCs w:val="19"/>
                <w:lang w:eastAsia="en-AU"/>
              </w:rPr>
              <w:t xml:space="preserve">Finance leases </w:t>
            </w:r>
            <w:r w:rsidRPr="00B841ED">
              <w:rPr>
                <w:rFonts w:ascii="Calibri" w:eastAsiaTheme="minorEastAsia" w:hAnsi="Calibri" w:cs="Calibri"/>
                <w:bCs/>
                <w:color w:val="000000"/>
                <w:sz w:val="19"/>
                <w:szCs w:val="19"/>
                <w:vertAlign w:val="superscript"/>
                <w:lang w:eastAsia="en-AU"/>
              </w:rPr>
              <w:t>(d)</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 xml:space="preserve"> 99</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1 056</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 xml:space="preserve"> 517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 xml:space="preserve"> 647</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 xml:space="preserve"> 596</w:t>
            </w:r>
          </w:p>
        </w:tc>
        <w:tc>
          <w:tcPr>
            <w:tcW w:w="850" w:type="dxa"/>
            <w:tcBorders>
              <w:top w:val="single" w:sz="6" w:space="0" w:color="auto"/>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bCs/>
                <w:color w:val="000000"/>
                <w:sz w:val="19"/>
                <w:szCs w:val="19"/>
                <w:lang w:eastAsia="en-AU"/>
              </w:rPr>
              <w:t xml:space="preserve"> 349</w:t>
            </w:r>
          </w:p>
        </w:tc>
      </w:tr>
      <w:tr w:rsidR="007A09DB" w:rsidRPr="00B841ED" w:rsidTr="00B841ED">
        <w:tc>
          <w:tcPr>
            <w:tcW w:w="2665" w:type="dxa"/>
            <w:tcBorders>
              <w:top w:val="nil"/>
              <w:left w:val="nil"/>
              <w:right w:val="nil"/>
            </w:tcBorders>
            <w:shd w:val="clear" w:color="auto" w:fill="FFFFFF"/>
          </w:tcPr>
          <w:p w:rsidR="007A09DB" w:rsidRPr="00B841ED" w:rsidRDefault="007A09DB" w:rsidP="00B841ED">
            <w:pPr>
              <w:autoSpaceDE w:val="0"/>
              <w:autoSpaceDN w:val="0"/>
              <w:adjustRightInd w:val="0"/>
              <w:spacing w:after="0"/>
              <w:ind w:left="227" w:hanging="227"/>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Other movements</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( 129)</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(2 118)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(1 028)</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(1 283)</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(1 185)</w:t>
            </w:r>
          </w:p>
        </w:tc>
        <w:tc>
          <w:tcPr>
            <w:tcW w:w="850" w:type="dxa"/>
            <w:tcBorders>
              <w:top w:val="nil"/>
              <w:left w:val="nil"/>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color w:val="000000"/>
                <w:sz w:val="19"/>
                <w:szCs w:val="19"/>
                <w:lang w:eastAsia="en-AU"/>
              </w:rPr>
            </w:pPr>
            <w:r w:rsidRPr="00B841ED">
              <w:rPr>
                <w:rFonts w:ascii="Calibri" w:eastAsiaTheme="minorEastAsia" w:hAnsi="Calibri" w:cs="Calibri"/>
                <w:color w:val="000000"/>
                <w:sz w:val="19"/>
                <w:szCs w:val="19"/>
                <w:lang w:eastAsia="en-AU"/>
              </w:rPr>
              <w:t xml:space="preserve"> ( 697)</w:t>
            </w:r>
          </w:p>
        </w:tc>
      </w:tr>
      <w:tr w:rsidR="007A09DB" w:rsidRPr="00B841ED" w:rsidTr="00B841ED">
        <w:tc>
          <w:tcPr>
            <w:tcW w:w="2665" w:type="dxa"/>
            <w:tcBorders>
              <w:top w:val="nil"/>
              <w:left w:val="nil"/>
              <w:bottom w:val="single" w:sz="12" w:space="0" w:color="auto"/>
              <w:right w:val="nil"/>
            </w:tcBorders>
            <w:shd w:val="clear" w:color="auto" w:fill="FFFFFF"/>
          </w:tcPr>
          <w:p w:rsidR="007A09DB" w:rsidRPr="00B841ED" w:rsidRDefault="007A09DB" w:rsidP="00A525F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Decrease/(increase</w:t>
            </w:r>
            <w:r w:rsidRPr="00B841ED">
              <w:rPr>
                <w:rFonts w:ascii="Calibri" w:eastAsiaTheme="minorEastAsia" w:hAnsi="Calibri" w:cs="Calibri"/>
                <w:b/>
                <w:bCs/>
                <w:color w:val="000000"/>
                <w:sz w:val="19"/>
                <w:szCs w:val="19"/>
                <w:lang w:eastAsia="en-AU"/>
              </w:rPr>
              <w:t>) in net debt</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 xml:space="preserve"> ( 622</w:t>
            </w:r>
            <w:r w:rsidRPr="00B841ED">
              <w:rPr>
                <w:rFonts w:ascii="Calibri" w:eastAsiaTheme="minorEastAsia" w:hAnsi="Calibri" w:cs="Calibri"/>
                <w:b/>
                <w:bCs/>
                <w:color w:val="000000"/>
                <w:sz w:val="19"/>
                <w:szCs w:val="19"/>
                <w:lang w:eastAsia="en-AU"/>
              </w:rPr>
              <w:t>)</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 xml:space="preserve"> ( 730</w:t>
            </w:r>
            <w:r w:rsidRPr="00B841ED">
              <w:rPr>
                <w:rFonts w:ascii="Calibri" w:eastAsiaTheme="minorEastAsia" w:hAnsi="Calibri" w:cs="Calibri"/>
                <w:b/>
                <w:bCs/>
                <w:color w:val="000000"/>
                <w:sz w:val="19"/>
                <w:szCs w:val="19"/>
                <w:lang w:eastAsia="en-AU"/>
              </w:rPr>
              <w:t>)</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color w:val="000000"/>
                <w:sz w:val="19"/>
                <w:szCs w:val="19"/>
                <w:lang w:eastAsia="en-AU"/>
              </w:rPr>
            </w:pPr>
            <w:r w:rsidRPr="00B841ED">
              <w:rPr>
                <w:rFonts w:ascii="Calibri" w:eastAsiaTheme="minorEastAsia" w:hAnsi="Calibri" w:cs="Calibri"/>
                <w:b/>
                <w:color w:val="000000"/>
                <w:sz w:val="19"/>
                <w:szCs w:val="19"/>
                <w:lang w:eastAsia="en-AU"/>
              </w:rPr>
              <w:t>2 965</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 xml:space="preserve"> (2 781)</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 xml:space="preserve"> (1 758)</w:t>
            </w:r>
          </w:p>
        </w:tc>
        <w:tc>
          <w:tcPr>
            <w:tcW w:w="850" w:type="dxa"/>
            <w:tcBorders>
              <w:top w:val="nil"/>
              <w:left w:val="nil"/>
              <w:bottom w:val="single" w:sz="12" w:space="0" w:color="auto"/>
              <w:right w:val="nil"/>
            </w:tcBorders>
            <w:shd w:val="clear" w:color="auto" w:fill="FFFFFF"/>
          </w:tcPr>
          <w:p w:rsidR="007A09DB" w:rsidRPr="00B841ED" w:rsidRDefault="007A09DB" w:rsidP="00B841ED">
            <w:pPr>
              <w:autoSpaceDE w:val="0"/>
              <w:autoSpaceDN w:val="0"/>
              <w:adjustRightInd w:val="0"/>
              <w:spacing w:after="0"/>
              <w:jc w:val="right"/>
              <w:rPr>
                <w:rFonts w:ascii="Calibri" w:eastAsiaTheme="minorEastAsia" w:hAnsi="Calibri" w:cs="Calibri"/>
                <w:b/>
                <w:bCs/>
                <w:color w:val="000000"/>
                <w:sz w:val="19"/>
                <w:szCs w:val="19"/>
                <w:lang w:eastAsia="en-AU"/>
              </w:rPr>
            </w:pPr>
            <w:r w:rsidRPr="00B841ED">
              <w:rPr>
                <w:rFonts w:ascii="Calibri" w:eastAsiaTheme="minorEastAsia" w:hAnsi="Calibri" w:cs="Calibri"/>
                <w:b/>
                <w:color w:val="000000"/>
                <w:sz w:val="19"/>
                <w:szCs w:val="19"/>
                <w:lang w:eastAsia="en-AU"/>
              </w:rPr>
              <w:t xml:space="preserve"> ( </w:t>
            </w:r>
            <w:r w:rsidRPr="00B841ED">
              <w:rPr>
                <w:rFonts w:ascii="Calibri" w:eastAsiaTheme="minorEastAsia" w:hAnsi="Calibri" w:cs="Calibri"/>
                <w:b/>
                <w:bCs/>
                <w:color w:val="000000"/>
                <w:sz w:val="19"/>
                <w:szCs w:val="19"/>
                <w:lang w:eastAsia="en-AU"/>
              </w:rPr>
              <w:t>285)</w:t>
            </w:r>
          </w:p>
        </w:tc>
      </w:tr>
    </w:tbl>
    <w:p w:rsidR="007A09DB" w:rsidRDefault="007A09DB" w:rsidP="004231B6">
      <w:pPr>
        <w:pStyle w:val="Source"/>
      </w:pPr>
      <w:r>
        <w:t>Source</w:t>
      </w:r>
      <w:r w:rsidRPr="00E124E5">
        <w:t>:</w:t>
      </w:r>
      <w:r>
        <w:t xml:space="preserve"> Department of Treasury and Finance</w:t>
      </w:r>
    </w:p>
    <w:p w:rsidR="007A09DB" w:rsidRPr="00BE6C60" w:rsidRDefault="007A09DB" w:rsidP="00950CD5">
      <w:pPr>
        <w:pStyle w:val="Notes"/>
      </w:pPr>
      <w:r w:rsidRPr="00BE6C60">
        <w:t>Note</w:t>
      </w:r>
      <w:r>
        <w:t>s</w:t>
      </w:r>
      <w:r w:rsidRPr="00BE6C60">
        <w:t>:</w:t>
      </w:r>
    </w:p>
    <w:p w:rsidR="007A09DB" w:rsidRDefault="007A09DB" w:rsidP="00950CD5">
      <w:pPr>
        <w:pStyle w:val="Notes"/>
      </w:pPr>
      <w:r>
        <w:t>(a)</w:t>
      </w:r>
      <w:r>
        <w:tab/>
        <w:t>Figures in this table are subject to rounding and may not add up to the totals.</w:t>
      </w:r>
    </w:p>
    <w:p w:rsidR="007A09DB" w:rsidRDefault="007A09DB" w:rsidP="00950CD5">
      <w:pPr>
        <w:pStyle w:val="Notes"/>
      </w:pPr>
      <w:r>
        <w:t>(b)</w:t>
      </w:r>
      <w:r>
        <w:tab/>
      </w:r>
      <w:r w:rsidRPr="00BE6C60">
        <w:t>Includes depreciation and movements in the unfunded superannuation liability and l</w:t>
      </w:r>
      <w:r>
        <w:t>iability for employee benefits.</w:t>
      </w:r>
    </w:p>
    <w:p w:rsidR="007A09DB" w:rsidRDefault="007A09DB" w:rsidP="00950CD5">
      <w:pPr>
        <w:pStyle w:val="Notes"/>
      </w:pPr>
      <w:r>
        <w:t>(c)</w:t>
      </w:r>
      <w:r>
        <w:tab/>
      </w:r>
      <w:r w:rsidRPr="00BE6C60">
        <w:t>Includes total purchases of plant, property and equipment, and capital contributions to other sectors of government net of proceeds from asset sales.</w:t>
      </w:r>
    </w:p>
    <w:p w:rsidR="007A09DB" w:rsidRDefault="007A09DB" w:rsidP="00D848E1">
      <w:pPr>
        <w:pStyle w:val="Notes"/>
      </w:pPr>
      <w:r>
        <w:t>(d)</w:t>
      </w:r>
      <w:r>
        <w:tab/>
      </w:r>
      <w:r w:rsidRPr="005B0CA8">
        <w:rPr>
          <w:rFonts w:eastAsiaTheme="minorHAnsi"/>
        </w:rPr>
        <w:t>The finance lease acquisition in 2015</w:t>
      </w:r>
      <w:r>
        <w:rPr>
          <w:rFonts w:eastAsiaTheme="minorHAnsi"/>
        </w:rPr>
        <w:noBreakHyphen/>
      </w:r>
      <w:r w:rsidRPr="005B0CA8">
        <w:rPr>
          <w:rFonts w:eastAsiaTheme="minorHAnsi"/>
        </w:rPr>
        <w:t>16 relates to the Victorian Comprehensive Cancer Centre and metropolitan Melbourne buses contract. The 2016</w:t>
      </w:r>
      <w:r>
        <w:rPr>
          <w:rFonts w:eastAsiaTheme="minorHAnsi"/>
        </w:rPr>
        <w:noBreakHyphen/>
      </w:r>
      <w:r w:rsidRPr="005B0CA8">
        <w:rPr>
          <w:rFonts w:eastAsiaTheme="minorHAnsi"/>
        </w:rPr>
        <w:t xml:space="preserve">17 </w:t>
      </w:r>
      <w:r>
        <w:rPr>
          <w:rFonts w:eastAsiaTheme="minorHAnsi"/>
        </w:rPr>
        <w:t>estimate</w:t>
      </w:r>
      <w:r w:rsidRPr="005B0CA8">
        <w:rPr>
          <w:rFonts w:eastAsiaTheme="minorHAnsi"/>
        </w:rPr>
        <w:t xml:space="preserve"> relates to the new Bendigo H</w:t>
      </w:r>
      <w:r>
        <w:rPr>
          <w:rFonts w:eastAsiaTheme="minorHAnsi"/>
        </w:rPr>
        <w:t>ospital project (stage 1)</w:t>
      </w:r>
      <w:r w:rsidRPr="005B0CA8">
        <w:rPr>
          <w:rFonts w:eastAsiaTheme="minorHAnsi"/>
        </w:rPr>
        <w:t xml:space="preserve">, the New Schools PPP </w:t>
      </w:r>
      <w:r>
        <w:rPr>
          <w:rFonts w:eastAsiaTheme="minorHAnsi"/>
        </w:rPr>
        <w:t>project (tranche 1)</w:t>
      </w:r>
      <w:r w:rsidRPr="005B0CA8">
        <w:rPr>
          <w:rFonts w:eastAsiaTheme="minorHAnsi"/>
        </w:rPr>
        <w:t xml:space="preserve"> and the metropolitan Melbourne buses contract. The 2017</w:t>
      </w:r>
      <w:r>
        <w:rPr>
          <w:rFonts w:eastAsiaTheme="minorHAnsi"/>
        </w:rPr>
        <w:noBreakHyphen/>
      </w:r>
      <w:r w:rsidRPr="005B0CA8">
        <w:rPr>
          <w:rFonts w:eastAsiaTheme="minorHAnsi"/>
        </w:rPr>
        <w:t>18 estimate relates to the new Bendigo Hospital project</w:t>
      </w:r>
      <w:r>
        <w:rPr>
          <w:rFonts w:eastAsiaTheme="minorHAnsi"/>
        </w:rPr>
        <w:t xml:space="preserve"> (stage 2)</w:t>
      </w:r>
      <w:r w:rsidRPr="005B0CA8">
        <w:rPr>
          <w:rFonts w:eastAsiaTheme="minorHAnsi"/>
        </w:rPr>
        <w:t xml:space="preserve">, Ravenhall Prison </w:t>
      </w:r>
      <w:r>
        <w:rPr>
          <w:rFonts w:eastAsiaTheme="minorHAnsi"/>
        </w:rPr>
        <w:t>and the New Schools PPP project (tranche 2)</w:t>
      </w:r>
      <w:r w:rsidRPr="005B0CA8">
        <w:rPr>
          <w:rFonts w:eastAsiaTheme="minorHAnsi"/>
        </w:rPr>
        <w:t xml:space="preserve">. </w:t>
      </w:r>
      <w:r w:rsidRPr="00165693">
        <w:rPr>
          <w:rFonts w:eastAsiaTheme="minorHAnsi"/>
        </w:rPr>
        <w:t xml:space="preserve">The </w:t>
      </w:r>
      <w:r>
        <w:rPr>
          <w:rFonts w:eastAsiaTheme="minorHAnsi"/>
        </w:rPr>
        <w:t>2018</w:t>
      </w:r>
      <w:r>
        <w:rPr>
          <w:rFonts w:eastAsiaTheme="minorHAnsi"/>
        </w:rPr>
        <w:noBreakHyphen/>
        <w:t>19</w:t>
      </w:r>
      <w:r w:rsidRPr="00165693">
        <w:rPr>
          <w:rFonts w:eastAsiaTheme="minorHAnsi"/>
        </w:rPr>
        <w:t xml:space="preserve"> and 2019</w:t>
      </w:r>
      <w:r>
        <w:rPr>
          <w:rFonts w:eastAsiaTheme="minorHAnsi"/>
        </w:rPr>
        <w:noBreakHyphen/>
        <w:t>20 estimates</w:t>
      </w:r>
      <w:r w:rsidRPr="00165693">
        <w:rPr>
          <w:rFonts w:eastAsiaTheme="minorHAnsi"/>
        </w:rPr>
        <w:t xml:space="preserve"> relate to the High </w:t>
      </w:r>
      <w:r>
        <w:rPr>
          <w:rFonts w:eastAsiaTheme="minorHAnsi"/>
        </w:rPr>
        <w:t>C</w:t>
      </w:r>
      <w:r w:rsidRPr="00165693">
        <w:rPr>
          <w:rFonts w:eastAsiaTheme="minorHAnsi"/>
        </w:rPr>
        <w:t xml:space="preserve">apacity </w:t>
      </w:r>
      <w:r>
        <w:rPr>
          <w:rFonts w:eastAsiaTheme="minorHAnsi"/>
        </w:rPr>
        <w:t>Metro T</w:t>
      </w:r>
      <w:r w:rsidRPr="00165693">
        <w:rPr>
          <w:rFonts w:eastAsiaTheme="minorHAnsi"/>
        </w:rPr>
        <w:t>rains</w:t>
      </w:r>
      <w:r>
        <w:rPr>
          <w:rFonts w:eastAsiaTheme="minorHAnsi"/>
        </w:rPr>
        <w:t xml:space="preserve"> Project.</w:t>
      </w:r>
    </w:p>
    <w:p w:rsidR="007A09DB" w:rsidRDefault="007A09DB" w:rsidP="00950CD5">
      <w:pPr>
        <w:pStyle w:val="Notes"/>
      </w:pPr>
    </w:p>
    <w:p w:rsidR="007A09DB" w:rsidRPr="00BE6C60" w:rsidRDefault="007A09DB" w:rsidP="00950CD5">
      <w:pPr>
        <w:pStyle w:val="Notes"/>
      </w:pPr>
    </w:p>
    <w:p w:rsidR="007A09DB" w:rsidRDefault="007A09DB">
      <w:pPr>
        <w:spacing w:after="0"/>
        <w:rPr>
          <w:rFonts w:ascii="Calibri" w:hAnsi="Calibri"/>
          <w:b/>
          <w:kern w:val="28"/>
          <w:sz w:val="26"/>
          <w:szCs w:val="22"/>
        </w:rPr>
      </w:pPr>
      <w:r>
        <w:br w:type="page"/>
      </w:r>
    </w:p>
    <w:p w:rsidR="007A09DB" w:rsidRPr="00BE6C60" w:rsidRDefault="007A09DB" w:rsidP="00950CD5">
      <w:pPr>
        <w:pStyle w:val="Heading2"/>
      </w:pPr>
      <w:r w:rsidRPr="00BE6C60">
        <w:t>Infrastructure</w:t>
      </w:r>
    </w:p>
    <w:p w:rsidR="007A09DB" w:rsidRDefault="007A09DB" w:rsidP="00950CD5">
      <w:pPr>
        <w:tabs>
          <w:tab w:val="left" w:pos="3191"/>
        </w:tabs>
        <w:rPr>
          <w:rFonts w:eastAsiaTheme="minorHAnsi"/>
        </w:rPr>
      </w:pPr>
      <w:r>
        <w:rPr>
          <w:rFonts w:eastAsiaTheme="minorHAnsi"/>
        </w:rPr>
        <w:t>Table 5.2 also provides the estimates of net investment in fixed assets which is infrastructure expenditure net of proceeds from asset sales. Over the budget and forward estimates NFPS total net investments in fixed assets will average $7.6 billion, of which $4.8 billion is in the general government sector and $2.8 billion in the PNFC sector.</w:t>
      </w:r>
    </w:p>
    <w:p w:rsidR="007A09DB" w:rsidRDefault="007A09DB" w:rsidP="00950CD5">
      <w:pPr>
        <w:tabs>
          <w:tab w:val="left" w:pos="3191"/>
        </w:tabs>
        <w:rPr>
          <w:rFonts w:eastAsiaTheme="minorHAnsi"/>
        </w:rPr>
      </w:pPr>
      <w:r>
        <w:rPr>
          <w:rFonts w:eastAsiaTheme="minorHAnsi"/>
        </w:rPr>
        <w:t>The main PNFC sector infrastructure projects under development include:</w:t>
      </w:r>
    </w:p>
    <w:p w:rsidR="007A09DB" w:rsidRDefault="007A09DB" w:rsidP="00460ABA">
      <w:pPr>
        <w:pStyle w:val="BulletText"/>
        <w:rPr>
          <w:lang w:eastAsia="en-AU"/>
        </w:rPr>
      </w:pPr>
      <w:r>
        <w:rPr>
          <w:lang w:eastAsia="en-AU"/>
        </w:rPr>
        <w:t>investing in transport infrastructure to meet patronage increases, network performance, and developing future capabilities. This includes upgrading regional train services on the Ballarat rail corridor</w:t>
      </w:r>
      <w:r>
        <w:rPr>
          <w:lang w:eastAsia="en-AU"/>
        </w:rPr>
        <w:fldChar w:fldCharType="begin"/>
      </w:r>
      <w:r>
        <w:instrText xml:space="preserve"> XE "</w:instrText>
      </w:r>
      <w:r w:rsidRPr="00F37741">
        <w:rPr>
          <w:rFonts w:eastAsiaTheme="minorHAnsi"/>
        </w:rPr>
        <w:instrText>Ballarat rail corridor</w:instrText>
      </w:r>
      <w:r>
        <w:instrText xml:space="preserve">" </w:instrText>
      </w:r>
      <w:r>
        <w:rPr>
          <w:lang w:eastAsia="en-AU"/>
        </w:rPr>
        <w:fldChar w:fldCharType="end"/>
      </w:r>
      <w:r>
        <w:rPr>
          <w:lang w:eastAsia="en-AU"/>
        </w:rPr>
        <w:t xml:space="preserve"> and procuring additional rolling stock with a further 27 VLocity train carriages to meet demand on the regional network. Additional regional rolling stock investments include life</w:t>
      </w:r>
      <w:r>
        <w:rPr>
          <w:lang w:eastAsia="en-AU"/>
        </w:rPr>
        <w:noBreakHyphen/>
        <w:t>extension works to V/Line trains and carriages. Investment in metropolitan rail infrastructure includes extending rail services to Mernda in Melbourne’s northern suburbs, upgrading the Hurstbridge rail corridor and redeveloping the Frankston Station Precinct;</w:t>
      </w:r>
    </w:p>
    <w:p w:rsidR="007A09DB" w:rsidRDefault="007A09DB" w:rsidP="00950CD5">
      <w:pPr>
        <w:pStyle w:val="BulletText"/>
      </w:pPr>
      <w:r>
        <w:t>various water</w:t>
      </w:r>
      <w:r>
        <w:noBreakHyphen/>
        <w:t>related infrastructure projects, including Goulburn</w:t>
      </w:r>
      <w:r>
        <w:noBreakHyphen/>
        <w:t>Murray Water Connections Project, connecting irrigators to a modernised system of irrigation channels; and</w:t>
      </w:r>
    </w:p>
    <w:p w:rsidR="007A09DB" w:rsidRDefault="007A09DB" w:rsidP="00950CD5">
      <w:pPr>
        <w:pStyle w:val="BulletText"/>
      </w:pPr>
      <w:r>
        <w:t xml:space="preserve">the Port Capacity </w:t>
      </w:r>
      <w:r w:rsidRPr="00B80F84">
        <w:t>project, which includes developing a third international con</w:t>
      </w:r>
      <w:r>
        <w:t>tainer terminal and a Pre</w:t>
      </w:r>
      <w:r>
        <w:noBreakHyphen/>
      </w:r>
      <w:r w:rsidRPr="00B80F84">
        <w:t>Delivery Inspection Facility at Webb Dock. This will enhance stevedore competition and ensure that Victoria can continue to respond to trade demand.</w:t>
      </w:r>
    </w:p>
    <w:p w:rsidR="007A09DB" w:rsidRPr="00B80F84" w:rsidRDefault="007A09DB" w:rsidP="00950CD5">
      <w:pPr>
        <w:pStyle w:val="Heading1"/>
      </w:pPr>
      <w:bookmarkStart w:id="82" w:name="_Toc449123071"/>
      <w:bookmarkStart w:id="83" w:name="BP2NetFinLiabls"/>
      <w:r>
        <w:t>Non</w:t>
      </w:r>
      <w:r>
        <w:noBreakHyphen/>
        <w:t>financial public sector net debt and net financial liabilities</w:t>
      </w:r>
      <w:bookmarkEnd w:id="82"/>
    </w:p>
    <w:p w:rsidR="007A09DB" w:rsidRDefault="007A09DB" w:rsidP="00950CD5">
      <w:r>
        <w:t>Table 5.3 details the NFPS net debt and superannuation liabilities. It shows the ratio of net debt to GSP will fall from 9.8 per cent in 2015</w:t>
      </w:r>
      <w:r>
        <w:noBreakHyphen/>
        <w:t>16 to 8.4 per cent in 2019</w:t>
      </w:r>
      <w:r>
        <w:noBreakHyphen/>
        <w:t>20.</w:t>
      </w:r>
    </w:p>
    <w:p w:rsidR="007A09DB" w:rsidRDefault="007A09DB" w:rsidP="00950CD5">
      <w:r>
        <w:t>Superannuation liabilities are projected to fall over the forward estimates, resulting in a fall in the net financial liabilities to GSP ratio from 18.6 per cent in 2015</w:t>
      </w:r>
      <w:r>
        <w:noBreakHyphen/>
        <w:t>16 to 15.9 per cent in 2019</w:t>
      </w:r>
      <w:r>
        <w:noBreakHyphen/>
        <w:t>20.</w:t>
      </w:r>
    </w:p>
    <w:p w:rsidR="007A09DB" w:rsidRDefault="007A09DB">
      <w:pPr>
        <w:spacing w:after="0"/>
        <w:rPr>
          <w:rFonts w:ascii="Calibri" w:hAnsi="Calibri"/>
          <w:b/>
        </w:rPr>
      </w:pPr>
      <w:r>
        <w:br w:type="page"/>
      </w:r>
    </w:p>
    <w:p w:rsidR="007A09DB" w:rsidRPr="00A42741" w:rsidRDefault="007A09DB" w:rsidP="00950CD5">
      <w:pPr>
        <w:pStyle w:val="Tableheading"/>
      </w:pPr>
      <w:r w:rsidRPr="00A42741">
        <w:t xml:space="preserve">Table 5.3: </w:t>
      </w:r>
      <w:r>
        <w:tab/>
      </w:r>
      <w:r w:rsidRPr="00A42741">
        <w:t>Non</w:t>
      </w:r>
      <w:r>
        <w:noBreakHyphen/>
      </w:r>
      <w:r w:rsidRPr="00A42741">
        <w:t>financial public sector net debt and financial liabilities</w:t>
      </w:r>
      <w:r w:rsidRPr="0038692D">
        <w:rPr>
          <w:vertAlign w:val="superscript"/>
        </w:rPr>
        <w:t>(a)</w:t>
      </w:r>
    </w:p>
    <w:p w:rsidR="007A09DB" w:rsidRPr="005405DE" w:rsidRDefault="007A09DB" w:rsidP="00B841ED">
      <w:pPr>
        <w:pStyle w:val="million"/>
      </w:pPr>
      <w:r>
        <w:t>($ billion)</w:t>
      </w:r>
    </w:p>
    <w:tbl>
      <w:tblPr>
        <w:tblW w:w="7765" w:type="dxa"/>
        <w:tblInd w:w="45" w:type="dxa"/>
        <w:tblLayout w:type="fixed"/>
        <w:tblCellMar>
          <w:left w:w="45" w:type="dxa"/>
          <w:right w:w="45" w:type="dxa"/>
        </w:tblCellMar>
        <w:tblLook w:val="0000" w:firstRow="0" w:lastRow="0" w:firstColumn="0" w:lastColumn="0" w:noHBand="0" w:noVBand="0"/>
      </w:tblPr>
      <w:tblGrid>
        <w:gridCol w:w="270"/>
        <w:gridCol w:w="270"/>
        <w:gridCol w:w="2125"/>
        <w:gridCol w:w="755"/>
        <w:gridCol w:w="95"/>
        <w:gridCol w:w="850"/>
        <w:gridCol w:w="45"/>
        <w:gridCol w:w="805"/>
        <w:gridCol w:w="850"/>
        <w:gridCol w:w="850"/>
        <w:gridCol w:w="375"/>
        <w:gridCol w:w="239"/>
        <w:gridCol w:w="236"/>
      </w:tblGrid>
      <w:tr w:rsidR="007A09DB" w:rsidRPr="005405DE" w:rsidTr="005405DE">
        <w:trPr>
          <w:cantSplit/>
          <w:tblHeader/>
        </w:trPr>
        <w:tc>
          <w:tcPr>
            <w:tcW w:w="2665" w:type="dxa"/>
            <w:gridSpan w:val="3"/>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 xml:space="preserve"> </w:t>
            </w:r>
          </w:p>
        </w:tc>
        <w:tc>
          <w:tcPr>
            <w:tcW w:w="850" w:type="dxa"/>
            <w:gridSpan w:val="2"/>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16</w:t>
            </w:r>
          </w:p>
        </w:tc>
        <w:tc>
          <w:tcPr>
            <w:tcW w:w="850" w:type="dxa"/>
            <w:gridSpan w:val="2"/>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19</w:t>
            </w:r>
          </w:p>
        </w:tc>
        <w:tc>
          <w:tcPr>
            <w:tcW w:w="850" w:type="dxa"/>
            <w:gridSpan w:val="3"/>
            <w:tcBorders>
              <w:top w:val="nil"/>
              <w:left w:val="nil"/>
              <w:bottom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5405DE">
              <w:rPr>
                <w:rFonts w:ascii="Calibri" w:eastAsiaTheme="minorEastAsia" w:hAnsi="Calibri" w:cs="Calibri"/>
                <w:i/>
                <w:iCs/>
                <w:color w:val="FFFFFF"/>
                <w:sz w:val="19"/>
                <w:szCs w:val="19"/>
                <w:lang w:eastAsia="en-AU"/>
              </w:rPr>
              <w:t>20</w:t>
            </w:r>
          </w:p>
        </w:tc>
      </w:tr>
      <w:tr w:rsidR="007A09DB" w:rsidRPr="005405DE" w:rsidTr="005405DE">
        <w:trPr>
          <w:cantSplit/>
          <w:tblHeader/>
        </w:trPr>
        <w:tc>
          <w:tcPr>
            <w:tcW w:w="2665" w:type="dxa"/>
            <w:gridSpan w:val="3"/>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 xml:space="preserve"> </w:t>
            </w:r>
          </w:p>
        </w:tc>
        <w:tc>
          <w:tcPr>
            <w:tcW w:w="850" w:type="dxa"/>
            <w:gridSpan w:val="2"/>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revised</w:t>
            </w:r>
          </w:p>
        </w:tc>
        <w:tc>
          <w:tcPr>
            <w:tcW w:w="850" w:type="dxa"/>
            <w:gridSpan w:val="2"/>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estimate</w:t>
            </w:r>
          </w:p>
        </w:tc>
        <w:tc>
          <w:tcPr>
            <w:tcW w:w="850" w:type="dxa"/>
            <w:gridSpan w:val="3"/>
            <w:tcBorders>
              <w:top w:val="nil"/>
              <w:left w:val="nil"/>
              <w:right w:val="nil"/>
            </w:tcBorders>
            <w:shd w:val="solid" w:color="000000" w:fill="auto"/>
            <w:vAlign w:val="bottom"/>
          </w:tcPr>
          <w:p w:rsidR="007A09DB" w:rsidRPr="005405DE" w:rsidRDefault="007A09DB" w:rsidP="005405DE">
            <w:pPr>
              <w:autoSpaceDE w:val="0"/>
              <w:autoSpaceDN w:val="0"/>
              <w:adjustRightInd w:val="0"/>
              <w:spacing w:after="0"/>
              <w:jc w:val="right"/>
              <w:rPr>
                <w:rFonts w:ascii="Calibri" w:eastAsiaTheme="minorEastAsia" w:hAnsi="Calibri" w:cs="Calibri"/>
                <w:i/>
                <w:iCs/>
                <w:color w:val="FFFFFF"/>
                <w:sz w:val="19"/>
                <w:szCs w:val="19"/>
                <w:lang w:eastAsia="en-AU"/>
              </w:rPr>
            </w:pPr>
            <w:r w:rsidRPr="005405DE">
              <w:rPr>
                <w:rFonts w:ascii="Calibri" w:eastAsiaTheme="minorEastAsia" w:hAnsi="Calibri" w:cs="Calibri"/>
                <w:i/>
                <w:iCs/>
                <w:color w:val="FFFFFF"/>
                <w:sz w:val="19"/>
                <w:szCs w:val="19"/>
                <w:lang w:eastAsia="en-AU"/>
              </w:rPr>
              <w:t>estimate</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Assets</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Cash and deposits</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5.4</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5.1</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5.5</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5.5</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5.8</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6.1</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Advances paid</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0.1</w:t>
            </w:r>
          </w:p>
        </w:tc>
      </w:tr>
      <w:tr w:rsidR="007A09DB" w:rsidRPr="005405DE" w:rsidTr="005405DE">
        <w:trPr>
          <w:cantSplit/>
        </w:trPr>
        <w:tc>
          <w:tcPr>
            <w:tcW w:w="2665"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Investments, loans and placements</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4.4</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4.5</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4.4</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4.4</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4.5</w:t>
            </w:r>
          </w:p>
        </w:tc>
        <w:tc>
          <w:tcPr>
            <w:tcW w:w="850"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4.6</w:t>
            </w:r>
          </w:p>
        </w:tc>
      </w:tr>
      <w:tr w:rsidR="007A09DB" w:rsidRPr="005405DE" w:rsidTr="005405DE">
        <w:trPr>
          <w:cantSplit/>
        </w:trPr>
        <w:tc>
          <w:tcPr>
            <w:tcW w:w="2665"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Total</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9.9</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9.7</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10.0</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9.9</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10.4</w:t>
            </w:r>
          </w:p>
        </w:tc>
        <w:tc>
          <w:tcPr>
            <w:tcW w:w="850"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10.8</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Liabilities</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 xml:space="preserve"> </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Deposits held and advances received</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0.6</w:t>
            </w:r>
          </w:p>
        </w:tc>
      </w:tr>
      <w:tr w:rsidR="007A09DB" w:rsidRPr="005405DE" w:rsidTr="005405DE">
        <w:trPr>
          <w:cantSplit/>
        </w:trPr>
        <w:tc>
          <w:tcPr>
            <w:tcW w:w="2665"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Borrowings</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45.8</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46.3</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43.6</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46.4</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48.6</w:t>
            </w:r>
          </w:p>
        </w:tc>
        <w:tc>
          <w:tcPr>
            <w:tcW w:w="850"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49.3</w:t>
            </w:r>
          </w:p>
        </w:tc>
      </w:tr>
      <w:tr w:rsidR="007A09DB" w:rsidRPr="005405DE" w:rsidTr="005405DE">
        <w:trPr>
          <w:cantSplit/>
        </w:trPr>
        <w:tc>
          <w:tcPr>
            <w:tcW w:w="2665"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Total</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46.4</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46.9</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44.3</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47.0</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49.2</w:t>
            </w:r>
          </w:p>
        </w:tc>
        <w:tc>
          <w:tcPr>
            <w:tcW w:w="850"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49.9</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88152A">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debt </w:t>
            </w:r>
            <w:r w:rsidRPr="005405DE">
              <w:rPr>
                <w:rFonts w:ascii="Calibri" w:eastAsiaTheme="minorEastAsia" w:hAnsi="Calibri" w:cs="Calibri"/>
                <w:b/>
                <w:bCs/>
                <w:color w:val="000000"/>
                <w:sz w:val="19"/>
                <w:szCs w:val="19"/>
                <w:vertAlign w:val="superscript"/>
                <w:lang w:eastAsia="en-AU"/>
              </w:rPr>
              <w:t>(b)</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36.5</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37.3</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34.3</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37.1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38.9</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39.1</w:t>
            </w:r>
          </w:p>
        </w:tc>
      </w:tr>
      <w:tr w:rsidR="007A09DB" w:rsidRPr="005405DE" w:rsidTr="005405DE">
        <w:trPr>
          <w:cantSplit/>
        </w:trPr>
        <w:tc>
          <w:tcPr>
            <w:tcW w:w="2665"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Superannuation liability</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26.0</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27.9</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27.1</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26.2</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25.2</w:t>
            </w:r>
          </w:p>
        </w:tc>
        <w:tc>
          <w:tcPr>
            <w:tcW w:w="850"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24.2</w:t>
            </w:r>
          </w:p>
        </w:tc>
      </w:tr>
      <w:tr w:rsidR="007A09DB" w:rsidRPr="005405DE" w:rsidTr="005405DE">
        <w:trPr>
          <w:cantSplit/>
        </w:trPr>
        <w:tc>
          <w:tcPr>
            <w:tcW w:w="2665" w:type="dxa"/>
            <w:gridSpan w:val="3"/>
            <w:tcBorders>
              <w:top w:val="single" w:sz="6" w:space="0" w:color="auto"/>
              <w:left w:val="nil"/>
              <w:right w:val="nil"/>
            </w:tcBorders>
            <w:shd w:val="clear" w:color="auto" w:fill="FFFFFF"/>
          </w:tcPr>
          <w:p w:rsidR="007A09DB" w:rsidRPr="005405DE" w:rsidRDefault="007A09DB" w:rsidP="0088152A">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Net debt plus superannuation liabilities</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62.5</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65.2</w:t>
            </w:r>
          </w:p>
        </w:tc>
        <w:tc>
          <w:tcPr>
            <w:tcW w:w="85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61.4</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63.3</w:t>
            </w:r>
          </w:p>
        </w:tc>
        <w:tc>
          <w:tcPr>
            <w:tcW w:w="85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64.1</w:t>
            </w:r>
          </w:p>
        </w:tc>
        <w:tc>
          <w:tcPr>
            <w:tcW w:w="850"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63.4</w:t>
            </w:r>
          </w:p>
        </w:tc>
      </w:tr>
      <w:tr w:rsidR="007A09DB" w:rsidRPr="005405DE" w:rsidTr="005405DE">
        <w:trPr>
          <w:cantSplit/>
        </w:trPr>
        <w:tc>
          <w:tcPr>
            <w:tcW w:w="2665"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5405DE">
              <w:rPr>
                <w:rFonts w:ascii="Calibri" w:eastAsiaTheme="minorEastAsia" w:hAnsi="Calibri" w:cs="Calibri"/>
                <w:color w:val="000000"/>
                <w:sz w:val="19"/>
                <w:szCs w:val="19"/>
                <w:lang w:eastAsia="en-AU"/>
              </w:rPr>
              <w:t xml:space="preserve">Other liabilities (net) </w:t>
            </w:r>
            <w:r w:rsidRPr="005405DE">
              <w:rPr>
                <w:rFonts w:ascii="Calibri" w:eastAsiaTheme="minorEastAsia" w:hAnsi="Calibri" w:cs="Calibri"/>
                <w:color w:val="000000"/>
                <w:sz w:val="19"/>
                <w:szCs w:val="19"/>
                <w:vertAlign w:val="superscript"/>
                <w:lang w:eastAsia="en-AU"/>
              </w:rPr>
              <w:t>(c)</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5.7</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5.4</w:t>
            </w:r>
          </w:p>
        </w:tc>
        <w:tc>
          <w:tcPr>
            <w:tcW w:w="850" w:type="dxa"/>
            <w:gridSpan w:val="2"/>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11.0</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10.9</w:t>
            </w:r>
          </w:p>
        </w:tc>
        <w:tc>
          <w:tcPr>
            <w:tcW w:w="850" w:type="dxa"/>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10.8</w:t>
            </w:r>
          </w:p>
        </w:tc>
        <w:tc>
          <w:tcPr>
            <w:tcW w:w="850" w:type="dxa"/>
            <w:gridSpan w:val="3"/>
            <w:tcBorders>
              <w:top w:val="nil"/>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10.5</w:t>
            </w:r>
          </w:p>
        </w:tc>
      </w:tr>
      <w:tr w:rsidR="007A09DB" w:rsidRPr="005405DE" w:rsidTr="005405DE">
        <w:trPr>
          <w:cantSplit/>
        </w:trPr>
        <w:tc>
          <w:tcPr>
            <w:tcW w:w="2665" w:type="dxa"/>
            <w:gridSpan w:val="3"/>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financial liabilities </w:t>
            </w:r>
            <w:r w:rsidRPr="005405DE">
              <w:rPr>
                <w:rFonts w:ascii="Calibri" w:eastAsiaTheme="minorEastAsia" w:hAnsi="Calibri" w:cs="Calibri"/>
                <w:b/>
                <w:bCs/>
                <w:color w:val="000000"/>
                <w:sz w:val="19"/>
                <w:szCs w:val="19"/>
                <w:vertAlign w:val="superscript"/>
                <w:lang w:eastAsia="en-AU"/>
              </w:rPr>
              <w:t>(d)</w:t>
            </w:r>
          </w:p>
        </w:tc>
        <w:tc>
          <w:tcPr>
            <w:tcW w:w="850" w:type="dxa"/>
            <w:gridSpan w:val="2"/>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68.2</w:t>
            </w:r>
          </w:p>
        </w:tc>
        <w:tc>
          <w:tcPr>
            <w:tcW w:w="850" w:type="dxa"/>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70.6</w:t>
            </w:r>
          </w:p>
        </w:tc>
        <w:tc>
          <w:tcPr>
            <w:tcW w:w="850" w:type="dxa"/>
            <w:gridSpan w:val="2"/>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72.4</w:t>
            </w:r>
          </w:p>
        </w:tc>
        <w:tc>
          <w:tcPr>
            <w:tcW w:w="850" w:type="dxa"/>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74.2</w:t>
            </w:r>
          </w:p>
        </w:tc>
        <w:tc>
          <w:tcPr>
            <w:tcW w:w="850" w:type="dxa"/>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74.8</w:t>
            </w:r>
          </w:p>
        </w:tc>
        <w:tc>
          <w:tcPr>
            <w:tcW w:w="850" w:type="dxa"/>
            <w:gridSpan w:val="3"/>
            <w:tcBorders>
              <w:top w:val="single" w:sz="6" w:space="0" w:color="auto"/>
              <w:left w:val="nil"/>
              <w:bottom w:val="single" w:sz="6"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b/>
                <w:bCs/>
                <w:color w:val="000000"/>
                <w:sz w:val="19"/>
                <w:szCs w:val="19"/>
                <w:lang w:eastAsia="en-AU"/>
              </w:rPr>
            </w:pPr>
            <w:r w:rsidRPr="005405DE">
              <w:rPr>
                <w:rFonts w:ascii="Calibri" w:eastAsiaTheme="minorEastAsia" w:hAnsi="Calibri" w:cs="Calibri"/>
                <w:b/>
                <w:bCs/>
                <w:color w:val="000000"/>
                <w:sz w:val="19"/>
                <w:szCs w:val="19"/>
                <w:lang w:eastAsia="en-AU"/>
              </w:rPr>
              <w:t>73.9</w:t>
            </w:r>
          </w:p>
        </w:tc>
      </w:tr>
      <w:tr w:rsidR="007A09DB" w:rsidRPr="005405DE" w:rsidTr="005405DE">
        <w:trPr>
          <w:cantSplit/>
        </w:trPr>
        <w:tc>
          <w:tcPr>
            <w:tcW w:w="27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ind w:left="227" w:hanging="227"/>
              <w:jc w:val="center"/>
              <w:rPr>
                <w:rFonts w:ascii="Calibri" w:eastAsiaTheme="minorEastAsia" w:hAnsi="Calibri" w:cs="Calibri"/>
                <w:i/>
                <w:iCs/>
                <w:color w:val="000000"/>
                <w:sz w:val="19"/>
                <w:szCs w:val="19"/>
                <w:lang w:eastAsia="en-AU"/>
              </w:rPr>
            </w:pPr>
          </w:p>
        </w:tc>
        <w:tc>
          <w:tcPr>
            <w:tcW w:w="270"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color w:val="000000"/>
                <w:sz w:val="19"/>
                <w:szCs w:val="19"/>
                <w:lang w:eastAsia="en-AU"/>
              </w:rPr>
            </w:pPr>
          </w:p>
        </w:tc>
        <w:tc>
          <w:tcPr>
            <w:tcW w:w="2880" w:type="dxa"/>
            <w:gridSpan w:val="2"/>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color w:val="000000"/>
                <w:sz w:val="19"/>
                <w:szCs w:val="19"/>
                <w:lang w:eastAsia="en-AU"/>
              </w:rPr>
            </w:pPr>
          </w:p>
        </w:tc>
        <w:tc>
          <w:tcPr>
            <w:tcW w:w="990" w:type="dxa"/>
            <w:gridSpan w:val="3"/>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i/>
                <w:iCs/>
                <w:color w:val="000000"/>
                <w:sz w:val="19"/>
                <w:szCs w:val="19"/>
                <w:lang w:eastAsia="en-AU"/>
              </w:rPr>
            </w:pPr>
            <w:r w:rsidRPr="005405DE">
              <w:rPr>
                <w:rFonts w:ascii="Calibri" w:eastAsiaTheme="minorEastAsia" w:hAnsi="Calibri" w:cs="Calibri"/>
                <w:i/>
                <w:iCs/>
                <w:color w:val="000000"/>
                <w:sz w:val="19"/>
                <w:szCs w:val="19"/>
                <w:lang w:eastAsia="en-AU"/>
              </w:rPr>
              <w:t>(per cent)</w:t>
            </w:r>
          </w:p>
        </w:tc>
        <w:tc>
          <w:tcPr>
            <w:tcW w:w="2880" w:type="dxa"/>
            <w:gridSpan w:val="4"/>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color w:val="000000"/>
                <w:sz w:val="19"/>
                <w:szCs w:val="19"/>
                <w:lang w:eastAsia="en-AU"/>
              </w:rPr>
            </w:pPr>
          </w:p>
        </w:tc>
        <w:tc>
          <w:tcPr>
            <w:tcW w:w="239"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color w:val="000000"/>
                <w:sz w:val="19"/>
                <w:szCs w:val="19"/>
                <w:lang w:eastAsia="en-AU"/>
              </w:rPr>
            </w:pPr>
          </w:p>
        </w:tc>
        <w:tc>
          <w:tcPr>
            <w:tcW w:w="236" w:type="dxa"/>
            <w:tcBorders>
              <w:top w:val="single" w:sz="6" w:space="0" w:color="auto"/>
              <w:left w:val="nil"/>
              <w:right w:val="nil"/>
            </w:tcBorders>
            <w:shd w:val="clear" w:color="auto" w:fill="FFFFFF"/>
          </w:tcPr>
          <w:p w:rsidR="007A09DB" w:rsidRPr="005405DE" w:rsidRDefault="007A09DB" w:rsidP="005405DE">
            <w:pPr>
              <w:autoSpaceDE w:val="0"/>
              <w:autoSpaceDN w:val="0"/>
              <w:adjustRightInd w:val="0"/>
              <w:spacing w:after="0"/>
              <w:jc w:val="center"/>
              <w:rPr>
                <w:rFonts w:ascii="Calibri" w:eastAsiaTheme="minorEastAsia" w:hAnsi="Calibri" w:cs="Calibri"/>
                <w:color w:val="000000"/>
                <w:sz w:val="19"/>
                <w:szCs w:val="19"/>
                <w:lang w:eastAsia="en-AU"/>
              </w:rPr>
            </w:pP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88152A">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debt to GSP </w:t>
            </w:r>
            <w:r w:rsidRPr="005405DE">
              <w:rPr>
                <w:rFonts w:ascii="Calibri" w:eastAsiaTheme="minorEastAsia" w:hAnsi="Calibri" w:cs="Calibri"/>
                <w:b/>
                <w:bCs/>
                <w:color w:val="000000"/>
                <w:sz w:val="19"/>
                <w:szCs w:val="19"/>
                <w:vertAlign w:val="superscript"/>
                <w:lang w:eastAsia="en-AU"/>
              </w:rPr>
              <w:t>(e)</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9.8</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8.6</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8.8</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8.8</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8.4</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88152A">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debt plus superannuation liability to GSP </w:t>
            </w:r>
            <w:r w:rsidRPr="005405DE">
              <w:rPr>
                <w:rFonts w:ascii="Calibri" w:eastAsiaTheme="minorEastAsia" w:hAnsi="Calibri" w:cs="Calibri"/>
                <w:b/>
                <w:bCs/>
                <w:color w:val="000000"/>
                <w:sz w:val="19"/>
                <w:szCs w:val="19"/>
                <w:vertAlign w:val="superscript"/>
                <w:lang w:eastAsia="en-AU"/>
              </w:rPr>
              <w:t>(e)</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17.2</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17.2</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15.4</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15.1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14.5</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13.6</w:t>
            </w:r>
          </w:p>
        </w:tc>
      </w:tr>
      <w:tr w:rsidR="007A09DB" w:rsidRPr="005405DE" w:rsidTr="005405DE">
        <w:trPr>
          <w:cantSplit/>
        </w:trPr>
        <w:tc>
          <w:tcPr>
            <w:tcW w:w="2665"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financial liabilities to GSP </w:t>
            </w:r>
            <w:r w:rsidRPr="005405DE">
              <w:rPr>
                <w:rFonts w:ascii="Calibri" w:eastAsiaTheme="minorEastAsia" w:hAnsi="Calibri" w:cs="Calibri"/>
                <w:b/>
                <w:bCs/>
                <w:color w:val="000000"/>
                <w:sz w:val="19"/>
                <w:szCs w:val="19"/>
                <w:vertAlign w:val="superscript"/>
                <w:lang w:eastAsia="en-AU"/>
              </w:rPr>
              <w:t>(e)</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18.8</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18.6</w:t>
            </w:r>
          </w:p>
        </w:tc>
        <w:tc>
          <w:tcPr>
            <w:tcW w:w="850" w:type="dxa"/>
            <w:gridSpan w:val="2"/>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18.1</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17.7</w:t>
            </w:r>
          </w:p>
        </w:tc>
        <w:tc>
          <w:tcPr>
            <w:tcW w:w="850" w:type="dxa"/>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17.0</w:t>
            </w:r>
          </w:p>
        </w:tc>
        <w:tc>
          <w:tcPr>
            <w:tcW w:w="850" w:type="dxa"/>
            <w:gridSpan w:val="3"/>
            <w:tcBorders>
              <w:top w:val="nil"/>
              <w:left w:val="nil"/>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15.9</w:t>
            </w:r>
          </w:p>
        </w:tc>
      </w:tr>
      <w:tr w:rsidR="007A09DB" w:rsidRPr="005405DE" w:rsidTr="005405DE">
        <w:trPr>
          <w:cantSplit/>
        </w:trPr>
        <w:tc>
          <w:tcPr>
            <w:tcW w:w="2665" w:type="dxa"/>
            <w:gridSpan w:val="3"/>
            <w:tcBorders>
              <w:top w:val="nil"/>
              <w:left w:val="nil"/>
              <w:bottom w:val="single" w:sz="12" w:space="0" w:color="auto"/>
              <w:right w:val="nil"/>
            </w:tcBorders>
            <w:shd w:val="clear" w:color="auto" w:fill="FFFFFF"/>
          </w:tcPr>
          <w:p w:rsidR="007A09DB" w:rsidRPr="005405DE" w:rsidRDefault="007A09DB" w:rsidP="0088152A">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5405DE">
              <w:rPr>
                <w:rFonts w:ascii="Calibri" w:eastAsiaTheme="minorEastAsia" w:hAnsi="Calibri" w:cs="Calibri"/>
                <w:b/>
                <w:bCs/>
                <w:color w:val="000000"/>
                <w:sz w:val="19"/>
                <w:szCs w:val="19"/>
                <w:lang w:eastAsia="en-AU"/>
              </w:rPr>
              <w:t xml:space="preserve">Net debt plus superannuation liability to revenue </w:t>
            </w:r>
            <w:r w:rsidRPr="005405DE">
              <w:rPr>
                <w:rFonts w:ascii="Calibri" w:eastAsiaTheme="minorEastAsia" w:hAnsi="Calibri" w:cs="Calibri"/>
                <w:b/>
                <w:bCs/>
                <w:color w:val="000000"/>
                <w:sz w:val="19"/>
                <w:szCs w:val="19"/>
                <w:vertAlign w:val="superscript"/>
                <w:lang w:eastAsia="en-AU"/>
              </w:rPr>
              <w:t>(f)</w:t>
            </w:r>
          </w:p>
        </w:tc>
        <w:tc>
          <w:tcPr>
            <w:tcW w:w="850" w:type="dxa"/>
            <w:gridSpan w:val="2"/>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109.2</w:t>
            </w:r>
          </w:p>
        </w:tc>
        <w:tc>
          <w:tcPr>
            <w:tcW w:w="850" w:type="dxa"/>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109.0</w:t>
            </w:r>
          </w:p>
        </w:tc>
        <w:tc>
          <w:tcPr>
            <w:tcW w:w="850" w:type="dxa"/>
            <w:gridSpan w:val="2"/>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96.7</w:t>
            </w:r>
          </w:p>
        </w:tc>
        <w:tc>
          <w:tcPr>
            <w:tcW w:w="850" w:type="dxa"/>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98.4</w:t>
            </w:r>
          </w:p>
        </w:tc>
        <w:tc>
          <w:tcPr>
            <w:tcW w:w="850" w:type="dxa"/>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97.1</w:t>
            </w:r>
          </w:p>
        </w:tc>
        <w:tc>
          <w:tcPr>
            <w:tcW w:w="850" w:type="dxa"/>
            <w:gridSpan w:val="3"/>
            <w:tcBorders>
              <w:top w:val="nil"/>
              <w:left w:val="nil"/>
              <w:bottom w:val="single" w:sz="12" w:space="0" w:color="auto"/>
              <w:right w:val="nil"/>
            </w:tcBorders>
            <w:shd w:val="clear" w:color="auto" w:fill="FFFFFF"/>
          </w:tcPr>
          <w:p w:rsidR="007A09DB" w:rsidRPr="005405DE" w:rsidRDefault="007A09DB" w:rsidP="005405DE">
            <w:pPr>
              <w:autoSpaceDE w:val="0"/>
              <w:autoSpaceDN w:val="0"/>
              <w:adjustRightInd w:val="0"/>
              <w:spacing w:after="0"/>
              <w:jc w:val="right"/>
              <w:rPr>
                <w:rFonts w:ascii="Calibri" w:eastAsiaTheme="minorEastAsia" w:hAnsi="Calibri" w:cs="Calibri"/>
                <w:color w:val="000000"/>
                <w:sz w:val="19"/>
                <w:szCs w:val="19"/>
                <w:lang w:eastAsia="en-AU"/>
              </w:rPr>
            </w:pPr>
            <w:r w:rsidRPr="005405DE">
              <w:rPr>
                <w:rFonts w:ascii="Calibri" w:eastAsiaTheme="minorEastAsia" w:hAnsi="Calibri" w:cs="Calibri"/>
                <w:color w:val="000000"/>
                <w:sz w:val="19"/>
                <w:szCs w:val="19"/>
                <w:lang w:eastAsia="en-AU"/>
              </w:rPr>
              <w:t>93.0</w:t>
            </w:r>
          </w:p>
        </w:tc>
      </w:tr>
    </w:tbl>
    <w:p w:rsidR="007A09DB" w:rsidRPr="008765D0" w:rsidRDefault="007A09DB" w:rsidP="004231B6">
      <w:pPr>
        <w:pStyle w:val="Source"/>
      </w:pPr>
      <w:r w:rsidRPr="008765D0">
        <w:t>Source: Department of Treasury and Finance</w:t>
      </w:r>
    </w:p>
    <w:p w:rsidR="007A09DB" w:rsidRPr="008765D0" w:rsidRDefault="007A09DB" w:rsidP="00950CD5">
      <w:pPr>
        <w:pStyle w:val="Notes"/>
      </w:pPr>
      <w:r>
        <w:t>Notes:</w:t>
      </w:r>
    </w:p>
    <w:p w:rsidR="007A09DB" w:rsidRDefault="007A09DB" w:rsidP="00950CD5">
      <w:pPr>
        <w:pStyle w:val="Notes"/>
      </w:pPr>
      <w:r>
        <w:t>(a)</w:t>
      </w:r>
      <w:r>
        <w:tab/>
        <w:t>Figures in this table are subject to rounding and may not add up to the totals.</w:t>
      </w:r>
    </w:p>
    <w:p w:rsidR="007A09DB" w:rsidRPr="008765D0" w:rsidRDefault="007A09DB" w:rsidP="00950CD5">
      <w:pPr>
        <w:pStyle w:val="Notes"/>
      </w:pPr>
      <w:r>
        <w:t>(b)</w:t>
      </w:r>
      <w:r>
        <w:tab/>
        <w:t>Net debt is t</w:t>
      </w:r>
      <w:r w:rsidRPr="008765D0">
        <w:t>he sum of borrowings, deposits held and advances received less the sum of cash and deposits, advances paid, and investments,</w:t>
      </w:r>
      <w:r>
        <w:t xml:space="preserve"> </w:t>
      </w:r>
      <w:r w:rsidRPr="008765D0">
        <w:t xml:space="preserve">loans and placements. </w:t>
      </w:r>
    </w:p>
    <w:p w:rsidR="007A09DB" w:rsidRDefault="007A09DB" w:rsidP="00950CD5">
      <w:pPr>
        <w:pStyle w:val="Notes"/>
      </w:pPr>
      <w:r>
        <w:t>(c)</w:t>
      </w:r>
      <w:r>
        <w:tab/>
        <w:t>Other liabilities include</w:t>
      </w:r>
      <w:r w:rsidRPr="008765D0">
        <w:t xml:space="preserve"> other employee entitlements and provisions and other non</w:t>
      </w:r>
      <w:r>
        <w:noBreakHyphen/>
      </w:r>
      <w:r w:rsidRPr="008765D0">
        <w:t>equity liabilities, less other n</w:t>
      </w:r>
      <w:r>
        <w:t>on</w:t>
      </w:r>
      <w:r>
        <w:noBreakHyphen/>
        <w:t>equity financial assets.</w:t>
      </w:r>
    </w:p>
    <w:p w:rsidR="007A09DB" w:rsidRDefault="007A09DB" w:rsidP="00950CD5">
      <w:pPr>
        <w:pStyle w:val="Notes"/>
      </w:pPr>
      <w:r>
        <w:t>(d)</w:t>
      </w:r>
      <w:r>
        <w:tab/>
        <w:t>Net financial liabilities is t</w:t>
      </w:r>
      <w:r w:rsidRPr="008765D0">
        <w:t>otal liabilities less financial assets (excluding investments in other se</w:t>
      </w:r>
      <w:r>
        <w:t>ctor entities).</w:t>
      </w:r>
    </w:p>
    <w:p w:rsidR="007A09DB" w:rsidRDefault="007A09DB" w:rsidP="00950CD5">
      <w:pPr>
        <w:pStyle w:val="Notes"/>
      </w:pPr>
      <w:r>
        <w:t>(e)</w:t>
      </w:r>
      <w:r>
        <w:tab/>
      </w:r>
      <w:r w:rsidRPr="008765D0">
        <w:t xml:space="preserve">The ratios to GSP may vary from publications year to year due to revisions to the </w:t>
      </w:r>
      <w:r>
        <w:t>Australian Bureau of Statistics (</w:t>
      </w:r>
      <w:r w:rsidRPr="008765D0">
        <w:t>ABS</w:t>
      </w:r>
      <w:r>
        <w:t>)</w:t>
      </w:r>
      <w:r w:rsidRPr="008765D0">
        <w:t xml:space="preserve"> GSP data.</w:t>
      </w:r>
    </w:p>
    <w:p w:rsidR="007A09DB" w:rsidRDefault="007A09DB" w:rsidP="00950CD5">
      <w:pPr>
        <w:pStyle w:val="Notes"/>
      </w:pPr>
      <w:r>
        <w:t>(f)</w:t>
      </w:r>
      <w:r>
        <w:tab/>
      </w:r>
      <w:r w:rsidRPr="008765D0">
        <w:t>The sum of non</w:t>
      </w:r>
      <w:r>
        <w:noBreakHyphen/>
      </w:r>
      <w:r w:rsidRPr="008765D0">
        <w:t>financial public sector net debt (excluding advances paid) plus the superannuation liability as a proportion of non</w:t>
      </w:r>
      <w:r>
        <w:noBreakHyphen/>
      </w:r>
      <w:r w:rsidRPr="008765D0">
        <w:t xml:space="preserve">financial public </w:t>
      </w:r>
      <w:r>
        <w:t>sector total operating revenue.</w:t>
      </w:r>
    </w:p>
    <w:p w:rsidR="007A09DB" w:rsidRPr="008765D0" w:rsidRDefault="007A09DB" w:rsidP="00950CD5">
      <w:pPr>
        <w:pStyle w:val="Notes"/>
      </w:pPr>
    </w:p>
    <w:p w:rsidR="007A09DB" w:rsidRPr="008765D0" w:rsidRDefault="007A09DB" w:rsidP="00950CD5">
      <w:pPr>
        <w:rPr>
          <w:rFonts w:eastAsiaTheme="minorHAnsi"/>
        </w:rPr>
      </w:pPr>
      <w:r w:rsidRPr="008765D0">
        <w:rPr>
          <w:rFonts w:eastAsiaTheme="minorHAnsi"/>
        </w:rPr>
        <w:t>Table 5.4 projects several indicators of financial sustainability for the NFPS which are expected to improve by 2019</w:t>
      </w:r>
      <w:r>
        <w:rPr>
          <w:rFonts w:eastAsiaTheme="minorHAnsi"/>
        </w:rPr>
        <w:noBreakHyphen/>
      </w:r>
      <w:r w:rsidRPr="008765D0">
        <w:rPr>
          <w:rFonts w:eastAsiaTheme="minorHAnsi"/>
        </w:rPr>
        <w:t xml:space="preserve">20. The improvement is </w:t>
      </w:r>
      <w:r>
        <w:rPr>
          <w:rFonts w:eastAsiaTheme="minorHAnsi"/>
        </w:rPr>
        <w:t>caused</w:t>
      </w:r>
      <w:r w:rsidRPr="008765D0">
        <w:rPr>
          <w:rFonts w:eastAsiaTheme="minorHAnsi"/>
        </w:rPr>
        <w:t xml:space="preserve"> by the strengthening of operating cash flow surpluses and receipts from asset s</w:t>
      </w:r>
      <w:r>
        <w:rPr>
          <w:rFonts w:eastAsiaTheme="minorHAnsi"/>
        </w:rPr>
        <w:t>ales.</w:t>
      </w:r>
    </w:p>
    <w:p w:rsidR="007A09DB" w:rsidRDefault="007A09DB" w:rsidP="00950CD5">
      <w:pPr>
        <w:rPr>
          <w:rFonts w:eastAsiaTheme="minorHAnsi"/>
        </w:rPr>
      </w:pPr>
      <w:r w:rsidRPr="008765D0">
        <w:rPr>
          <w:rFonts w:eastAsiaTheme="minorHAnsi"/>
        </w:rPr>
        <w:t>The ratio of operating cash flow surplus to revenue indicates the extent to which cash generated from operations can be used to fund infrastructure.</w:t>
      </w:r>
    </w:p>
    <w:p w:rsidR="007A09DB" w:rsidRDefault="007A09DB" w:rsidP="00950CD5">
      <w:pPr>
        <w:rPr>
          <w:rFonts w:eastAsiaTheme="minorHAnsi"/>
        </w:rPr>
      </w:pPr>
      <w:r>
        <w:rPr>
          <w:rFonts w:eastAsiaTheme="minorHAnsi"/>
        </w:rPr>
        <w:t>The ratio of gross debt to revenue is a measure of indebtedness. The decline in the State’s indebtedness compared with 2014</w:t>
      </w:r>
      <w:r>
        <w:rPr>
          <w:rFonts w:eastAsiaTheme="minorHAnsi"/>
        </w:rPr>
        <w:noBreakHyphen/>
        <w:t>15 and 2015</w:t>
      </w:r>
      <w:r>
        <w:rPr>
          <w:rFonts w:eastAsiaTheme="minorHAnsi"/>
        </w:rPr>
        <w:noBreakHyphen/>
        <w:t>16 levels are reflected in the improved ratio of interest expense to revenue. This ratio measures the extent to which revenue can be used to fund essential services and infrastructure, rather than to meet debt obligations.</w:t>
      </w:r>
      <w:bookmarkEnd w:id="81"/>
    </w:p>
    <w:p w:rsidR="007A09DB" w:rsidRPr="00A42741" w:rsidRDefault="007A09DB" w:rsidP="00950CD5">
      <w:pPr>
        <w:pStyle w:val="Tableheading"/>
      </w:pPr>
      <w:r w:rsidRPr="00A42741">
        <w:t xml:space="preserve">Table 5.4: </w:t>
      </w:r>
      <w:r>
        <w:tab/>
      </w:r>
      <w:r w:rsidRPr="00A42741">
        <w:t>Indicators of financial sustainability for the non</w:t>
      </w:r>
      <w:r>
        <w:noBreakHyphen/>
      </w:r>
      <w:r w:rsidRPr="00A42741">
        <w:t>financial public sector</w:t>
      </w:r>
    </w:p>
    <w:p w:rsidR="007A09DB" w:rsidRPr="00205265" w:rsidRDefault="007A09DB" w:rsidP="00B841ED">
      <w:pPr>
        <w:pStyle w:val="million"/>
        <w:rPr>
          <w:rFonts w:eastAsiaTheme="minorHAnsi"/>
        </w:rPr>
      </w:pPr>
      <w:r>
        <w:rPr>
          <w:rFonts w:eastAsiaTheme="minorHAnsi"/>
        </w:rPr>
        <w:t>(per cent)</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205265" w:rsidTr="00205265">
        <w:trPr>
          <w:cantSplit/>
          <w:tblHeader/>
        </w:trPr>
        <w:tc>
          <w:tcPr>
            <w:tcW w:w="2665" w:type="dxa"/>
            <w:tcBorders>
              <w:bottom w:val="nil"/>
              <w:right w:val="nil"/>
            </w:tcBorders>
            <w:shd w:val="solid" w:color="000000" w:fill="auto"/>
            <w:vAlign w:val="bottom"/>
          </w:tcPr>
          <w:p w:rsidR="007A09DB" w:rsidRPr="00205265" w:rsidRDefault="007A09DB" w:rsidP="00205265">
            <w:pPr>
              <w:autoSpaceDE w:val="0"/>
              <w:autoSpaceDN w:val="0"/>
              <w:adjustRightInd w:val="0"/>
              <w:spacing w:after="0"/>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 xml:space="preserve"> </w:t>
            </w:r>
          </w:p>
        </w:tc>
        <w:tc>
          <w:tcPr>
            <w:tcW w:w="850" w:type="dxa"/>
            <w:tcBorders>
              <w:left w:val="nil"/>
              <w:bottom w:val="nil"/>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15</w:t>
            </w:r>
          </w:p>
        </w:tc>
        <w:tc>
          <w:tcPr>
            <w:tcW w:w="850" w:type="dxa"/>
            <w:tcBorders>
              <w:left w:val="nil"/>
              <w:bottom w:val="nil"/>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16</w:t>
            </w:r>
          </w:p>
        </w:tc>
        <w:tc>
          <w:tcPr>
            <w:tcW w:w="850" w:type="dxa"/>
            <w:tcBorders>
              <w:left w:val="nil"/>
              <w:bottom w:val="nil"/>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17</w:t>
            </w:r>
          </w:p>
        </w:tc>
        <w:tc>
          <w:tcPr>
            <w:tcW w:w="850" w:type="dxa"/>
            <w:tcBorders>
              <w:left w:val="nil"/>
              <w:bottom w:val="nil"/>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18</w:t>
            </w:r>
          </w:p>
        </w:tc>
        <w:tc>
          <w:tcPr>
            <w:tcW w:w="850" w:type="dxa"/>
            <w:tcBorders>
              <w:left w:val="nil"/>
              <w:bottom w:val="nil"/>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19</w:t>
            </w:r>
          </w:p>
        </w:tc>
        <w:tc>
          <w:tcPr>
            <w:tcW w:w="850" w:type="dxa"/>
            <w:tcBorders>
              <w:left w:val="nil"/>
              <w:bottom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205265">
              <w:rPr>
                <w:rFonts w:ascii="Calibri" w:eastAsiaTheme="minorEastAsia" w:hAnsi="Calibri" w:cs="Calibri"/>
                <w:i/>
                <w:iCs/>
                <w:color w:val="FFFFFF"/>
                <w:sz w:val="19"/>
                <w:szCs w:val="19"/>
                <w:lang w:eastAsia="en-AU"/>
              </w:rPr>
              <w:t>20</w:t>
            </w:r>
          </w:p>
        </w:tc>
      </w:tr>
      <w:tr w:rsidR="007A09DB" w:rsidRPr="00205265" w:rsidTr="00205265">
        <w:trPr>
          <w:cantSplit/>
          <w:tblHeader/>
        </w:trPr>
        <w:tc>
          <w:tcPr>
            <w:tcW w:w="2665" w:type="dxa"/>
            <w:tcBorders>
              <w:top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 xml:space="preserve"> </w:t>
            </w:r>
          </w:p>
        </w:tc>
        <w:tc>
          <w:tcPr>
            <w:tcW w:w="850" w:type="dxa"/>
            <w:tcBorders>
              <w:top w:val="nil"/>
              <w:left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actual</w:t>
            </w:r>
          </w:p>
        </w:tc>
        <w:tc>
          <w:tcPr>
            <w:tcW w:w="850" w:type="dxa"/>
            <w:tcBorders>
              <w:top w:val="nil"/>
              <w:left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revised</w:t>
            </w:r>
          </w:p>
        </w:tc>
        <w:tc>
          <w:tcPr>
            <w:tcW w:w="850" w:type="dxa"/>
            <w:tcBorders>
              <w:top w:val="nil"/>
              <w:left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estimate</w:t>
            </w:r>
          </w:p>
        </w:tc>
        <w:tc>
          <w:tcPr>
            <w:tcW w:w="850" w:type="dxa"/>
            <w:tcBorders>
              <w:top w:val="nil"/>
              <w:left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estimate</w:t>
            </w:r>
          </w:p>
        </w:tc>
        <w:tc>
          <w:tcPr>
            <w:tcW w:w="850" w:type="dxa"/>
            <w:tcBorders>
              <w:top w:val="nil"/>
              <w:left w:val="nil"/>
              <w:bottom w:val="single" w:sz="6" w:space="0" w:color="auto"/>
              <w:right w:val="nil"/>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estimate</w:t>
            </w:r>
          </w:p>
        </w:tc>
        <w:tc>
          <w:tcPr>
            <w:tcW w:w="850" w:type="dxa"/>
            <w:tcBorders>
              <w:top w:val="nil"/>
              <w:left w:val="nil"/>
              <w:bottom w:val="single" w:sz="6" w:space="0" w:color="auto"/>
            </w:tcBorders>
            <w:shd w:val="solid" w:color="000000" w:fill="auto"/>
            <w:vAlign w:val="bottom"/>
          </w:tcPr>
          <w:p w:rsidR="007A09DB" w:rsidRPr="00205265" w:rsidRDefault="007A09DB" w:rsidP="00205265">
            <w:pPr>
              <w:autoSpaceDE w:val="0"/>
              <w:autoSpaceDN w:val="0"/>
              <w:adjustRightInd w:val="0"/>
              <w:spacing w:after="0"/>
              <w:jc w:val="right"/>
              <w:rPr>
                <w:rFonts w:ascii="Calibri" w:eastAsiaTheme="minorEastAsia" w:hAnsi="Calibri" w:cs="Calibri"/>
                <w:i/>
                <w:iCs/>
                <w:color w:val="FFFFFF"/>
                <w:sz w:val="19"/>
                <w:szCs w:val="19"/>
                <w:lang w:eastAsia="en-AU"/>
              </w:rPr>
            </w:pPr>
            <w:r w:rsidRPr="00205265">
              <w:rPr>
                <w:rFonts w:ascii="Calibri" w:eastAsiaTheme="minorEastAsia" w:hAnsi="Calibri" w:cs="Calibri"/>
                <w:i/>
                <w:iCs/>
                <w:color w:val="FFFFFF"/>
                <w:sz w:val="19"/>
                <w:szCs w:val="19"/>
                <w:lang w:eastAsia="en-AU"/>
              </w:rPr>
              <w:t>estimate</w:t>
            </w:r>
          </w:p>
        </w:tc>
      </w:tr>
      <w:tr w:rsidR="007A09DB" w:rsidRPr="00205265" w:rsidTr="00205265">
        <w:trPr>
          <w:cantSplit/>
        </w:trPr>
        <w:tc>
          <w:tcPr>
            <w:tcW w:w="2665"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ind w:left="227" w:hanging="227"/>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Operating cash flow surplus to revenue</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9.1</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9.8</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18.8</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9.0</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9.1</w:t>
            </w:r>
          </w:p>
        </w:tc>
        <w:tc>
          <w:tcPr>
            <w:tcW w:w="850" w:type="dxa"/>
            <w:tcBorders>
              <w:top w:val="single" w:sz="6" w:space="0" w:color="auto"/>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9.9</w:t>
            </w:r>
          </w:p>
        </w:tc>
      </w:tr>
      <w:tr w:rsidR="007A09DB" w:rsidRPr="00205265" w:rsidTr="00205265">
        <w:trPr>
          <w:cantSplit/>
        </w:trPr>
        <w:tc>
          <w:tcPr>
            <w:tcW w:w="2665" w:type="dxa"/>
            <w:tcBorders>
              <w:top w:val="nil"/>
              <w:left w:val="nil"/>
              <w:right w:val="nil"/>
            </w:tcBorders>
            <w:shd w:val="clear" w:color="auto" w:fill="FFFFFF"/>
          </w:tcPr>
          <w:p w:rsidR="007A09DB" w:rsidRPr="00205265" w:rsidRDefault="007A09DB" w:rsidP="00205265">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205265">
              <w:rPr>
                <w:rFonts w:ascii="Calibri" w:eastAsiaTheme="minorEastAsia" w:hAnsi="Calibri" w:cs="Calibri"/>
                <w:color w:val="000000"/>
                <w:sz w:val="19"/>
                <w:szCs w:val="19"/>
                <w:lang w:eastAsia="en-AU"/>
              </w:rPr>
              <w:t xml:space="preserve">Gross debt to revenue </w:t>
            </w:r>
            <w:r w:rsidRPr="00205265">
              <w:rPr>
                <w:rFonts w:ascii="Calibri" w:eastAsiaTheme="minorEastAsia" w:hAnsi="Calibri" w:cs="Calibri"/>
                <w:color w:val="000000"/>
                <w:sz w:val="19"/>
                <w:szCs w:val="19"/>
                <w:vertAlign w:val="superscript"/>
                <w:lang w:eastAsia="en-AU"/>
              </w:rPr>
              <w:t>(a)</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81.0</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78.4</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69.7</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73.1</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74.5</w:t>
            </w:r>
          </w:p>
        </w:tc>
        <w:tc>
          <w:tcPr>
            <w:tcW w:w="850" w:type="dxa"/>
            <w:tcBorders>
              <w:top w:val="nil"/>
              <w:left w:val="nil"/>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73.2</w:t>
            </w:r>
          </w:p>
        </w:tc>
      </w:tr>
      <w:tr w:rsidR="007A09DB" w:rsidRPr="00205265" w:rsidTr="00205265">
        <w:trPr>
          <w:cantSplit/>
        </w:trPr>
        <w:tc>
          <w:tcPr>
            <w:tcW w:w="2665"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ind w:left="227" w:hanging="227"/>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Interest expense to revenue</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4.9</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4.5</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4.6</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4.2</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4.1</w:t>
            </w:r>
          </w:p>
        </w:tc>
        <w:tc>
          <w:tcPr>
            <w:tcW w:w="850" w:type="dxa"/>
            <w:tcBorders>
              <w:top w:val="nil"/>
              <w:left w:val="nil"/>
              <w:bottom w:val="single" w:sz="12" w:space="0" w:color="auto"/>
              <w:right w:val="nil"/>
            </w:tcBorders>
            <w:shd w:val="clear" w:color="auto" w:fill="FFFFFF"/>
          </w:tcPr>
          <w:p w:rsidR="007A09DB" w:rsidRPr="00205265" w:rsidRDefault="007A09DB" w:rsidP="00205265">
            <w:pPr>
              <w:autoSpaceDE w:val="0"/>
              <w:autoSpaceDN w:val="0"/>
              <w:adjustRightInd w:val="0"/>
              <w:spacing w:after="0"/>
              <w:jc w:val="right"/>
              <w:rPr>
                <w:rFonts w:ascii="Calibri" w:eastAsiaTheme="minorEastAsia" w:hAnsi="Calibri" w:cs="Calibri"/>
                <w:color w:val="000000"/>
                <w:sz w:val="19"/>
                <w:szCs w:val="19"/>
                <w:lang w:eastAsia="en-AU"/>
              </w:rPr>
            </w:pPr>
            <w:r w:rsidRPr="00205265">
              <w:rPr>
                <w:rFonts w:ascii="Calibri" w:eastAsiaTheme="minorEastAsia" w:hAnsi="Calibri" w:cs="Calibri"/>
                <w:color w:val="000000"/>
                <w:sz w:val="19"/>
                <w:szCs w:val="19"/>
                <w:lang w:eastAsia="en-AU"/>
              </w:rPr>
              <w:t>4.0</w:t>
            </w:r>
          </w:p>
        </w:tc>
      </w:tr>
    </w:tbl>
    <w:p w:rsidR="007A09DB" w:rsidRPr="008765D0" w:rsidRDefault="007A09DB" w:rsidP="00205265">
      <w:pPr>
        <w:pStyle w:val="Source"/>
      </w:pPr>
      <w:r w:rsidRPr="008765D0">
        <w:t>Source: Departm</w:t>
      </w:r>
      <w:r>
        <w:t>ent of Treasury and Finance</w:t>
      </w:r>
    </w:p>
    <w:p w:rsidR="007A09DB" w:rsidRPr="008765D0" w:rsidRDefault="007A09DB" w:rsidP="00950CD5">
      <w:pPr>
        <w:pStyle w:val="Notes"/>
      </w:pPr>
      <w:r>
        <w:t>Note:</w:t>
      </w:r>
    </w:p>
    <w:p w:rsidR="007A09DB" w:rsidRDefault="007A09DB" w:rsidP="00950CD5">
      <w:pPr>
        <w:pStyle w:val="Notes"/>
      </w:pPr>
      <w:r>
        <w:t>(a)</w:t>
      </w:r>
      <w:r>
        <w:tab/>
        <w:t>Gross debt includes borrowings and deposits held and advances received.</w:t>
      </w:r>
    </w:p>
    <w:p w:rsidR="007A09DB" w:rsidRDefault="007A09DB" w:rsidP="00950CD5">
      <w:pPr>
        <w:pStyle w:val="Notes"/>
      </w:pPr>
    </w:p>
    <w:p w:rsidR="007A09DB" w:rsidRDefault="007A09DB" w:rsidP="00950CD5">
      <w:pPr>
        <w:pStyle w:val="Tableheading"/>
        <w:rPr>
          <w:vertAlign w:val="superscript"/>
        </w:rPr>
      </w:pPr>
      <w:bookmarkStart w:id="84" w:name="BP2OpResultSoV1"/>
      <w:r w:rsidRPr="00A42741">
        <w:t>Table 5.</w:t>
      </w:r>
      <w:r>
        <w:t>5:</w:t>
      </w:r>
      <w:r>
        <w:tab/>
        <w:t>Operating results – State of Victoria</w:t>
      </w:r>
      <w:r w:rsidRPr="00A42741">
        <w:rPr>
          <w:vertAlign w:val="superscript"/>
        </w:rPr>
        <w:t>(a)</w:t>
      </w:r>
    </w:p>
    <w:p w:rsidR="007A09DB" w:rsidRPr="003C44FF" w:rsidRDefault="007A09DB" w:rsidP="003C44FF">
      <w:pPr>
        <w:pStyle w:val="million"/>
        <w:rPr>
          <w:rFonts w:ascii="Garamond" w:eastAsiaTheme="minorHAnsi" w:hAnsi="Garamond"/>
          <w:b/>
          <w:bCs/>
          <w:sz w:val="22"/>
          <w:lang w:val="en-US"/>
        </w:rPr>
      </w:pPr>
      <w:r>
        <w:rPr>
          <w:rFonts w:eastAsiaTheme="minorHAnsi"/>
        </w:rPr>
        <w:t>($ million)</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3C44FF" w:rsidTr="003C44FF">
        <w:tc>
          <w:tcPr>
            <w:tcW w:w="2665"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20</w:t>
            </w:r>
          </w:p>
        </w:tc>
      </w:tr>
      <w:tr w:rsidR="007A09DB" w:rsidRPr="003C44FF" w:rsidTr="003C44FF">
        <w:tc>
          <w:tcPr>
            <w:tcW w:w="2665" w:type="dxa"/>
            <w:tcBorders>
              <w:top w:val="nil"/>
              <w:left w:val="nil"/>
              <w:right w:val="nil"/>
            </w:tcBorders>
            <w:shd w:val="solid" w:color="000000" w:fill="auto"/>
          </w:tcPr>
          <w:p w:rsidR="007A09DB" w:rsidRPr="003C44FF" w:rsidRDefault="007A09DB" w:rsidP="003C44FF">
            <w:pPr>
              <w:autoSpaceDE w:val="0"/>
              <w:autoSpaceDN w:val="0"/>
              <w:adjustRightInd w:val="0"/>
              <w:spacing w:after="0"/>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Revenue</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Taxation revenue</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17 936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19 644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21 200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20 913</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22 030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22 901</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3C44FF">
              <w:rPr>
                <w:rFonts w:ascii="Calibri" w:eastAsiaTheme="minorEastAsia" w:hAnsi="Calibri" w:cs="Calibri"/>
                <w:color w:val="000000"/>
                <w:sz w:val="19"/>
                <w:szCs w:val="19"/>
                <w:lang w:eastAsia="en-AU"/>
              </w:rPr>
              <w:t xml:space="preserve">Dividends, income tax equivalent and interest </w:t>
            </w:r>
            <w:r w:rsidRPr="003C44FF">
              <w:rPr>
                <w:rFonts w:ascii="Calibri" w:eastAsiaTheme="minorEastAsia" w:hAnsi="Calibri" w:cs="Calibri"/>
                <w:color w:val="000000"/>
                <w:sz w:val="19"/>
                <w:szCs w:val="19"/>
                <w:vertAlign w:val="superscript"/>
                <w:lang w:eastAsia="en-AU"/>
              </w:rPr>
              <w:t>(b)</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1 747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1 886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1 832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1 995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1 971</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2 045</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Sales of goods and services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13 906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14 192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14 425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14 904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15 300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15 592</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Grants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24 377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25 244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27 256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27 931</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28 710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29 835</w:t>
            </w:r>
          </w:p>
        </w:tc>
      </w:tr>
      <w:tr w:rsidR="007A09DB" w:rsidRPr="003C44FF" w:rsidTr="003C44FF">
        <w:tc>
          <w:tcPr>
            <w:tcW w:w="2665"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Other current revenue</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3 088</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3 471</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3 072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2 829</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2 848</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2 902</w:t>
            </w:r>
          </w:p>
        </w:tc>
      </w:tr>
      <w:tr w:rsidR="007A09DB" w:rsidRPr="003C44FF" w:rsidTr="003C44FF">
        <w:tc>
          <w:tcPr>
            <w:tcW w:w="2665"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Total revenue</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61 054</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64 438</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67 786</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68 572</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70 860</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73 275</w:t>
            </w:r>
          </w:p>
        </w:tc>
      </w:tr>
      <w:tr w:rsidR="007A09DB" w:rsidRPr="00CA0996" w:rsidTr="003C44FF">
        <w:tc>
          <w:tcPr>
            <w:tcW w:w="2665" w:type="dxa"/>
            <w:tcBorders>
              <w:top w:val="nil"/>
              <w:left w:val="nil"/>
              <w:right w:val="nil"/>
            </w:tcBorders>
            <w:shd w:val="clear" w:color="auto" w:fill="FFFFFF"/>
          </w:tcPr>
          <w:p w:rsidR="007A09DB" w:rsidRPr="00CA0996" w:rsidRDefault="007A09DB" w:rsidP="003C44FF">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CA0996">
              <w:rPr>
                <w:rFonts w:ascii="Calibri" w:eastAsiaTheme="minorEastAsia" w:hAnsi="Calibri" w:cs="Calibri"/>
                <w:i/>
                <w:iCs/>
                <w:color w:val="000000"/>
                <w:sz w:val="19"/>
                <w:szCs w:val="19"/>
                <w:lang w:eastAsia="en-AU"/>
              </w:rPr>
              <w:t>% change</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1.3</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5.5</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5.2</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1.2</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3.3</w:t>
            </w:r>
          </w:p>
        </w:tc>
        <w:tc>
          <w:tcPr>
            <w:tcW w:w="850" w:type="dxa"/>
            <w:tcBorders>
              <w:top w:val="nil"/>
              <w:left w:val="nil"/>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3.4</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Expenses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Employee expenses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19 834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21 124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22 368</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23 204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24 111</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24 827</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3C44FF">
              <w:rPr>
                <w:rFonts w:ascii="Calibri" w:eastAsiaTheme="minorEastAsia" w:hAnsi="Calibri" w:cs="Calibri"/>
                <w:color w:val="000000"/>
                <w:sz w:val="19"/>
                <w:szCs w:val="19"/>
                <w:lang w:eastAsia="en-AU"/>
              </w:rPr>
              <w:t xml:space="preserve">Superannuation </w:t>
            </w:r>
            <w:r w:rsidRPr="003C44FF">
              <w:rPr>
                <w:rFonts w:ascii="Calibri" w:eastAsiaTheme="minorEastAsia" w:hAnsi="Calibri" w:cs="Calibri"/>
                <w:color w:val="000000"/>
                <w:sz w:val="19"/>
                <w:szCs w:val="19"/>
                <w:vertAlign w:val="superscript"/>
                <w:lang w:eastAsia="en-AU"/>
              </w:rPr>
              <w:t>(c)</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3 144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3 128</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3 153</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3 148</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3 156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3 171</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Depreciation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4 454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4 665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4 911</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5 087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5 443</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5 642</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Interest expense</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2 867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2 757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2 979</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2 740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2 789</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2 745</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Other operating expenses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25 544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26 425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27 505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28 618</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28 624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29 444</w:t>
            </w:r>
          </w:p>
        </w:tc>
      </w:tr>
      <w:tr w:rsidR="007A09DB" w:rsidRPr="003C44FF" w:rsidTr="003C44FF">
        <w:tc>
          <w:tcPr>
            <w:tcW w:w="2665"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Grants and other transfers</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5 822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5 532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6 496</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6 470</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6 751</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6 841</w:t>
            </w:r>
          </w:p>
        </w:tc>
      </w:tr>
      <w:tr w:rsidR="007A09DB" w:rsidRPr="003C44FF" w:rsidTr="003C44FF">
        <w:tc>
          <w:tcPr>
            <w:tcW w:w="2665"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Total expenses</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61 665</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63 631</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67 412</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69 267</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70 874</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72 671</w:t>
            </w:r>
          </w:p>
        </w:tc>
      </w:tr>
      <w:tr w:rsidR="007A09DB" w:rsidRPr="00CA0996" w:rsidTr="003C44FF">
        <w:tc>
          <w:tcPr>
            <w:tcW w:w="2665"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ind w:left="227" w:hanging="227"/>
              <w:rPr>
                <w:rFonts w:ascii="Calibri" w:eastAsiaTheme="minorEastAsia" w:hAnsi="Calibri" w:cs="Calibri"/>
                <w:i/>
                <w:iCs/>
                <w:color w:val="000000"/>
                <w:sz w:val="19"/>
                <w:szCs w:val="19"/>
                <w:lang w:eastAsia="en-AU"/>
              </w:rPr>
            </w:pPr>
            <w:r w:rsidRPr="00CA0996">
              <w:rPr>
                <w:rFonts w:ascii="Calibri" w:eastAsiaTheme="minorEastAsia" w:hAnsi="Calibri" w:cs="Calibri"/>
                <w:i/>
                <w:iCs/>
                <w:color w:val="000000"/>
                <w:sz w:val="19"/>
                <w:szCs w:val="19"/>
                <w:lang w:eastAsia="en-AU"/>
              </w:rPr>
              <w:t>% change</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3.7</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3.2</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5.9</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2.8</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2.3</w:t>
            </w:r>
          </w:p>
        </w:tc>
        <w:tc>
          <w:tcPr>
            <w:tcW w:w="850" w:type="dxa"/>
            <w:tcBorders>
              <w:top w:val="nil"/>
              <w:left w:val="nil"/>
              <w:bottom w:val="single" w:sz="6" w:space="0" w:color="auto"/>
              <w:right w:val="nil"/>
            </w:tcBorders>
            <w:shd w:val="clear" w:color="auto" w:fill="FFFFFF"/>
          </w:tcPr>
          <w:p w:rsidR="007A09DB" w:rsidRPr="00CA0996" w:rsidRDefault="007A09DB" w:rsidP="003C44FF">
            <w:pPr>
              <w:autoSpaceDE w:val="0"/>
              <w:autoSpaceDN w:val="0"/>
              <w:adjustRightInd w:val="0"/>
              <w:spacing w:after="0"/>
              <w:jc w:val="right"/>
              <w:rPr>
                <w:rFonts w:ascii="Calibri" w:eastAsiaTheme="minorEastAsia" w:hAnsi="Calibri" w:cs="Calibri"/>
                <w:i/>
                <w:color w:val="000000"/>
                <w:sz w:val="19"/>
                <w:szCs w:val="19"/>
                <w:lang w:eastAsia="en-AU"/>
              </w:rPr>
            </w:pPr>
            <w:r w:rsidRPr="00CA0996">
              <w:rPr>
                <w:rFonts w:ascii="Calibri" w:eastAsiaTheme="minorEastAsia" w:hAnsi="Calibri" w:cs="Calibri"/>
                <w:i/>
                <w:color w:val="000000"/>
                <w:sz w:val="19"/>
                <w:szCs w:val="19"/>
                <w:lang w:eastAsia="en-AU"/>
              </w:rPr>
              <w:t>2.5</w:t>
            </w:r>
          </w:p>
        </w:tc>
      </w:tr>
      <w:tr w:rsidR="007A09DB" w:rsidRPr="003C44FF" w:rsidTr="003C44FF">
        <w:tc>
          <w:tcPr>
            <w:tcW w:w="2665"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Net result from transactions</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( 611)</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807</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374</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( 696)</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( 14)</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604</w:t>
            </w:r>
          </w:p>
        </w:tc>
      </w:tr>
      <w:tr w:rsidR="007A09DB" w:rsidRPr="003C44FF" w:rsidTr="003C44FF">
        <w:tc>
          <w:tcPr>
            <w:tcW w:w="2665"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Total other economic flows included in net result</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661</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249</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1 191</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1 818</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1 493</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1 518</w:t>
            </w:r>
          </w:p>
        </w:tc>
      </w:tr>
      <w:tr w:rsidR="007A09DB" w:rsidRPr="003C44FF" w:rsidTr="003C44FF">
        <w:tc>
          <w:tcPr>
            <w:tcW w:w="2665"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Net result</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51</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1 056</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1 564</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1 122</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1 479</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2 122</w:t>
            </w:r>
          </w:p>
        </w:tc>
      </w:tr>
    </w:tbl>
    <w:p w:rsidR="007A09DB" w:rsidRPr="00A42741" w:rsidRDefault="007A09DB" w:rsidP="00176F74">
      <w:pPr>
        <w:pStyle w:val="Source"/>
        <w:rPr>
          <w:rFonts w:eastAsiaTheme="minorHAnsi"/>
        </w:rPr>
      </w:pPr>
      <w:r w:rsidRPr="00A42741">
        <w:rPr>
          <w:rFonts w:eastAsiaTheme="minorHAnsi"/>
        </w:rPr>
        <w:t>Source: Department of Treasury and Finance</w:t>
      </w:r>
    </w:p>
    <w:p w:rsidR="007A09DB" w:rsidRPr="00A42741" w:rsidRDefault="007A09DB" w:rsidP="00950CD5">
      <w:pPr>
        <w:pStyle w:val="Notes"/>
        <w:rPr>
          <w:rFonts w:eastAsiaTheme="minorHAnsi"/>
        </w:rPr>
      </w:pPr>
      <w:r w:rsidRPr="00A42741">
        <w:rPr>
          <w:rFonts w:eastAsiaTheme="minorHAnsi"/>
        </w:rPr>
        <w:t>Notes:</w:t>
      </w:r>
    </w:p>
    <w:p w:rsidR="007A09DB" w:rsidRPr="0038692D" w:rsidRDefault="007A09DB" w:rsidP="00950CD5">
      <w:pPr>
        <w:pStyle w:val="Notes"/>
      </w:pPr>
      <w:r>
        <w:rPr>
          <w:rFonts w:eastAsiaTheme="minorHAnsi"/>
        </w:rPr>
        <w:t>(a)</w:t>
      </w:r>
      <w:r>
        <w:rPr>
          <w:rFonts w:eastAsiaTheme="minorHAnsi"/>
        </w:rPr>
        <w:tab/>
      </w:r>
      <w:r w:rsidRPr="0038692D">
        <w:rPr>
          <w:rFonts w:eastAsiaTheme="minorHAnsi"/>
        </w:rPr>
        <w:t xml:space="preserve">This is a summary operating statement. The comprehensive operating statement is presented in Budget Paper No. 5 </w:t>
      </w:r>
      <w:r w:rsidRPr="00EA67D4">
        <w:rPr>
          <w:rFonts w:eastAsiaTheme="minorHAnsi"/>
          <w:i w:val="0"/>
        </w:rPr>
        <w:t>Statement of Finances</w:t>
      </w:r>
      <w:r w:rsidRPr="0038692D">
        <w:rPr>
          <w:rFonts w:eastAsiaTheme="minorHAnsi"/>
        </w:rPr>
        <w:t>.</w:t>
      </w:r>
      <w:r w:rsidRPr="0038692D">
        <w:t xml:space="preserve"> Figures in this table are subject to </w:t>
      </w:r>
      <w:r>
        <w:t xml:space="preserve">rounding </w:t>
      </w:r>
      <w:r w:rsidRPr="0038692D">
        <w:t>and may not add up to the totals.</w:t>
      </w:r>
    </w:p>
    <w:p w:rsidR="007A09DB" w:rsidRDefault="007A09DB" w:rsidP="00950CD5">
      <w:pPr>
        <w:pStyle w:val="Notes"/>
        <w:rPr>
          <w:rFonts w:eastAsiaTheme="minorHAnsi"/>
        </w:rPr>
      </w:pPr>
      <w:r>
        <w:rPr>
          <w:rFonts w:eastAsiaTheme="minorHAnsi"/>
        </w:rPr>
        <w:t>(b)</w:t>
      </w:r>
      <w:r>
        <w:rPr>
          <w:rFonts w:eastAsiaTheme="minorHAnsi"/>
        </w:rPr>
        <w:tab/>
      </w:r>
      <w:r w:rsidRPr="00901459">
        <w:rPr>
          <w:rFonts w:eastAsiaTheme="minorHAnsi"/>
        </w:rPr>
        <w:t>Comprises dividends, income tax and rate equivalent revenue and interest.</w:t>
      </w:r>
    </w:p>
    <w:p w:rsidR="007A09DB" w:rsidRDefault="007A09DB" w:rsidP="00950CD5">
      <w:pPr>
        <w:pStyle w:val="Notes"/>
        <w:rPr>
          <w:rFonts w:eastAsiaTheme="minorHAnsi"/>
        </w:rPr>
      </w:pPr>
      <w:r>
        <w:rPr>
          <w:rFonts w:eastAsiaTheme="minorHAnsi"/>
        </w:rPr>
        <w:t>(c)</w:t>
      </w:r>
      <w:r>
        <w:rPr>
          <w:rFonts w:eastAsiaTheme="minorHAnsi"/>
        </w:rPr>
        <w:tab/>
      </w:r>
      <w:r w:rsidRPr="00901459">
        <w:rPr>
          <w:rFonts w:eastAsiaTheme="minorHAnsi"/>
        </w:rPr>
        <w:t>Comprises superannuation interest expense an</w:t>
      </w:r>
      <w:r>
        <w:rPr>
          <w:rFonts w:eastAsiaTheme="minorHAnsi"/>
        </w:rPr>
        <w:t>d other superannuation expenses.</w:t>
      </w:r>
    </w:p>
    <w:p w:rsidR="007A09DB" w:rsidRPr="00901459" w:rsidRDefault="007A09DB" w:rsidP="00950CD5">
      <w:pPr>
        <w:pStyle w:val="Notes"/>
        <w:rPr>
          <w:rFonts w:eastAsiaTheme="minorHAnsi"/>
        </w:rPr>
      </w:pPr>
    </w:p>
    <w:p w:rsidR="007A09DB" w:rsidRDefault="007A09DB">
      <w:pPr>
        <w:spacing w:after="0"/>
        <w:rPr>
          <w:rFonts w:eastAsiaTheme="minorHAnsi"/>
        </w:rPr>
      </w:pPr>
      <w:r>
        <w:rPr>
          <w:rFonts w:eastAsiaTheme="minorHAnsi"/>
        </w:rPr>
        <w:br w:type="page"/>
      </w:r>
    </w:p>
    <w:p w:rsidR="007A09DB" w:rsidRDefault="007A09DB" w:rsidP="00950CD5">
      <w:pPr>
        <w:rPr>
          <w:rFonts w:eastAsiaTheme="minorHAnsi"/>
        </w:rPr>
      </w:pPr>
      <w:r w:rsidRPr="008765D0">
        <w:rPr>
          <w:rFonts w:eastAsiaTheme="minorHAnsi"/>
        </w:rPr>
        <w:t>Table 5.</w:t>
      </w:r>
      <w:r>
        <w:rPr>
          <w:rFonts w:eastAsiaTheme="minorHAnsi"/>
        </w:rPr>
        <w:t>5</w:t>
      </w:r>
      <w:r w:rsidRPr="008765D0">
        <w:rPr>
          <w:rFonts w:eastAsiaTheme="minorHAnsi"/>
        </w:rPr>
        <w:t xml:space="preserve"> </w:t>
      </w:r>
      <w:r>
        <w:rPr>
          <w:rFonts w:eastAsiaTheme="minorHAnsi"/>
        </w:rPr>
        <w:t>shows the operating result for the State. The net result for the State is projected to be in surplus over the budget and forward estimates. The net result includes other economic flows, which are projected to contribute on average $1.5 billion a year towards the net surplus over the budget and forward estimates. The other economic flows include projected investment returns of the State’s insurance agencies</w:t>
      </w:r>
      <w:r>
        <w:rPr>
          <w:rFonts w:eastAsiaTheme="minorHAnsi"/>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rFonts w:eastAsiaTheme="minorHAnsi"/>
        </w:rPr>
        <w:fldChar w:fldCharType="end"/>
      </w:r>
      <w:r>
        <w:rPr>
          <w:rFonts w:eastAsiaTheme="minorHAnsi"/>
        </w:rPr>
        <w:t xml:space="preserve"> that are used to service their liabilities.</w:t>
      </w:r>
      <w:r>
        <w:rPr>
          <w:rFonts w:eastAsiaTheme="minorHAnsi"/>
        </w:rPr>
        <w:fldChar w:fldCharType="begin"/>
      </w:r>
      <w:r>
        <w:instrText xml:space="preserve"> XE "</w:instrText>
      </w:r>
      <w:r w:rsidRPr="00582147">
        <w:instrText>Operating result:State of Victoria</w:instrText>
      </w:r>
      <w:r>
        <w:instrText xml:space="preserve">" \r "BP2OpResultSoV1" </w:instrText>
      </w:r>
      <w:r>
        <w:rPr>
          <w:rFonts w:eastAsiaTheme="minorHAnsi"/>
        </w:rPr>
        <w:fldChar w:fldCharType="end"/>
      </w:r>
    </w:p>
    <w:bookmarkEnd w:id="84"/>
    <w:p w:rsidR="007A09DB" w:rsidRDefault="007A09DB" w:rsidP="00BE3A88">
      <w:pPr>
        <w:rPr>
          <w:rFonts w:eastAsiaTheme="minorHAnsi"/>
        </w:rPr>
      </w:pPr>
      <w:r w:rsidRPr="0000759A">
        <w:rPr>
          <w:rFonts w:eastAsiaTheme="minorHAnsi"/>
        </w:rPr>
        <w:t>The PFC sector is forecast to record an average net surplus of $</w:t>
      </w:r>
      <w:r>
        <w:rPr>
          <w:rFonts w:eastAsiaTheme="minorHAnsi"/>
        </w:rPr>
        <w:t>600 million</w:t>
      </w:r>
      <w:r w:rsidRPr="0000759A">
        <w:rPr>
          <w:rFonts w:eastAsiaTheme="minorHAnsi"/>
        </w:rPr>
        <w:t xml:space="preserve"> for the years 2016</w:t>
      </w:r>
      <w:r>
        <w:rPr>
          <w:rFonts w:eastAsiaTheme="minorHAnsi"/>
        </w:rPr>
        <w:noBreakHyphen/>
      </w:r>
      <w:r w:rsidRPr="0000759A">
        <w:rPr>
          <w:rFonts w:eastAsiaTheme="minorHAnsi"/>
        </w:rPr>
        <w:t>17 to 2019</w:t>
      </w:r>
      <w:r>
        <w:rPr>
          <w:rFonts w:eastAsiaTheme="minorHAnsi"/>
        </w:rPr>
        <w:noBreakHyphen/>
      </w:r>
      <w:r w:rsidRPr="0000759A">
        <w:rPr>
          <w:rFonts w:eastAsiaTheme="minorHAnsi"/>
        </w:rPr>
        <w:t>20, primarily due to positive investment returns and valuation gains associated with improved financial market conditions.</w:t>
      </w:r>
    </w:p>
    <w:p w:rsidR="007A09DB" w:rsidRDefault="007A09DB" w:rsidP="00950CD5">
      <w:pPr>
        <w:rPr>
          <w:rFonts w:eastAsiaTheme="minorHAnsi"/>
        </w:rPr>
      </w:pPr>
      <w:r>
        <w:rPr>
          <w:rFonts w:eastAsiaTheme="minorHAnsi"/>
        </w:rPr>
        <w:t xml:space="preserve">The net result, rather than the net result from transactions, is considered a more meaningful measure of the expected operating position of the PFC sector and the State because it includes other economic flows. Other economic flows include valuation gains on revaluation of financial liabilities, which primarily result from movements in bond rates used to value these liabilities. </w:t>
      </w:r>
    </w:p>
    <w:p w:rsidR="007A09DB" w:rsidRPr="00A42741" w:rsidRDefault="007A09DB" w:rsidP="00950CD5">
      <w:pPr>
        <w:pStyle w:val="Chartheading"/>
      </w:pPr>
      <w:r>
        <w:t>Chart 5.2:</w:t>
      </w:r>
      <w:r>
        <w:tab/>
      </w:r>
      <w:r w:rsidRPr="00A42741">
        <w:t xml:space="preserve">Components of </w:t>
      </w:r>
      <w:r>
        <w:t>whole of state net</w:t>
      </w:r>
      <w:r w:rsidRPr="00A42741">
        <w:t xml:space="preserve"> result</w:t>
      </w:r>
      <w:r>
        <w:t xml:space="preserve"> (after other economic flows)</w:t>
      </w:r>
    </w:p>
    <w:p w:rsidR="007A09DB" w:rsidRDefault="00D71529" w:rsidP="00BC0181">
      <w:pPr>
        <w:pStyle w:val="Chartpara"/>
        <w:rPr>
          <w:rFonts w:eastAsiaTheme="minorHAnsi"/>
        </w:rPr>
      </w:pPr>
      <w:r>
        <w:rPr>
          <w:rFonts w:eastAsiaTheme="minorHAnsi"/>
        </w:rPr>
        <w:pict>
          <v:shape id="_x0000_i1043" type="#_x0000_t75" style="width:382.5pt;height:273pt">
            <v:imagedata r:id="rId43" o:title=""/>
          </v:shape>
        </w:pict>
      </w:r>
    </w:p>
    <w:p w:rsidR="007A09DB" w:rsidRPr="00662922" w:rsidRDefault="007A09DB" w:rsidP="00662922">
      <w:pPr>
        <w:pStyle w:val="Source"/>
      </w:pPr>
      <w:r w:rsidRPr="00662922">
        <w:t>Source: Department of Treasury and Finance</w:t>
      </w:r>
    </w:p>
    <w:p w:rsidR="007A09DB" w:rsidRPr="00E124E5" w:rsidRDefault="007A09DB" w:rsidP="0000759A">
      <w:pPr>
        <w:pStyle w:val="Notes"/>
      </w:pPr>
      <w:r w:rsidRPr="00E124E5">
        <w:t>Note:</w:t>
      </w:r>
    </w:p>
    <w:p w:rsidR="007A09DB" w:rsidRDefault="007A09DB" w:rsidP="0000759A">
      <w:pPr>
        <w:pStyle w:val="Notes"/>
      </w:pPr>
      <w:r w:rsidRPr="00E124E5">
        <w:t xml:space="preserve">(a) </w:t>
      </w:r>
      <w:r w:rsidRPr="00E124E5">
        <w:tab/>
      </w:r>
      <w:r>
        <w:t>Eliminations include transactions between the sectors, including dividends paid from PFCs to the general government sector.</w:t>
      </w:r>
      <w:r>
        <w:fldChar w:fldCharType="begin"/>
      </w:r>
      <w:r>
        <w:instrText xml:space="preserve"> XE "</w:instrText>
      </w:r>
      <w:r w:rsidRPr="00CD3CAB">
        <w:instrText>Net financial liabilities</w:instrText>
      </w:r>
      <w:r>
        <w:instrText xml:space="preserve">" \r "BP2NetFinLiabls" </w:instrText>
      </w:r>
      <w:r>
        <w:fldChar w:fldCharType="end"/>
      </w:r>
    </w:p>
    <w:p w:rsidR="007A09DB" w:rsidRDefault="007A09DB" w:rsidP="00950CD5">
      <w:pPr>
        <w:pStyle w:val="Heading1"/>
      </w:pPr>
      <w:bookmarkStart w:id="85" w:name="_Toc449123072"/>
      <w:bookmarkEnd w:id="83"/>
      <w:r>
        <w:t>State of Victoria – financial position</w:t>
      </w:r>
      <w:bookmarkEnd w:id="85"/>
    </w:p>
    <w:p w:rsidR="007A09DB" w:rsidRDefault="007A09DB" w:rsidP="00950CD5">
      <w:pPr>
        <w:rPr>
          <w:rFonts w:eastAsiaTheme="minorHAnsi"/>
        </w:rPr>
      </w:pPr>
      <w:r w:rsidRPr="008765D0">
        <w:rPr>
          <w:rFonts w:eastAsiaTheme="minorHAnsi"/>
        </w:rPr>
        <w:t>Table 5.</w:t>
      </w:r>
      <w:r>
        <w:rPr>
          <w:rFonts w:eastAsiaTheme="minorHAnsi"/>
        </w:rPr>
        <w:t>6</w:t>
      </w:r>
      <w:r w:rsidRPr="008765D0">
        <w:rPr>
          <w:rFonts w:eastAsiaTheme="minorHAnsi"/>
        </w:rPr>
        <w:t xml:space="preserve"> </w:t>
      </w:r>
      <w:r>
        <w:rPr>
          <w:rFonts w:eastAsiaTheme="minorHAnsi"/>
        </w:rPr>
        <w:t>shows that the State’s financial position is projected to improve over the budget and forward estimates. Financial assets are estimated to increase by $7 billion to $57 billion by 2019</w:t>
      </w:r>
      <w:r>
        <w:rPr>
          <w:rFonts w:eastAsiaTheme="minorHAnsi"/>
        </w:rPr>
        <w:noBreakHyphen/>
        <w:t>20. Borrowings are estimated to increase from $52 billion in 2015</w:t>
      </w:r>
      <w:r>
        <w:rPr>
          <w:rFonts w:eastAsiaTheme="minorHAnsi"/>
        </w:rPr>
        <w:noBreakHyphen/>
        <w:t>16 to $55 billion by 2019</w:t>
      </w:r>
      <w:r>
        <w:rPr>
          <w:rFonts w:eastAsiaTheme="minorHAnsi"/>
        </w:rPr>
        <w:noBreakHyphen/>
        <w:t>20. The State’s net assets are forecast to increase from $142 billion in 2015</w:t>
      </w:r>
      <w:r>
        <w:rPr>
          <w:rFonts w:eastAsiaTheme="minorHAnsi"/>
        </w:rPr>
        <w:noBreakHyphen/>
        <w:t>16 to $171 billion by 2019</w:t>
      </w:r>
      <w:r>
        <w:rPr>
          <w:rFonts w:eastAsiaTheme="minorHAnsi"/>
        </w:rPr>
        <w:noBreakHyphen/>
        <w:t>20.</w:t>
      </w:r>
    </w:p>
    <w:p w:rsidR="007A09DB" w:rsidRDefault="007A09DB" w:rsidP="00950CD5">
      <w:pPr>
        <w:pStyle w:val="Tableheading"/>
        <w:rPr>
          <w:rFonts w:eastAsiaTheme="minorHAnsi"/>
        </w:rPr>
      </w:pPr>
      <w:r w:rsidRPr="00A42741">
        <w:t>Table 5.</w:t>
      </w:r>
      <w:r>
        <w:t>6</w:t>
      </w:r>
      <w:r w:rsidRPr="00A42741">
        <w:t xml:space="preserve">: </w:t>
      </w:r>
      <w:r>
        <w:tab/>
        <w:t>Financial position of the State of Victoria</w:t>
      </w:r>
      <w:r w:rsidRPr="00612325">
        <w:rPr>
          <w:vertAlign w:val="superscript"/>
        </w:rPr>
        <w:t>(a)</w:t>
      </w:r>
    </w:p>
    <w:p w:rsidR="007A09DB" w:rsidRPr="003C44FF" w:rsidRDefault="007A09DB" w:rsidP="003C44FF">
      <w:pPr>
        <w:pStyle w:val="million"/>
        <w:rPr>
          <w:rFonts w:ascii="Garamond" w:eastAsiaTheme="minorHAnsi" w:hAnsi="Garamond"/>
          <w:b/>
          <w:bCs/>
          <w:sz w:val="22"/>
          <w:lang w:val="en-US"/>
        </w:rPr>
      </w:pPr>
      <w:r>
        <w:rPr>
          <w:rFonts w:eastAsiaTheme="minorHAnsi"/>
        </w:rPr>
        <w:t>($ billion)</w:t>
      </w:r>
    </w:p>
    <w:tbl>
      <w:tblPr>
        <w:tblW w:w="7765" w:type="dxa"/>
        <w:tblInd w:w="45" w:type="dxa"/>
        <w:tblLayout w:type="fixed"/>
        <w:tblCellMar>
          <w:left w:w="45" w:type="dxa"/>
          <w:right w:w="45" w:type="dxa"/>
        </w:tblCellMar>
        <w:tblLook w:val="0000" w:firstRow="0" w:lastRow="0" w:firstColumn="0" w:lastColumn="0" w:noHBand="0" w:noVBand="0"/>
      </w:tblPr>
      <w:tblGrid>
        <w:gridCol w:w="2665"/>
        <w:gridCol w:w="850"/>
        <w:gridCol w:w="850"/>
        <w:gridCol w:w="850"/>
        <w:gridCol w:w="850"/>
        <w:gridCol w:w="850"/>
        <w:gridCol w:w="850"/>
      </w:tblGrid>
      <w:tr w:rsidR="007A09DB" w:rsidRPr="003C44FF" w:rsidTr="003C44FF">
        <w:tc>
          <w:tcPr>
            <w:tcW w:w="2665"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 xml:space="preserve"> </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2014</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15</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2015</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16</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2016</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17</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2017</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18</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2018</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19</w:t>
            </w:r>
          </w:p>
        </w:tc>
        <w:tc>
          <w:tcPr>
            <w:tcW w:w="850" w:type="dxa"/>
            <w:tcBorders>
              <w:top w:val="nil"/>
              <w:left w:val="nil"/>
              <w:bottom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2019</w:t>
            </w:r>
            <w:r>
              <w:rPr>
                <w:rFonts w:ascii="Calibri" w:eastAsiaTheme="minorEastAsia" w:hAnsi="Calibri" w:cs="Calibri"/>
                <w:i/>
                <w:iCs/>
                <w:color w:val="FFFFFF"/>
                <w:sz w:val="19"/>
                <w:szCs w:val="19"/>
                <w:lang w:eastAsia="en-AU"/>
              </w:rPr>
              <w:noBreakHyphen/>
            </w:r>
            <w:r w:rsidRPr="003C44FF">
              <w:rPr>
                <w:rFonts w:ascii="Calibri" w:eastAsiaTheme="minorEastAsia" w:hAnsi="Calibri" w:cs="Calibri"/>
                <w:i/>
                <w:iCs/>
                <w:color w:val="FFFFFF"/>
                <w:sz w:val="19"/>
                <w:szCs w:val="19"/>
                <w:lang w:eastAsia="en-AU"/>
              </w:rPr>
              <w:t>20</w:t>
            </w:r>
          </w:p>
        </w:tc>
      </w:tr>
      <w:tr w:rsidR="007A09DB" w:rsidRPr="003C44FF" w:rsidTr="003C44FF">
        <w:tc>
          <w:tcPr>
            <w:tcW w:w="2665" w:type="dxa"/>
            <w:tcBorders>
              <w:top w:val="nil"/>
              <w:left w:val="nil"/>
              <w:right w:val="nil"/>
            </w:tcBorders>
            <w:shd w:val="solid" w:color="000000" w:fill="auto"/>
          </w:tcPr>
          <w:p w:rsidR="007A09DB" w:rsidRPr="003C44FF" w:rsidRDefault="007A09DB" w:rsidP="003C44FF">
            <w:pPr>
              <w:autoSpaceDE w:val="0"/>
              <w:autoSpaceDN w:val="0"/>
              <w:adjustRightInd w:val="0"/>
              <w:spacing w:after="0"/>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 xml:space="preserve"> </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actual</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revised</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c>
          <w:tcPr>
            <w:tcW w:w="850" w:type="dxa"/>
            <w:tcBorders>
              <w:top w:val="nil"/>
              <w:left w:val="nil"/>
              <w:right w:val="nil"/>
            </w:tcBorders>
            <w:shd w:val="solid" w:color="000000" w:fill="auto"/>
          </w:tcPr>
          <w:p w:rsidR="007A09DB" w:rsidRPr="003C44FF" w:rsidRDefault="007A09DB" w:rsidP="003C44FF">
            <w:pPr>
              <w:autoSpaceDE w:val="0"/>
              <w:autoSpaceDN w:val="0"/>
              <w:adjustRightInd w:val="0"/>
              <w:spacing w:after="0"/>
              <w:jc w:val="right"/>
              <w:rPr>
                <w:rFonts w:ascii="Calibri" w:eastAsiaTheme="minorEastAsia" w:hAnsi="Calibri" w:cs="Calibri"/>
                <w:i/>
                <w:iCs/>
                <w:color w:val="FFFFFF"/>
                <w:sz w:val="19"/>
                <w:szCs w:val="19"/>
                <w:lang w:eastAsia="en-AU"/>
              </w:rPr>
            </w:pPr>
            <w:r w:rsidRPr="003C44FF">
              <w:rPr>
                <w:rFonts w:ascii="Calibri" w:eastAsiaTheme="minorEastAsia" w:hAnsi="Calibri" w:cs="Calibri"/>
                <w:i/>
                <w:iCs/>
                <w:color w:val="FFFFFF"/>
                <w:sz w:val="19"/>
                <w:szCs w:val="19"/>
                <w:lang w:eastAsia="en-AU"/>
              </w:rPr>
              <w:t>estimate</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Assets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3C44FF">
              <w:rPr>
                <w:rFonts w:ascii="Calibri" w:eastAsiaTheme="minorEastAsia" w:hAnsi="Calibri" w:cs="Calibri"/>
                <w:color w:val="000000"/>
                <w:sz w:val="19"/>
                <w:szCs w:val="19"/>
                <w:lang w:eastAsia="en-AU"/>
              </w:rPr>
              <w:t>Total financial assets</w:t>
            </w:r>
            <w:r w:rsidRPr="003C44FF">
              <w:rPr>
                <w:rFonts w:ascii="Calibri" w:eastAsiaTheme="minorEastAsia" w:hAnsi="Calibri" w:cs="Calibri"/>
                <w:color w:val="000000"/>
                <w:sz w:val="19"/>
                <w:szCs w:val="19"/>
                <w:vertAlign w:val="superscript"/>
                <w:lang w:eastAsia="en-AU"/>
              </w:rPr>
              <w:t xml:space="preserve"> (b)</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50</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53</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57</w:t>
            </w:r>
          </w:p>
        </w:tc>
      </w:tr>
      <w:tr w:rsidR="007A09DB" w:rsidRPr="003C44FF" w:rsidTr="003C44FF">
        <w:tc>
          <w:tcPr>
            <w:tcW w:w="2665"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3C44FF">
              <w:rPr>
                <w:rFonts w:ascii="Calibri" w:eastAsiaTheme="minorEastAsia" w:hAnsi="Calibri" w:cs="Calibri"/>
                <w:color w:val="000000"/>
                <w:sz w:val="19"/>
                <w:szCs w:val="19"/>
                <w:lang w:eastAsia="en-AU"/>
              </w:rPr>
              <w:t>Total non</w:t>
            </w:r>
            <w:r>
              <w:rPr>
                <w:rFonts w:ascii="Calibri" w:eastAsiaTheme="minorEastAsia" w:hAnsi="Calibri" w:cs="Calibri"/>
                <w:color w:val="000000"/>
                <w:sz w:val="19"/>
                <w:szCs w:val="19"/>
                <w:lang w:eastAsia="en-AU"/>
              </w:rPr>
              <w:noBreakHyphen/>
            </w:r>
            <w:r w:rsidRPr="003C44FF">
              <w:rPr>
                <w:rFonts w:ascii="Calibri" w:eastAsiaTheme="minorEastAsia" w:hAnsi="Calibri" w:cs="Calibri"/>
                <w:color w:val="000000"/>
                <w:sz w:val="19"/>
                <w:szCs w:val="19"/>
                <w:lang w:eastAsia="en-AU"/>
              </w:rPr>
              <w:t>financial assets</w:t>
            </w:r>
            <w:r w:rsidRPr="003C44FF">
              <w:rPr>
                <w:rFonts w:ascii="Calibri" w:eastAsiaTheme="minorEastAsia" w:hAnsi="Calibri" w:cs="Calibri"/>
                <w:color w:val="000000"/>
                <w:sz w:val="19"/>
                <w:szCs w:val="19"/>
                <w:vertAlign w:val="superscript"/>
                <w:lang w:eastAsia="en-AU"/>
              </w:rPr>
              <w:t xml:space="preserve"> (c)</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210</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215</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222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234</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240</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249</w:t>
            </w:r>
          </w:p>
        </w:tc>
      </w:tr>
      <w:tr w:rsidR="007A09DB" w:rsidRPr="003C44FF" w:rsidTr="003C44FF">
        <w:tc>
          <w:tcPr>
            <w:tcW w:w="2665"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Total assets</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260</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265</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274</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287</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294</w:t>
            </w:r>
          </w:p>
        </w:tc>
        <w:tc>
          <w:tcPr>
            <w:tcW w:w="850" w:type="dxa"/>
            <w:tcBorders>
              <w:top w:val="single" w:sz="6" w:space="0" w:color="auto"/>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306</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Liabilities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Superannuation</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28</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27</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26</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25</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24</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Borrowings</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49</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54</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55</w:t>
            </w:r>
          </w:p>
        </w:tc>
      </w:tr>
      <w:tr w:rsidR="007A09DB" w:rsidRPr="003C44FF" w:rsidTr="003C44FF">
        <w:tc>
          <w:tcPr>
            <w:tcW w:w="2665" w:type="dxa"/>
            <w:tcBorders>
              <w:top w:val="nil"/>
              <w:left w:val="nil"/>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Deposits held and advances received</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c>
          <w:tcPr>
            <w:tcW w:w="850" w:type="dxa"/>
            <w:tcBorders>
              <w:top w:val="nil"/>
              <w:left w:val="nil"/>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2</w:t>
            </w:r>
          </w:p>
        </w:tc>
      </w:tr>
      <w:tr w:rsidR="007A09DB" w:rsidRPr="003C44FF" w:rsidTr="003C44FF">
        <w:tc>
          <w:tcPr>
            <w:tcW w:w="2665"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3C44FF">
              <w:rPr>
                <w:rFonts w:ascii="Calibri" w:eastAsiaTheme="minorEastAsia" w:hAnsi="Calibri" w:cs="Calibri"/>
                <w:color w:val="000000"/>
                <w:sz w:val="19"/>
                <w:szCs w:val="19"/>
                <w:lang w:eastAsia="en-AU"/>
              </w:rPr>
              <w:t>Other liabilities</w:t>
            </w:r>
            <w:r w:rsidRPr="003C44FF">
              <w:rPr>
                <w:rFonts w:ascii="Calibri" w:eastAsiaTheme="minorEastAsia" w:hAnsi="Calibri" w:cs="Calibri"/>
                <w:color w:val="000000"/>
                <w:sz w:val="19"/>
                <w:szCs w:val="19"/>
                <w:vertAlign w:val="superscript"/>
                <w:lang w:eastAsia="en-AU"/>
              </w:rPr>
              <w:t>(d)</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40</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42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49</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50</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52</w:t>
            </w:r>
          </w:p>
        </w:tc>
        <w:tc>
          <w:tcPr>
            <w:tcW w:w="850" w:type="dxa"/>
            <w:tcBorders>
              <w:top w:val="nil"/>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color w:val="000000"/>
                <w:sz w:val="19"/>
                <w:szCs w:val="19"/>
                <w:lang w:eastAsia="en-AU"/>
              </w:rPr>
            </w:pPr>
            <w:r w:rsidRPr="003C44FF">
              <w:rPr>
                <w:rFonts w:ascii="Calibri" w:eastAsiaTheme="minorEastAsia" w:hAnsi="Calibri" w:cs="Calibri"/>
                <w:color w:val="000000"/>
                <w:sz w:val="19"/>
                <w:szCs w:val="19"/>
                <w:lang w:eastAsia="en-AU"/>
              </w:rPr>
              <w:t xml:space="preserve"> 54</w:t>
            </w:r>
          </w:p>
        </w:tc>
      </w:tr>
      <w:tr w:rsidR="007A09DB" w:rsidRPr="003C44FF" w:rsidTr="003C44FF">
        <w:tc>
          <w:tcPr>
            <w:tcW w:w="2665"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Total liabilities</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120</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123</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127</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131</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133</w:t>
            </w:r>
          </w:p>
        </w:tc>
        <w:tc>
          <w:tcPr>
            <w:tcW w:w="850" w:type="dxa"/>
            <w:tcBorders>
              <w:top w:val="single" w:sz="6" w:space="0" w:color="auto"/>
              <w:left w:val="nil"/>
              <w:bottom w:val="single" w:sz="6"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135</w:t>
            </w:r>
          </w:p>
        </w:tc>
      </w:tr>
      <w:tr w:rsidR="007A09DB" w:rsidRPr="003C44FF" w:rsidTr="003C44FF">
        <w:tc>
          <w:tcPr>
            <w:tcW w:w="2665"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Net assets</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140</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142</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147</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156</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161</w:t>
            </w:r>
          </w:p>
        </w:tc>
        <w:tc>
          <w:tcPr>
            <w:tcW w:w="850" w:type="dxa"/>
            <w:tcBorders>
              <w:top w:val="single" w:sz="6" w:space="0" w:color="auto"/>
              <w:left w:val="nil"/>
              <w:bottom w:val="single" w:sz="12" w:space="0" w:color="auto"/>
              <w:right w:val="nil"/>
            </w:tcBorders>
            <w:shd w:val="clear" w:color="auto" w:fill="FFFFFF"/>
          </w:tcPr>
          <w:p w:rsidR="007A09DB" w:rsidRPr="003C44FF" w:rsidRDefault="007A09DB" w:rsidP="003C44FF">
            <w:pPr>
              <w:autoSpaceDE w:val="0"/>
              <w:autoSpaceDN w:val="0"/>
              <w:adjustRightInd w:val="0"/>
              <w:spacing w:after="0"/>
              <w:jc w:val="right"/>
              <w:rPr>
                <w:rFonts w:ascii="Calibri" w:eastAsiaTheme="minorEastAsia" w:hAnsi="Calibri" w:cs="Calibri"/>
                <w:b/>
                <w:bCs/>
                <w:color w:val="000000"/>
                <w:sz w:val="19"/>
                <w:szCs w:val="19"/>
                <w:lang w:eastAsia="en-AU"/>
              </w:rPr>
            </w:pPr>
            <w:r w:rsidRPr="003C44FF">
              <w:rPr>
                <w:rFonts w:ascii="Calibri" w:eastAsiaTheme="minorEastAsia" w:hAnsi="Calibri" w:cs="Calibri"/>
                <w:b/>
                <w:bCs/>
                <w:color w:val="000000"/>
                <w:sz w:val="19"/>
                <w:szCs w:val="19"/>
                <w:lang w:eastAsia="en-AU"/>
              </w:rPr>
              <w:t xml:space="preserve"> 171</w:t>
            </w:r>
          </w:p>
        </w:tc>
      </w:tr>
    </w:tbl>
    <w:p w:rsidR="007A09DB" w:rsidRPr="00A42741" w:rsidRDefault="007A09DB" w:rsidP="00950CD5">
      <w:pPr>
        <w:pStyle w:val="Source"/>
        <w:rPr>
          <w:rFonts w:eastAsiaTheme="minorHAnsi"/>
        </w:rPr>
      </w:pPr>
      <w:r w:rsidRPr="00A42741">
        <w:rPr>
          <w:rFonts w:eastAsiaTheme="minorHAnsi"/>
        </w:rPr>
        <w:t>Source: Department of Treasury and Finance</w:t>
      </w:r>
    </w:p>
    <w:p w:rsidR="007A09DB" w:rsidRPr="00E3381F" w:rsidRDefault="007A09DB" w:rsidP="00950CD5">
      <w:pPr>
        <w:pStyle w:val="Notes"/>
        <w:rPr>
          <w:rFonts w:eastAsiaTheme="minorHAnsi"/>
        </w:rPr>
      </w:pPr>
      <w:r w:rsidRPr="00E3381F">
        <w:rPr>
          <w:rFonts w:eastAsiaTheme="minorHAnsi"/>
        </w:rPr>
        <w:t>Notes:</w:t>
      </w:r>
    </w:p>
    <w:p w:rsidR="007A09DB" w:rsidRPr="0038692D" w:rsidRDefault="007A09DB" w:rsidP="00612325">
      <w:pPr>
        <w:pStyle w:val="Notes"/>
      </w:pPr>
      <w:r>
        <w:rPr>
          <w:rFonts w:eastAsiaTheme="minorHAnsi"/>
        </w:rPr>
        <w:t>(a)</w:t>
      </w:r>
      <w:r>
        <w:rPr>
          <w:rFonts w:eastAsiaTheme="minorHAnsi"/>
        </w:rPr>
        <w:tab/>
      </w:r>
      <w:r w:rsidRPr="0038692D">
        <w:t>Figures in this table are subject t</w:t>
      </w:r>
      <w:r>
        <w:t xml:space="preserve">o rounding </w:t>
      </w:r>
      <w:r w:rsidRPr="0038692D">
        <w:t>and may not add up to the totals.</w:t>
      </w:r>
    </w:p>
    <w:p w:rsidR="007A09DB" w:rsidRPr="00E3381F" w:rsidRDefault="007A09DB" w:rsidP="00612325">
      <w:pPr>
        <w:pStyle w:val="Notes"/>
        <w:rPr>
          <w:rFonts w:eastAsiaTheme="minorHAnsi"/>
        </w:rPr>
      </w:pPr>
      <w:r>
        <w:rPr>
          <w:rFonts w:eastAsiaTheme="minorHAnsi"/>
        </w:rPr>
        <w:t>(b)</w:t>
      </w:r>
      <w:r>
        <w:rPr>
          <w:rFonts w:eastAsiaTheme="minorHAnsi"/>
        </w:rPr>
        <w:tab/>
      </w:r>
      <w:r w:rsidRPr="00E3381F">
        <w:rPr>
          <w:rFonts w:eastAsiaTheme="minorHAnsi"/>
        </w:rPr>
        <w:t>Financial assets include cash and deposits, advances paid, investments, loans and placements, receivables, and investments accounted for using the equity method.</w:t>
      </w:r>
    </w:p>
    <w:p w:rsidR="007A09DB" w:rsidRDefault="007A09DB" w:rsidP="00950CD5">
      <w:pPr>
        <w:pStyle w:val="Notes"/>
        <w:rPr>
          <w:rFonts w:eastAsiaTheme="minorHAnsi"/>
        </w:rPr>
      </w:pPr>
      <w:r>
        <w:rPr>
          <w:rFonts w:eastAsiaTheme="minorHAnsi"/>
        </w:rPr>
        <w:t>(c)</w:t>
      </w:r>
      <w:r>
        <w:rPr>
          <w:rFonts w:eastAsiaTheme="minorHAnsi"/>
        </w:rPr>
        <w:tab/>
      </w:r>
      <w:r w:rsidRPr="00E3381F">
        <w:rPr>
          <w:rFonts w:eastAsiaTheme="minorHAnsi"/>
        </w:rPr>
        <w:t>Non</w:t>
      </w:r>
      <w:r>
        <w:rPr>
          <w:rFonts w:eastAsiaTheme="minorHAnsi"/>
        </w:rPr>
        <w:noBreakHyphen/>
      </w:r>
      <w:r w:rsidRPr="00E3381F">
        <w:rPr>
          <w:rFonts w:eastAsiaTheme="minorHAnsi"/>
        </w:rPr>
        <w:t>financial assets include inventories, non</w:t>
      </w:r>
      <w:r>
        <w:rPr>
          <w:rFonts w:eastAsiaTheme="minorHAnsi"/>
        </w:rPr>
        <w:noBreakHyphen/>
      </w:r>
      <w:r w:rsidRPr="00E3381F">
        <w:rPr>
          <w:rFonts w:eastAsiaTheme="minorHAnsi"/>
        </w:rPr>
        <w:t>financial assets held for sale, land, buildings, infrastructure, plant and equipment, and other non</w:t>
      </w:r>
      <w:r>
        <w:rPr>
          <w:rFonts w:eastAsiaTheme="minorHAnsi"/>
        </w:rPr>
        <w:noBreakHyphen/>
        <w:t>financial assets.</w:t>
      </w:r>
    </w:p>
    <w:p w:rsidR="007A09DB" w:rsidRPr="00E3381F" w:rsidRDefault="007A09DB" w:rsidP="00950CD5">
      <w:pPr>
        <w:pStyle w:val="Notes"/>
        <w:rPr>
          <w:rFonts w:eastAsiaTheme="minorHAnsi"/>
        </w:rPr>
      </w:pPr>
      <w:r>
        <w:rPr>
          <w:rFonts w:eastAsiaTheme="minorHAnsi"/>
        </w:rPr>
        <w:t>(d)</w:t>
      </w:r>
      <w:r>
        <w:rPr>
          <w:rFonts w:eastAsiaTheme="minorHAnsi"/>
        </w:rPr>
        <w:tab/>
        <w:t>Other liabilities consist of payables, employee benefits and other provisions.</w:t>
      </w:r>
    </w:p>
    <w:p w:rsidR="007A09DB" w:rsidRDefault="007A09DB" w:rsidP="000642DD">
      <w:pPr>
        <w:spacing w:after="0"/>
        <w:rPr>
          <w:rFonts w:eastAsiaTheme="minorHAnsi"/>
        </w:rPr>
      </w:pPr>
    </w:p>
    <w:p w:rsidR="007A09DB" w:rsidRDefault="007A09DB">
      <w:pPr>
        <w:spacing w:after="0"/>
        <w:rPr>
          <w:rFonts w:eastAsiaTheme="minorHAnsi"/>
        </w:rPr>
      </w:pPr>
      <w:r>
        <w:rPr>
          <w:rFonts w:eastAsiaTheme="minorHAnsi"/>
        </w:rPr>
        <w:br w:type="page"/>
      </w:r>
    </w:p>
    <w:p w:rsidR="007A09DB" w:rsidRDefault="007A09DB" w:rsidP="000642DD">
      <w:pPr>
        <w:spacing w:after="0"/>
        <w:rPr>
          <w:rFonts w:eastAsiaTheme="minorHAnsi"/>
        </w:rPr>
      </w:pPr>
    </w:p>
    <w:p w:rsidR="007A09DB" w:rsidRDefault="007A09DB" w:rsidP="00614836">
      <w:pPr>
        <w:rPr>
          <w:rFonts w:eastAsiaTheme="minorHAnsi"/>
        </w:rPr>
        <w:sectPr w:rsidR="007A09DB" w:rsidSect="00614836">
          <w:footerReference w:type="even" r:id="rId44"/>
          <w:footerReference w:type="default" r:id="rId45"/>
          <w:type w:val="oddPage"/>
          <w:pgSz w:w="9979" w:h="14181" w:code="138"/>
          <w:pgMar w:top="1138" w:right="1138" w:bottom="1138" w:left="1138" w:header="720" w:footer="432" w:gutter="0"/>
          <w:cols w:space="708"/>
          <w:docGrid w:linePitch="360"/>
        </w:sectPr>
      </w:pPr>
    </w:p>
    <w:p w:rsidR="007A09DB" w:rsidRDefault="007A09DB" w:rsidP="00062624">
      <w:pPr>
        <w:pStyle w:val="ChapterHeading"/>
      </w:pPr>
      <w:bookmarkStart w:id="86" w:name="_Toc449123073"/>
      <w:r>
        <w:t>Appendix A – Sensitivity analysis</w:t>
      </w:r>
      <w:bookmarkEnd w:id="86"/>
    </w:p>
    <w:p w:rsidR="007A09DB" w:rsidRDefault="007A09DB" w:rsidP="0053262B">
      <w:r>
        <w:t xml:space="preserve">The </w:t>
      </w:r>
      <w:r>
        <w:rPr>
          <w:i/>
        </w:rPr>
        <w:t>2016</w:t>
      </w:r>
      <w:r>
        <w:rPr>
          <w:i/>
        </w:rPr>
        <w:noBreakHyphen/>
        <w:t>17 Budget</w:t>
      </w:r>
      <w:r>
        <w:t xml:space="preserve"> is predicated on macroeconomic forecasts and assumptions that are subject to variation. This section explores the impact of variations in these parameters on key fiscal aggregates of the general government sector.</w:t>
      </w:r>
    </w:p>
    <w:p w:rsidR="007A09DB" w:rsidRDefault="007A09DB" w:rsidP="0053262B">
      <w:r w:rsidRPr="00EA4217">
        <w:t xml:space="preserve">Two types of sensitivity analysis are presented. First, </w:t>
      </w:r>
      <w:r>
        <w:t>the fiscal impact of independent variations in major economic parameters is considered. This type of analysis could be useful, for example, in considering the impact of a forecast error in an individual economic parameter on the fiscal aggregates. Second, the simultaneous impact of variations in a number of major economic parameters is considered with reference to historical examples. The analysis attempts to capture some, though not all, of the interrelationships between economic variables in a feasible scenario. This provides a better understanding of the aggregate fiscal impact where the general economic environment is materially different from the forecast.</w:t>
      </w:r>
    </w:p>
    <w:p w:rsidR="007A09DB" w:rsidRDefault="007A09DB" w:rsidP="0053262B">
      <w:r w:rsidRPr="007B2462">
        <w:t>While sensitivity analysis provides a useful indication of the fiscal impact of variations in economic conditions</w:t>
      </w:r>
      <w:r>
        <w:fldChar w:fldCharType="begin"/>
      </w:r>
      <w:r>
        <w:instrText xml:space="preserve"> XE "</w:instrText>
      </w:r>
      <w:r w:rsidRPr="007F391C">
        <w:rPr>
          <w:rFonts w:eastAsiaTheme="minorHAnsi"/>
        </w:rPr>
        <w:instrText>Economic conditions</w:instrText>
      </w:r>
      <w:r>
        <w:instrText xml:space="preserve">" </w:instrText>
      </w:r>
      <w:r>
        <w:fldChar w:fldCharType="end"/>
      </w:r>
      <w:r>
        <w:t>, care should be exercised in interpreting these results. The relationships between economic and fiscal aggregates are complex, and typically depend on the specific characteristics of the economic shock. For example, an asset price shock in the property market is likely to have a different fiscal impact to a sector</w:t>
      </w:r>
      <w:r>
        <w:noBreakHyphen/>
        <w:t>specific shock in manufacturing, even if the overall impact on gross state product (GSP) and employment is similar.</w:t>
      </w:r>
    </w:p>
    <w:p w:rsidR="007A09DB" w:rsidRDefault="007A09DB" w:rsidP="0053262B">
      <w:pPr>
        <w:keepNext/>
        <w:spacing w:before="360"/>
        <w:outlineLvl w:val="0"/>
        <w:rPr>
          <w:rFonts w:ascii="Calibri" w:hAnsi="Calibri"/>
          <w:b/>
          <w:caps/>
          <w:sz w:val="26"/>
          <w:szCs w:val="22"/>
        </w:rPr>
      </w:pPr>
      <w:r>
        <w:rPr>
          <w:rFonts w:ascii="Calibri" w:hAnsi="Calibri"/>
          <w:b/>
          <w:caps/>
          <w:sz w:val="26"/>
          <w:szCs w:val="22"/>
        </w:rPr>
        <w:t>Sensitivity to independent variations in major economic parameters</w:t>
      </w:r>
    </w:p>
    <w:p w:rsidR="007A09DB" w:rsidRDefault="007A09DB" w:rsidP="0053262B">
      <w:r>
        <w:t>Table A.1</w:t>
      </w:r>
      <w:r w:rsidRPr="006D0251">
        <w:t xml:space="preserve"> </w:t>
      </w:r>
      <w:r>
        <w:t>presents the sensitivity of financial aggregates, where the levels of key economic parameters are 1 per cent above the forecast for each year of the budget and forward estimates period, holding all else constant. The impacts shown are broadly symmetrical. That is, the estimated fiscal impact would apply equally in the opposite direction if a 1 per cent decrease in each variable was considered.</w:t>
      </w:r>
    </w:p>
    <w:p w:rsidR="007A09DB" w:rsidRDefault="007A09DB">
      <w:pPr>
        <w:spacing w:after="0"/>
      </w:pPr>
      <w:r>
        <w:br w:type="page"/>
      </w:r>
    </w:p>
    <w:p w:rsidR="007A09DB" w:rsidRPr="00D23DB4" w:rsidRDefault="007A09DB" w:rsidP="00170F1B">
      <w:pPr>
        <w:pStyle w:val="Tableheading"/>
      </w:pPr>
      <w:bookmarkStart w:id="87" w:name="BP2NetDebt5"/>
      <w:r>
        <w:t>Table A.</w:t>
      </w:r>
      <w:r w:rsidRPr="006D0251">
        <w:t>1</w:t>
      </w:r>
      <w:r>
        <w:t>:</w:t>
      </w:r>
      <w:r>
        <w:tab/>
      </w:r>
      <w:r w:rsidRPr="00FA77F3">
        <w:t xml:space="preserve">Sensitivity of key </w:t>
      </w:r>
      <w:r w:rsidRPr="002B36D5">
        <w:t>fiscal</w:t>
      </w:r>
      <w:r w:rsidRPr="00FA77F3">
        <w:t xml:space="preserve"> aggregates to selected indicators being 1</w:t>
      </w:r>
      <w:r>
        <w:t> per cent</w:t>
      </w:r>
      <w:r w:rsidRPr="00FA77F3">
        <w:t xml:space="preserve"> higher </w:t>
      </w:r>
      <w:r w:rsidRPr="00CD66A9">
        <w:t>than</w:t>
      </w:r>
      <w:r>
        <w:t xml:space="preserve"> expected from 2016</w:t>
      </w:r>
      <w:r>
        <w:noBreakHyphen/>
        <w:t>17</w:t>
      </w:r>
      <w:r w:rsidRPr="002B36D5">
        <w:rPr>
          <w:vertAlign w:val="superscript"/>
        </w:rPr>
        <w:t>(</w:t>
      </w:r>
      <w:r w:rsidRPr="000943E5">
        <w:rPr>
          <w:vertAlign w:val="superscript"/>
        </w:rPr>
        <w:t>a)(b)(c)(d)</w:t>
      </w:r>
      <w:r>
        <w:rPr>
          <w:vertAlign w:val="superscript"/>
        </w:rPr>
        <w:t>(e)(f)</w:t>
      </w:r>
    </w:p>
    <w:p w:rsidR="007A09DB" w:rsidRPr="00A82F21" w:rsidRDefault="007A09DB" w:rsidP="00A82F21">
      <w:pPr>
        <w:pStyle w:val="Tabletextheading"/>
        <w:jc w:val="center"/>
      </w:pPr>
      <w:r>
        <w:t>($ million)</w:t>
      </w:r>
    </w:p>
    <w:tbl>
      <w:tblPr>
        <w:tblW w:w="7765" w:type="dxa"/>
        <w:tblInd w:w="45" w:type="dxa"/>
        <w:tblLayout w:type="fixed"/>
        <w:tblCellMar>
          <w:left w:w="45" w:type="dxa"/>
          <w:right w:w="45" w:type="dxa"/>
        </w:tblCellMar>
        <w:tblLook w:val="0000" w:firstRow="0" w:lastRow="0" w:firstColumn="0" w:lastColumn="0" w:noHBand="0" w:noVBand="0"/>
      </w:tblPr>
      <w:tblGrid>
        <w:gridCol w:w="4365"/>
        <w:gridCol w:w="850"/>
        <w:gridCol w:w="850"/>
        <w:gridCol w:w="850"/>
        <w:gridCol w:w="850"/>
      </w:tblGrid>
      <w:tr w:rsidR="007A09DB" w:rsidRPr="00A82F21" w:rsidTr="00A82F21">
        <w:tc>
          <w:tcPr>
            <w:tcW w:w="4365" w:type="dxa"/>
            <w:tcBorders>
              <w:left w:val="nil"/>
              <w:bottom w:val="single" w:sz="6" w:space="0" w:color="auto"/>
              <w:right w:val="nil"/>
            </w:tcBorders>
            <w:shd w:val="solid" w:color="000000" w:fill="auto"/>
          </w:tcPr>
          <w:p w:rsidR="007A09DB" w:rsidRPr="00A82F21" w:rsidRDefault="007A09DB" w:rsidP="00A82F21">
            <w:pPr>
              <w:autoSpaceDE w:val="0"/>
              <w:autoSpaceDN w:val="0"/>
              <w:adjustRightInd w:val="0"/>
              <w:spacing w:after="0"/>
              <w:jc w:val="right"/>
              <w:rPr>
                <w:rFonts w:ascii="Calibri" w:eastAsiaTheme="minorEastAsia" w:hAnsi="Calibri" w:cs="Calibri"/>
                <w:color w:val="FFFFFF"/>
                <w:sz w:val="19"/>
                <w:lang w:eastAsia="en-AU"/>
              </w:rPr>
            </w:pPr>
          </w:p>
        </w:tc>
        <w:tc>
          <w:tcPr>
            <w:tcW w:w="850" w:type="dxa"/>
            <w:tcBorders>
              <w:left w:val="nil"/>
              <w:bottom w:val="single" w:sz="6" w:space="0" w:color="auto"/>
              <w:right w:val="nil"/>
            </w:tcBorders>
            <w:shd w:val="solid" w:color="000000" w:fill="auto"/>
          </w:tcPr>
          <w:p w:rsidR="007A09DB" w:rsidRPr="00A82F21" w:rsidRDefault="007A09DB" w:rsidP="00A82F21">
            <w:pPr>
              <w:pStyle w:val="Tabletextheading"/>
              <w:rPr>
                <w:rFonts w:eastAsiaTheme="minorEastAsia"/>
                <w:color w:val="FFFFFF"/>
                <w:sz w:val="19"/>
                <w:lang w:eastAsia="en-AU"/>
              </w:rPr>
            </w:pPr>
            <w:r w:rsidRPr="00A82F21">
              <w:rPr>
                <w:rFonts w:eastAsiaTheme="minorEastAsia"/>
                <w:color w:val="FFFFFF"/>
                <w:sz w:val="19"/>
                <w:lang w:eastAsia="en-AU"/>
              </w:rPr>
              <w:t>2016</w:t>
            </w:r>
            <w:r>
              <w:rPr>
                <w:rFonts w:eastAsiaTheme="minorEastAsia"/>
                <w:color w:val="FFFFFF"/>
                <w:sz w:val="19"/>
                <w:lang w:eastAsia="en-AU"/>
              </w:rPr>
              <w:noBreakHyphen/>
            </w:r>
            <w:r w:rsidRPr="00A82F21">
              <w:rPr>
                <w:rFonts w:eastAsiaTheme="minorEastAsia"/>
                <w:color w:val="FFFFFF"/>
                <w:sz w:val="19"/>
                <w:lang w:eastAsia="en-AU"/>
              </w:rPr>
              <w:t>17 estimate</w:t>
            </w:r>
          </w:p>
        </w:tc>
        <w:tc>
          <w:tcPr>
            <w:tcW w:w="850" w:type="dxa"/>
            <w:tcBorders>
              <w:left w:val="nil"/>
              <w:bottom w:val="single" w:sz="6" w:space="0" w:color="auto"/>
              <w:right w:val="nil"/>
            </w:tcBorders>
            <w:shd w:val="solid" w:color="000000" w:fill="auto"/>
          </w:tcPr>
          <w:p w:rsidR="007A09DB" w:rsidRPr="00A82F21" w:rsidRDefault="007A09DB" w:rsidP="00A82F21">
            <w:pPr>
              <w:pStyle w:val="Tabletextheading"/>
              <w:rPr>
                <w:rFonts w:eastAsiaTheme="minorEastAsia"/>
                <w:color w:val="FFFFFF"/>
                <w:sz w:val="19"/>
                <w:lang w:eastAsia="en-AU"/>
              </w:rPr>
            </w:pPr>
            <w:r w:rsidRPr="00A82F21">
              <w:rPr>
                <w:rFonts w:eastAsiaTheme="minorEastAsia"/>
                <w:color w:val="FFFFFF"/>
                <w:sz w:val="19"/>
                <w:lang w:eastAsia="en-AU"/>
              </w:rPr>
              <w:t>2017</w:t>
            </w:r>
            <w:r>
              <w:rPr>
                <w:rFonts w:eastAsiaTheme="minorEastAsia"/>
                <w:color w:val="FFFFFF"/>
                <w:sz w:val="19"/>
                <w:lang w:eastAsia="en-AU"/>
              </w:rPr>
              <w:noBreakHyphen/>
            </w:r>
            <w:r w:rsidRPr="00A82F21">
              <w:rPr>
                <w:rFonts w:eastAsiaTheme="minorEastAsia"/>
                <w:color w:val="FFFFFF"/>
                <w:sz w:val="19"/>
                <w:lang w:eastAsia="en-AU"/>
              </w:rPr>
              <w:t>18 estimate</w:t>
            </w:r>
          </w:p>
        </w:tc>
        <w:tc>
          <w:tcPr>
            <w:tcW w:w="850" w:type="dxa"/>
            <w:tcBorders>
              <w:left w:val="nil"/>
              <w:bottom w:val="single" w:sz="6" w:space="0" w:color="auto"/>
              <w:right w:val="nil"/>
            </w:tcBorders>
            <w:shd w:val="solid" w:color="000000" w:fill="auto"/>
          </w:tcPr>
          <w:p w:rsidR="007A09DB" w:rsidRPr="00A82F21" w:rsidRDefault="007A09DB" w:rsidP="00A82F21">
            <w:pPr>
              <w:pStyle w:val="Tabletextheading"/>
              <w:rPr>
                <w:rFonts w:eastAsiaTheme="minorEastAsia"/>
                <w:color w:val="FFFFFF"/>
                <w:sz w:val="19"/>
                <w:lang w:eastAsia="en-AU"/>
              </w:rPr>
            </w:pPr>
            <w:r w:rsidRPr="00A82F21">
              <w:rPr>
                <w:rFonts w:eastAsiaTheme="minorEastAsia"/>
                <w:color w:val="FFFFFF"/>
                <w:sz w:val="19"/>
                <w:lang w:eastAsia="en-AU"/>
              </w:rPr>
              <w:t>2018</w:t>
            </w:r>
            <w:r>
              <w:rPr>
                <w:rFonts w:eastAsiaTheme="minorEastAsia"/>
                <w:color w:val="FFFFFF"/>
                <w:sz w:val="19"/>
                <w:lang w:eastAsia="en-AU"/>
              </w:rPr>
              <w:noBreakHyphen/>
            </w:r>
            <w:r w:rsidRPr="00A82F21">
              <w:rPr>
                <w:rFonts w:eastAsiaTheme="minorEastAsia"/>
                <w:color w:val="FFFFFF"/>
                <w:sz w:val="19"/>
                <w:lang w:eastAsia="en-AU"/>
              </w:rPr>
              <w:t>19 estimate</w:t>
            </w:r>
          </w:p>
        </w:tc>
        <w:tc>
          <w:tcPr>
            <w:tcW w:w="850" w:type="dxa"/>
            <w:tcBorders>
              <w:left w:val="nil"/>
              <w:bottom w:val="single" w:sz="6" w:space="0" w:color="auto"/>
              <w:right w:val="nil"/>
            </w:tcBorders>
            <w:shd w:val="solid" w:color="000000" w:fill="auto"/>
          </w:tcPr>
          <w:p w:rsidR="007A09DB" w:rsidRPr="00A82F21" w:rsidRDefault="007A09DB" w:rsidP="00A82F21">
            <w:pPr>
              <w:pStyle w:val="Tabletextheading"/>
              <w:rPr>
                <w:rFonts w:eastAsiaTheme="minorEastAsia"/>
                <w:color w:val="FFFFFF"/>
                <w:sz w:val="19"/>
                <w:lang w:eastAsia="en-AU"/>
              </w:rPr>
            </w:pPr>
            <w:r w:rsidRPr="00A82F21">
              <w:rPr>
                <w:rFonts w:eastAsiaTheme="minorEastAsia"/>
                <w:color w:val="FFFFFF"/>
                <w:sz w:val="19"/>
                <w:lang w:eastAsia="en-AU"/>
              </w:rPr>
              <w:t>2019</w:t>
            </w:r>
            <w:r>
              <w:rPr>
                <w:rFonts w:eastAsiaTheme="minorEastAsia"/>
                <w:color w:val="FFFFFF"/>
                <w:sz w:val="19"/>
                <w:lang w:eastAsia="en-AU"/>
              </w:rPr>
              <w:noBreakHyphen/>
            </w:r>
            <w:r w:rsidRPr="00A82F21">
              <w:rPr>
                <w:rFonts w:eastAsiaTheme="minorEastAsia"/>
                <w:color w:val="FFFFFF"/>
                <w:sz w:val="19"/>
                <w:lang w:eastAsia="en-AU"/>
              </w:rPr>
              <w:t>20 estimate</w:t>
            </w:r>
          </w:p>
        </w:tc>
      </w:tr>
      <w:tr w:rsidR="007A09DB" w:rsidRPr="00A82F21" w:rsidTr="00A82F21">
        <w:tc>
          <w:tcPr>
            <w:tcW w:w="4365" w:type="dxa"/>
            <w:tcBorders>
              <w:top w:val="single" w:sz="6"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GSP</w:t>
            </w:r>
          </w:p>
        </w:tc>
        <w:tc>
          <w:tcPr>
            <w:tcW w:w="850" w:type="dxa"/>
            <w:tcBorders>
              <w:top w:val="single" w:sz="6"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179</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184</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197</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206</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(11)</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(20)</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173</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187</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208</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226</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(173)</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(359)</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(567)</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(793)</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vertAlign w:val="superscript"/>
                <w:lang w:eastAsia="en-AU"/>
              </w:rPr>
            </w:pPr>
            <w:r w:rsidRPr="00A82F21">
              <w:rPr>
                <w:rFonts w:ascii="Calibri" w:eastAsiaTheme="minorEastAsia" w:hAnsi="Calibri" w:cs="Calibri"/>
                <w:b/>
                <w:bCs/>
                <w:color w:val="000000"/>
                <w:sz w:val="19"/>
                <w:lang w:eastAsia="en-AU"/>
              </w:rPr>
              <w:t>Employment</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65</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65</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69</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(5</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(8)</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(11)</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67</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67</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73</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80</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(67)</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(134)</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(208)</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(287)</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 xml:space="preserve">Consumer prices </w:t>
            </w:r>
            <w:r w:rsidRPr="00A82F21">
              <w:rPr>
                <w:rFonts w:ascii="Calibri" w:eastAsiaTheme="minorEastAsia" w:hAnsi="Calibri" w:cs="Calibri"/>
                <w:b/>
                <w:bCs/>
                <w:color w:val="000000"/>
                <w:sz w:val="19"/>
                <w:vertAlign w:val="superscript"/>
                <w:lang w:eastAsia="en-AU"/>
              </w:rPr>
              <w:t>(g)</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293</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266</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339</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387</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72</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75</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65</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51</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221</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191</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274</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336</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(222)</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(423)</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(705)</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w:t>
            </w:r>
            <w:r>
              <w:rPr>
                <w:rFonts w:ascii="Calibri" w:eastAsiaTheme="minorEastAsia" w:hAnsi="Calibri" w:cs="Calibri"/>
                <w:b/>
                <w:bCs/>
                <w:color w:val="000000"/>
                <w:sz w:val="19"/>
                <w:lang w:eastAsia="en-AU"/>
              </w:rPr>
              <w:t xml:space="preserve"> </w:t>
            </w:r>
            <w:r w:rsidRPr="00A82F21">
              <w:rPr>
                <w:rFonts w:ascii="Calibri" w:eastAsiaTheme="minorEastAsia" w:hAnsi="Calibri" w:cs="Calibri"/>
                <w:b/>
                <w:bCs/>
                <w:color w:val="000000"/>
                <w:sz w:val="19"/>
                <w:lang w:eastAsia="en-AU"/>
              </w:rPr>
              <w:t>048)</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 xml:space="preserve">Average weekly earnings </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33</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(17)</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48</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9</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8</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8</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7</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24</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(25)</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24</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40</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(24)</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(23)</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(63)</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Total employee expenses</w:t>
            </w:r>
            <w:r w:rsidRPr="00A82F21">
              <w:rPr>
                <w:rFonts w:ascii="Calibri" w:eastAsiaTheme="minorEastAsia" w:hAnsi="Calibri" w:cs="Calibri"/>
                <w:b/>
                <w:bCs/>
                <w:color w:val="000000"/>
                <w:sz w:val="19"/>
                <w:vertAlign w:val="superscript"/>
                <w:lang w:eastAsia="en-AU"/>
              </w:rPr>
              <w:t xml:space="preserve"> (h</w:t>
            </w:r>
            <w:r w:rsidRPr="00A82F21">
              <w:rPr>
                <w:rFonts w:ascii="Calibri" w:eastAsiaTheme="minorEastAsia" w:hAnsi="Calibri" w:cs="Calibri"/>
                <w:b/>
                <w:bCs/>
                <w:color w:val="000000"/>
                <w:sz w:val="19"/>
                <w:lang w:eastAsia="en-AU"/>
              </w:rPr>
              <w:t>)</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33</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33</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228</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276</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296</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315</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(195)</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(244)</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(264)</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(282)</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195</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425</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674</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942</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 xml:space="preserve">Domestic share prices </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2</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5</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(0)</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8</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(4)</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(5)</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(11)</w:t>
            </w:r>
          </w:p>
        </w:tc>
      </w:tr>
      <w:tr w:rsidR="007A09DB" w:rsidRPr="00A82F21" w:rsidTr="00A82F21">
        <w:tc>
          <w:tcPr>
            <w:tcW w:w="4365"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 xml:space="preserve">Overseas share prices </w:t>
            </w: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p>
        </w:tc>
      </w:tr>
      <w:tr w:rsidR="007A09DB" w:rsidRPr="00A82F21" w:rsidTr="00A82F21">
        <w:tc>
          <w:tcPr>
            <w:tcW w:w="4365" w:type="dxa"/>
            <w:tcBorders>
              <w:top w:val="nil"/>
              <w:left w:val="nil"/>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8</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5</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3</w:t>
            </w:r>
          </w:p>
        </w:tc>
        <w:tc>
          <w:tcPr>
            <w:tcW w:w="850" w:type="dxa"/>
            <w:tcBorders>
              <w:top w:val="nil"/>
              <w:left w:val="nil"/>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18</w:t>
            </w:r>
          </w:p>
        </w:tc>
      </w:tr>
      <w:tr w:rsidR="007A09DB" w:rsidRPr="00A82F21" w:rsidTr="00A82F21">
        <w:tc>
          <w:tcPr>
            <w:tcW w:w="4365"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color w:val="000000"/>
                <w:sz w:val="19"/>
                <w:lang w:eastAsia="en-AU"/>
              </w:rPr>
            </w:pPr>
            <w:r w:rsidRPr="00A82F21">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(0)</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(2</w:t>
            </w:r>
            <w:r w:rsidRPr="00A82F21">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color w:val="000000"/>
                <w:sz w:val="20"/>
                <w:lang w:eastAsia="en-AU"/>
              </w:rPr>
            </w:pPr>
            <w:r w:rsidRPr="00A82F21">
              <w:rPr>
                <w:rFonts w:ascii="Calibri" w:eastAsiaTheme="minorEastAsia" w:hAnsi="Calibri" w:cs="Calibri"/>
                <w:color w:val="000000"/>
                <w:sz w:val="19"/>
                <w:lang w:eastAsia="en-AU"/>
              </w:rPr>
              <w:t>(3</w:t>
            </w:r>
            <w:r w:rsidRPr="00A82F21">
              <w:rPr>
                <w:rFonts w:ascii="Calibri" w:eastAsiaTheme="minorEastAsia" w:hAnsi="Calibri" w:cs="Calibri"/>
                <w:color w:val="000000"/>
                <w:sz w:val="20"/>
                <w:lang w:eastAsia="en-AU"/>
              </w:rPr>
              <w:t>)</w:t>
            </w:r>
          </w:p>
        </w:tc>
      </w:tr>
      <w:tr w:rsidR="007A09DB" w:rsidRPr="00A82F21" w:rsidTr="00A82F21">
        <w:tc>
          <w:tcPr>
            <w:tcW w:w="4365"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8</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7</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5</w:t>
            </w:r>
          </w:p>
        </w:tc>
        <w:tc>
          <w:tcPr>
            <w:tcW w:w="850" w:type="dxa"/>
            <w:tcBorders>
              <w:top w:val="single" w:sz="6" w:space="0" w:color="auto"/>
              <w:left w:val="nil"/>
              <w:bottom w:val="single" w:sz="6"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21</w:t>
            </w:r>
          </w:p>
        </w:tc>
      </w:tr>
      <w:tr w:rsidR="007A09DB" w:rsidRPr="00A82F21" w:rsidTr="00A82F21">
        <w:tc>
          <w:tcPr>
            <w:tcW w:w="4365" w:type="dxa"/>
            <w:tcBorders>
              <w:top w:val="single" w:sz="6" w:space="0" w:color="auto"/>
              <w:left w:val="nil"/>
              <w:bottom w:val="single" w:sz="12" w:space="0" w:color="auto"/>
              <w:right w:val="nil"/>
            </w:tcBorders>
            <w:shd w:val="clear" w:color="000000" w:fill="FFFFFF"/>
          </w:tcPr>
          <w:p w:rsidR="007A09DB" w:rsidRPr="00A82F21"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(8)</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(13)</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(17)</w:t>
            </w:r>
          </w:p>
        </w:tc>
        <w:tc>
          <w:tcPr>
            <w:tcW w:w="850" w:type="dxa"/>
            <w:tcBorders>
              <w:top w:val="single" w:sz="6" w:space="0" w:color="auto"/>
              <w:left w:val="nil"/>
              <w:bottom w:val="single" w:sz="12" w:space="0" w:color="auto"/>
              <w:right w:val="nil"/>
            </w:tcBorders>
            <w:shd w:val="clear" w:color="000000" w:fill="FFFFFF"/>
          </w:tcPr>
          <w:p w:rsidR="007A09DB" w:rsidRPr="00A82F21" w:rsidRDefault="007A09DB" w:rsidP="00A82F21">
            <w:pPr>
              <w:autoSpaceDE w:val="0"/>
              <w:autoSpaceDN w:val="0"/>
              <w:adjustRightInd w:val="0"/>
              <w:spacing w:after="0"/>
              <w:jc w:val="right"/>
              <w:rPr>
                <w:rFonts w:ascii="Calibri" w:eastAsiaTheme="minorEastAsia" w:hAnsi="Calibri" w:cs="Calibri"/>
                <w:b/>
                <w:bCs/>
                <w:color w:val="000000"/>
                <w:sz w:val="19"/>
                <w:lang w:eastAsia="en-AU"/>
              </w:rPr>
            </w:pPr>
            <w:r w:rsidRPr="00A82F21">
              <w:rPr>
                <w:rFonts w:ascii="Calibri" w:eastAsiaTheme="minorEastAsia" w:hAnsi="Calibri" w:cs="Calibri"/>
                <w:b/>
                <w:bCs/>
                <w:color w:val="000000"/>
                <w:sz w:val="19"/>
                <w:lang w:eastAsia="en-AU"/>
              </w:rPr>
              <w:t>(36)</w:t>
            </w:r>
          </w:p>
        </w:tc>
      </w:tr>
    </w:tbl>
    <w:p w:rsidR="007A09DB" w:rsidRDefault="007A09DB" w:rsidP="00170F1B">
      <w:pPr>
        <w:pStyle w:val="Tabletextheading"/>
        <w:jc w:val="left"/>
      </w:pPr>
    </w:p>
    <w:p w:rsidR="007A09DB" w:rsidRDefault="007A09DB" w:rsidP="00427ED5">
      <w:pPr>
        <w:pStyle w:val="Heading1"/>
        <w:rPr>
          <w:sz w:val="20"/>
          <w:szCs w:val="18"/>
        </w:rPr>
      </w:pPr>
      <w:r>
        <w:br w:type="page"/>
      </w:r>
    </w:p>
    <w:p w:rsidR="007A09DB" w:rsidRPr="00D23DB4" w:rsidRDefault="007A09DB" w:rsidP="00427ED5">
      <w:pPr>
        <w:pStyle w:val="Tableheading"/>
      </w:pPr>
      <w:r>
        <w:t>Table A.</w:t>
      </w:r>
      <w:r w:rsidRPr="006D0251">
        <w:t>1</w:t>
      </w:r>
      <w:r>
        <w:t>:</w:t>
      </w:r>
      <w:r>
        <w:tab/>
      </w:r>
      <w:r w:rsidRPr="00FA77F3">
        <w:t xml:space="preserve">Sensitivity of key </w:t>
      </w:r>
      <w:r w:rsidRPr="002B36D5">
        <w:t>fiscal</w:t>
      </w:r>
      <w:r>
        <w:t xml:space="preserve"> aggregates to selected</w:t>
      </w:r>
      <w:r w:rsidRPr="00FA77F3">
        <w:t xml:space="preserve"> indicators being 1</w:t>
      </w:r>
      <w:r>
        <w:t> per cent</w:t>
      </w:r>
      <w:r w:rsidRPr="00FA77F3">
        <w:t xml:space="preserve"> higher </w:t>
      </w:r>
      <w:r w:rsidRPr="00CD66A9">
        <w:t>than</w:t>
      </w:r>
      <w:r>
        <w:t xml:space="preserve"> expected from 2016</w:t>
      </w:r>
      <w:r>
        <w:noBreakHyphen/>
        <w:t>17</w:t>
      </w:r>
      <w:r>
        <w:rPr>
          <w:vertAlign w:val="superscript"/>
        </w:rPr>
        <w:t xml:space="preserve"> </w:t>
      </w:r>
      <w:r>
        <w:rPr>
          <w:i/>
        </w:rPr>
        <w:t>(continued)</w:t>
      </w:r>
    </w:p>
    <w:p w:rsidR="007A09DB" w:rsidRDefault="007A09DB" w:rsidP="000556BC">
      <w:pPr>
        <w:pStyle w:val="Tabletextheading"/>
        <w:jc w:val="center"/>
        <w:rPr>
          <w:rFonts w:ascii="Times New Roman" w:hAnsi="Times New Roman"/>
          <w:i w:val="0"/>
          <w:lang w:eastAsia="en-AU"/>
        </w:rPr>
      </w:pPr>
      <w:r>
        <w:t>($ million)</w:t>
      </w:r>
    </w:p>
    <w:tbl>
      <w:tblPr>
        <w:tblW w:w="7765" w:type="dxa"/>
        <w:tblInd w:w="45" w:type="dxa"/>
        <w:tblLayout w:type="fixed"/>
        <w:tblCellMar>
          <w:left w:w="45" w:type="dxa"/>
          <w:right w:w="45" w:type="dxa"/>
        </w:tblCellMar>
        <w:tblLook w:val="0000" w:firstRow="0" w:lastRow="0" w:firstColumn="0" w:lastColumn="0" w:noHBand="0" w:noVBand="0"/>
      </w:tblPr>
      <w:tblGrid>
        <w:gridCol w:w="4365"/>
        <w:gridCol w:w="850"/>
        <w:gridCol w:w="850"/>
        <w:gridCol w:w="850"/>
        <w:gridCol w:w="850"/>
      </w:tblGrid>
      <w:tr w:rsidR="007A09DB" w:rsidRPr="000556BC" w:rsidTr="000556BC">
        <w:tc>
          <w:tcPr>
            <w:tcW w:w="4365" w:type="dxa"/>
            <w:tcBorders>
              <w:left w:val="nil"/>
              <w:bottom w:val="single" w:sz="6" w:space="0" w:color="auto"/>
              <w:right w:val="nil"/>
            </w:tcBorders>
            <w:shd w:val="solid" w:color="000000" w:fill="auto"/>
          </w:tcPr>
          <w:p w:rsidR="007A09DB" w:rsidRPr="000556BC" w:rsidRDefault="007A09DB" w:rsidP="000556BC">
            <w:pPr>
              <w:autoSpaceDE w:val="0"/>
              <w:autoSpaceDN w:val="0"/>
              <w:adjustRightInd w:val="0"/>
              <w:spacing w:after="0"/>
              <w:jc w:val="right"/>
              <w:rPr>
                <w:rFonts w:ascii="Calibri" w:eastAsiaTheme="minorEastAsia" w:hAnsi="Calibri" w:cs="Calibri"/>
                <w:color w:val="FFFFFF"/>
                <w:sz w:val="19"/>
                <w:lang w:eastAsia="en-AU"/>
              </w:rPr>
            </w:pPr>
          </w:p>
        </w:tc>
        <w:tc>
          <w:tcPr>
            <w:tcW w:w="850" w:type="dxa"/>
            <w:tcBorders>
              <w:left w:val="nil"/>
              <w:bottom w:val="single" w:sz="6" w:space="0" w:color="auto"/>
              <w:right w:val="nil"/>
            </w:tcBorders>
            <w:shd w:val="solid" w:color="000000" w:fill="auto"/>
          </w:tcPr>
          <w:p w:rsidR="007A09DB" w:rsidRPr="000556BC" w:rsidRDefault="007A09DB" w:rsidP="000556BC">
            <w:pPr>
              <w:pStyle w:val="Tabletextheading"/>
              <w:rPr>
                <w:rFonts w:eastAsiaTheme="minorEastAsia"/>
                <w:color w:val="FFFFFF"/>
                <w:sz w:val="19"/>
                <w:lang w:eastAsia="en-AU"/>
              </w:rPr>
            </w:pPr>
            <w:r w:rsidRPr="000556BC">
              <w:rPr>
                <w:rFonts w:eastAsiaTheme="minorEastAsia"/>
                <w:color w:val="FFFFFF"/>
                <w:sz w:val="19"/>
                <w:lang w:eastAsia="en-AU"/>
              </w:rPr>
              <w:t>2016</w:t>
            </w:r>
            <w:r>
              <w:rPr>
                <w:rFonts w:eastAsiaTheme="minorEastAsia"/>
                <w:color w:val="FFFFFF"/>
                <w:sz w:val="19"/>
                <w:lang w:eastAsia="en-AU"/>
              </w:rPr>
              <w:noBreakHyphen/>
            </w:r>
            <w:r w:rsidRPr="000556BC">
              <w:rPr>
                <w:rFonts w:eastAsiaTheme="minorEastAsia"/>
                <w:color w:val="FFFFFF"/>
                <w:sz w:val="19"/>
                <w:lang w:eastAsia="en-AU"/>
              </w:rPr>
              <w:t>17 estimate</w:t>
            </w:r>
          </w:p>
        </w:tc>
        <w:tc>
          <w:tcPr>
            <w:tcW w:w="850" w:type="dxa"/>
            <w:tcBorders>
              <w:left w:val="nil"/>
              <w:bottom w:val="single" w:sz="6" w:space="0" w:color="auto"/>
              <w:right w:val="nil"/>
            </w:tcBorders>
            <w:shd w:val="solid" w:color="000000" w:fill="auto"/>
          </w:tcPr>
          <w:p w:rsidR="007A09DB" w:rsidRPr="000556BC" w:rsidRDefault="007A09DB" w:rsidP="000556BC">
            <w:pPr>
              <w:pStyle w:val="Tabletextheading"/>
              <w:rPr>
                <w:rFonts w:eastAsiaTheme="minorEastAsia"/>
                <w:color w:val="FFFFFF"/>
                <w:sz w:val="19"/>
                <w:lang w:eastAsia="en-AU"/>
              </w:rPr>
            </w:pPr>
            <w:r w:rsidRPr="000556BC">
              <w:rPr>
                <w:rFonts w:eastAsiaTheme="minorEastAsia"/>
                <w:color w:val="FFFFFF"/>
                <w:sz w:val="19"/>
                <w:lang w:eastAsia="en-AU"/>
              </w:rPr>
              <w:t>2017</w:t>
            </w:r>
            <w:r>
              <w:rPr>
                <w:rFonts w:eastAsiaTheme="minorEastAsia"/>
                <w:color w:val="FFFFFF"/>
                <w:sz w:val="19"/>
                <w:lang w:eastAsia="en-AU"/>
              </w:rPr>
              <w:noBreakHyphen/>
            </w:r>
            <w:r w:rsidRPr="000556BC">
              <w:rPr>
                <w:rFonts w:eastAsiaTheme="minorEastAsia"/>
                <w:color w:val="FFFFFF"/>
                <w:sz w:val="19"/>
                <w:lang w:eastAsia="en-AU"/>
              </w:rPr>
              <w:t>18 estimate</w:t>
            </w:r>
          </w:p>
        </w:tc>
        <w:tc>
          <w:tcPr>
            <w:tcW w:w="850" w:type="dxa"/>
            <w:tcBorders>
              <w:left w:val="nil"/>
              <w:bottom w:val="single" w:sz="6" w:space="0" w:color="auto"/>
              <w:right w:val="nil"/>
            </w:tcBorders>
            <w:shd w:val="solid" w:color="000000" w:fill="auto"/>
          </w:tcPr>
          <w:p w:rsidR="007A09DB" w:rsidRPr="000556BC" w:rsidRDefault="007A09DB" w:rsidP="000556BC">
            <w:pPr>
              <w:pStyle w:val="Tabletextheading"/>
              <w:rPr>
                <w:rFonts w:eastAsiaTheme="minorEastAsia"/>
                <w:color w:val="FFFFFF"/>
                <w:sz w:val="19"/>
                <w:lang w:eastAsia="en-AU"/>
              </w:rPr>
            </w:pPr>
            <w:r w:rsidRPr="000556BC">
              <w:rPr>
                <w:rFonts w:eastAsiaTheme="minorEastAsia"/>
                <w:color w:val="FFFFFF"/>
                <w:sz w:val="19"/>
                <w:lang w:eastAsia="en-AU"/>
              </w:rPr>
              <w:t>2018</w:t>
            </w:r>
            <w:r>
              <w:rPr>
                <w:rFonts w:eastAsiaTheme="minorEastAsia"/>
                <w:color w:val="FFFFFF"/>
                <w:sz w:val="19"/>
                <w:lang w:eastAsia="en-AU"/>
              </w:rPr>
              <w:noBreakHyphen/>
            </w:r>
            <w:r w:rsidRPr="000556BC">
              <w:rPr>
                <w:rFonts w:eastAsiaTheme="minorEastAsia"/>
                <w:color w:val="FFFFFF"/>
                <w:sz w:val="19"/>
                <w:lang w:eastAsia="en-AU"/>
              </w:rPr>
              <w:t>19 estimate</w:t>
            </w:r>
          </w:p>
        </w:tc>
        <w:tc>
          <w:tcPr>
            <w:tcW w:w="850" w:type="dxa"/>
            <w:tcBorders>
              <w:left w:val="nil"/>
              <w:bottom w:val="single" w:sz="6" w:space="0" w:color="auto"/>
              <w:right w:val="nil"/>
            </w:tcBorders>
            <w:shd w:val="solid" w:color="000000" w:fill="auto"/>
          </w:tcPr>
          <w:p w:rsidR="007A09DB" w:rsidRPr="000556BC" w:rsidRDefault="007A09DB" w:rsidP="000556BC">
            <w:pPr>
              <w:pStyle w:val="Tabletextheading"/>
              <w:rPr>
                <w:rFonts w:eastAsiaTheme="minorEastAsia"/>
                <w:color w:val="FFFFFF"/>
                <w:sz w:val="19"/>
                <w:lang w:eastAsia="en-AU"/>
              </w:rPr>
            </w:pPr>
            <w:r w:rsidRPr="000556BC">
              <w:rPr>
                <w:rFonts w:eastAsiaTheme="minorEastAsia"/>
                <w:color w:val="FFFFFF"/>
                <w:sz w:val="19"/>
                <w:lang w:eastAsia="en-AU"/>
              </w:rPr>
              <w:t>2019</w:t>
            </w:r>
            <w:r>
              <w:rPr>
                <w:rFonts w:eastAsiaTheme="minorEastAsia"/>
                <w:color w:val="FFFFFF"/>
                <w:sz w:val="19"/>
                <w:lang w:eastAsia="en-AU"/>
              </w:rPr>
              <w:noBreakHyphen/>
            </w:r>
            <w:r w:rsidRPr="000556BC">
              <w:rPr>
                <w:rFonts w:eastAsiaTheme="minorEastAsia"/>
                <w:color w:val="FFFFFF"/>
                <w:sz w:val="19"/>
                <w:lang w:eastAsia="en-AU"/>
              </w:rPr>
              <w:t>20 estimate</w:t>
            </w:r>
          </w:p>
        </w:tc>
      </w:tr>
      <w:tr w:rsidR="007A09DB" w:rsidRPr="000556BC" w:rsidTr="000556BC">
        <w:tc>
          <w:tcPr>
            <w:tcW w:w="4365" w:type="dxa"/>
            <w:tcBorders>
              <w:top w:val="single" w:sz="6" w:space="0" w:color="auto"/>
              <w:left w:val="nil"/>
              <w:right w:val="nil"/>
            </w:tcBorders>
            <w:shd w:val="clear" w:color="auto" w:fill="FFFFFF"/>
          </w:tcPr>
          <w:p w:rsidR="007A09DB" w:rsidRPr="000556BC" w:rsidRDefault="007A09DB" w:rsidP="00174BAF">
            <w:pPr>
              <w:autoSpaceDE w:val="0"/>
              <w:autoSpaceDN w:val="0"/>
              <w:adjustRightInd w:val="0"/>
              <w:spacing w:after="0"/>
              <w:ind w:left="227" w:hanging="227"/>
              <w:rPr>
                <w:rFonts w:ascii="Calibri" w:eastAsiaTheme="minorEastAsia" w:hAnsi="Calibri" w:cs="Calibri"/>
                <w:b/>
                <w:bCs/>
                <w:color w:val="000000"/>
                <w:sz w:val="20"/>
                <w:lang w:eastAsia="en-AU"/>
              </w:rPr>
            </w:pPr>
            <w:r w:rsidRPr="000556BC">
              <w:rPr>
                <w:rFonts w:ascii="Calibri" w:eastAsiaTheme="minorEastAsia" w:hAnsi="Calibri" w:cs="Calibri"/>
                <w:b/>
                <w:bCs/>
                <w:color w:val="000000"/>
                <w:sz w:val="19"/>
                <w:lang w:eastAsia="en-AU"/>
              </w:rPr>
              <w:t xml:space="preserve">Property prices </w:t>
            </w:r>
            <w:r w:rsidRPr="000556BC">
              <w:rPr>
                <w:rFonts w:ascii="Calibri" w:eastAsiaTheme="minorEastAsia" w:hAnsi="Calibri" w:cs="Calibri"/>
                <w:b/>
                <w:bCs/>
                <w:color w:val="000000"/>
                <w:sz w:val="19"/>
                <w:vertAlign w:val="superscript"/>
                <w:lang w:eastAsia="en-AU"/>
              </w:rPr>
              <w:t>(</w:t>
            </w:r>
            <w:r>
              <w:rPr>
                <w:rFonts w:ascii="Calibri" w:eastAsiaTheme="minorEastAsia" w:hAnsi="Calibri" w:cs="Calibri"/>
                <w:b/>
                <w:bCs/>
                <w:color w:val="000000"/>
                <w:sz w:val="19"/>
                <w:vertAlign w:val="superscript"/>
                <w:lang w:eastAsia="en-AU"/>
              </w:rPr>
              <w:t>j</w:t>
            </w:r>
            <w:r w:rsidRPr="000556BC">
              <w:rPr>
                <w:rFonts w:ascii="Calibri" w:eastAsiaTheme="minorEastAsia" w:hAnsi="Calibri" w:cs="Calibri"/>
                <w:b/>
                <w:bCs/>
                <w:color w:val="000000"/>
                <w:sz w:val="19"/>
                <w:vertAlign w:val="superscript"/>
                <w:lang w:eastAsia="en-AU"/>
              </w:rPr>
              <w:t>)</w:t>
            </w:r>
          </w:p>
        </w:tc>
        <w:tc>
          <w:tcPr>
            <w:tcW w:w="850" w:type="dxa"/>
            <w:tcBorders>
              <w:top w:val="single" w:sz="6"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6"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r>
      <w:tr w:rsidR="007A09DB" w:rsidRPr="000556BC" w:rsidTr="000556BC">
        <w:tc>
          <w:tcPr>
            <w:tcW w:w="4365" w:type="dxa"/>
            <w:tcBorders>
              <w:top w:val="nil"/>
              <w:left w:val="nil"/>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99</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101</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107</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112</w:t>
            </w:r>
          </w:p>
        </w:tc>
      </w:tr>
      <w:tr w:rsidR="007A09DB" w:rsidRPr="000556BC" w:rsidTr="000556BC">
        <w:tc>
          <w:tcPr>
            <w:tcW w:w="4365"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(3)</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20"/>
                <w:lang w:eastAsia="en-AU"/>
              </w:rPr>
            </w:pPr>
            <w:r w:rsidRPr="000556BC">
              <w:rPr>
                <w:rFonts w:ascii="Calibri" w:eastAsiaTheme="minorEastAsia" w:hAnsi="Calibri" w:cs="Calibri"/>
                <w:color w:val="000000"/>
                <w:sz w:val="19"/>
                <w:lang w:eastAsia="en-AU"/>
              </w:rPr>
              <w:t>(8</w:t>
            </w:r>
            <w:r w:rsidRPr="000556BC">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(13)</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(18)</w:t>
            </w:r>
          </w:p>
        </w:tc>
      </w:tr>
      <w:tr w:rsidR="007A09DB" w:rsidRPr="000556BC" w:rsidTr="000556BC">
        <w:tc>
          <w:tcPr>
            <w:tcW w:w="4365"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101</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109</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120</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130</w:t>
            </w:r>
          </w:p>
        </w:tc>
      </w:tr>
      <w:tr w:rsidR="007A09DB" w:rsidRPr="000556BC" w:rsidTr="000556BC">
        <w:tc>
          <w:tcPr>
            <w:tcW w:w="4365" w:type="dxa"/>
            <w:tcBorders>
              <w:top w:val="single" w:sz="6" w:space="0" w:color="auto"/>
              <w:left w:val="nil"/>
              <w:bottom w:val="single" w:sz="12" w:space="0" w:color="auto"/>
              <w:right w:val="nil"/>
            </w:tcBorders>
            <w:shd w:val="clear" w:color="000000" w:fill="FFFFFF"/>
          </w:tcPr>
          <w:p w:rsidR="007A09DB" w:rsidRPr="000556BC"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(106)</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(218)</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(342)</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(473)</w:t>
            </w:r>
          </w:p>
        </w:tc>
      </w:tr>
      <w:tr w:rsidR="007A09DB" w:rsidRPr="000556BC" w:rsidTr="000556BC">
        <w:tc>
          <w:tcPr>
            <w:tcW w:w="4365"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Property volumes</w:t>
            </w: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r>
      <w:tr w:rsidR="007A09DB" w:rsidRPr="000556BC" w:rsidTr="000556BC">
        <w:tc>
          <w:tcPr>
            <w:tcW w:w="4365" w:type="dxa"/>
            <w:tcBorders>
              <w:top w:val="nil"/>
              <w:left w:val="nil"/>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58</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60</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62</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66</w:t>
            </w:r>
          </w:p>
        </w:tc>
      </w:tr>
      <w:tr w:rsidR="007A09DB" w:rsidRPr="000556BC" w:rsidTr="000556BC">
        <w:tc>
          <w:tcPr>
            <w:tcW w:w="4365"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20"/>
                <w:lang w:eastAsia="en-AU"/>
              </w:rPr>
            </w:pPr>
            <w:r w:rsidRPr="000556BC">
              <w:rPr>
                <w:rFonts w:ascii="Calibri" w:eastAsiaTheme="minorEastAsia" w:hAnsi="Calibri" w:cs="Calibri"/>
                <w:color w:val="000000"/>
                <w:sz w:val="19"/>
                <w:lang w:eastAsia="en-AU"/>
              </w:rPr>
              <w:t>(4</w:t>
            </w:r>
            <w:r w:rsidRPr="000556BC">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20"/>
                <w:lang w:eastAsia="en-AU"/>
              </w:rPr>
            </w:pPr>
            <w:r w:rsidRPr="000556BC">
              <w:rPr>
                <w:rFonts w:ascii="Calibri" w:eastAsiaTheme="minorEastAsia" w:hAnsi="Calibri" w:cs="Calibri"/>
                <w:color w:val="000000"/>
                <w:sz w:val="19"/>
                <w:lang w:eastAsia="en-AU"/>
              </w:rPr>
              <w:t>(7</w:t>
            </w:r>
            <w:r w:rsidRPr="000556BC">
              <w:rPr>
                <w:rFonts w:ascii="Calibri" w:eastAsiaTheme="minorEastAsia" w:hAnsi="Calibri" w:cs="Calibri"/>
                <w:color w:val="000000"/>
                <w:sz w:val="20"/>
                <w:lang w:eastAsia="en-AU"/>
              </w:rPr>
              <w:t>)</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(10)</w:t>
            </w:r>
          </w:p>
        </w:tc>
      </w:tr>
      <w:tr w:rsidR="007A09DB" w:rsidRPr="000556BC" w:rsidTr="000556BC">
        <w:tc>
          <w:tcPr>
            <w:tcW w:w="4365"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59</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64</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70</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77</w:t>
            </w:r>
          </w:p>
        </w:tc>
      </w:tr>
      <w:tr w:rsidR="007A09DB" w:rsidRPr="000556BC" w:rsidTr="000556BC">
        <w:tc>
          <w:tcPr>
            <w:tcW w:w="4365" w:type="dxa"/>
            <w:tcBorders>
              <w:top w:val="single" w:sz="6" w:space="0" w:color="auto"/>
              <w:left w:val="nil"/>
              <w:bottom w:val="single" w:sz="12" w:space="0" w:color="auto"/>
              <w:right w:val="nil"/>
            </w:tcBorders>
            <w:shd w:val="clear" w:color="000000" w:fill="FFFFFF"/>
          </w:tcPr>
          <w:p w:rsidR="007A09DB" w:rsidRPr="000556BC"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(59)</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(123)</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(193)</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(270)</w:t>
            </w:r>
          </w:p>
        </w:tc>
      </w:tr>
      <w:tr w:rsidR="007A09DB" w:rsidRPr="000556BC" w:rsidTr="000556BC">
        <w:tc>
          <w:tcPr>
            <w:tcW w:w="4365" w:type="dxa"/>
            <w:tcBorders>
              <w:top w:val="single" w:sz="12" w:space="0" w:color="auto"/>
              <w:left w:val="nil"/>
              <w:right w:val="nil"/>
            </w:tcBorders>
            <w:shd w:val="clear" w:color="auto" w:fill="FFFFFF"/>
          </w:tcPr>
          <w:p w:rsidR="007A09DB" w:rsidRPr="000556BC" w:rsidRDefault="007A09DB" w:rsidP="00174BAF">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 xml:space="preserve">Interest rates </w:t>
            </w:r>
            <w:r w:rsidRPr="000556BC">
              <w:rPr>
                <w:rFonts w:ascii="Calibri" w:eastAsiaTheme="minorEastAsia" w:hAnsi="Calibri" w:cs="Calibri"/>
                <w:b/>
                <w:bCs/>
                <w:color w:val="000000"/>
                <w:sz w:val="19"/>
                <w:vertAlign w:val="superscript"/>
                <w:lang w:eastAsia="en-AU"/>
              </w:rPr>
              <w:t>(</w:t>
            </w:r>
            <w:r>
              <w:rPr>
                <w:rFonts w:ascii="Calibri" w:eastAsiaTheme="minorEastAsia" w:hAnsi="Calibri" w:cs="Calibri"/>
                <w:b/>
                <w:bCs/>
                <w:color w:val="000000"/>
                <w:sz w:val="19"/>
                <w:vertAlign w:val="superscript"/>
                <w:lang w:eastAsia="en-AU"/>
              </w:rPr>
              <w:t>k</w:t>
            </w:r>
            <w:r w:rsidRPr="000556BC">
              <w:rPr>
                <w:rFonts w:ascii="Calibri" w:eastAsiaTheme="minorEastAsia" w:hAnsi="Calibri" w:cs="Calibri"/>
                <w:b/>
                <w:bCs/>
                <w:color w:val="000000"/>
                <w:sz w:val="19"/>
                <w:vertAlign w:val="superscript"/>
                <w:lang w:eastAsia="en-AU"/>
              </w:rPr>
              <w:t>)</w:t>
            </w: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c>
          <w:tcPr>
            <w:tcW w:w="850" w:type="dxa"/>
            <w:tcBorders>
              <w:top w:val="single" w:sz="12" w:space="0" w:color="auto"/>
              <w:left w:val="nil"/>
              <w:right w:val="nil"/>
            </w:tcBorders>
            <w:shd w:val="clear" w:color="auto"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p>
        </w:tc>
      </w:tr>
      <w:tr w:rsidR="007A09DB" w:rsidRPr="000556BC" w:rsidTr="000556BC">
        <w:tc>
          <w:tcPr>
            <w:tcW w:w="4365" w:type="dxa"/>
            <w:tcBorders>
              <w:top w:val="nil"/>
              <w:left w:val="nil"/>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Income from transactions</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215</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164</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188</w:t>
            </w:r>
          </w:p>
        </w:tc>
        <w:tc>
          <w:tcPr>
            <w:tcW w:w="850" w:type="dxa"/>
            <w:tcBorders>
              <w:top w:val="nil"/>
              <w:left w:val="nil"/>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183</w:t>
            </w:r>
          </w:p>
        </w:tc>
      </w:tr>
      <w:tr w:rsidR="007A09DB" w:rsidRPr="000556BC" w:rsidTr="000556BC">
        <w:tc>
          <w:tcPr>
            <w:tcW w:w="4365"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Expenses from transactions</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6</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191</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188</w:t>
            </w:r>
          </w:p>
        </w:tc>
        <w:tc>
          <w:tcPr>
            <w:tcW w:w="850" w:type="dxa"/>
            <w:tcBorders>
              <w:top w:val="nil"/>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color w:val="000000"/>
                <w:sz w:val="19"/>
                <w:lang w:eastAsia="en-AU"/>
              </w:rPr>
            </w:pPr>
            <w:r w:rsidRPr="000556BC">
              <w:rPr>
                <w:rFonts w:ascii="Calibri" w:eastAsiaTheme="minorEastAsia" w:hAnsi="Calibri" w:cs="Calibri"/>
                <w:color w:val="000000"/>
                <w:sz w:val="19"/>
                <w:lang w:eastAsia="en-AU"/>
              </w:rPr>
              <w:t>169</w:t>
            </w:r>
          </w:p>
        </w:tc>
      </w:tr>
      <w:tr w:rsidR="007A09DB" w:rsidRPr="000556BC" w:rsidTr="000556BC">
        <w:tc>
          <w:tcPr>
            <w:tcW w:w="4365"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result from transactions</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209</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(27)</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w:t>
            </w:r>
          </w:p>
        </w:tc>
        <w:tc>
          <w:tcPr>
            <w:tcW w:w="850" w:type="dxa"/>
            <w:tcBorders>
              <w:top w:val="single" w:sz="6" w:space="0" w:color="auto"/>
              <w:left w:val="nil"/>
              <w:bottom w:val="single" w:sz="6"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14</w:t>
            </w:r>
          </w:p>
        </w:tc>
      </w:tr>
      <w:tr w:rsidR="007A09DB" w:rsidRPr="000556BC" w:rsidTr="000556BC">
        <w:tc>
          <w:tcPr>
            <w:tcW w:w="4365" w:type="dxa"/>
            <w:tcBorders>
              <w:top w:val="single" w:sz="6" w:space="0" w:color="auto"/>
              <w:left w:val="nil"/>
              <w:bottom w:val="single" w:sz="12" w:space="0" w:color="auto"/>
              <w:right w:val="nil"/>
            </w:tcBorders>
            <w:shd w:val="clear" w:color="000000" w:fill="FFFFFF"/>
          </w:tcPr>
          <w:p w:rsidR="007A09DB" w:rsidRPr="000556BC" w:rsidRDefault="007A09DB" w:rsidP="00A525FE">
            <w:pPr>
              <w:autoSpaceDE w:val="0"/>
              <w:autoSpaceDN w:val="0"/>
              <w:adjustRightInd w:val="0"/>
              <w:spacing w:after="0"/>
              <w:ind w:left="227" w:hanging="227"/>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Net debt</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(209)</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(377)</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(576)</w:t>
            </w:r>
          </w:p>
        </w:tc>
        <w:tc>
          <w:tcPr>
            <w:tcW w:w="850" w:type="dxa"/>
            <w:tcBorders>
              <w:top w:val="single" w:sz="6" w:space="0" w:color="auto"/>
              <w:left w:val="nil"/>
              <w:bottom w:val="single" w:sz="12" w:space="0" w:color="auto"/>
              <w:right w:val="nil"/>
            </w:tcBorders>
            <w:shd w:val="clear" w:color="000000" w:fill="FFFFFF"/>
          </w:tcPr>
          <w:p w:rsidR="007A09DB" w:rsidRPr="000556BC" w:rsidRDefault="007A09DB" w:rsidP="000556BC">
            <w:pPr>
              <w:autoSpaceDE w:val="0"/>
              <w:autoSpaceDN w:val="0"/>
              <w:adjustRightInd w:val="0"/>
              <w:spacing w:after="0"/>
              <w:jc w:val="right"/>
              <w:rPr>
                <w:rFonts w:ascii="Calibri" w:eastAsiaTheme="minorEastAsia" w:hAnsi="Calibri" w:cs="Calibri"/>
                <w:b/>
                <w:bCs/>
                <w:color w:val="000000"/>
                <w:sz w:val="19"/>
                <w:lang w:eastAsia="en-AU"/>
              </w:rPr>
            </w:pPr>
            <w:r w:rsidRPr="000556BC">
              <w:rPr>
                <w:rFonts w:ascii="Calibri" w:eastAsiaTheme="minorEastAsia" w:hAnsi="Calibri" w:cs="Calibri"/>
                <w:b/>
                <w:bCs/>
                <w:color w:val="000000"/>
                <w:sz w:val="19"/>
                <w:lang w:eastAsia="en-AU"/>
              </w:rPr>
              <w:t>(779)</w:t>
            </w:r>
          </w:p>
        </w:tc>
      </w:tr>
    </w:tbl>
    <w:p w:rsidR="007A09DB" w:rsidRDefault="007A09DB" w:rsidP="00D157F0">
      <w:pPr>
        <w:pStyle w:val="Source"/>
      </w:pPr>
      <w:r>
        <w:rPr>
          <w:lang w:eastAsia="en-AU"/>
        </w:rPr>
        <w:t xml:space="preserve">Source: Department of Treasury and </w:t>
      </w:r>
      <w:r w:rsidRPr="00A27A3E">
        <w:t>Finance</w:t>
      </w:r>
    </w:p>
    <w:p w:rsidR="007A09DB" w:rsidRDefault="007A09DB" w:rsidP="008C3F02">
      <w:pPr>
        <w:pStyle w:val="Notes"/>
        <w:rPr>
          <w:lang w:eastAsia="en-AU"/>
        </w:rPr>
      </w:pPr>
      <w:r>
        <w:rPr>
          <w:lang w:eastAsia="en-AU"/>
        </w:rPr>
        <w:t>Notes:</w:t>
      </w:r>
    </w:p>
    <w:p w:rsidR="007A09DB" w:rsidRPr="0061021C" w:rsidRDefault="007A09DB" w:rsidP="008C3F02">
      <w:pPr>
        <w:pStyle w:val="Notes"/>
      </w:pPr>
      <w:r>
        <w:rPr>
          <w:lang w:eastAsia="en-AU"/>
        </w:rPr>
        <w:t>(a)</w:t>
      </w:r>
      <w:r>
        <w:rPr>
          <w:lang w:eastAsia="en-AU"/>
        </w:rPr>
        <w:tab/>
      </w:r>
      <w:r>
        <w:t>For</w:t>
      </w:r>
      <w:r w:rsidRPr="0061021C">
        <w:t xml:space="preserve"> the </w:t>
      </w:r>
      <w:r w:rsidRPr="000913E0">
        <w:rPr>
          <w:i w:val="0"/>
        </w:rPr>
        <w:t>2016</w:t>
      </w:r>
      <w:r>
        <w:rPr>
          <w:i w:val="0"/>
        </w:rPr>
        <w:noBreakHyphen/>
      </w:r>
      <w:r w:rsidRPr="000913E0">
        <w:rPr>
          <w:i w:val="0"/>
        </w:rPr>
        <w:t>17 Budget</w:t>
      </w:r>
      <w:r w:rsidRPr="0061021C">
        <w:t>, the Department of Treasury and Finance reviewed the methodology for generating the sensitivity analysis. This resulted in identification of superannuation expense movements which flow through to net debt in more detail, consequently affecting the calculation of the net debt sensitivities to interest rates, consumer prices, employee expenses, domestic and overseas share prices, and property prices.</w:t>
      </w:r>
    </w:p>
    <w:p w:rsidR="007A09DB" w:rsidRPr="00D2756D" w:rsidRDefault="007A09DB" w:rsidP="008C3F02">
      <w:pPr>
        <w:pStyle w:val="Notes"/>
        <w:rPr>
          <w:lang w:eastAsia="en-AU"/>
        </w:rPr>
      </w:pPr>
      <w:r>
        <w:rPr>
          <w:lang w:eastAsia="en-AU"/>
        </w:rPr>
        <w:t>(b)</w:t>
      </w:r>
      <w:r>
        <w:rPr>
          <w:lang w:eastAsia="en-AU"/>
        </w:rPr>
        <w:tab/>
      </w:r>
      <w:r w:rsidRPr="00D2756D">
        <w:rPr>
          <w:lang w:eastAsia="en-AU"/>
        </w:rPr>
        <w:t>Variations are applied to the economic variabl</w:t>
      </w:r>
      <w:r>
        <w:rPr>
          <w:lang w:eastAsia="en-AU"/>
        </w:rPr>
        <w:t>es in the budget year. For the forward estimates</w:t>
      </w:r>
      <w:r w:rsidRPr="00D2756D">
        <w:rPr>
          <w:lang w:eastAsia="en-AU"/>
        </w:rPr>
        <w:t xml:space="preserve"> it is assumed that variables</w:t>
      </w:r>
      <w:r>
        <w:rPr>
          <w:lang w:eastAsia="en-AU"/>
        </w:rPr>
        <w:t>’</w:t>
      </w:r>
      <w:r w:rsidRPr="00D2756D">
        <w:rPr>
          <w:lang w:eastAsia="en-AU"/>
        </w:rPr>
        <w:t xml:space="preserve"> growth rates match those under a no</w:t>
      </w:r>
      <w:r>
        <w:rPr>
          <w:lang w:eastAsia="en-AU"/>
        </w:rPr>
        <w:noBreakHyphen/>
      </w:r>
      <w:r w:rsidRPr="00D2756D">
        <w:rPr>
          <w:lang w:eastAsia="en-AU"/>
        </w:rPr>
        <w:t>variation scenario. This implies that economic variables are 1</w:t>
      </w:r>
      <w:r>
        <w:rPr>
          <w:lang w:eastAsia="en-AU"/>
        </w:rPr>
        <w:t> per cent</w:t>
      </w:r>
      <w:r w:rsidRPr="00D2756D">
        <w:rPr>
          <w:lang w:eastAsia="en-AU"/>
        </w:rPr>
        <w:t xml:space="preserve"> higher</w:t>
      </w:r>
      <w:r>
        <w:rPr>
          <w:lang w:eastAsia="en-AU"/>
        </w:rPr>
        <w:t xml:space="preserve"> </w:t>
      </w:r>
      <w:r w:rsidRPr="00D2756D">
        <w:rPr>
          <w:lang w:eastAsia="en-AU"/>
        </w:rPr>
        <w:t>across the budget and forward years compared with a no</w:t>
      </w:r>
      <w:r>
        <w:rPr>
          <w:lang w:eastAsia="en-AU"/>
        </w:rPr>
        <w:noBreakHyphen/>
      </w:r>
      <w:r w:rsidRPr="00D2756D">
        <w:rPr>
          <w:lang w:eastAsia="en-AU"/>
        </w:rPr>
        <w:t>variation scenario.</w:t>
      </w:r>
    </w:p>
    <w:p w:rsidR="007A09DB" w:rsidRPr="00F062A9" w:rsidRDefault="007A09DB" w:rsidP="008C3F02">
      <w:pPr>
        <w:pStyle w:val="Notes"/>
      </w:pPr>
      <w:r>
        <w:rPr>
          <w:lang w:eastAsia="en-AU"/>
        </w:rPr>
        <w:t>(c)</w:t>
      </w:r>
      <w:r>
        <w:rPr>
          <w:lang w:eastAsia="en-AU"/>
        </w:rPr>
        <w:tab/>
      </w:r>
      <w:r w:rsidRPr="00D2756D">
        <w:rPr>
          <w:lang w:eastAsia="en-AU"/>
        </w:rPr>
        <w:t xml:space="preserve">A positive number for income from transactions denotes an increase in revenue. A positive number for expenses from transactions denotes an increase in expenses (and hence a reduction in the net result from </w:t>
      </w:r>
      <w:r>
        <w:rPr>
          <w:lang w:eastAsia="en-AU"/>
        </w:rPr>
        <w:t>transactions and net result). A </w:t>
      </w:r>
      <w:r w:rsidRPr="00D2756D">
        <w:rPr>
          <w:lang w:eastAsia="en-AU"/>
        </w:rPr>
        <w:t>positive number for other economic flows represents a gain. A positive number for the net result from transactions and net result</w:t>
      </w:r>
      <w:r>
        <w:rPr>
          <w:lang w:eastAsia="en-AU"/>
        </w:rPr>
        <w:t xml:space="preserve"> denotes a higher surplus or small</w:t>
      </w:r>
      <w:r w:rsidRPr="00D2756D">
        <w:rPr>
          <w:lang w:eastAsia="en-AU"/>
        </w:rPr>
        <w:t>er deficit. A positive number for net debt denotes a higher level of net</w:t>
      </w:r>
      <w:r>
        <w:rPr>
          <w:lang w:eastAsia="en-AU"/>
        </w:rPr>
        <w:t xml:space="preserve"> </w:t>
      </w:r>
      <w:r w:rsidRPr="00D2756D">
        <w:rPr>
          <w:lang w:eastAsia="en-AU"/>
        </w:rPr>
        <w:t xml:space="preserve">debt in the </w:t>
      </w:r>
      <w:r w:rsidRPr="00F062A9">
        <w:t>relevant year compared with a no</w:t>
      </w:r>
      <w:r>
        <w:noBreakHyphen/>
      </w:r>
      <w:r w:rsidRPr="00F062A9">
        <w:t>variation scenario. Numbers may not balance due to rounding.</w:t>
      </w:r>
    </w:p>
    <w:p w:rsidR="007A09DB" w:rsidRPr="00F062A9" w:rsidRDefault="007A09DB" w:rsidP="008C3F02">
      <w:pPr>
        <w:pStyle w:val="Notes"/>
      </w:pPr>
      <w:r w:rsidRPr="00F062A9">
        <w:t>(d)</w:t>
      </w:r>
      <w:r w:rsidRPr="00F062A9">
        <w:tab/>
        <w:t>The impact of a 1</w:t>
      </w:r>
      <w:r>
        <w:t> per cent</w:t>
      </w:r>
      <w:r w:rsidRPr="00F062A9">
        <w:t xml:space="preserve"> lower than expected outcome for an economic variable would, in most instances, simply be the opposite of the impact shown in the table.</w:t>
      </w:r>
    </w:p>
    <w:p w:rsidR="007A09DB" w:rsidRPr="00F062A9" w:rsidRDefault="007A09DB" w:rsidP="008C3F02">
      <w:pPr>
        <w:pStyle w:val="Notes"/>
      </w:pPr>
      <w:r w:rsidRPr="00F062A9">
        <w:t>(e)</w:t>
      </w:r>
      <w:r w:rsidRPr="00F062A9">
        <w:tab/>
        <w:t>Only reasonably quantifiable impacts have been included in the analysis.</w:t>
      </w:r>
    </w:p>
    <w:p w:rsidR="007A09DB" w:rsidRDefault="007A09DB" w:rsidP="008C3F02">
      <w:pPr>
        <w:pStyle w:val="Notes"/>
      </w:pPr>
      <w:r w:rsidRPr="00F062A9">
        <w:t>(</w:t>
      </w:r>
      <w:r>
        <w:t>f</w:t>
      </w:r>
      <w:r w:rsidRPr="00F062A9">
        <w:t>)</w:t>
      </w:r>
      <w:r w:rsidRPr="00F062A9">
        <w:tab/>
      </w:r>
      <w:r>
        <w:t>Estimates of net debt are approximately equal to the cumulative impact of the net result. The difference between the cumulative net result from transactions and net debt is due to non</w:t>
      </w:r>
      <w:r>
        <w:noBreakHyphen/>
        <w:t>cash expenses and gross sale proceeds (where applicable).</w:t>
      </w:r>
    </w:p>
    <w:p w:rsidR="007A09DB" w:rsidRPr="00F062A9" w:rsidRDefault="007A09DB" w:rsidP="00901E28">
      <w:pPr>
        <w:pStyle w:val="Notes"/>
      </w:pPr>
      <w:r>
        <w:t>(g)</w:t>
      </w:r>
      <w:r>
        <w:tab/>
      </w:r>
      <w:r w:rsidRPr="00854F24">
        <w:t>A shock to employment is assumed to impact payroll tax revenue to an extent consistent with</w:t>
      </w:r>
      <w:r>
        <w:t xml:space="preserve"> no change to</w:t>
      </w:r>
      <w:r w:rsidRPr="00854F24">
        <w:t xml:space="preserve"> historical relationships between total employment, part</w:t>
      </w:r>
      <w:r>
        <w:noBreakHyphen/>
      </w:r>
      <w:r w:rsidRPr="00854F24">
        <w:t>time/full</w:t>
      </w:r>
      <w:r>
        <w:noBreakHyphen/>
      </w:r>
      <w:r w:rsidRPr="00854F24">
        <w:t>time employment shares, and payroll tax revenue.</w:t>
      </w:r>
    </w:p>
    <w:p w:rsidR="007A09DB" w:rsidRDefault="007A09DB" w:rsidP="008C3F02">
      <w:pPr>
        <w:pStyle w:val="Notes"/>
        <w:rPr>
          <w:lang w:eastAsia="en-AU"/>
        </w:rPr>
      </w:pPr>
      <w:r w:rsidRPr="00F062A9">
        <w:t>(</w:t>
      </w:r>
      <w:r>
        <w:t>h</w:t>
      </w:r>
      <w:r w:rsidRPr="00F062A9">
        <w:t>)</w:t>
      </w:r>
      <w:r w:rsidRPr="00F062A9">
        <w:tab/>
        <w:t xml:space="preserve">Incorporates the impact of departmental funding model arrangements. It is assumed that an increase in consumer prices within the budget year does not affect employee entitlements. </w:t>
      </w:r>
    </w:p>
    <w:p w:rsidR="007A09DB" w:rsidRDefault="007A09DB" w:rsidP="008C3F02">
      <w:pPr>
        <w:pStyle w:val="Notes"/>
        <w:rPr>
          <w:lang w:eastAsia="en-AU"/>
        </w:rPr>
      </w:pPr>
      <w:r>
        <w:t xml:space="preserve">(i) </w:t>
      </w:r>
      <w:r>
        <w:tab/>
        <w:t>Represents a one</w:t>
      </w:r>
      <w:r>
        <w:noBreakHyphen/>
        <w:t>off 1 per cent</w:t>
      </w:r>
      <w:r w:rsidRPr="00D2756D">
        <w:rPr>
          <w:lang w:eastAsia="en-AU"/>
        </w:rPr>
        <w:t xml:space="preserve"> increase in </w:t>
      </w:r>
      <w:r>
        <w:rPr>
          <w:lang w:eastAsia="en-AU"/>
        </w:rPr>
        <w:t>total employee expenses relative to a no</w:t>
      </w:r>
      <w:r>
        <w:rPr>
          <w:lang w:eastAsia="en-AU"/>
        </w:rPr>
        <w:noBreakHyphen/>
        <w:t>variation scenario. This could be generated through a change in the size of the workforce, the price of the workforce (salaries, overtime, allowances and bonuses, long service leave expenses, fringe benefits tax and WorkCover premiums) or through other management decisions regarding the composition and profile of the workforce.</w:t>
      </w:r>
    </w:p>
    <w:p w:rsidR="007A09DB" w:rsidRDefault="007A09DB" w:rsidP="008C3F02">
      <w:pPr>
        <w:pStyle w:val="Notes"/>
        <w:rPr>
          <w:lang w:eastAsia="en-AU"/>
        </w:rPr>
      </w:pPr>
      <w:r>
        <w:rPr>
          <w:lang w:eastAsia="en-AU"/>
        </w:rPr>
        <w:t>(j)</w:t>
      </w:r>
      <w:r>
        <w:rPr>
          <w:lang w:eastAsia="en-AU"/>
        </w:rPr>
        <w:tab/>
        <w:t>Other economic flows include gross sale proceeds from land and buildings.</w:t>
      </w:r>
    </w:p>
    <w:p w:rsidR="007A09DB" w:rsidRDefault="007A09DB" w:rsidP="008C3F02">
      <w:pPr>
        <w:pStyle w:val="Notes"/>
        <w:rPr>
          <w:lang w:eastAsia="en-AU"/>
        </w:rPr>
      </w:pPr>
      <w:r>
        <w:rPr>
          <w:lang w:eastAsia="en-AU"/>
        </w:rPr>
        <w:t>(k)</w:t>
      </w:r>
      <w:r>
        <w:rPr>
          <w:lang w:eastAsia="en-AU"/>
        </w:rPr>
        <w:tab/>
      </w:r>
      <w:r w:rsidRPr="00F062A9">
        <w:t xml:space="preserve">Assumes interest rates are 1 percentage point higher </w:t>
      </w:r>
      <w:r>
        <w:t>across the entire term structure (</w:t>
      </w:r>
      <w:r w:rsidRPr="00F062A9">
        <w:t>i.e. short and long</w:t>
      </w:r>
      <w:r>
        <w:noBreakHyphen/>
      </w:r>
      <w:r w:rsidRPr="00F062A9">
        <w:t>term rates, over the budget and forward estimates period</w:t>
      </w:r>
      <w:r>
        <w:t>)</w:t>
      </w:r>
      <w:r w:rsidRPr="00F062A9">
        <w:t>.</w:t>
      </w:r>
    </w:p>
    <w:p w:rsidR="007A09DB" w:rsidRDefault="007A09DB">
      <w:pPr>
        <w:spacing w:after="0"/>
        <w:rPr>
          <w:rFonts w:ascii="Calibri" w:hAnsi="Calibri"/>
          <w:i/>
          <w:sz w:val="20"/>
          <w:szCs w:val="18"/>
        </w:rPr>
      </w:pPr>
      <w:r>
        <w:br w:type="page"/>
      </w:r>
    </w:p>
    <w:p w:rsidR="007A09DB" w:rsidRPr="00F75216" w:rsidRDefault="007A09DB" w:rsidP="00807C66">
      <w:pPr>
        <w:pStyle w:val="Heading2"/>
      </w:pPr>
      <w:bookmarkStart w:id="88" w:name="BP2SenGSP1"/>
      <w:r>
        <w:t xml:space="preserve">Sensitivity to </w:t>
      </w:r>
      <w:r w:rsidRPr="00A27A3E">
        <w:t>gross</w:t>
      </w:r>
      <w:r>
        <w:t xml:space="preserve"> state product</w:t>
      </w:r>
    </w:p>
    <w:p w:rsidR="007A09DB" w:rsidRDefault="007A09DB" w:rsidP="00807C66">
      <w:r>
        <w:t>Higher than expected GSP is associated with higher household consumption</w:t>
      </w:r>
      <w:r>
        <w:fldChar w:fldCharType="begin"/>
      </w:r>
      <w:r>
        <w:instrText xml:space="preserve"> XE "</w:instrText>
      </w:r>
      <w:r w:rsidRPr="00E67DB0">
        <w:rPr>
          <w:rFonts w:eastAsiaTheme="minorHAnsi"/>
        </w:rPr>
        <w:instrText>Household consumption</w:instrText>
      </w:r>
      <w:r>
        <w:instrText xml:space="preserve">" </w:instrText>
      </w:r>
      <w:r>
        <w:fldChar w:fldCharType="end"/>
      </w:r>
      <w:r>
        <w:t>, leading to higher revenue from state taxes and goods and services tax</w:t>
      </w:r>
      <w:r>
        <w:fldChar w:fldCharType="begin"/>
      </w:r>
      <w:r>
        <w:instrText xml:space="preserve"> XE "Taxation:Goods and services tax" </w:instrText>
      </w:r>
      <w:r>
        <w:fldChar w:fldCharType="end"/>
      </w:r>
      <w:r>
        <w:t xml:space="preserve"> (GST). This increases the net result from transactions and reduces net debt. As net debt is a stock variable, the impact in each year accumulates over the forward estimates. </w:t>
      </w:r>
    </w:p>
    <w:p w:rsidR="007A09DB" w:rsidRDefault="007A09DB" w:rsidP="00807C66">
      <w:r>
        <w:t>Based on Table A.1, if GSP was 1 per cent higher than forecast in 2016</w:t>
      </w:r>
      <w:r>
        <w:noBreakHyphen/>
        <w:t>17, the net result from transactions would increase by $173 million. An increase in the net result would lower net debt by the same amount. Over the budget and forward estimates, the increased surpluses would reduce the stock of net debt by $793 million.</w:t>
      </w:r>
    </w:p>
    <w:p w:rsidR="007A09DB" w:rsidRDefault="007A09DB" w:rsidP="00163D8F">
      <w:pPr>
        <w:pStyle w:val="Chartheading"/>
      </w:pPr>
      <w:r>
        <w:t>Chart A.1:</w:t>
      </w:r>
      <w:r>
        <w:tab/>
        <w:t xml:space="preserve">Sensitivity of key fiscal aggregates to GSP being 1 per cent </w:t>
      </w:r>
      <w:r w:rsidRPr="006D0251">
        <w:t xml:space="preserve">higher </w:t>
      </w:r>
      <w:r>
        <w:t>than expected from 2016</w:t>
      </w:r>
      <w:r>
        <w:noBreakHyphen/>
        <w:t>17</w:t>
      </w:r>
      <w:r w:rsidRPr="00C26C96">
        <w:rPr>
          <w:vertAlign w:val="superscript"/>
        </w:rPr>
        <w:t>(a)</w:t>
      </w:r>
    </w:p>
    <w:p w:rsidR="007A09DB" w:rsidRDefault="00D71529" w:rsidP="00602376">
      <w:pPr>
        <w:pStyle w:val="Chartpara"/>
      </w:pPr>
      <w:r>
        <w:pict>
          <v:shape id="_x0000_i1044" type="#_x0000_t75" style="width:385.5pt;height:262pt">
            <v:imagedata r:id="rId46" o:title=""/>
          </v:shape>
        </w:pict>
      </w:r>
    </w:p>
    <w:p w:rsidR="007A09DB" w:rsidRPr="00A75ED0" w:rsidRDefault="007A09DB" w:rsidP="008C3F02">
      <w:r w:rsidRPr="00DE72D1">
        <w:rPr>
          <w:rStyle w:val="SourceChar"/>
        </w:rPr>
        <w:t>Source: Department of Treasury and Finance</w:t>
      </w:r>
    </w:p>
    <w:p w:rsidR="007A09DB" w:rsidRPr="00AC3EE5" w:rsidRDefault="007A09DB" w:rsidP="00453EE5">
      <w:pPr>
        <w:pStyle w:val="Notes"/>
      </w:pPr>
      <w:r w:rsidRPr="00AC3EE5">
        <w:t>Note:</w:t>
      </w:r>
    </w:p>
    <w:p w:rsidR="007A09DB" w:rsidRDefault="007A09DB" w:rsidP="00453EE5">
      <w:pPr>
        <w:pStyle w:val="Notes"/>
        <w:rPr>
          <w:lang w:eastAsia="en-AU"/>
        </w:rPr>
      </w:pPr>
      <w:r w:rsidRPr="00AC3EE5">
        <w:t>(a)</w:t>
      </w:r>
      <w:r w:rsidRPr="00AC3EE5">
        <w:tab/>
        <w:t xml:space="preserve">See footnotes for Table </w:t>
      </w:r>
      <w:r>
        <w:t>A</w:t>
      </w:r>
      <w:r w:rsidRPr="00AC3EE5">
        <w:t>.1 for detailed description of estimates.</w:t>
      </w:r>
      <w:r>
        <w:fldChar w:fldCharType="begin"/>
      </w:r>
      <w:r>
        <w:instrText xml:space="preserve"> XE "</w:instrText>
      </w:r>
      <w:r w:rsidRPr="00E24ADC">
        <w:instrText>Sensitivity analysis:Gross state product</w:instrText>
      </w:r>
      <w:r>
        <w:instrText xml:space="preserve">" \r "BP2SenGSP1" </w:instrText>
      </w:r>
      <w:r>
        <w:fldChar w:fldCharType="end"/>
      </w:r>
    </w:p>
    <w:bookmarkEnd w:id="88"/>
    <w:p w:rsidR="007A09DB" w:rsidRDefault="007A09DB">
      <w:pPr>
        <w:spacing w:after="0"/>
        <w:rPr>
          <w:rFonts w:ascii="Calibri" w:hAnsi="Calibri"/>
          <w:sz w:val="20"/>
          <w:szCs w:val="18"/>
        </w:rPr>
      </w:pPr>
      <w:r>
        <w:rPr>
          <w:i/>
        </w:rPr>
        <w:br w:type="page"/>
      </w:r>
    </w:p>
    <w:p w:rsidR="007A09DB" w:rsidRDefault="007A09DB" w:rsidP="00817214">
      <w:pPr>
        <w:pStyle w:val="Heading2"/>
        <w:rPr>
          <w:lang w:eastAsia="en-AU"/>
        </w:rPr>
      </w:pPr>
      <w:bookmarkStart w:id="89" w:name="BP2SenIntRates1"/>
      <w:r>
        <w:rPr>
          <w:lang w:eastAsia="en-AU"/>
        </w:rPr>
        <w:t xml:space="preserve">Sensitivity to interest </w:t>
      </w:r>
      <w:r w:rsidRPr="00A75ED0">
        <w:t>rates</w:t>
      </w:r>
    </w:p>
    <w:p w:rsidR="007A09DB" w:rsidRDefault="007A09DB" w:rsidP="00817214">
      <w:pPr>
        <w:rPr>
          <w:lang w:eastAsia="en-AU"/>
        </w:rPr>
      </w:pPr>
      <w:r>
        <w:rPr>
          <w:lang w:eastAsia="en-AU"/>
        </w:rPr>
        <w:t>An increase in interest rates results in a gain in the valuation of insurance liabilities of state</w:t>
      </w:r>
      <w:r>
        <w:rPr>
          <w:lang w:eastAsia="en-AU"/>
        </w:rPr>
        <w:noBreakHyphen/>
        <w:t>owned insurance agencies</w:t>
      </w:r>
      <w:r>
        <w:rPr>
          <w:lang w:eastAsia="en-AU"/>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lang w:eastAsia="en-AU"/>
        </w:rPr>
        <w:fldChar w:fldCharType="end"/>
      </w:r>
      <w:r>
        <w:rPr>
          <w:lang w:eastAsia="en-AU"/>
        </w:rPr>
        <w:t>, partially offset by a loss on the valuation of investment assets.</w:t>
      </w:r>
    </w:p>
    <w:p w:rsidR="007A09DB" w:rsidRDefault="007A09DB" w:rsidP="00817214">
      <w:pPr>
        <w:rPr>
          <w:lang w:eastAsia="en-AU"/>
        </w:rPr>
      </w:pPr>
      <w:r>
        <w:rPr>
          <w:lang w:eastAsia="en-AU"/>
        </w:rPr>
        <w:t>As dividends of the State’s insurance agencies</w:t>
      </w:r>
      <w:r>
        <w:rPr>
          <w:lang w:eastAsia="en-AU"/>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lang w:eastAsia="en-AU"/>
        </w:rPr>
        <w:fldChar w:fldCharType="end"/>
      </w:r>
      <w:r>
        <w:rPr>
          <w:lang w:eastAsia="en-AU"/>
        </w:rPr>
        <w:t xml:space="preserve"> are based on performance from insurance operations, which excludes the initial impact of discount rate movements, the increase in interest rates will have little direct impact on dividends in the budget year. As income tax equivalents (ITEs) of the insurance agencies</w:t>
      </w:r>
      <w:r>
        <w:rPr>
          <w:lang w:eastAsia="en-AU"/>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lang w:eastAsia="en-AU"/>
        </w:rPr>
        <w:fldChar w:fldCharType="end"/>
      </w:r>
      <w:r>
        <w:rPr>
          <w:lang w:eastAsia="en-AU"/>
        </w:rPr>
        <w:t xml:space="preserve"> are assessed on profit before tax, which includes the impact of interest rates on liability and asset values, an increase in interest rates will increase ITEs.</w:t>
      </w:r>
    </w:p>
    <w:p w:rsidR="007A09DB" w:rsidRDefault="007A09DB" w:rsidP="00817214">
      <w:pPr>
        <w:rPr>
          <w:lang w:eastAsia="en-AU"/>
        </w:rPr>
      </w:pPr>
      <w:r>
        <w:rPr>
          <w:lang w:eastAsia="en-AU"/>
        </w:rPr>
        <w:t>Higher borrowing costs lead to reduced net results of public non</w:t>
      </w:r>
      <w:r>
        <w:rPr>
          <w:lang w:eastAsia="en-AU"/>
        </w:rPr>
        <w:noBreakHyphen/>
        <w:t>financial corporations</w:t>
      </w:r>
      <w:r>
        <w:rPr>
          <w:lang w:eastAsia="en-AU"/>
        </w:rPr>
        <w:fldChar w:fldCharType="begin"/>
      </w:r>
      <w:r>
        <w:instrText xml:space="preserve"> XE "</w:instrText>
      </w:r>
      <w:r w:rsidRPr="001E4096">
        <w:instrText>Public non</w:instrText>
      </w:r>
      <w:r w:rsidRPr="001E4096">
        <w:noBreakHyphen/>
        <w:instrText>financial corporations</w:instrText>
      </w:r>
      <w:r>
        <w:instrText xml:space="preserve">" </w:instrText>
      </w:r>
      <w:r>
        <w:rPr>
          <w:lang w:eastAsia="en-AU"/>
        </w:rPr>
        <w:fldChar w:fldCharType="end"/>
      </w:r>
      <w:r>
        <w:rPr>
          <w:lang w:eastAsia="en-AU"/>
        </w:rPr>
        <w:t xml:space="preserve">, lowering dividends and ITEs payable to the State. </w:t>
      </w:r>
    </w:p>
    <w:p w:rsidR="007A09DB" w:rsidRDefault="007A09DB" w:rsidP="00817214">
      <w:pPr>
        <w:rPr>
          <w:lang w:eastAsia="en-AU"/>
        </w:rPr>
      </w:pPr>
      <w:bookmarkStart w:id="90" w:name="BP2SuperExp1"/>
      <w:r>
        <w:rPr>
          <w:lang w:eastAsia="en-AU"/>
        </w:rPr>
        <w:t>An increase in interest rates also increases the superannuation expense and borrowing cost of the general government sector over the forward estimates. The increase in the superannuation expense of approximately $200 per annum, that is associated with an increase in interest rates, is a non</w:t>
      </w:r>
      <w:r>
        <w:rPr>
          <w:lang w:eastAsia="en-AU"/>
        </w:rPr>
        <w:noBreakHyphen/>
        <w:t>cash item. Therefore, it does not have an impact on net debt.</w:t>
      </w:r>
    </w:p>
    <w:p w:rsidR="007A09DB" w:rsidRDefault="007A09DB" w:rsidP="00AD735B">
      <w:pPr>
        <w:rPr>
          <w:lang w:eastAsia="en-AU"/>
        </w:rPr>
      </w:pPr>
      <w:r>
        <w:rPr>
          <w:lang w:eastAsia="en-AU"/>
        </w:rPr>
        <w:t>The combined effect of these influences produces the profile shown in Chart A.2.</w:t>
      </w:r>
    </w:p>
    <w:p w:rsidR="007A09DB" w:rsidRPr="00001CC4" w:rsidRDefault="007A09DB" w:rsidP="00AD735B">
      <w:pPr>
        <w:pStyle w:val="Chartheading"/>
        <w:spacing w:before="120"/>
        <w:ind w:left="1151" w:hanging="1151"/>
      </w:pPr>
      <w:r>
        <w:t>Chart A.2</w:t>
      </w:r>
      <w:r w:rsidRPr="00001CC4">
        <w:t>:</w:t>
      </w:r>
      <w:r w:rsidRPr="00001CC4">
        <w:tab/>
        <w:t xml:space="preserve">Sensitivity of key fiscal aggregates to </w:t>
      </w:r>
      <w:r>
        <w:t xml:space="preserve">interest rates </w:t>
      </w:r>
      <w:r w:rsidRPr="00001CC4">
        <w:t>being 1</w:t>
      </w:r>
      <w:r>
        <w:t> percentage</w:t>
      </w:r>
      <w:r w:rsidRPr="00001CC4">
        <w:t xml:space="preserve"> </w:t>
      </w:r>
      <w:r>
        <w:t xml:space="preserve">point </w:t>
      </w:r>
      <w:r w:rsidRPr="00001CC4">
        <w:t>higher than expected from 201</w:t>
      </w:r>
      <w:r>
        <w:t>6</w:t>
      </w:r>
      <w:r>
        <w:noBreakHyphen/>
      </w:r>
      <w:r w:rsidRPr="00001CC4">
        <w:t>1</w:t>
      </w:r>
      <w:r>
        <w:t>7</w:t>
      </w:r>
      <w:r w:rsidRPr="00C26C96">
        <w:rPr>
          <w:vertAlign w:val="superscript"/>
        </w:rPr>
        <w:t>(a)</w:t>
      </w:r>
    </w:p>
    <w:p w:rsidR="007A09DB" w:rsidRPr="00B73C3C" w:rsidRDefault="00D71529" w:rsidP="00B73C3C">
      <w:pPr>
        <w:pStyle w:val="Chartpara"/>
        <w:rPr>
          <w:rStyle w:val="SourceChar"/>
          <w:rFonts w:ascii="Garamond" w:hAnsi="Garamond"/>
          <w:i w:val="0"/>
          <w:sz w:val="22"/>
        </w:rPr>
      </w:pPr>
      <w:r>
        <w:rPr>
          <w:rStyle w:val="SourceChar"/>
          <w:rFonts w:ascii="Garamond" w:hAnsi="Garamond"/>
          <w:i w:val="0"/>
          <w:sz w:val="22"/>
        </w:rPr>
        <w:pict>
          <v:shape id="_x0000_i1045" type="#_x0000_t75" style="width:379.5pt;height:262.5pt">
            <v:imagedata r:id="rId47" o:title=""/>
          </v:shape>
        </w:pict>
      </w:r>
    </w:p>
    <w:p w:rsidR="007A09DB" w:rsidRPr="00A75ED0" w:rsidRDefault="007A09DB" w:rsidP="00DE72D1">
      <w:r w:rsidRPr="00DE72D1">
        <w:rPr>
          <w:rStyle w:val="SourceChar"/>
        </w:rPr>
        <w:t>Source: Department of Treasury and Finance</w:t>
      </w:r>
    </w:p>
    <w:p w:rsidR="007A09DB" w:rsidRPr="00AC3EE5" w:rsidRDefault="007A09DB" w:rsidP="00DE72D1">
      <w:pPr>
        <w:pStyle w:val="Notes"/>
      </w:pPr>
      <w:r w:rsidRPr="00AC3EE5">
        <w:t>Note:</w:t>
      </w:r>
    </w:p>
    <w:p w:rsidR="007A09DB" w:rsidRDefault="007A09DB" w:rsidP="00DE72D1">
      <w:pPr>
        <w:pStyle w:val="Notes"/>
        <w:rPr>
          <w:lang w:eastAsia="en-AU"/>
        </w:rPr>
      </w:pPr>
      <w:r w:rsidRPr="00AC3EE5">
        <w:t>(a)</w:t>
      </w:r>
      <w:r w:rsidRPr="00AC3EE5">
        <w:tab/>
        <w:t xml:space="preserve">See footnotes for Table </w:t>
      </w:r>
      <w:r>
        <w:t>A</w:t>
      </w:r>
      <w:r w:rsidRPr="00AC3EE5">
        <w:t>.1 for detailed description of estimates.</w:t>
      </w:r>
      <w:r>
        <w:fldChar w:fldCharType="begin"/>
      </w:r>
      <w:r>
        <w:instrText xml:space="preserve"> XE "</w:instrText>
      </w:r>
      <w:r w:rsidRPr="00E8604A">
        <w:rPr>
          <w:lang w:eastAsia="en-AU"/>
        </w:rPr>
        <w:instrText>Sensitivity analysis</w:instrText>
      </w:r>
      <w:r w:rsidRPr="00E8604A">
        <w:instrText>:Interest rates</w:instrText>
      </w:r>
      <w:r>
        <w:instrText xml:space="preserve">" \r "BP2SenIntRates1" </w:instrText>
      </w:r>
      <w:r>
        <w:fldChar w:fldCharType="end"/>
      </w:r>
    </w:p>
    <w:p w:rsidR="007A09DB" w:rsidRDefault="007A09DB" w:rsidP="00A3075D">
      <w:pPr>
        <w:pStyle w:val="Heading2"/>
        <w:rPr>
          <w:lang w:eastAsia="en-AU"/>
        </w:rPr>
      </w:pPr>
      <w:bookmarkStart w:id="91" w:name="BP2SenConSumPrice1"/>
      <w:bookmarkEnd w:id="89"/>
      <w:r>
        <w:rPr>
          <w:lang w:eastAsia="en-AU"/>
        </w:rPr>
        <w:t xml:space="preserve">Sensitivity to </w:t>
      </w:r>
      <w:r w:rsidRPr="00A75ED0">
        <w:t>consumer</w:t>
      </w:r>
      <w:r>
        <w:rPr>
          <w:lang w:eastAsia="en-AU"/>
        </w:rPr>
        <w:t xml:space="preserve"> prices</w:t>
      </w:r>
    </w:p>
    <w:p w:rsidR="007A09DB" w:rsidRDefault="007A09DB" w:rsidP="00A3075D">
      <w:pPr>
        <w:rPr>
          <w:lang w:eastAsia="en-AU"/>
        </w:rPr>
      </w:pPr>
      <w:r>
        <w:rPr>
          <w:lang w:eastAsia="en-AU"/>
        </w:rPr>
        <w:t>Higher consumer prices lead to higher taxation revenue</w:t>
      </w:r>
      <w:r>
        <w:rPr>
          <w:lang w:eastAsia="en-AU"/>
        </w:rPr>
        <w:fldChar w:fldCharType="begin"/>
      </w:r>
      <w:r>
        <w:instrText xml:space="preserve"> XE "</w:instrText>
      </w:r>
      <w:r w:rsidRPr="00444DBD">
        <w:rPr>
          <w:rFonts w:eastAsiaTheme="minorHAnsi"/>
        </w:rPr>
        <w:instrText>Taxation:</w:instrText>
      </w:r>
      <w:r w:rsidRPr="00444DBD">
        <w:instrText>Revenue</w:instrText>
      </w:r>
      <w:r>
        <w:instrText xml:space="preserve">" </w:instrText>
      </w:r>
      <w:r>
        <w:rPr>
          <w:lang w:eastAsia="en-AU"/>
        </w:rPr>
        <w:fldChar w:fldCharType="end"/>
      </w:r>
      <w:r>
        <w:rPr>
          <w:lang w:eastAsia="en-AU"/>
        </w:rPr>
        <w:t>, as the nominal values of tax bases increase. Commonwealth</w:t>
      </w:r>
      <w:r>
        <w:rPr>
          <w:lang w:eastAsia="en-AU"/>
        </w:rPr>
        <w:noBreakHyphen/>
        <w:t>sourced revenue also rises due to indexation driven by changes in consumer prices. Dividends and ITEs from the State’s insurance agencies</w:t>
      </w:r>
      <w:r>
        <w:rPr>
          <w:lang w:eastAsia="en-AU"/>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lang w:eastAsia="en-AU"/>
        </w:rPr>
        <w:fldChar w:fldCharType="end"/>
      </w:r>
      <w:r>
        <w:rPr>
          <w:lang w:eastAsia="en-AU"/>
        </w:rPr>
        <w:t xml:space="preserve"> are reduced, mainly due to higher claims expenses.</w:t>
      </w:r>
    </w:p>
    <w:p w:rsidR="007A09DB" w:rsidRDefault="007A09DB" w:rsidP="00A3075D">
      <w:pPr>
        <w:rPr>
          <w:lang w:eastAsia="en-AU"/>
        </w:rPr>
      </w:pPr>
      <w:r>
        <w:rPr>
          <w:lang w:eastAsia="en-AU"/>
        </w:rPr>
        <w:t>Government expenses are affected through the higher cost of supplies and services and some increases in outlays on grants and transfers. Reflecting the operation of departmental funding arrangements, the impact of higher prices is limited as only a portion of department funding is automatically indexed to inflation. An increase in consumer prices also increases the superannuation expense over the forward estimates.</w:t>
      </w:r>
      <w:r w:rsidR="00D9023F">
        <w:rPr>
          <w:lang w:eastAsia="en-AU"/>
        </w:rPr>
        <w:fldChar w:fldCharType="begin"/>
      </w:r>
      <w:r w:rsidR="00D9023F">
        <w:instrText xml:space="preserve"> XE "</w:instrText>
      </w:r>
      <w:r w:rsidR="00D9023F" w:rsidRPr="00F13A40">
        <w:rPr>
          <w:lang w:eastAsia="en-AU"/>
        </w:rPr>
        <w:instrText>Superannuation</w:instrText>
      </w:r>
      <w:r w:rsidR="00D9023F" w:rsidRPr="00F13A40">
        <w:instrText>:Expense</w:instrText>
      </w:r>
      <w:r w:rsidR="00D9023F">
        <w:instrText xml:space="preserve">" \r "BP2SuperExp1" </w:instrText>
      </w:r>
      <w:r w:rsidR="00D9023F">
        <w:rPr>
          <w:lang w:eastAsia="en-AU"/>
        </w:rPr>
        <w:fldChar w:fldCharType="end"/>
      </w:r>
    </w:p>
    <w:bookmarkEnd w:id="90"/>
    <w:p w:rsidR="007A09DB" w:rsidRDefault="007A09DB" w:rsidP="00A3075D">
      <w:pPr>
        <w:rPr>
          <w:lang w:eastAsia="en-AU"/>
        </w:rPr>
      </w:pPr>
      <w:r>
        <w:rPr>
          <w:lang w:eastAsia="en-AU"/>
        </w:rPr>
        <w:t>Overall, there is a positive impact on the net result from transactions and a cumulative reduction in net debt over the budget and forward estimates.</w:t>
      </w:r>
    </w:p>
    <w:p w:rsidR="007A09DB" w:rsidRPr="00C26C96" w:rsidRDefault="007A09DB" w:rsidP="00A3075D">
      <w:pPr>
        <w:pStyle w:val="Chartheading"/>
        <w:rPr>
          <w:vertAlign w:val="superscript"/>
        </w:rPr>
      </w:pPr>
      <w:r>
        <w:t>Chart A.3:</w:t>
      </w:r>
      <w:r>
        <w:tab/>
        <w:t xml:space="preserve">Sensitivity of key fiscal aggregates to consumer prices being 1 per cent </w:t>
      </w:r>
      <w:r w:rsidRPr="00412AAF">
        <w:t xml:space="preserve">higher </w:t>
      </w:r>
      <w:r>
        <w:t>than expected from 2016</w:t>
      </w:r>
      <w:r>
        <w:noBreakHyphen/>
        <w:t>17</w:t>
      </w:r>
      <w:r>
        <w:rPr>
          <w:vertAlign w:val="superscript"/>
        </w:rPr>
        <w:t>(a)</w:t>
      </w:r>
    </w:p>
    <w:p w:rsidR="007A09DB" w:rsidRDefault="00D71529" w:rsidP="00602376">
      <w:pPr>
        <w:pStyle w:val="Chartpara"/>
        <w:rPr>
          <w:lang w:eastAsia="en-AU"/>
        </w:rPr>
      </w:pPr>
      <w:r>
        <w:rPr>
          <w:lang w:eastAsia="en-AU"/>
        </w:rPr>
        <w:pict>
          <v:shape id="_x0000_i1046" type="#_x0000_t75" style="width:385.5pt;height:263pt">
            <v:imagedata r:id="rId48" o:title=""/>
          </v:shape>
        </w:pict>
      </w:r>
    </w:p>
    <w:p w:rsidR="007A09DB" w:rsidRPr="00A75ED0" w:rsidRDefault="007A09DB" w:rsidP="007E0605">
      <w:pPr>
        <w:pStyle w:val="Source"/>
        <w:rPr>
          <w:lang w:eastAsia="en-AU"/>
        </w:rPr>
      </w:pPr>
      <w:r>
        <w:rPr>
          <w:lang w:eastAsia="en-AU"/>
        </w:rPr>
        <w:t>Source: Department of Treasury and Finance</w:t>
      </w:r>
    </w:p>
    <w:p w:rsidR="007A09DB" w:rsidRPr="00F062A9" w:rsidRDefault="007A09DB" w:rsidP="007E0605">
      <w:pPr>
        <w:pStyle w:val="Notes"/>
      </w:pPr>
      <w:r w:rsidRPr="00A75ED0">
        <w:t>Note:</w:t>
      </w:r>
    </w:p>
    <w:p w:rsidR="007A09DB" w:rsidRDefault="007A09DB" w:rsidP="007E0605">
      <w:pPr>
        <w:pStyle w:val="Notes"/>
      </w:pPr>
      <w:r>
        <w:t>(a)</w:t>
      </w:r>
      <w:r>
        <w:tab/>
        <w:t>See footnotes for Table A</w:t>
      </w:r>
      <w:r w:rsidRPr="00A75ED0">
        <w:t>.1 for detailed description of estimates.</w:t>
      </w:r>
      <w:r>
        <w:fldChar w:fldCharType="begin"/>
      </w:r>
      <w:r>
        <w:instrText xml:space="preserve"> XE "</w:instrText>
      </w:r>
      <w:r w:rsidRPr="00B83179">
        <w:rPr>
          <w:lang w:eastAsia="en-AU"/>
        </w:rPr>
        <w:instrText>Sensitivity analysis</w:instrText>
      </w:r>
      <w:r w:rsidRPr="00B83179">
        <w:instrText>:Consumer prices</w:instrText>
      </w:r>
      <w:r>
        <w:instrText xml:space="preserve">" \r "BP2SenConSumPrice1" </w:instrText>
      </w:r>
      <w:r>
        <w:fldChar w:fldCharType="end"/>
      </w:r>
    </w:p>
    <w:bookmarkEnd w:id="91"/>
    <w:p w:rsidR="007A09DB" w:rsidRDefault="007A09DB">
      <w:pPr>
        <w:spacing w:after="0"/>
        <w:rPr>
          <w:rFonts w:ascii="Calibri" w:hAnsi="Calibri"/>
          <w:sz w:val="20"/>
          <w:szCs w:val="18"/>
        </w:rPr>
      </w:pPr>
      <w:r>
        <w:rPr>
          <w:rFonts w:ascii="Calibri" w:hAnsi="Calibri"/>
          <w:sz w:val="20"/>
          <w:szCs w:val="18"/>
        </w:rPr>
        <w:br w:type="page"/>
      </w:r>
    </w:p>
    <w:p w:rsidR="007A09DB" w:rsidRDefault="007A09DB" w:rsidP="007D0283">
      <w:pPr>
        <w:pStyle w:val="Heading2"/>
        <w:rPr>
          <w:lang w:eastAsia="en-AU"/>
        </w:rPr>
      </w:pPr>
      <w:bookmarkStart w:id="92" w:name="BP2SenEmploy1"/>
      <w:r w:rsidRPr="00A75ED0">
        <w:t>Sensitivity</w:t>
      </w:r>
      <w:r>
        <w:rPr>
          <w:lang w:eastAsia="en-AU"/>
        </w:rPr>
        <w:t xml:space="preserve"> to employment</w:t>
      </w:r>
    </w:p>
    <w:p w:rsidR="007A09DB" w:rsidRDefault="007A09DB" w:rsidP="007D0283">
      <w:pPr>
        <w:rPr>
          <w:lang w:eastAsia="en-AU"/>
        </w:rPr>
      </w:pPr>
      <w:r>
        <w:rPr>
          <w:lang w:eastAsia="en-AU"/>
        </w:rPr>
        <w:t>Higher than expected employment results in additional payroll tax revenue. An increase in the remuneration base also generates additional revenue from higher premiums for WorkSafe Victoria. This leads to higher ITEs for the State. These impacts increase the net result from transactions and cumulatively reduce net debt.</w:t>
      </w:r>
    </w:p>
    <w:p w:rsidR="007A09DB" w:rsidRPr="00C26C96" w:rsidRDefault="007A09DB" w:rsidP="007D0283">
      <w:pPr>
        <w:pStyle w:val="Chartheading"/>
        <w:rPr>
          <w:vertAlign w:val="superscript"/>
        </w:rPr>
      </w:pPr>
      <w:r w:rsidRPr="00001CC4">
        <w:t xml:space="preserve">Chart </w:t>
      </w:r>
      <w:r>
        <w:t>A.4</w:t>
      </w:r>
      <w:r w:rsidRPr="00001CC4">
        <w:t>:</w:t>
      </w:r>
      <w:r w:rsidRPr="00001CC4">
        <w:tab/>
      </w:r>
      <w:r w:rsidRPr="00A75ED0">
        <w:t>Sensitivity</w:t>
      </w:r>
      <w:r w:rsidRPr="00001CC4">
        <w:t xml:space="preserve"> of key fiscal aggregates to </w:t>
      </w:r>
      <w:r>
        <w:t xml:space="preserve">employment </w:t>
      </w:r>
      <w:r w:rsidRPr="00001CC4">
        <w:t>being 1</w:t>
      </w:r>
      <w:r>
        <w:t> per cent</w:t>
      </w:r>
      <w:r w:rsidRPr="00001CC4">
        <w:t xml:space="preserve"> higher than expected from 201</w:t>
      </w:r>
      <w:r>
        <w:t>6</w:t>
      </w:r>
      <w:r>
        <w:noBreakHyphen/>
      </w:r>
      <w:r w:rsidRPr="00001CC4">
        <w:t>1</w:t>
      </w:r>
      <w:r>
        <w:t>7</w:t>
      </w:r>
      <w:r>
        <w:rPr>
          <w:vertAlign w:val="superscript"/>
        </w:rPr>
        <w:t>(a)</w:t>
      </w:r>
    </w:p>
    <w:p w:rsidR="007A09DB" w:rsidRDefault="00D71529" w:rsidP="00602376">
      <w:pPr>
        <w:pStyle w:val="Chartpara"/>
      </w:pPr>
      <w:r>
        <w:pict>
          <v:shape id="_x0000_i1047" type="#_x0000_t75" style="width:382pt;height:265.5pt">
            <v:imagedata r:id="rId49" o:title=""/>
          </v:shape>
        </w:pict>
      </w:r>
    </w:p>
    <w:p w:rsidR="007A09DB" w:rsidRDefault="007A09DB" w:rsidP="00B517E1">
      <w:pPr>
        <w:pStyle w:val="Source"/>
        <w:rPr>
          <w:lang w:eastAsia="en-AU"/>
        </w:rPr>
      </w:pPr>
      <w:r>
        <w:rPr>
          <w:lang w:eastAsia="en-AU"/>
        </w:rPr>
        <w:t>Source: Department of Treasury and Finance</w:t>
      </w:r>
    </w:p>
    <w:p w:rsidR="007A09DB" w:rsidRPr="009D213C" w:rsidRDefault="007A09DB" w:rsidP="00B517E1">
      <w:pPr>
        <w:pStyle w:val="Notes"/>
      </w:pPr>
      <w:r w:rsidRPr="009D213C">
        <w:t>Note:</w:t>
      </w:r>
    </w:p>
    <w:p w:rsidR="007A09DB" w:rsidRDefault="007A09DB" w:rsidP="00B517E1">
      <w:pPr>
        <w:pStyle w:val="Notes"/>
      </w:pPr>
      <w:r>
        <w:t>(a)</w:t>
      </w:r>
      <w:r>
        <w:tab/>
      </w:r>
      <w:r w:rsidRPr="009D213C">
        <w:t xml:space="preserve">See footnotes for Table </w:t>
      </w:r>
      <w:r>
        <w:t>A</w:t>
      </w:r>
      <w:r w:rsidRPr="009D213C">
        <w:t>.1 for detailed description of estimates.</w:t>
      </w:r>
      <w:r>
        <w:fldChar w:fldCharType="begin"/>
      </w:r>
      <w:r>
        <w:instrText xml:space="preserve"> XE "</w:instrText>
      </w:r>
      <w:r w:rsidRPr="00AE5DBA">
        <w:instrText>Sensitivity</w:instrText>
      </w:r>
      <w:r w:rsidRPr="00AE5DBA">
        <w:rPr>
          <w:lang w:eastAsia="en-AU"/>
        </w:rPr>
        <w:instrText xml:space="preserve"> analysis</w:instrText>
      </w:r>
      <w:r w:rsidRPr="00AE5DBA">
        <w:instrText>:Employment</w:instrText>
      </w:r>
      <w:r>
        <w:instrText xml:space="preserve">" \r "BP2SenEmploy1" </w:instrText>
      </w:r>
      <w:r>
        <w:fldChar w:fldCharType="end"/>
      </w:r>
      <w:r>
        <w:fldChar w:fldCharType="begin"/>
      </w:r>
      <w:r>
        <w:instrText xml:space="preserve"> XE "</w:instrText>
      </w:r>
      <w:r w:rsidRPr="00406129">
        <w:instrText>Debt:Net debt</w:instrText>
      </w:r>
      <w:r>
        <w:instrText xml:space="preserve">" \r "BP2NetDebt5" </w:instrText>
      </w:r>
      <w:r>
        <w:fldChar w:fldCharType="end"/>
      </w:r>
    </w:p>
    <w:bookmarkEnd w:id="87"/>
    <w:bookmarkEnd w:id="92"/>
    <w:p w:rsidR="007A09DB" w:rsidRDefault="007A09DB" w:rsidP="00B517E1">
      <w:pPr>
        <w:pStyle w:val="Notes"/>
      </w:pPr>
    </w:p>
    <w:p w:rsidR="007A09DB" w:rsidRDefault="007A09DB">
      <w:pPr>
        <w:spacing w:after="0"/>
        <w:rPr>
          <w:rFonts w:ascii="Calibri" w:hAnsi="Calibri"/>
          <w:i/>
          <w:sz w:val="15"/>
        </w:rPr>
      </w:pPr>
      <w:r>
        <w:br w:type="page"/>
      </w:r>
    </w:p>
    <w:p w:rsidR="007A09DB" w:rsidRDefault="007A09DB" w:rsidP="000D02AD">
      <w:pPr>
        <w:pStyle w:val="Heading2"/>
        <w:rPr>
          <w:lang w:eastAsia="en-AU"/>
        </w:rPr>
      </w:pPr>
      <w:bookmarkStart w:id="93" w:name="BP2SenAveWklyEarn1"/>
      <w:r>
        <w:rPr>
          <w:lang w:eastAsia="en-AU"/>
        </w:rPr>
        <w:t>Sensitivity to average weekly earnings</w:t>
      </w:r>
    </w:p>
    <w:p w:rsidR="007A09DB" w:rsidRDefault="007A09DB" w:rsidP="001C4484">
      <w:pPr>
        <w:rPr>
          <w:lang w:eastAsia="en-AU"/>
        </w:rPr>
      </w:pPr>
      <w:r>
        <w:rPr>
          <w:lang w:eastAsia="en-AU"/>
        </w:rPr>
        <w:t>A rise in the level of wages</w:t>
      </w:r>
      <w:r>
        <w:rPr>
          <w:rFonts w:eastAsiaTheme="minorHAnsi"/>
        </w:rPr>
        <w:fldChar w:fldCharType="begin"/>
      </w:r>
      <w:r>
        <w:instrText xml:space="preserve"> XE "</w:instrText>
      </w:r>
      <w:r>
        <w:rPr>
          <w:rFonts w:eastAsiaTheme="minorHAnsi"/>
        </w:rPr>
        <w:instrText>Wages</w:instrText>
      </w:r>
      <w:r>
        <w:instrText xml:space="preserve">" </w:instrText>
      </w:r>
      <w:r>
        <w:rPr>
          <w:rFonts w:eastAsiaTheme="minorHAnsi"/>
        </w:rPr>
        <w:fldChar w:fldCharType="end"/>
      </w:r>
      <w:r>
        <w:rPr>
          <w:lang w:eastAsia="en-AU"/>
        </w:rPr>
        <w:t xml:space="preserve"> in the economy (but not in the public sector) results in higher payroll tax revenue each year. An increase in the average expense per claim for WorkSafe Victoria reduces ITEs. This is partially offset by increased premium revenue. Overall, these effects lead to a higher net result from transactions over most of the budget and forward estimates. </w:t>
      </w:r>
    </w:p>
    <w:p w:rsidR="007A09DB" w:rsidRDefault="007A09DB" w:rsidP="000D02AD">
      <w:pPr>
        <w:rPr>
          <w:lang w:eastAsia="en-AU"/>
        </w:rPr>
      </w:pPr>
      <w:r>
        <w:rPr>
          <w:lang w:eastAsia="en-AU"/>
        </w:rPr>
        <w:t>The negative net result from transactions in 2017</w:t>
      </w:r>
      <w:r>
        <w:rPr>
          <w:lang w:eastAsia="en-AU"/>
        </w:rPr>
        <w:noBreakHyphen/>
        <w:t>18 is driven by an increase in claims for WorkSafe Victoria. A decline in claims for the following two years results in a positive net result from transactions.</w:t>
      </w:r>
    </w:p>
    <w:p w:rsidR="007A09DB" w:rsidRDefault="007A09DB" w:rsidP="000D02AD">
      <w:pPr>
        <w:pStyle w:val="Chartheading"/>
      </w:pPr>
      <w:r w:rsidRPr="00001CC4">
        <w:t xml:space="preserve">Chart </w:t>
      </w:r>
      <w:r>
        <w:t>A.5</w:t>
      </w:r>
      <w:r w:rsidRPr="00001CC4">
        <w:t>:</w:t>
      </w:r>
      <w:r w:rsidRPr="00001CC4">
        <w:tab/>
        <w:t xml:space="preserve">Sensitivity of key fiscal aggregates to </w:t>
      </w:r>
      <w:r>
        <w:t xml:space="preserve">average weekly earnings </w:t>
      </w:r>
      <w:r w:rsidRPr="00001CC4">
        <w:t>being 1</w:t>
      </w:r>
      <w:r>
        <w:t> per cent</w:t>
      </w:r>
      <w:r w:rsidRPr="00001CC4">
        <w:t xml:space="preserve"> higher than expected from 201</w:t>
      </w:r>
      <w:r>
        <w:t>6</w:t>
      </w:r>
      <w:r>
        <w:noBreakHyphen/>
      </w:r>
      <w:r w:rsidRPr="00001CC4">
        <w:t>1</w:t>
      </w:r>
      <w:r>
        <w:t>7</w:t>
      </w:r>
      <w:r w:rsidRPr="00C26C96">
        <w:rPr>
          <w:vertAlign w:val="superscript"/>
        </w:rPr>
        <w:t>(a)</w:t>
      </w:r>
    </w:p>
    <w:p w:rsidR="007A09DB" w:rsidRDefault="00D71529" w:rsidP="00602376">
      <w:pPr>
        <w:pStyle w:val="Chartpara"/>
      </w:pPr>
      <w:r>
        <w:pict>
          <v:shape id="_x0000_i1048" type="#_x0000_t75" style="width:385.5pt;height:261.5pt">
            <v:imagedata r:id="rId50" o:title=""/>
          </v:shape>
        </w:pict>
      </w:r>
    </w:p>
    <w:p w:rsidR="007A09DB" w:rsidRDefault="007A09DB" w:rsidP="009F03B3">
      <w:pPr>
        <w:pStyle w:val="Source"/>
        <w:rPr>
          <w:lang w:eastAsia="en-AU"/>
        </w:rPr>
      </w:pPr>
      <w:r>
        <w:rPr>
          <w:lang w:eastAsia="en-AU"/>
        </w:rPr>
        <w:t>Source: Department of Treasury and Finance</w:t>
      </w:r>
    </w:p>
    <w:p w:rsidR="007A09DB" w:rsidRPr="009D213C" w:rsidRDefault="007A09DB" w:rsidP="009F03B3">
      <w:pPr>
        <w:pStyle w:val="Notes"/>
      </w:pPr>
      <w:r w:rsidRPr="009D213C">
        <w:t>Note:</w:t>
      </w:r>
    </w:p>
    <w:p w:rsidR="007A09DB" w:rsidRDefault="007A09DB" w:rsidP="009F03B3">
      <w:pPr>
        <w:pStyle w:val="Notes"/>
      </w:pPr>
      <w:r>
        <w:t>(a)</w:t>
      </w:r>
      <w:r>
        <w:tab/>
      </w:r>
      <w:r w:rsidRPr="009D213C">
        <w:t xml:space="preserve">See footnotes for Table </w:t>
      </w:r>
      <w:r>
        <w:t>A</w:t>
      </w:r>
      <w:r w:rsidRPr="009D213C">
        <w:t>.1 for detailed description of estimates.</w:t>
      </w:r>
      <w:r>
        <w:fldChar w:fldCharType="begin"/>
      </w:r>
      <w:r>
        <w:instrText xml:space="preserve"> XE "</w:instrText>
      </w:r>
      <w:r w:rsidRPr="00EF07BB">
        <w:rPr>
          <w:lang w:eastAsia="en-AU"/>
        </w:rPr>
        <w:instrText>Sensitivity analysis</w:instrText>
      </w:r>
      <w:r w:rsidRPr="00EF07BB">
        <w:instrText>:Average weekly earnings</w:instrText>
      </w:r>
      <w:r>
        <w:instrText xml:space="preserve">" \r "BP2SenAveWklyEarn1" </w:instrText>
      </w:r>
      <w:r>
        <w:fldChar w:fldCharType="end"/>
      </w:r>
    </w:p>
    <w:bookmarkEnd w:id="93"/>
    <w:p w:rsidR="007A09DB" w:rsidRDefault="007A09DB" w:rsidP="009F03B3">
      <w:pPr>
        <w:pStyle w:val="Notes"/>
      </w:pPr>
    </w:p>
    <w:p w:rsidR="007A09DB" w:rsidRDefault="007A09DB">
      <w:pPr>
        <w:spacing w:after="0"/>
        <w:rPr>
          <w:rFonts w:ascii="Calibri" w:hAnsi="Calibri"/>
          <w:b/>
          <w:kern w:val="28"/>
          <w:sz w:val="26"/>
          <w:szCs w:val="22"/>
          <w:lang w:eastAsia="en-AU"/>
        </w:rPr>
      </w:pPr>
      <w:r>
        <w:rPr>
          <w:lang w:eastAsia="en-AU"/>
        </w:rPr>
        <w:br w:type="page"/>
      </w:r>
    </w:p>
    <w:p w:rsidR="007A09DB" w:rsidRDefault="007A09DB" w:rsidP="009F03B3">
      <w:pPr>
        <w:pStyle w:val="Heading2"/>
        <w:rPr>
          <w:lang w:eastAsia="en-AU"/>
        </w:rPr>
      </w:pPr>
      <w:bookmarkStart w:id="94" w:name="BP2NetDebt6"/>
      <w:r>
        <w:rPr>
          <w:lang w:eastAsia="en-AU"/>
        </w:rPr>
        <w:t xml:space="preserve">Sensitivity </w:t>
      </w:r>
      <w:r w:rsidRPr="009D213C">
        <w:t>to</w:t>
      </w:r>
      <w:r>
        <w:rPr>
          <w:lang w:eastAsia="en-AU"/>
        </w:rPr>
        <w:t xml:space="preserve"> total employee expenses</w:t>
      </w:r>
    </w:p>
    <w:p w:rsidR="007A09DB" w:rsidRPr="00264A7C" w:rsidRDefault="007A09DB" w:rsidP="0068238A">
      <w:r>
        <w:rPr>
          <w:lang w:eastAsia="en-AU"/>
        </w:rPr>
        <w:t>An increase in employee expenses above forecast levels could be generated through a policy decision to increase the public sector workforce, a change to the price paid to the workforce, through other management decisions regarding the composition and profile of the workforce, or any combination of these that increases the total employee expenses base by 1 per cent.</w:t>
      </w:r>
    </w:p>
    <w:p w:rsidR="007A09DB" w:rsidRDefault="007A09DB" w:rsidP="00602376">
      <w:pPr>
        <w:rPr>
          <w:lang w:eastAsia="en-AU"/>
        </w:rPr>
      </w:pPr>
      <w:bookmarkStart w:id="95" w:name="BP2SuperExp2"/>
      <w:bookmarkStart w:id="96" w:name="BP2SuperLiab1"/>
      <w:r>
        <w:rPr>
          <w:lang w:eastAsia="en-AU"/>
        </w:rPr>
        <w:t>Increased employee entitlements raise the value of the superannuation liability and flow through to a greater superannuation expense</w:t>
      </w:r>
      <w:r w:rsidR="00D9023F">
        <w:rPr>
          <w:lang w:eastAsia="en-AU"/>
        </w:rPr>
        <w:t xml:space="preserve"> </w:t>
      </w:r>
      <w:r>
        <w:rPr>
          <w:lang w:eastAsia="en-AU"/>
        </w:rPr>
        <w:t xml:space="preserve">over the forward estimates. These impacts result in a decline in the net result from transactions and cumulatively higher net debt over the budget and forward estimates. </w:t>
      </w:r>
    </w:p>
    <w:p w:rsidR="007A09DB" w:rsidRDefault="007A09DB" w:rsidP="004B04D9">
      <w:pPr>
        <w:pStyle w:val="Chartheading"/>
      </w:pPr>
      <w:r w:rsidRPr="00001CC4">
        <w:t xml:space="preserve">Chart </w:t>
      </w:r>
      <w:r>
        <w:t>A.6</w:t>
      </w:r>
      <w:r w:rsidRPr="00001CC4">
        <w:t>:</w:t>
      </w:r>
      <w:r w:rsidRPr="00001CC4">
        <w:tab/>
        <w:t>Sensitivity of key fiscal aggregates to</w:t>
      </w:r>
      <w:r>
        <w:t xml:space="preserve"> total employee expenses </w:t>
      </w:r>
      <w:r w:rsidRPr="00001CC4">
        <w:t>being 1</w:t>
      </w:r>
      <w:r>
        <w:t> per cent</w:t>
      </w:r>
      <w:r w:rsidRPr="00001CC4">
        <w:t xml:space="preserve"> higher than expected from 201</w:t>
      </w:r>
      <w:r>
        <w:t>6</w:t>
      </w:r>
      <w:r>
        <w:noBreakHyphen/>
      </w:r>
      <w:r w:rsidRPr="00001CC4">
        <w:t>1</w:t>
      </w:r>
      <w:r>
        <w:t>7</w:t>
      </w:r>
      <w:r w:rsidRPr="00C26C96">
        <w:rPr>
          <w:vertAlign w:val="superscript"/>
        </w:rPr>
        <w:t>(a)</w:t>
      </w:r>
    </w:p>
    <w:p w:rsidR="007A09DB" w:rsidRDefault="00D71529" w:rsidP="008C1508">
      <w:pPr>
        <w:pStyle w:val="Chartpara"/>
        <w:rPr>
          <w:lang w:eastAsia="en-AU"/>
        </w:rPr>
      </w:pPr>
      <w:r>
        <w:rPr>
          <w:lang w:eastAsia="en-AU"/>
        </w:rPr>
        <w:pict>
          <v:shape id="_x0000_i1049" type="#_x0000_t75" style="width:383.5pt;height:262.5pt">
            <v:imagedata r:id="rId51" o:title=""/>
          </v:shape>
        </w:pict>
      </w:r>
    </w:p>
    <w:p w:rsidR="007A09DB" w:rsidRDefault="007A09DB" w:rsidP="00A85485">
      <w:pPr>
        <w:pStyle w:val="Source"/>
        <w:rPr>
          <w:lang w:eastAsia="en-AU"/>
        </w:rPr>
      </w:pPr>
      <w:r>
        <w:rPr>
          <w:lang w:eastAsia="en-AU"/>
        </w:rPr>
        <w:t>Source: Department of Treasury and Finance</w:t>
      </w:r>
    </w:p>
    <w:p w:rsidR="007A09DB" w:rsidRPr="009D213C" w:rsidRDefault="007A09DB" w:rsidP="00A85485">
      <w:pPr>
        <w:pStyle w:val="Notes"/>
      </w:pPr>
      <w:r w:rsidRPr="009D213C">
        <w:t>Note:</w:t>
      </w:r>
    </w:p>
    <w:p w:rsidR="007A09DB" w:rsidRDefault="007A09DB" w:rsidP="00A85485">
      <w:pPr>
        <w:pStyle w:val="Notes"/>
      </w:pPr>
      <w:r>
        <w:t>(a)</w:t>
      </w:r>
      <w:r>
        <w:tab/>
      </w:r>
      <w:r w:rsidRPr="009D213C">
        <w:t xml:space="preserve">See footnotes for Table </w:t>
      </w:r>
      <w:r>
        <w:t>A</w:t>
      </w:r>
      <w:r w:rsidRPr="009D213C">
        <w:t>.1 for detailed description of estimates.</w:t>
      </w:r>
    </w:p>
    <w:p w:rsidR="007A09DB" w:rsidRDefault="007A09DB" w:rsidP="00A85485">
      <w:pPr>
        <w:pStyle w:val="Notes"/>
      </w:pPr>
    </w:p>
    <w:p w:rsidR="007A09DB" w:rsidRDefault="007A09DB">
      <w:pPr>
        <w:spacing w:after="0"/>
        <w:rPr>
          <w:rFonts w:ascii="Calibri" w:hAnsi="Calibri"/>
          <w:b/>
          <w:kern w:val="28"/>
          <w:sz w:val="26"/>
          <w:szCs w:val="22"/>
        </w:rPr>
      </w:pPr>
      <w:r>
        <w:br w:type="page"/>
      </w:r>
    </w:p>
    <w:p w:rsidR="007A09DB" w:rsidRPr="006506C6" w:rsidRDefault="007A09DB" w:rsidP="009F03B3">
      <w:pPr>
        <w:pStyle w:val="Heading2"/>
      </w:pPr>
      <w:bookmarkStart w:id="97" w:name="BP2SenDomOSShare1"/>
      <w:r w:rsidRPr="006506C6">
        <w:t>Sensitivity to domestic and overseas share prices</w:t>
      </w:r>
    </w:p>
    <w:p w:rsidR="007A09DB" w:rsidRDefault="007A09DB" w:rsidP="004D4038">
      <w:pPr>
        <w:rPr>
          <w:lang w:eastAsia="en-AU"/>
        </w:rPr>
      </w:pPr>
      <w:r>
        <w:rPr>
          <w:lang w:eastAsia="en-AU"/>
        </w:rPr>
        <w:t>A rise in share prices increases the net results of the State’s insurance agencies</w:t>
      </w:r>
      <w:r>
        <w:rPr>
          <w:lang w:eastAsia="en-AU"/>
        </w:rPr>
        <w:fldChar w:fldCharType="begin"/>
      </w:r>
      <w:r>
        <w:instrText xml:space="preserve"> XE "</w:instrText>
      </w:r>
      <w:r w:rsidRPr="00275ED7">
        <w:rPr>
          <w:rFonts w:eastAsiaTheme="minorHAnsi"/>
        </w:rPr>
        <w:instrText>Insurance:</w:instrText>
      </w:r>
      <w:r w:rsidRPr="00275ED7">
        <w:instrText>Agencies</w:instrText>
      </w:r>
      <w:r>
        <w:instrText xml:space="preserve">" </w:instrText>
      </w:r>
      <w:r>
        <w:rPr>
          <w:lang w:eastAsia="en-AU"/>
        </w:rPr>
        <w:fldChar w:fldCharType="end"/>
      </w:r>
      <w:r>
        <w:rPr>
          <w:lang w:eastAsia="en-AU"/>
        </w:rPr>
        <w:t>. This leads to an increase in the ITEs payable to the State; however the availability of carry</w:t>
      </w:r>
      <w:r>
        <w:rPr>
          <w:lang w:eastAsia="en-AU"/>
        </w:rPr>
        <w:noBreakHyphen/>
        <w:t>forward tax losses means there is no significant impact on ITEs until 2019</w:t>
      </w:r>
      <w:r>
        <w:rPr>
          <w:lang w:eastAsia="en-AU"/>
        </w:rPr>
        <w:noBreakHyphen/>
        <w:t>20. There is no significant impact on underlying dividends payable to the State as these are based on the agencies’ performance from insurance operations, which excludes the impact of investment returns being higher than the agencies’ budgeted long</w:t>
      </w:r>
      <w:r>
        <w:rPr>
          <w:lang w:eastAsia="en-AU"/>
        </w:rPr>
        <w:noBreakHyphen/>
        <w:t>term rates of return.</w:t>
      </w:r>
    </w:p>
    <w:p w:rsidR="007A09DB" w:rsidRPr="00307BB8" w:rsidRDefault="007A09DB" w:rsidP="00602376">
      <w:pPr>
        <w:rPr>
          <w:lang w:eastAsia="en-AU"/>
        </w:rPr>
      </w:pPr>
      <w:r>
        <w:rPr>
          <w:lang w:eastAsia="en-AU"/>
        </w:rP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w:t>
      </w:r>
      <w:r>
        <w:rPr>
          <w:lang w:eastAsia="en-AU"/>
        </w:rPr>
        <w:fldChar w:fldCharType="begin"/>
      </w:r>
      <w:r>
        <w:instrText xml:space="preserve"> XE "</w:instrText>
      </w:r>
      <w:r w:rsidRPr="00114277">
        <w:instrText>Sensitivity analysis:Domestic and overseas share prices</w:instrText>
      </w:r>
      <w:r>
        <w:instrText xml:space="preserve">" \r "BP2SenDomOSShare1" </w:instrText>
      </w:r>
      <w:r>
        <w:rPr>
          <w:lang w:eastAsia="en-AU"/>
        </w:rPr>
        <w:fldChar w:fldCharType="end"/>
      </w:r>
    </w:p>
    <w:p w:rsidR="007A09DB" w:rsidRPr="006506C6" w:rsidRDefault="007A09DB" w:rsidP="009F03B3">
      <w:pPr>
        <w:pStyle w:val="Heading2"/>
      </w:pPr>
      <w:bookmarkStart w:id="98" w:name="BP2SesPropPrice1"/>
      <w:bookmarkStart w:id="99" w:name="BP2LandTrans1"/>
      <w:bookmarkEnd w:id="97"/>
      <w:r w:rsidRPr="006506C6">
        <w:t>Sensitivity to property prices and volumes</w:t>
      </w:r>
    </w:p>
    <w:p w:rsidR="007A09DB" w:rsidRDefault="007A09DB" w:rsidP="00602376">
      <w:pPr>
        <w:rPr>
          <w:lang w:eastAsia="en-AU"/>
        </w:rPr>
      </w:pPr>
      <w:r>
        <w:rPr>
          <w:lang w:eastAsia="en-AU"/>
        </w:rP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the superannuation liability reduces ongoing superannuation expenses. Each of these factors increases the net result from transactions and lowers net debt.</w:t>
      </w:r>
      <w:r w:rsidR="00D9023F">
        <w:rPr>
          <w:lang w:eastAsia="en-AU"/>
        </w:rPr>
        <w:fldChar w:fldCharType="begin"/>
      </w:r>
      <w:r w:rsidR="00D9023F">
        <w:instrText xml:space="preserve"> XE "</w:instrText>
      </w:r>
      <w:r w:rsidR="00D9023F" w:rsidRPr="00162557">
        <w:instrText>Superannuation:Expense</w:instrText>
      </w:r>
      <w:r w:rsidR="00D9023F">
        <w:instrText xml:space="preserve">" \r "BP2SuperExp2" </w:instrText>
      </w:r>
      <w:r w:rsidR="00D9023F">
        <w:rPr>
          <w:lang w:eastAsia="en-AU"/>
        </w:rPr>
        <w:fldChar w:fldCharType="end"/>
      </w:r>
      <w:r w:rsidR="00D9023F">
        <w:rPr>
          <w:lang w:eastAsia="en-AU"/>
        </w:rPr>
        <w:fldChar w:fldCharType="begin"/>
      </w:r>
      <w:r w:rsidR="00D9023F">
        <w:instrText xml:space="preserve"> XE "</w:instrText>
      </w:r>
      <w:r w:rsidR="00D9023F" w:rsidRPr="00162557">
        <w:instrText>Superannuation:</w:instrText>
      </w:r>
      <w:r w:rsidR="00D9023F">
        <w:instrText>Liability" \r "</w:instrText>
      </w:r>
      <w:r w:rsidR="00D9023F" w:rsidRPr="00D9023F">
        <w:instrText>BP2SuperLiab1</w:instrText>
      </w:r>
      <w:r w:rsidR="00D9023F">
        <w:instrText xml:space="preserve">" </w:instrText>
      </w:r>
      <w:r w:rsidR="00D9023F">
        <w:rPr>
          <w:lang w:eastAsia="en-AU"/>
        </w:rPr>
        <w:fldChar w:fldCharType="end"/>
      </w:r>
    </w:p>
    <w:bookmarkEnd w:id="95"/>
    <w:bookmarkEnd w:id="96"/>
    <w:p w:rsidR="007A09DB" w:rsidRDefault="007A09DB" w:rsidP="00602376">
      <w:pPr>
        <w:rPr>
          <w:lang w:eastAsia="en-AU"/>
        </w:rPr>
      </w:pPr>
      <w:r>
        <w:rPr>
          <w:lang w:eastAsia="en-AU"/>
        </w:rPr>
        <w:t>Higher property transaction volumes increase land transfer duty receipts, leading to a rise in the net result from transactions and a reduction in net debt.</w:t>
      </w:r>
      <w:r>
        <w:rPr>
          <w:lang w:eastAsia="en-AU"/>
        </w:rPr>
        <w:fldChar w:fldCharType="begin"/>
      </w:r>
      <w:r>
        <w:instrText xml:space="preserve"> XE "</w:instrText>
      </w:r>
      <w:r w:rsidRPr="000341AC">
        <w:instrText>Sensitivity analysis:Property prices and volumes</w:instrText>
      </w:r>
      <w:r>
        <w:instrText xml:space="preserve">" \r "BP2SesPropPrice1" </w:instrText>
      </w:r>
      <w:r>
        <w:rPr>
          <w:lang w:eastAsia="en-AU"/>
        </w:rPr>
        <w:fldChar w:fldCharType="end"/>
      </w:r>
    </w:p>
    <w:p w:rsidR="007A09DB" w:rsidRPr="009E0B6B" w:rsidRDefault="007A09DB" w:rsidP="000104BA">
      <w:pPr>
        <w:pStyle w:val="Heading1"/>
      </w:pPr>
      <w:bookmarkStart w:id="100" w:name="_Toc401056880"/>
      <w:bookmarkStart w:id="101" w:name="_Toc401147511"/>
      <w:bookmarkStart w:id="102" w:name="_Toc403386710"/>
      <w:bookmarkStart w:id="103" w:name="_Toc406162115"/>
      <w:bookmarkStart w:id="104" w:name="_Toc406751123"/>
      <w:bookmarkStart w:id="105" w:name="_Toc449123074"/>
      <w:bookmarkEnd w:id="98"/>
      <w:r w:rsidRPr="009E0B6B">
        <w:t>Sensitivity to variations in the economic outlook</w:t>
      </w:r>
      <w:bookmarkEnd w:id="100"/>
      <w:bookmarkEnd w:id="101"/>
      <w:bookmarkEnd w:id="102"/>
      <w:bookmarkEnd w:id="103"/>
      <w:bookmarkEnd w:id="104"/>
      <w:bookmarkEnd w:id="105"/>
    </w:p>
    <w:p w:rsidR="007A09DB" w:rsidRDefault="007A09DB" w:rsidP="000104BA">
      <w:r>
        <w:t>The previous section considered the fiscal implications of independent variations in selected economic parameters. Typically, however, variations in economic parameters do not occur in isolation. For example, general economic conditions</w:t>
      </w:r>
      <w:r>
        <w:fldChar w:fldCharType="begin"/>
      </w:r>
      <w:r>
        <w:instrText xml:space="preserve"> XE "</w:instrText>
      </w:r>
      <w:r w:rsidRPr="007F391C">
        <w:rPr>
          <w:rFonts w:eastAsiaTheme="minorHAnsi"/>
        </w:rPr>
        <w:instrText>Economic conditions</w:instrText>
      </w:r>
      <w:r>
        <w:instrText xml:space="preserve">" </w:instrText>
      </w:r>
      <w:r>
        <w:fldChar w:fldCharType="end"/>
      </w:r>
      <w:r>
        <w:t xml:space="preserve"> may differ from expectations, particularly in the event of an unanticipated economic or financial shock, causing most or all economic parameters to vary from forecasts.</w:t>
      </w:r>
    </w:p>
    <w:p w:rsidR="007A09DB" w:rsidRDefault="007A09DB" w:rsidP="000104BA">
      <w:r>
        <w:t>This section considers two examples where general economic conditions</w:t>
      </w:r>
      <w:r>
        <w:fldChar w:fldCharType="begin"/>
      </w:r>
      <w:r>
        <w:instrText xml:space="preserve"> XE "</w:instrText>
      </w:r>
      <w:r w:rsidRPr="007F391C">
        <w:rPr>
          <w:rFonts w:eastAsiaTheme="minorHAnsi"/>
        </w:rPr>
        <w:instrText>Economic conditions</w:instrText>
      </w:r>
      <w:r>
        <w:instrText xml:space="preserve">" </w:instrText>
      </w:r>
      <w:r>
        <w:fldChar w:fldCharType="end"/>
      </w:r>
      <w:r>
        <w:t xml:space="preserve">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7A09DB" w:rsidRDefault="007A09DB" w:rsidP="000104BA">
      <w: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noBreakHyphen/>
        <w:t>related shocks are likely to have the largest impact on the fiscal situation.</w:t>
      </w:r>
      <w:bookmarkEnd w:id="94"/>
      <w:r>
        <w:fldChar w:fldCharType="begin"/>
      </w:r>
      <w:r>
        <w:instrText xml:space="preserve"> XE "</w:instrText>
      </w:r>
      <w:r w:rsidRPr="00836EBE">
        <w:rPr>
          <w:lang w:eastAsia="en-AU"/>
        </w:rPr>
        <w:instrText>Debt</w:instrText>
      </w:r>
      <w:r w:rsidRPr="00836EBE">
        <w:instrText>:Net debt</w:instrText>
      </w:r>
      <w:r>
        <w:instrText xml:space="preserve">" \r "BP2NetDebt6" </w:instrText>
      </w:r>
      <w:r>
        <w:fldChar w:fldCharType="end"/>
      </w:r>
    </w:p>
    <w:p w:rsidR="007A09DB" w:rsidRDefault="007A09DB" w:rsidP="000104BA">
      <w:r>
        <w:t xml:space="preserve">The State’s fiscal position in any year is the product of economic trends and policy changes in that year and previous years. Similarly, an economic shock in a given year will affect fiscal outcomes in that year and later years. </w:t>
      </w:r>
    </w:p>
    <w:p w:rsidR="007A09DB" w:rsidRDefault="007A09DB" w:rsidP="000104BA">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7A09DB" w:rsidRDefault="007A09DB" w:rsidP="000104BA">
      <w:pPr>
        <w:pStyle w:val="Heading2"/>
      </w:pPr>
      <w:bookmarkStart w:id="106" w:name="BP2EcoG4"/>
      <w:r>
        <w:t>2006</w:t>
      </w:r>
      <w:r>
        <w:noBreakHyphen/>
        <w:t>07 – economic growth exceeding expectations</w:t>
      </w:r>
    </w:p>
    <w:p w:rsidR="007A09DB" w:rsidRDefault="007A09DB" w:rsidP="000104BA">
      <w:bookmarkStart w:id="107" w:name="BP2Wages1"/>
      <w:r>
        <w:t>Table A.2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7A09DB" w:rsidRDefault="007A09DB" w:rsidP="000104BA">
      <w:pPr>
        <w:pStyle w:val="Tableheading"/>
      </w:pPr>
      <w:r>
        <w:t>Table A.2:</w:t>
      </w:r>
      <w:r>
        <w:tab/>
        <w:t xml:space="preserve">Actual deviations of growth rates of key economic variables from </w:t>
      </w:r>
      <w:r>
        <w:rPr>
          <w:i/>
        </w:rPr>
        <w:t>2006</w:t>
      </w:r>
      <w:r>
        <w:rPr>
          <w:i/>
        </w:rPr>
        <w:noBreakHyphen/>
        <w:t>07 Budget</w:t>
      </w:r>
      <w:r>
        <w:t xml:space="preserve"> forecasts</w:t>
      </w:r>
    </w:p>
    <w:p w:rsidR="007A09DB" w:rsidRPr="00BA4278" w:rsidRDefault="007A09DB" w:rsidP="00BA4278">
      <w:pPr>
        <w:pStyle w:val="million"/>
      </w:pPr>
      <w:r>
        <w:t>(per cent)</w:t>
      </w:r>
    </w:p>
    <w:tbl>
      <w:tblPr>
        <w:tblW w:w="7770" w:type="dxa"/>
        <w:tblInd w:w="45" w:type="dxa"/>
        <w:tblLayout w:type="fixed"/>
        <w:tblCellMar>
          <w:left w:w="45" w:type="dxa"/>
          <w:right w:w="45" w:type="dxa"/>
        </w:tblCellMar>
        <w:tblLook w:val="0000" w:firstRow="0" w:lastRow="0" w:firstColumn="0" w:lastColumn="0" w:noHBand="0" w:noVBand="0"/>
      </w:tblPr>
      <w:tblGrid>
        <w:gridCol w:w="5220"/>
        <w:gridCol w:w="850"/>
        <w:gridCol w:w="850"/>
        <w:gridCol w:w="850"/>
      </w:tblGrid>
      <w:tr w:rsidR="007A09DB" w:rsidRPr="00BA4278" w:rsidTr="00BA4278">
        <w:tc>
          <w:tcPr>
            <w:tcW w:w="5220" w:type="dxa"/>
            <w:tcBorders>
              <w:right w:val="nil"/>
            </w:tcBorders>
            <w:shd w:val="solid" w:color="000000" w:fill="000000"/>
          </w:tcPr>
          <w:p w:rsidR="007A09DB" w:rsidRPr="00BA4278" w:rsidRDefault="007A09DB" w:rsidP="00BA4278">
            <w:pPr>
              <w:autoSpaceDE w:val="0"/>
              <w:autoSpaceDN w:val="0"/>
              <w:adjustRightInd w:val="0"/>
              <w:spacing w:after="0"/>
              <w:rPr>
                <w:rFonts w:ascii="Calibri" w:eastAsiaTheme="minorEastAsia" w:hAnsi="Calibri" w:cs="Calibri"/>
                <w:i/>
                <w:iCs/>
                <w:color w:val="FFFFFF"/>
                <w:sz w:val="19"/>
                <w:lang w:eastAsia="en-AU"/>
              </w:rPr>
            </w:pPr>
            <w:r w:rsidRPr="00BA4278">
              <w:rPr>
                <w:rFonts w:ascii="Calibri" w:eastAsiaTheme="minorEastAsia" w:hAnsi="Calibri" w:cs="Calibri"/>
                <w:i/>
                <w:iCs/>
                <w:color w:val="FFFFFF"/>
                <w:sz w:val="19"/>
                <w:lang w:eastAsia="en-AU"/>
              </w:rPr>
              <w:t xml:space="preserve"> </w:t>
            </w:r>
          </w:p>
        </w:tc>
        <w:tc>
          <w:tcPr>
            <w:tcW w:w="850" w:type="dxa"/>
            <w:tcBorders>
              <w:left w:val="nil"/>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2006</w:t>
            </w:r>
            <w:r>
              <w:rPr>
                <w:rFonts w:eastAsiaTheme="minorEastAsia"/>
                <w:color w:val="FFFFFF"/>
                <w:sz w:val="19"/>
                <w:lang w:eastAsia="en-AU"/>
              </w:rPr>
              <w:noBreakHyphen/>
            </w:r>
            <w:r w:rsidRPr="00BA4278">
              <w:rPr>
                <w:rFonts w:eastAsiaTheme="minorEastAsia"/>
                <w:color w:val="FFFFFF"/>
                <w:sz w:val="19"/>
                <w:lang w:eastAsia="en-AU"/>
              </w:rPr>
              <w:t>07</w:t>
            </w:r>
          </w:p>
        </w:tc>
        <w:tc>
          <w:tcPr>
            <w:tcW w:w="850" w:type="dxa"/>
            <w:tcBorders>
              <w:left w:val="nil"/>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2006</w:t>
            </w:r>
            <w:r>
              <w:rPr>
                <w:rFonts w:eastAsiaTheme="minorEastAsia"/>
                <w:color w:val="FFFFFF"/>
                <w:sz w:val="19"/>
                <w:lang w:eastAsia="en-AU"/>
              </w:rPr>
              <w:noBreakHyphen/>
            </w:r>
            <w:r w:rsidRPr="00BA4278">
              <w:rPr>
                <w:rFonts w:eastAsiaTheme="minorEastAsia"/>
                <w:color w:val="FFFFFF"/>
                <w:sz w:val="19"/>
                <w:lang w:eastAsia="en-AU"/>
              </w:rPr>
              <w:t>07</w:t>
            </w:r>
          </w:p>
        </w:tc>
        <w:tc>
          <w:tcPr>
            <w:tcW w:w="850" w:type="dxa"/>
            <w:tcBorders>
              <w:left w:val="nil"/>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Forecast</w:t>
            </w:r>
          </w:p>
        </w:tc>
      </w:tr>
      <w:tr w:rsidR="007A09DB" w:rsidRPr="00BA4278" w:rsidTr="00BA4278">
        <w:tc>
          <w:tcPr>
            <w:tcW w:w="5220" w:type="dxa"/>
            <w:tcBorders>
              <w:bottom w:val="single" w:sz="6" w:space="0" w:color="auto"/>
              <w:right w:val="nil"/>
            </w:tcBorders>
            <w:shd w:val="solid" w:color="000000" w:fill="000000"/>
          </w:tcPr>
          <w:p w:rsidR="007A09DB" w:rsidRPr="00BA4278" w:rsidRDefault="007A09DB" w:rsidP="00BA4278">
            <w:pPr>
              <w:autoSpaceDE w:val="0"/>
              <w:autoSpaceDN w:val="0"/>
              <w:adjustRightInd w:val="0"/>
              <w:spacing w:after="0"/>
              <w:rPr>
                <w:rFonts w:ascii="Calibri" w:eastAsiaTheme="minorEastAsia" w:hAnsi="Calibri" w:cs="Calibri"/>
                <w:color w:val="FFFFFF"/>
                <w:sz w:val="19"/>
                <w:lang w:eastAsia="en-AU"/>
              </w:rPr>
            </w:pPr>
            <w:r w:rsidRPr="00BA4278">
              <w:rPr>
                <w:rFonts w:ascii="Calibri" w:eastAsiaTheme="minorEastAsia" w:hAnsi="Calibri" w:cs="Calibri"/>
                <w:color w:val="FFFFFF"/>
                <w:sz w:val="19"/>
                <w:lang w:eastAsia="en-AU"/>
              </w:rPr>
              <w:t xml:space="preserve"> </w:t>
            </w:r>
          </w:p>
        </w:tc>
        <w:tc>
          <w:tcPr>
            <w:tcW w:w="850" w:type="dxa"/>
            <w:tcBorders>
              <w:left w:val="nil"/>
              <w:bottom w:val="single" w:sz="6" w:space="0" w:color="auto"/>
              <w:right w:val="single" w:sz="6" w:space="0" w:color="auto"/>
            </w:tcBorders>
            <w:shd w:val="solid" w:color="000000" w:fill="000000"/>
          </w:tcPr>
          <w:p w:rsidR="007A09DB" w:rsidRPr="00BA4278" w:rsidRDefault="007A09DB" w:rsidP="00BA4278">
            <w:pPr>
              <w:pStyle w:val="Tabletextheading"/>
              <w:rPr>
                <w:rFonts w:eastAsiaTheme="minorEastAsia"/>
                <w:color w:val="FFFFFF"/>
                <w:sz w:val="19"/>
                <w:vertAlign w:val="superscript"/>
                <w:lang w:eastAsia="en-AU"/>
              </w:rPr>
            </w:pPr>
            <w:r w:rsidRPr="00BA4278">
              <w:rPr>
                <w:rFonts w:eastAsiaTheme="minorEastAsia"/>
                <w:color w:val="FFFFFF"/>
                <w:sz w:val="19"/>
                <w:lang w:eastAsia="en-AU"/>
              </w:rPr>
              <w:t xml:space="preserve">budget </w:t>
            </w:r>
            <w:r w:rsidRPr="00BA4278">
              <w:rPr>
                <w:rFonts w:eastAsiaTheme="minorEastAsia"/>
                <w:color w:val="FFFFFF"/>
                <w:sz w:val="19"/>
                <w:vertAlign w:val="superscript"/>
                <w:lang w:eastAsia="en-AU"/>
              </w:rPr>
              <w:t>(a)</w:t>
            </w:r>
          </w:p>
        </w:tc>
        <w:tc>
          <w:tcPr>
            <w:tcW w:w="850" w:type="dxa"/>
            <w:tcBorders>
              <w:left w:val="nil"/>
              <w:bottom w:val="single" w:sz="6" w:space="0" w:color="auto"/>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actual</w:t>
            </w:r>
          </w:p>
        </w:tc>
        <w:tc>
          <w:tcPr>
            <w:tcW w:w="850" w:type="dxa"/>
            <w:tcBorders>
              <w:left w:val="nil"/>
              <w:bottom w:val="single" w:sz="6" w:space="0" w:color="auto"/>
            </w:tcBorders>
            <w:shd w:val="solid" w:color="000000" w:fill="000000"/>
          </w:tcPr>
          <w:p w:rsidR="007A09DB" w:rsidRPr="00BA4278" w:rsidRDefault="007A09DB" w:rsidP="00BA4278">
            <w:pPr>
              <w:pStyle w:val="Tabletextheading"/>
              <w:rPr>
                <w:rFonts w:eastAsiaTheme="minorEastAsia"/>
                <w:color w:val="FFFFFF"/>
                <w:sz w:val="19"/>
                <w:vertAlign w:val="superscript"/>
                <w:lang w:eastAsia="en-AU"/>
              </w:rPr>
            </w:pPr>
            <w:r w:rsidRPr="00BA4278">
              <w:rPr>
                <w:rFonts w:eastAsiaTheme="minorEastAsia"/>
                <w:color w:val="FFFFFF"/>
                <w:sz w:val="19"/>
                <w:lang w:eastAsia="en-AU"/>
              </w:rPr>
              <w:t xml:space="preserve">error </w:t>
            </w:r>
            <w:r w:rsidRPr="00BA4278">
              <w:rPr>
                <w:rFonts w:eastAsiaTheme="minorEastAsia"/>
                <w:color w:val="FFFFFF"/>
                <w:sz w:val="19"/>
                <w:vertAlign w:val="superscript"/>
                <w:lang w:eastAsia="en-AU"/>
              </w:rPr>
              <w:t>(b)</w:t>
            </w:r>
          </w:p>
        </w:tc>
      </w:tr>
      <w:tr w:rsidR="007A09DB" w:rsidRPr="00BA4278" w:rsidTr="00BA4278">
        <w:tc>
          <w:tcPr>
            <w:tcW w:w="5220" w:type="dxa"/>
            <w:tcBorders>
              <w:top w:val="single" w:sz="6" w:space="0" w:color="auto"/>
              <w:left w:val="nil"/>
              <w:right w:val="nil"/>
            </w:tcBorders>
            <w:shd w:val="clear" w:color="auto" w:fill="FFFFFF"/>
          </w:tcPr>
          <w:p w:rsidR="007A09DB" w:rsidRPr="00BA4278" w:rsidRDefault="007A09DB" w:rsidP="00BA4278">
            <w:pPr>
              <w:pStyle w:val="Tabletext"/>
              <w:ind w:left="227" w:hanging="227"/>
              <w:rPr>
                <w:color w:val="000000"/>
              </w:rPr>
            </w:pPr>
            <w:r w:rsidRPr="00BA4278">
              <w:rPr>
                <w:color w:val="000000"/>
              </w:rPr>
              <w:t>Real GSP</w:t>
            </w:r>
            <w:r w:rsidRPr="00BA4278">
              <w:rPr>
                <w:color w:val="000000"/>
                <w:position w:val="6"/>
              </w:rPr>
              <w:t xml:space="preserve"> </w:t>
            </w:r>
            <w:r w:rsidRPr="00BA4278">
              <w:rPr>
                <w:color w:val="000000"/>
                <w:position w:val="2"/>
                <w:vertAlign w:val="superscript"/>
              </w:rPr>
              <w:t>(c)</w:t>
            </w:r>
          </w:p>
        </w:tc>
        <w:tc>
          <w:tcPr>
            <w:tcW w:w="850" w:type="dxa"/>
            <w:tcBorders>
              <w:top w:val="single" w:sz="6" w:space="0" w:color="auto"/>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3.3</w:t>
            </w:r>
          </w:p>
        </w:tc>
        <w:tc>
          <w:tcPr>
            <w:tcW w:w="850" w:type="dxa"/>
            <w:tcBorders>
              <w:top w:val="single" w:sz="6" w:space="0" w:color="auto"/>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3.5</w:t>
            </w:r>
          </w:p>
        </w:tc>
        <w:tc>
          <w:tcPr>
            <w:tcW w:w="850" w:type="dxa"/>
            <w:tcBorders>
              <w:top w:val="single" w:sz="6" w:space="0" w:color="auto"/>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0.2</w:t>
            </w:r>
          </w:p>
        </w:tc>
      </w:tr>
      <w:tr w:rsidR="007A09DB" w:rsidRPr="00BA4278" w:rsidTr="00BA4278">
        <w:tc>
          <w:tcPr>
            <w:tcW w:w="5220" w:type="dxa"/>
            <w:tcBorders>
              <w:top w:val="nil"/>
              <w:left w:val="nil"/>
              <w:right w:val="nil"/>
            </w:tcBorders>
            <w:shd w:val="clear" w:color="auto" w:fill="FFFFFF"/>
          </w:tcPr>
          <w:p w:rsidR="007A09DB" w:rsidRPr="00BA4278" w:rsidRDefault="007A09DB" w:rsidP="00BA4278">
            <w:pPr>
              <w:pStyle w:val="Tabletext"/>
              <w:ind w:left="227" w:hanging="227"/>
              <w:rPr>
                <w:color w:val="000000"/>
              </w:rPr>
            </w:pPr>
            <w:r w:rsidRPr="00BA4278">
              <w:rPr>
                <w:color w:val="000000"/>
              </w:rPr>
              <w:t>Employment</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1.3</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3.2</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1.9</w:t>
            </w:r>
          </w:p>
        </w:tc>
      </w:tr>
      <w:tr w:rsidR="007A09DB" w:rsidRPr="00BA4278" w:rsidTr="00BA4278">
        <w:tc>
          <w:tcPr>
            <w:tcW w:w="5220" w:type="dxa"/>
            <w:tcBorders>
              <w:top w:val="nil"/>
              <w:left w:val="nil"/>
              <w:right w:val="nil"/>
            </w:tcBorders>
            <w:shd w:val="clear" w:color="auto" w:fill="FFFFFF"/>
          </w:tcPr>
          <w:p w:rsidR="007A09DB" w:rsidRPr="00BA4278" w:rsidRDefault="007A09DB" w:rsidP="00BA4278">
            <w:pPr>
              <w:pStyle w:val="Tabletext"/>
              <w:ind w:left="227" w:hanging="227"/>
              <w:rPr>
                <w:color w:val="000000"/>
              </w:rPr>
            </w:pPr>
            <w:r w:rsidRPr="00BA4278">
              <w:rPr>
                <w:color w:val="000000"/>
              </w:rPr>
              <w:t>Consumer price index</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2.5</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2.6</w:t>
            </w:r>
          </w:p>
        </w:tc>
        <w:tc>
          <w:tcPr>
            <w:tcW w:w="850" w:type="dxa"/>
            <w:tcBorders>
              <w:top w:val="nil"/>
              <w:left w:val="nil"/>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0.1</w:t>
            </w:r>
          </w:p>
        </w:tc>
      </w:tr>
      <w:tr w:rsidR="007A09DB" w:rsidRPr="00BA4278" w:rsidTr="00BA4278">
        <w:tc>
          <w:tcPr>
            <w:tcW w:w="5220" w:type="dxa"/>
            <w:tcBorders>
              <w:top w:val="nil"/>
              <w:left w:val="nil"/>
              <w:bottom w:val="single" w:sz="12" w:space="0" w:color="auto"/>
              <w:right w:val="nil"/>
            </w:tcBorders>
            <w:shd w:val="clear" w:color="auto" w:fill="FFFFFF"/>
          </w:tcPr>
          <w:p w:rsidR="007A09DB" w:rsidRPr="00BA4278" w:rsidRDefault="007A09DB" w:rsidP="00BA4278">
            <w:pPr>
              <w:pStyle w:val="Tabletext"/>
              <w:ind w:left="227" w:hanging="227"/>
              <w:rPr>
                <w:color w:val="000000"/>
              </w:rPr>
            </w:pPr>
            <w:r w:rsidRPr="00BA4278">
              <w:rPr>
                <w:color w:val="000000"/>
              </w:rPr>
              <w:t xml:space="preserve">Wage price index </w:t>
            </w:r>
            <w:r w:rsidRPr="00BA4278">
              <w:rPr>
                <w:color w:val="000000"/>
                <w:position w:val="2"/>
                <w:vertAlign w:val="superscript"/>
              </w:rPr>
              <w:t>(d)</w:t>
            </w:r>
          </w:p>
        </w:tc>
        <w:tc>
          <w:tcPr>
            <w:tcW w:w="850" w:type="dxa"/>
            <w:tcBorders>
              <w:top w:val="nil"/>
              <w:left w:val="nil"/>
              <w:bottom w:val="single" w:sz="12" w:space="0" w:color="auto"/>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3.5</w:t>
            </w:r>
          </w:p>
        </w:tc>
        <w:tc>
          <w:tcPr>
            <w:tcW w:w="850" w:type="dxa"/>
            <w:tcBorders>
              <w:top w:val="nil"/>
              <w:left w:val="nil"/>
              <w:bottom w:val="single" w:sz="12" w:space="0" w:color="auto"/>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3.6</w:t>
            </w:r>
          </w:p>
        </w:tc>
        <w:tc>
          <w:tcPr>
            <w:tcW w:w="850" w:type="dxa"/>
            <w:tcBorders>
              <w:top w:val="nil"/>
              <w:left w:val="nil"/>
              <w:bottom w:val="single" w:sz="12" w:space="0" w:color="auto"/>
              <w:right w:val="nil"/>
            </w:tcBorders>
            <w:shd w:val="clear" w:color="auto" w:fill="FFFFFF"/>
          </w:tcPr>
          <w:p w:rsidR="007A09DB" w:rsidRPr="00BA4278" w:rsidRDefault="007A09DB" w:rsidP="00BA4278">
            <w:pPr>
              <w:pStyle w:val="TableofFigures"/>
              <w:rPr>
                <w:rFonts w:eastAsiaTheme="minorEastAsia"/>
              </w:rPr>
            </w:pPr>
            <w:r w:rsidRPr="00BA4278">
              <w:rPr>
                <w:rFonts w:eastAsiaTheme="minorEastAsia"/>
              </w:rPr>
              <w:t>0.1</w:t>
            </w:r>
          </w:p>
        </w:tc>
      </w:tr>
    </w:tbl>
    <w:p w:rsidR="007A09DB" w:rsidRDefault="007A09DB" w:rsidP="00264A7C">
      <w:pPr>
        <w:pStyle w:val="Source"/>
      </w:pPr>
      <w:r>
        <w:t xml:space="preserve">Sources: Australian Bureau of </w:t>
      </w:r>
      <w:r w:rsidRPr="00264A7C">
        <w:t>Statistics</w:t>
      </w:r>
      <w:r>
        <w:t>; Department of Treasury and Finance</w:t>
      </w:r>
    </w:p>
    <w:p w:rsidR="007A09DB" w:rsidRDefault="007A09DB" w:rsidP="000104BA">
      <w:pPr>
        <w:pStyle w:val="Notes"/>
      </w:pPr>
      <w:r>
        <w:t>Notes:</w:t>
      </w:r>
    </w:p>
    <w:p w:rsidR="007A09DB" w:rsidRDefault="007A09DB" w:rsidP="000104BA">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7A09DB" w:rsidRDefault="007A09DB" w:rsidP="000104BA">
      <w:pPr>
        <w:pStyle w:val="Notes"/>
      </w:pPr>
      <w:r>
        <w:t>(b)</w:t>
      </w:r>
      <w:r>
        <w:tab/>
        <w:t>Percentage point variation.</w:t>
      </w:r>
    </w:p>
    <w:p w:rsidR="007A09DB" w:rsidRDefault="007A09DB" w:rsidP="000104BA">
      <w:pPr>
        <w:pStyle w:val="Notes"/>
      </w:pPr>
      <w:r>
        <w:t>(c)</w:t>
      </w:r>
      <w:r>
        <w:tab/>
      </w:r>
      <w:r w:rsidRPr="000104BA">
        <w:t>Actual growth rates may differ from those in previous publications due to revisions in Australian Bureau of Statistics data</w:t>
      </w:r>
      <w:r>
        <w:t>.</w:t>
      </w:r>
    </w:p>
    <w:p w:rsidR="007A09DB" w:rsidRDefault="007A09DB" w:rsidP="000104BA">
      <w:pPr>
        <w:pStyle w:val="Notes"/>
      </w:pPr>
      <w:r>
        <w:t>(d)</w:t>
      </w:r>
      <w:r>
        <w:tab/>
        <w:t>Wage Price Index, Victoria (based on total hourly rates of pay, excluding bonuses).</w:t>
      </w:r>
    </w:p>
    <w:p w:rsidR="007A09DB" w:rsidRDefault="007A09DB" w:rsidP="000104BA"/>
    <w:p w:rsidR="007A09DB" w:rsidRDefault="007A09DB" w:rsidP="000104BA">
      <w:r>
        <w:t>The main areas of revenue forecast error in 2006</w:t>
      </w:r>
      <w:r>
        <w:noBreakHyphen/>
        <w:t>07 relate to the underestimation of land transfer duty and of other revenue, while 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t xml:space="preserve"> was close to forecast (Table A.3).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w:t>
      </w:r>
      <w:r>
        <w:fldChar w:fldCharType="begin"/>
      </w:r>
      <w:r>
        <w:instrText xml:space="preserve"> XE "</w:instrText>
      </w:r>
      <w:r w:rsidRPr="00474088">
        <w:rPr>
          <w:rFonts w:eastAsiaTheme="minorHAnsi"/>
        </w:rPr>
        <w:instrText>Consumer sentiment</w:instrText>
      </w:r>
      <w:r>
        <w:instrText xml:space="preserve">" </w:instrText>
      </w:r>
      <w:r>
        <w:fldChar w:fldCharType="end"/>
      </w:r>
      <w:r>
        <w:t>. In 2006</w:t>
      </w:r>
      <w:r>
        <w:noBreakHyphen/>
        <w:t>07, both house prices and volumes were in growth phases, and in the second half of the financial year, consumer sentiment</w:t>
      </w:r>
      <w:r>
        <w:fldChar w:fldCharType="begin"/>
      </w:r>
      <w:r>
        <w:instrText xml:space="preserve"> XE "</w:instrText>
      </w:r>
      <w:r w:rsidRPr="00474088">
        <w:rPr>
          <w:rFonts w:eastAsiaTheme="minorHAnsi"/>
        </w:rPr>
        <w:instrText>Consumer sentiment</w:instrText>
      </w:r>
      <w:r>
        <w:instrText xml:space="preserve">" </w:instrText>
      </w:r>
      <w:r>
        <w:fldChar w:fldCharType="end"/>
      </w:r>
      <w:r>
        <w:t xml:space="preserve"> was well above historical averages.</w:t>
      </w:r>
      <w:r>
        <w:fldChar w:fldCharType="begin"/>
      </w:r>
      <w:r>
        <w:instrText xml:space="preserve"> XE "</w:instrText>
      </w:r>
      <w:r w:rsidRPr="00B5254B">
        <w:instrText>Land transfer duty</w:instrText>
      </w:r>
      <w:r>
        <w:instrText xml:space="preserve">" \r "BP2LandTrans1" </w:instrText>
      </w:r>
      <w:r>
        <w:fldChar w:fldCharType="end"/>
      </w:r>
      <w:r>
        <w:fldChar w:fldCharType="begin"/>
      </w:r>
      <w:r>
        <w:instrText xml:space="preserve"> XE "Taxation:</w:instrText>
      </w:r>
      <w:r w:rsidRPr="00B5254B">
        <w:instrText>Land transfer duty</w:instrText>
      </w:r>
      <w:r>
        <w:instrText xml:space="preserve">" \r "BP2LandTrans1" </w:instrText>
      </w:r>
      <w:r>
        <w:fldChar w:fldCharType="end"/>
      </w:r>
    </w:p>
    <w:bookmarkEnd w:id="99"/>
    <w:p w:rsidR="007A09DB" w:rsidRDefault="007A09DB" w:rsidP="000104BA">
      <w: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7A09DB" w:rsidRDefault="007A09DB">
      <w:pPr>
        <w:spacing w:after="0"/>
      </w:pPr>
      <w:r>
        <w:br w:type="page"/>
      </w:r>
    </w:p>
    <w:p w:rsidR="007A09DB" w:rsidRDefault="007A09DB" w:rsidP="000104BA">
      <w:r w:rsidRPr="00B124B5">
        <w:t>As payroll tax</w:t>
      </w:r>
      <w:r>
        <w:rPr>
          <w:rFonts w:eastAsiaTheme="minorHAnsi"/>
        </w:rPr>
        <w:fldChar w:fldCharType="begin"/>
      </w:r>
      <w:r>
        <w:instrText xml:space="preserve"> XE "</w:instrText>
      </w:r>
      <w:r w:rsidRPr="00570EF2">
        <w:rPr>
          <w:rFonts w:eastAsiaTheme="minorHAnsi"/>
        </w:rPr>
        <w:instrText>Taxation:</w:instrText>
      </w:r>
      <w:r w:rsidRPr="00570EF2">
        <w:instrText>Payroll tax</w:instrText>
      </w:r>
      <w:r>
        <w:instrText xml:space="preserve">" </w:instrText>
      </w:r>
      <w:r>
        <w:rPr>
          <w:rFonts w:eastAsiaTheme="minorHAnsi"/>
        </w:rPr>
        <w:fldChar w:fldCharType="end"/>
      </w:r>
      <w:r w:rsidRPr="00B124B5">
        <w:t xml:space="preserve"> is levied on the stock of employees, forecast error</w:t>
      </w:r>
      <w:r>
        <w:t>s</w:t>
      </w:r>
      <w:r w:rsidRPr="00B124B5">
        <w:t xml:space="preserve"> in growth </w:t>
      </w:r>
      <w:r>
        <w:t xml:space="preserve">are </w:t>
      </w:r>
      <w:r w:rsidRPr="00B124B5">
        <w:t>unlikely to have a large effect on revenue from this line. This proved to be the case in 2006</w:t>
      </w:r>
      <w:r>
        <w:noBreakHyphen/>
      </w:r>
      <w:r w:rsidRPr="00B124B5">
        <w:t>07. Despite growth in employment being two percentage points higher than anticipated, the 2006</w:t>
      </w:r>
      <w:r>
        <w:noBreakHyphen/>
      </w:r>
      <w:r w:rsidRPr="00B124B5">
        <w:t>07 outcome for payroll tax was largely consistent with budgeted estimates. This suggests a dis</w:t>
      </w:r>
      <w:r>
        <w:t>connect at the</w:t>
      </w:r>
      <w:r w:rsidRPr="00B124B5">
        <w:t xml:space="preserve"> time between Victoria</w:t>
      </w:r>
      <w:r>
        <w:t>’</w:t>
      </w:r>
      <w:r w:rsidRPr="00B124B5">
        <w:t>s labour market performance and payroll tax collections, and may have occurred because payroll tax is levied on a small share of Victorian businesses, which may not necessarily have been the drivers of growth.</w:t>
      </w:r>
    </w:p>
    <w:p w:rsidR="007A09DB" w:rsidRDefault="007A09DB" w:rsidP="000104BA">
      <w:pPr>
        <w:pStyle w:val="Tableheading"/>
      </w:pPr>
      <w:r>
        <w:t>Table A.3:</w:t>
      </w:r>
      <w:r>
        <w:tab/>
        <w:t xml:space="preserve">Actual deviations of key revenue lines from </w:t>
      </w:r>
      <w:r>
        <w:rPr>
          <w:i/>
        </w:rPr>
        <w:t>2006</w:t>
      </w:r>
      <w:r>
        <w:rPr>
          <w:i/>
        </w:rPr>
        <w:noBreakHyphen/>
        <w:t>07 Budget</w:t>
      </w:r>
      <w:r>
        <w:t xml:space="preserve"> forecasts</w:t>
      </w:r>
    </w:p>
    <w:p w:rsidR="007A09DB" w:rsidRPr="00F01379" w:rsidRDefault="007A09DB" w:rsidP="000104BA">
      <w:pPr>
        <w:pStyle w:val="million"/>
      </w:pPr>
      <w:r>
        <w:t>($ million)</w:t>
      </w:r>
    </w:p>
    <w:tbl>
      <w:tblPr>
        <w:tblW w:w="7765" w:type="dxa"/>
        <w:tblInd w:w="45" w:type="dxa"/>
        <w:tblLayout w:type="fixed"/>
        <w:tblCellMar>
          <w:left w:w="45" w:type="dxa"/>
          <w:right w:w="45" w:type="dxa"/>
        </w:tblCellMar>
        <w:tblLook w:val="0000" w:firstRow="0" w:lastRow="0" w:firstColumn="0" w:lastColumn="0" w:noHBand="0" w:noVBand="0"/>
      </w:tblPr>
      <w:tblGrid>
        <w:gridCol w:w="4365"/>
        <w:gridCol w:w="850"/>
        <w:gridCol w:w="850"/>
        <w:gridCol w:w="850"/>
        <w:gridCol w:w="850"/>
      </w:tblGrid>
      <w:tr w:rsidR="007A09DB" w:rsidRPr="00264A7C" w:rsidTr="00264A7C">
        <w:trPr>
          <w:cantSplit/>
          <w:tblHeader/>
        </w:trPr>
        <w:tc>
          <w:tcPr>
            <w:tcW w:w="4365" w:type="dxa"/>
            <w:shd w:val="clear" w:color="000000" w:fill="000000"/>
            <w:vAlign w:val="bottom"/>
          </w:tcPr>
          <w:p w:rsidR="007A09DB" w:rsidRPr="00264A7C" w:rsidRDefault="007A09DB" w:rsidP="00EA3092">
            <w:pPr>
              <w:pStyle w:val="Tabletext"/>
              <w:rPr>
                <w:rFonts w:eastAsiaTheme="minorEastAsia"/>
                <w:color w:val="FFFFFF"/>
                <w:lang w:eastAsia="en-AU"/>
              </w:rPr>
            </w:pPr>
            <w:r w:rsidRPr="00264A7C">
              <w:rPr>
                <w:rFonts w:eastAsiaTheme="minorEastAsia"/>
                <w:color w:val="FFFFFF"/>
                <w:lang w:eastAsia="en-AU"/>
              </w:rPr>
              <w:t xml:space="preserve"> </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2006</w:t>
            </w:r>
            <w:r>
              <w:rPr>
                <w:rFonts w:eastAsiaTheme="minorEastAsia"/>
                <w:color w:val="FFFFFF"/>
                <w:sz w:val="19"/>
                <w:lang w:eastAsia="en-AU"/>
              </w:rPr>
              <w:noBreakHyphen/>
            </w:r>
            <w:r w:rsidRPr="00264A7C">
              <w:rPr>
                <w:rFonts w:eastAsiaTheme="minorEastAsia"/>
                <w:color w:val="FFFFFF"/>
                <w:sz w:val="19"/>
                <w:lang w:eastAsia="en-AU"/>
              </w:rPr>
              <w:t>07</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2006</w:t>
            </w:r>
            <w:r>
              <w:rPr>
                <w:rFonts w:eastAsiaTheme="minorEastAsia"/>
                <w:color w:val="FFFFFF"/>
                <w:sz w:val="19"/>
                <w:lang w:eastAsia="en-AU"/>
              </w:rPr>
              <w:noBreakHyphen/>
            </w:r>
            <w:r w:rsidRPr="00264A7C">
              <w:rPr>
                <w:rFonts w:eastAsiaTheme="minorEastAsia"/>
                <w:color w:val="FFFFFF"/>
                <w:sz w:val="19"/>
                <w:lang w:eastAsia="en-AU"/>
              </w:rPr>
              <w:t>07</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Forecast</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 xml:space="preserve">Forecast </w:t>
            </w:r>
          </w:p>
        </w:tc>
      </w:tr>
      <w:tr w:rsidR="007A09DB" w:rsidRPr="00264A7C" w:rsidTr="00264A7C">
        <w:trPr>
          <w:cantSplit/>
          <w:tblHeader/>
        </w:trPr>
        <w:tc>
          <w:tcPr>
            <w:tcW w:w="4365" w:type="dxa"/>
            <w:tcBorders>
              <w:top w:val="nil"/>
              <w:bottom w:val="single" w:sz="6" w:space="0" w:color="000000"/>
            </w:tcBorders>
            <w:shd w:val="clear" w:color="000000" w:fill="000000"/>
            <w:vAlign w:val="bottom"/>
          </w:tcPr>
          <w:p w:rsidR="007A09DB" w:rsidRPr="00264A7C" w:rsidRDefault="007A09DB" w:rsidP="00EA3092">
            <w:pPr>
              <w:pStyle w:val="Tabletext"/>
              <w:rPr>
                <w:rFonts w:eastAsiaTheme="minorEastAsia"/>
                <w:color w:val="FFFFFF"/>
                <w:lang w:eastAsia="en-AU"/>
              </w:rPr>
            </w:pP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budget</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actual</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error</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error (%)</w:t>
            </w:r>
          </w:p>
        </w:tc>
      </w:tr>
      <w:tr w:rsidR="007A09DB" w:rsidRPr="00264A7C" w:rsidTr="00264A7C">
        <w:trPr>
          <w:cantSplit/>
        </w:trPr>
        <w:tc>
          <w:tcPr>
            <w:tcW w:w="4365" w:type="dxa"/>
            <w:tcBorders>
              <w:top w:val="single" w:sz="6" w:space="0" w:color="000000"/>
              <w:left w:val="nil"/>
              <w:right w:val="nil"/>
            </w:tcBorders>
            <w:shd w:val="clear" w:color="auto" w:fill="FFFFFF"/>
          </w:tcPr>
          <w:p w:rsidR="007A09DB" w:rsidRPr="00264A7C" w:rsidRDefault="007A09DB" w:rsidP="00EA3092">
            <w:pPr>
              <w:pStyle w:val="Tabletext"/>
              <w:ind w:left="227" w:hanging="227"/>
              <w:rPr>
                <w:rFonts w:eastAsiaTheme="minorEastAsia"/>
                <w:color w:val="000000"/>
                <w:lang w:eastAsia="en-AU"/>
              </w:rPr>
            </w:pPr>
            <w:r w:rsidRPr="00264A7C">
              <w:rPr>
                <w:rFonts w:eastAsiaTheme="minorEastAsia"/>
                <w:color w:val="000000"/>
                <w:lang w:eastAsia="en-AU"/>
              </w:rPr>
              <w:t>Payroll taxes</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3 418</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3 479</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61</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2</w:t>
            </w:r>
          </w:p>
        </w:tc>
      </w:tr>
      <w:tr w:rsidR="007A09DB" w:rsidRPr="00264A7C" w:rsidTr="00264A7C">
        <w:trPr>
          <w:cantSplit/>
        </w:trPr>
        <w:tc>
          <w:tcPr>
            <w:tcW w:w="4365" w:type="dxa"/>
            <w:tcBorders>
              <w:top w:val="nil"/>
              <w:left w:val="nil"/>
              <w:right w:val="nil"/>
            </w:tcBorders>
            <w:shd w:val="clear" w:color="auto" w:fill="FFFFFF"/>
          </w:tcPr>
          <w:p w:rsidR="007A09DB" w:rsidRPr="00264A7C" w:rsidRDefault="007A09DB" w:rsidP="00EA3092">
            <w:pPr>
              <w:pStyle w:val="Tabletext"/>
              <w:ind w:left="227" w:hanging="227"/>
              <w:rPr>
                <w:rFonts w:eastAsiaTheme="minorEastAsia"/>
                <w:color w:val="000000"/>
                <w:lang w:eastAsia="en-AU"/>
              </w:rPr>
            </w:pPr>
            <w:r w:rsidRPr="00264A7C">
              <w:rPr>
                <w:rFonts w:eastAsiaTheme="minorEastAsia"/>
                <w:color w:val="000000"/>
                <w:lang w:eastAsia="en-AU"/>
              </w:rPr>
              <w:t>Land transfer duty</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2 424</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2 961</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537</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22</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EA3092">
            <w:pPr>
              <w:pStyle w:val="Tabletext"/>
              <w:ind w:left="227" w:hanging="227"/>
              <w:rPr>
                <w:rFonts w:eastAsiaTheme="minorEastAsia"/>
                <w:color w:val="000000"/>
                <w:lang w:eastAsia="en-AU"/>
              </w:rPr>
            </w:pPr>
            <w:r w:rsidRPr="00264A7C">
              <w:rPr>
                <w:rFonts w:eastAsiaTheme="minorEastAsia"/>
                <w:color w:val="000000"/>
                <w:lang w:eastAsia="en-AU"/>
              </w:rPr>
              <w:t>Other own</w:t>
            </w:r>
            <w:r>
              <w:rPr>
                <w:rFonts w:eastAsiaTheme="minorEastAsia"/>
                <w:color w:val="000000"/>
                <w:lang w:eastAsia="en-AU"/>
              </w:rPr>
              <w:noBreakHyphen/>
            </w:r>
            <w:r w:rsidRPr="00264A7C">
              <w:rPr>
                <w:rFonts w:eastAsiaTheme="minorEastAsia"/>
                <w:color w:val="000000"/>
                <w:lang w:eastAsia="en-AU"/>
              </w:rPr>
              <w:t>sourced revenue</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5 129</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5 262</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133</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3</w:t>
            </w:r>
          </w:p>
        </w:tc>
      </w:tr>
      <w:tr w:rsidR="007A09DB" w:rsidRPr="00264A7C" w:rsidTr="00264A7C">
        <w:trPr>
          <w:cantSplit/>
        </w:trPr>
        <w:tc>
          <w:tcPr>
            <w:tcW w:w="4365" w:type="dxa"/>
            <w:tcBorders>
              <w:top w:val="single" w:sz="6" w:space="0" w:color="auto"/>
              <w:left w:val="nil"/>
              <w:right w:val="nil"/>
            </w:tcBorders>
            <w:shd w:val="clear" w:color="auto" w:fill="FFFFFF"/>
          </w:tcPr>
          <w:p w:rsidR="007A09DB" w:rsidRPr="00264A7C" w:rsidRDefault="007A09DB" w:rsidP="00EA3092">
            <w:pPr>
              <w:pStyle w:val="Tabletext"/>
              <w:ind w:left="227" w:hanging="227"/>
              <w:rPr>
                <w:rFonts w:eastAsiaTheme="minorEastAsia"/>
                <w:b/>
                <w:bCs/>
                <w:color w:val="000000"/>
                <w:lang w:eastAsia="en-AU"/>
              </w:rPr>
            </w:pPr>
            <w:r w:rsidRPr="00264A7C">
              <w:rPr>
                <w:rFonts w:eastAsiaTheme="minorEastAsia"/>
                <w:b/>
                <w:bCs/>
                <w:color w:val="000000"/>
                <w:lang w:eastAsia="en-AU"/>
              </w:rPr>
              <w:t>Taxation revenue</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10 971</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11 702</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731</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color w:val="000000"/>
                <w:sz w:val="19"/>
                <w:lang w:eastAsia="en-AU"/>
              </w:rPr>
            </w:pPr>
            <w:r>
              <w:rPr>
                <w:rFonts w:eastAsiaTheme="minorEastAsia"/>
                <w:b/>
                <w:color w:val="000000"/>
                <w:sz w:val="19"/>
                <w:lang w:eastAsia="en-AU"/>
              </w:rPr>
              <w:t>7</w:t>
            </w:r>
          </w:p>
        </w:tc>
      </w:tr>
      <w:tr w:rsidR="007A09DB" w:rsidRPr="00264A7C" w:rsidTr="00264A7C">
        <w:trPr>
          <w:cantSplit/>
        </w:trPr>
        <w:tc>
          <w:tcPr>
            <w:tcW w:w="4365" w:type="dxa"/>
            <w:tcBorders>
              <w:top w:val="nil"/>
              <w:left w:val="nil"/>
              <w:right w:val="nil"/>
            </w:tcBorders>
            <w:shd w:val="clear" w:color="auto" w:fill="FFFFFF"/>
          </w:tcPr>
          <w:p w:rsidR="007A09DB" w:rsidRPr="00264A7C" w:rsidRDefault="007A09DB" w:rsidP="00EA3092">
            <w:pPr>
              <w:pStyle w:val="Tabletext"/>
              <w:ind w:left="227" w:hanging="227"/>
              <w:rPr>
                <w:rFonts w:eastAsiaTheme="minorEastAsia"/>
                <w:color w:val="000000"/>
                <w:lang w:eastAsia="en-AU"/>
              </w:rPr>
            </w:pPr>
            <w:r w:rsidRPr="00264A7C">
              <w:rPr>
                <w:rFonts w:eastAsiaTheme="minorEastAsia"/>
                <w:color w:val="000000"/>
                <w:lang w:eastAsia="en-AU"/>
              </w:rPr>
              <w:t>Other revenue</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13 002</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14 600</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1 598</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12</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EA3092">
            <w:pPr>
              <w:pStyle w:val="Tabletext"/>
              <w:ind w:left="227" w:hanging="227"/>
              <w:rPr>
                <w:rFonts w:eastAsiaTheme="minorEastAsia"/>
                <w:color w:val="000000"/>
                <w:lang w:eastAsia="en-AU"/>
              </w:rPr>
            </w:pPr>
            <w:r w:rsidRPr="00264A7C">
              <w:rPr>
                <w:rFonts w:eastAsiaTheme="minorEastAsia"/>
                <w:color w:val="000000"/>
                <w:lang w:eastAsia="en-AU"/>
              </w:rPr>
              <w:t>GST</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8 469</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8 584</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114</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w:t>
            </w:r>
          </w:p>
        </w:tc>
      </w:tr>
      <w:tr w:rsidR="007A09DB" w:rsidRPr="00264A7C" w:rsidTr="00264A7C">
        <w:trPr>
          <w:cantSplit/>
        </w:trPr>
        <w:tc>
          <w:tcPr>
            <w:tcW w:w="4365" w:type="dxa"/>
            <w:tcBorders>
              <w:top w:val="single" w:sz="6" w:space="0" w:color="auto"/>
              <w:left w:val="nil"/>
              <w:right w:val="nil"/>
            </w:tcBorders>
            <w:shd w:val="clear" w:color="auto" w:fill="FFFFFF"/>
          </w:tcPr>
          <w:p w:rsidR="007A09DB" w:rsidRPr="00264A7C" w:rsidRDefault="007A09DB" w:rsidP="00EA3092">
            <w:pPr>
              <w:pStyle w:val="Tabletext"/>
              <w:ind w:left="227" w:hanging="227"/>
              <w:rPr>
                <w:rFonts w:eastAsiaTheme="minorEastAsia"/>
                <w:b/>
                <w:bCs/>
                <w:color w:val="000000"/>
                <w:lang w:eastAsia="en-AU"/>
              </w:rPr>
            </w:pPr>
            <w:r w:rsidRPr="00264A7C">
              <w:rPr>
                <w:rFonts w:eastAsiaTheme="minorEastAsia"/>
                <w:b/>
                <w:bCs/>
                <w:color w:val="000000"/>
                <w:lang w:eastAsia="en-AU"/>
              </w:rPr>
              <w:t>Total revenue</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32 442</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34 886</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2 444</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8</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EA3092">
            <w:pPr>
              <w:pStyle w:val="Tabletext"/>
              <w:ind w:left="227" w:hanging="227"/>
              <w:rPr>
                <w:rFonts w:eastAsiaTheme="minorEastAsia"/>
                <w:b/>
                <w:bCs/>
                <w:color w:val="000000"/>
                <w:lang w:eastAsia="en-AU"/>
              </w:rPr>
            </w:pPr>
            <w:r w:rsidRPr="00264A7C">
              <w:rPr>
                <w:rFonts w:eastAsiaTheme="minorEastAsia"/>
                <w:b/>
                <w:bCs/>
                <w:color w:val="000000"/>
                <w:lang w:eastAsia="en-AU"/>
              </w:rPr>
              <w:t>Total expenses</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32 125</w:t>
            </w:r>
          </w:p>
        </w:tc>
        <w:tc>
          <w:tcPr>
            <w:tcW w:w="850" w:type="dxa"/>
            <w:tcBorders>
              <w:top w:val="nil"/>
              <w:left w:val="nil"/>
              <w:bottom w:val="single" w:sz="6" w:space="0" w:color="auto"/>
              <w:right w:val="nil"/>
            </w:tcBorders>
            <w:shd w:val="clear" w:color="auto" w:fill="FFFFFF"/>
          </w:tcPr>
          <w:p w:rsidR="007A09DB" w:rsidRPr="00264A7C" w:rsidRDefault="007A09DB" w:rsidP="00431FB5">
            <w:pPr>
              <w:pStyle w:val="TableofFigures"/>
              <w:keepNext/>
              <w:rPr>
                <w:rFonts w:eastAsiaTheme="minorEastAsia"/>
                <w:b/>
                <w:bCs/>
                <w:color w:val="000000"/>
                <w:sz w:val="19"/>
                <w:lang w:eastAsia="en-AU"/>
              </w:rPr>
            </w:pPr>
            <w:r w:rsidRPr="00264A7C">
              <w:rPr>
                <w:rFonts w:eastAsiaTheme="minorEastAsia"/>
                <w:b/>
                <w:bCs/>
                <w:color w:val="000000"/>
                <w:sz w:val="19"/>
                <w:lang w:eastAsia="en-AU"/>
              </w:rPr>
              <w:t>33 5</w:t>
            </w:r>
            <w:r>
              <w:rPr>
                <w:rFonts w:eastAsiaTheme="minorEastAsia"/>
                <w:b/>
                <w:bCs/>
                <w:color w:val="000000"/>
                <w:sz w:val="19"/>
                <w:lang w:eastAsia="en-AU"/>
              </w:rPr>
              <w:t>2</w:t>
            </w:r>
            <w:r w:rsidRPr="00264A7C">
              <w:rPr>
                <w:rFonts w:eastAsiaTheme="minorEastAsia"/>
                <w:b/>
                <w:bCs/>
                <w:color w:val="000000"/>
                <w:sz w:val="19"/>
                <w:lang w:eastAsia="en-AU"/>
              </w:rPr>
              <w:t>1</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1 426</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4</w:t>
            </w:r>
          </w:p>
        </w:tc>
      </w:tr>
      <w:tr w:rsidR="007A09DB" w:rsidRPr="00264A7C" w:rsidTr="00264A7C">
        <w:trPr>
          <w:cantSplit/>
        </w:trPr>
        <w:tc>
          <w:tcPr>
            <w:tcW w:w="4365" w:type="dxa"/>
            <w:tcBorders>
              <w:top w:val="single" w:sz="6" w:space="0" w:color="auto"/>
              <w:left w:val="nil"/>
              <w:bottom w:val="single" w:sz="12" w:space="0" w:color="auto"/>
              <w:right w:val="nil"/>
            </w:tcBorders>
            <w:shd w:val="clear" w:color="auto" w:fill="FFFFFF"/>
          </w:tcPr>
          <w:p w:rsidR="007A09DB" w:rsidRPr="00264A7C" w:rsidRDefault="007A09DB" w:rsidP="00EA3092">
            <w:pPr>
              <w:pStyle w:val="Tabletext"/>
              <w:ind w:left="227" w:hanging="227"/>
              <w:rPr>
                <w:rFonts w:eastAsiaTheme="minorEastAsia"/>
                <w:b/>
                <w:bCs/>
                <w:color w:val="000000"/>
                <w:lang w:eastAsia="en-AU"/>
              </w:rPr>
            </w:pPr>
            <w:r w:rsidRPr="00264A7C">
              <w:rPr>
                <w:rFonts w:eastAsiaTheme="minorEastAsia"/>
                <w:b/>
                <w:bCs/>
                <w:color w:val="000000"/>
                <w:lang w:eastAsia="en-AU"/>
              </w:rPr>
              <w:t>Net result from transactions</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317</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1 36</w:t>
            </w:r>
            <w:r w:rsidRPr="00264A7C">
              <w:rPr>
                <w:rFonts w:eastAsiaTheme="minorEastAsia"/>
                <w:b/>
                <w:bCs/>
                <w:color w:val="000000"/>
                <w:sz w:val="19"/>
                <w:lang w:eastAsia="en-AU"/>
              </w:rPr>
              <w:t>5</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1 018</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321</w:t>
            </w:r>
          </w:p>
        </w:tc>
      </w:tr>
    </w:tbl>
    <w:p w:rsidR="007A09DB" w:rsidRDefault="007A09DB" w:rsidP="000104BA">
      <w:pPr>
        <w:pStyle w:val="Source"/>
      </w:pPr>
      <w:r>
        <w:t>Source: Department of Treasury and Finance</w:t>
      </w:r>
      <w:r>
        <w:fldChar w:fldCharType="begin"/>
      </w:r>
      <w:r>
        <w:instrText xml:space="preserve"> XE "</w:instrText>
      </w:r>
      <w:r w:rsidRPr="00BE497B">
        <w:instrText>Economic growth</w:instrText>
      </w:r>
      <w:r>
        <w:instrText xml:space="preserve">" \r "BP2EcoG4" </w:instrText>
      </w:r>
      <w:r>
        <w:fldChar w:fldCharType="end"/>
      </w:r>
    </w:p>
    <w:bookmarkEnd w:id="106"/>
    <w:p w:rsidR="007A09DB" w:rsidRDefault="007A09DB" w:rsidP="000104BA">
      <w:pPr>
        <w:pStyle w:val="Heading2"/>
      </w:pPr>
      <w:r>
        <w:t>2008</w:t>
      </w:r>
      <w:r>
        <w:noBreakHyphen/>
        <w:t>09 – global financial crisis</w:t>
      </w:r>
    </w:p>
    <w:p w:rsidR="007A09DB" w:rsidRDefault="007A09DB" w:rsidP="000104BA">
      <w:r>
        <w:t>A situation where economic growth was overestimated is shown in Table A.4. The largest forecast errors occurred in real GSP and consumption. The impact of the GFC on employment was relatively small due to employers choosing to reduce hours and accept productivity</w:t>
      </w:r>
      <w:r>
        <w:fldChar w:fldCharType="begin"/>
      </w:r>
      <w:r>
        <w:instrText xml:space="preserve"> XE "</w:instrText>
      </w:r>
      <w:r w:rsidRPr="001E4096">
        <w:rPr>
          <w:rFonts w:eastAsiaTheme="minorHAnsi"/>
        </w:rPr>
        <w:instrText>Productivity</w:instrText>
      </w:r>
      <w:r>
        <w:instrText xml:space="preserve">" </w:instrText>
      </w:r>
      <w:r>
        <w:fldChar w:fldCharType="end"/>
      </w:r>
      <w:r>
        <w:t xml:space="preserve"> falls rather than lay off staff. As a result, the forecast error of employment was smaller. Consumer prices and wages were less affected by the global financial crisis and consequently the level of forecast error was much lower for these variables.</w:t>
      </w:r>
      <w:r w:rsidR="00D9023F">
        <w:fldChar w:fldCharType="begin"/>
      </w:r>
      <w:r w:rsidR="00D9023F">
        <w:instrText xml:space="preserve"> XE "</w:instrText>
      </w:r>
      <w:r w:rsidR="00D9023F" w:rsidRPr="00D25831">
        <w:instrText>Wages</w:instrText>
      </w:r>
      <w:r w:rsidR="00D9023F">
        <w:instrText xml:space="preserve">" \r "BP2Wages1" </w:instrText>
      </w:r>
      <w:r w:rsidR="00D9023F">
        <w:fldChar w:fldCharType="end"/>
      </w:r>
    </w:p>
    <w:bookmarkEnd w:id="107"/>
    <w:p w:rsidR="007A09DB" w:rsidRDefault="007A09DB" w:rsidP="000104BA">
      <w:pPr>
        <w:pStyle w:val="Tableheading"/>
      </w:pPr>
      <w:r>
        <w:t>Table A.4:</w:t>
      </w:r>
      <w:r>
        <w:tab/>
        <w:t xml:space="preserve">Actual deviations of growth rates of key economic variables from </w:t>
      </w:r>
      <w:r>
        <w:rPr>
          <w:i/>
        </w:rPr>
        <w:t>2008</w:t>
      </w:r>
      <w:r>
        <w:rPr>
          <w:i/>
        </w:rPr>
        <w:noBreakHyphen/>
        <w:t>09</w:t>
      </w:r>
      <w:r>
        <w:t xml:space="preserve"> </w:t>
      </w:r>
      <w:r>
        <w:rPr>
          <w:i/>
        </w:rPr>
        <w:t>Budget</w:t>
      </w:r>
      <w:r>
        <w:t xml:space="preserve"> forecasts</w:t>
      </w:r>
    </w:p>
    <w:p w:rsidR="007A09DB" w:rsidRPr="00BA4278" w:rsidRDefault="007A09DB" w:rsidP="00BA4278">
      <w:pPr>
        <w:pStyle w:val="million"/>
        <w:rPr>
          <w:rFonts w:ascii="Times New Roman" w:hAnsi="Times New Roman"/>
          <w:i w:val="0"/>
          <w:sz w:val="20"/>
          <w:szCs w:val="20"/>
          <w:lang w:eastAsia="en-AU"/>
        </w:rPr>
      </w:pPr>
      <w:r>
        <w:t>(per cent)</w:t>
      </w:r>
    </w:p>
    <w:tbl>
      <w:tblPr>
        <w:tblW w:w="7766" w:type="dxa"/>
        <w:tblInd w:w="45" w:type="dxa"/>
        <w:tblLayout w:type="fixed"/>
        <w:tblCellMar>
          <w:left w:w="45" w:type="dxa"/>
          <w:right w:w="45" w:type="dxa"/>
        </w:tblCellMar>
        <w:tblLook w:val="0000" w:firstRow="0" w:lastRow="0" w:firstColumn="0" w:lastColumn="0" w:noHBand="0" w:noVBand="0"/>
      </w:tblPr>
      <w:tblGrid>
        <w:gridCol w:w="5216"/>
        <w:gridCol w:w="850"/>
        <w:gridCol w:w="850"/>
        <w:gridCol w:w="850"/>
      </w:tblGrid>
      <w:tr w:rsidR="007A09DB" w:rsidRPr="00BA4278" w:rsidTr="00BA4278">
        <w:tc>
          <w:tcPr>
            <w:tcW w:w="5216" w:type="dxa"/>
            <w:tcBorders>
              <w:right w:val="nil"/>
            </w:tcBorders>
            <w:shd w:val="solid" w:color="000000" w:fill="000000"/>
          </w:tcPr>
          <w:p w:rsidR="007A09DB" w:rsidRPr="00BA4278" w:rsidRDefault="007A09DB" w:rsidP="00BA4278">
            <w:pPr>
              <w:autoSpaceDE w:val="0"/>
              <w:autoSpaceDN w:val="0"/>
              <w:adjustRightInd w:val="0"/>
              <w:spacing w:after="0"/>
              <w:rPr>
                <w:rFonts w:ascii="Calibri" w:eastAsiaTheme="minorEastAsia" w:hAnsi="Calibri" w:cs="Calibri"/>
                <w:i/>
                <w:iCs/>
                <w:color w:val="FFFFFF"/>
                <w:sz w:val="19"/>
                <w:lang w:eastAsia="en-AU"/>
              </w:rPr>
            </w:pPr>
            <w:r w:rsidRPr="00BA4278">
              <w:rPr>
                <w:rFonts w:ascii="Calibri" w:eastAsiaTheme="minorEastAsia" w:hAnsi="Calibri" w:cs="Calibri"/>
                <w:i/>
                <w:iCs/>
                <w:color w:val="FFFFFF"/>
                <w:sz w:val="19"/>
                <w:lang w:eastAsia="en-AU"/>
              </w:rPr>
              <w:t xml:space="preserve"> </w:t>
            </w:r>
          </w:p>
        </w:tc>
        <w:tc>
          <w:tcPr>
            <w:tcW w:w="850" w:type="dxa"/>
            <w:tcBorders>
              <w:left w:val="nil"/>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2008</w:t>
            </w:r>
            <w:r>
              <w:rPr>
                <w:rFonts w:eastAsiaTheme="minorEastAsia"/>
                <w:color w:val="FFFFFF"/>
                <w:sz w:val="19"/>
                <w:lang w:eastAsia="en-AU"/>
              </w:rPr>
              <w:noBreakHyphen/>
            </w:r>
            <w:r w:rsidRPr="00BA4278">
              <w:rPr>
                <w:rFonts w:eastAsiaTheme="minorEastAsia"/>
                <w:color w:val="FFFFFF"/>
                <w:sz w:val="19"/>
                <w:lang w:eastAsia="en-AU"/>
              </w:rPr>
              <w:t>09</w:t>
            </w:r>
          </w:p>
        </w:tc>
        <w:tc>
          <w:tcPr>
            <w:tcW w:w="850" w:type="dxa"/>
            <w:tcBorders>
              <w:left w:val="nil"/>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2008</w:t>
            </w:r>
            <w:r>
              <w:rPr>
                <w:rFonts w:eastAsiaTheme="minorEastAsia"/>
                <w:color w:val="FFFFFF"/>
                <w:sz w:val="19"/>
                <w:lang w:eastAsia="en-AU"/>
              </w:rPr>
              <w:noBreakHyphen/>
            </w:r>
            <w:r w:rsidRPr="00BA4278">
              <w:rPr>
                <w:rFonts w:eastAsiaTheme="minorEastAsia"/>
                <w:color w:val="FFFFFF"/>
                <w:sz w:val="19"/>
                <w:lang w:eastAsia="en-AU"/>
              </w:rPr>
              <w:t>09</w:t>
            </w:r>
          </w:p>
        </w:tc>
        <w:tc>
          <w:tcPr>
            <w:tcW w:w="850" w:type="dxa"/>
            <w:tcBorders>
              <w:left w:val="nil"/>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Forecast</w:t>
            </w:r>
          </w:p>
        </w:tc>
      </w:tr>
      <w:tr w:rsidR="007A09DB" w:rsidRPr="00BA4278" w:rsidTr="00BA4278">
        <w:tc>
          <w:tcPr>
            <w:tcW w:w="5216" w:type="dxa"/>
            <w:tcBorders>
              <w:bottom w:val="single" w:sz="6" w:space="0" w:color="auto"/>
              <w:right w:val="nil"/>
            </w:tcBorders>
            <w:shd w:val="solid" w:color="000000" w:fill="000000"/>
          </w:tcPr>
          <w:p w:rsidR="007A09DB" w:rsidRPr="00BA4278" w:rsidRDefault="007A09DB" w:rsidP="00BA4278">
            <w:pPr>
              <w:autoSpaceDE w:val="0"/>
              <w:autoSpaceDN w:val="0"/>
              <w:adjustRightInd w:val="0"/>
              <w:spacing w:after="0"/>
              <w:rPr>
                <w:rFonts w:ascii="Calibri" w:eastAsiaTheme="minorEastAsia" w:hAnsi="Calibri" w:cs="Calibri"/>
                <w:color w:val="FFFFFF"/>
                <w:sz w:val="19"/>
                <w:lang w:eastAsia="en-AU"/>
              </w:rPr>
            </w:pPr>
            <w:r w:rsidRPr="00BA4278">
              <w:rPr>
                <w:rFonts w:ascii="Calibri" w:eastAsiaTheme="minorEastAsia" w:hAnsi="Calibri" w:cs="Calibri"/>
                <w:color w:val="FFFFFF"/>
                <w:sz w:val="19"/>
                <w:lang w:eastAsia="en-AU"/>
              </w:rPr>
              <w:t xml:space="preserve"> </w:t>
            </w:r>
          </w:p>
        </w:tc>
        <w:tc>
          <w:tcPr>
            <w:tcW w:w="850" w:type="dxa"/>
            <w:tcBorders>
              <w:left w:val="nil"/>
              <w:bottom w:val="single" w:sz="6" w:space="0" w:color="auto"/>
              <w:right w:val="single" w:sz="6" w:space="0" w:color="auto"/>
            </w:tcBorders>
            <w:shd w:val="solid" w:color="000000" w:fill="000000"/>
          </w:tcPr>
          <w:p w:rsidR="007A09DB" w:rsidRPr="00BA4278" w:rsidRDefault="007A09DB" w:rsidP="00BA4278">
            <w:pPr>
              <w:pStyle w:val="Tabletextheading"/>
              <w:rPr>
                <w:rFonts w:eastAsiaTheme="minorEastAsia"/>
                <w:color w:val="FFFFFF"/>
                <w:sz w:val="19"/>
                <w:vertAlign w:val="superscript"/>
                <w:lang w:eastAsia="en-AU"/>
              </w:rPr>
            </w:pPr>
            <w:r w:rsidRPr="00BA4278">
              <w:rPr>
                <w:rFonts w:eastAsiaTheme="minorEastAsia"/>
                <w:color w:val="FFFFFF"/>
                <w:sz w:val="19"/>
                <w:lang w:eastAsia="en-AU"/>
              </w:rPr>
              <w:t xml:space="preserve">budget </w:t>
            </w:r>
            <w:r w:rsidRPr="00BA4278">
              <w:rPr>
                <w:rFonts w:eastAsiaTheme="minorEastAsia"/>
                <w:color w:val="FFFFFF"/>
                <w:sz w:val="19"/>
                <w:vertAlign w:val="superscript"/>
                <w:lang w:eastAsia="en-AU"/>
              </w:rPr>
              <w:t>(a)</w:t>
            </w:r>
          </w:p>
        </w:tc>
        <w:tc>
          <w:tcPr>
            <w:tcW w:w="850" w:type="dxa"/>
            <w:tcBorders>
              <w:left w:val="nil"/>
              <w:bottom w:val="single" w:sz="6" w:space="0" w:color="auto"/>
              <w:right w:val="single" w:sz="6" w:space="0" w:color="auto"/>
            </w:tcBorders>
            <w:shd w:val="solid" w:color="000000" w:fill="000000"/>
          </w:tcPr>
          <w:p w:rsidR="007A09DB" w:rsidRPr="00BA4278" w:rsidRDefault="007A09DB" w:rsidP="00BA4278">
            <w:pPr>
              <w:pStyle w:val="Tabletextheading"/>
              <w:rPr>
                <w:rFonts w:eastAsiaTheme="minorEastAsia"/>
                <w:color w:val="FFFFFF"/>
                <w:sz w:val="19"/>
                <w:lang w:eastAsia="en-AU"/>
              </w:rPr>
            </w:pPr>
            <w:r w:rsidRPr="00BA4278">
              <w:rPr>
                <w:rFonts w:eastAsiaTheme="minorEastAsia"/>
                <w:color w:val="FFFFFF"/>
                <w:sz w:val="19"/>
                <w:lang w:eastAsia="en-AU"/>
              </w:rPr>
              <w:t>actual</w:t>
            </w:r>
          </w:p>
        </w:tc>
        <w:tc>
          <w:tcPr>
            <w:tcW w:w="850" w:type="dxa"/>
            <w:tcBorders>
              <w:left w:val="nil"/>
              <w:bottom w:val="single" w:sz="6" w:space="0" w:color="auto"/>
            </w:tcBorders>
            <w:shd w:val="solid" w:color="000000" w:fill="000000"/>
          </w:tcPr>
          <w:p w:rsidR="007A09DB" w:rsidRPr="00BA4278" w:rsidRDefault="007A09DB" w:rsidP="00BA4278">
            <w:pPr>
              <w:pStyle w:val="Tabletextheading"/>
              <w:rPr>
                <w:rFonts w:eastAsiaTheme="minorEastAsia"/>
                <w:color w:val="FFFFFF"/>
                <w:sz w:val="19"/>
                <w:vertAlign w:val="superscript"/>
                <w:lang w:eastAsia="en-AU"/>
              </w:rPr>
            </w:pPr>
            <w:r w:rsidRPr="00BA4278">
              <w:rPr>
                <w:rFonts w:eastAsiaTheme="minorEastAsia"/>
                <w:color w:val="FFFFFF"/>
                <w:sz w:val="19"/>
                <w:lang w:eastAsia="en-AU"/>
              </w:rPr>
              <w:t xml:space="preserve">error </w:t>
            </w:r>
            <w:r w:rsidRPr="00BA4278">
              <w:rPr>
                <w:rFonts w:eastAsiaTheme="minorEastAsia"/>
                <w:color w:val="FFFFFF"/>
                <w:sz w:val="19"/>
                <w:vertAlign w:val="superscript"/>
                <w:lang w:eastAsia="en-AU"/>
              </w:rPr>
              <w:t>(b)</w:t>
            </w:r>
          </w:p>
        </w:tc>
      </w:tr>
      <w:tr w:rsidR="007A09DB" w:rsidRPr="00BA4278" w:rsidTr="00BA4278">
        <w:tc>
          <w:tcPr>
            <w:tcW w:w="5216" w:type="dxa"/>
            <w:tcBorders>
              <w:top w:val="single" w:sz="6" w:space="0" w:color="auto"/>
              <w:left w:val="nil"/>
              <w:right w:val="nil"/>
            </w:tcBorders>
            <w:shd w:val="clear" w:color="000000" w:fill="FFFFFF"/>
          </w:tcPr>
          <w:p w:rsidR="007A09DB" w:rsidRPr="00BA4278" w:rsidRDefault="007A09DB" w:rsidP="00BA4278">
            <w:pPr>
              <w:pStyle w:val="Tabletext"/>
              <w:ind w:left="227" w:hanging="227"/>
              <w:rPr>
                <w:rFonts w:eastAsiaTheme="minorEastAsia"/>
                <w:color w:val="000000"/>
                <w:szCs w:val="22"/>
                <w:vertAlign w:val="superscript"/>
                <w:lang w:eastAsia="en-AU"/>
              </w:rPr>
            </w:pPr>
            <w:r w:rsidRPr="00BA4278">
              <w:rPr>
                <w:rFonts w:eastAsiaTheme="minorEastAsia"/>
                <w:color w:val="000000"/>
                <w:lang w:eastAsia="en-AU"/>
              </w:rPr>
              <w:t>Real GSP</w:t>
            </w:r>
            <w:r w:rsidRPr="00BA4278">
              <w:rPr>
                <w:rFonts w:eastAsiaTheme="minorEastAsia"/>
                <w:color w:val="000000"/>
                <w:position w:val="6"/>
                <w:lang w:eastAsia="en-AU"/>
              </w:rPr>
              <w:t xml:space="preserve"> </w:t>
            </w:r>
            <w:r w:rsidRPr="00BA4278">
              <w:rPr>
                <w:rFonts w:eastAsiaTheme="minorEastAsia"/>
                <w:color w:val="000000"/>
                <w:position w:val="2"/>
                <w:szCs w:val="22"/>
                <w:vertAlign w:val="superscript"/>
                <w:lang w:eastAsia="en-AU"/>
              </w:rPr>
              <w:t>(c)</w:t>
            </w:r>
          </w:p>
        </w:tc>
        <w:tc>
          <w:tcPr>
            <w:tcW w:w="850" w:type="dxa"/>
            <w:tcBorders>
              <w:top w:val="single" w:sz="6" w:space="0" w:color="auto"/>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3.0</w:t>
            </w:r>
          </w:p>
        </w:tc>
        <w:tc>
          <w:tcPr>
            <w:tcW w:w="850" w:type="dxa"/>
            <w:tcBorders>
              <w:top w:val="single" w:sz="6" w:space="0" w:color="auto"/>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1.5</w:t>
            </w:r>
          </w:p>
        </w:tc>
        <w:tc>
          <w:tcPr>
            <w:tcW w:w="850" w:type="dxa"/>
            <w:tcBorders>
              <w:top w:val="single" w:sz="6" w:space="0" w:color="auto"/>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(1.5)</w:t>
            </w:r>
          </w:p>
        </w:tc>
      </w:tr>
      <w:tr w:rsidR="007A09DB" w:rsidRPr="00BA4278" w:rsidTr="00BA4278">
        <w:tc>
          <w:tcPr>
            <w:tcW w:w="5216" w:type="dxa"/>
            <w:tcBorders>
              <w:top w:val="nil"/>
              <w:left w:val="nil"/>
              <w:right w:val="nil"/>
            </w:tcBorders>
            <w:shd w:val="clear" w:color="000000" w:fill="FFFFFF"/>
          </w:tcPr>
          <w:p w:rsidR="007A09DB" w:rsidRPr="00BA4278" w:rsidRDefault="007A09DB" w:rsidP="00BA4278">
            <w:pPr>
              <w:pStyle w:val="Tabletext"/>
              <w:ind w:left="227" w:hanging="227"/>
              <w:rPr>
                <w:rFonts w:eastAsiaTheme="minorEastAsia"/>
                <w:color w:val="000000"/>
                <w:lang w:eastAsia="en-AU"/>
              </w:rPr>
            </w:pPr>
            <w:r w:rsidRPr="00BA4278">
              <w:rPr>
                <w:rFonts w:eastAsiaTheme="minorEastAsia"/>
                <w:color w:val="000000"/>
                <w:lang w:eastAsia="en-AU"/>
              </w:rPr>
              <w:t>Consumption (unpublished)</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2.8</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0.5</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(2.3)</w:t>
            </w:r>
          </w:p>
        </w:tc>
      </w:tr>
      <w:tr w:rsidR="007A09DB" w:rsidRPr="00BA4278" w:rsidTr="00BA4278">
        <w:tc>
          <w:tcPr>
            <w:tcW w:w="5216" w:type="dxa"/>
            <w:tcBorders>
              <w:top w:val="nil"/>
              <w:left w:val="nil"/>
              <w:right w:val="nil"/>
            </w:tcBorders>
            <w:shd w:val="clear" w:color="000000" w:fill="FFFFFF"/>
          </w:tcPr>
          <w:p w:rsidR="007A09DB" w:rsidRPr="00BA4278" w:rsidRDefault="007A09DB" w:rsidP="00BA4278">
            <w:pPr>
              <w:pStyle w:val="Tabletext"/>
              <w:ind w:left="227" w:hanging="227"/>
              <w:rPr>
                <w:rFonts w:eastAsiaTheme="minorEastAsia"/>
                <w:color w:val="000000"/>
                <w:lang w:eastAsia="en-AU"/>
              </w:rPr>
            </w:pPr>
            <w:r w:rsidRPr="00BA4278">
              <w:rPr>
                <w:rFonts w:eastAsiaTheme="minorEastAsia"/>
                <w:color w:val="000000"/>
                <w:lang w:eastAsia="en-AU"/>
              </w:rPr>
              <w:t>Employment</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1.5</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0.9</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(0.6)</w:t>
            </w:r>
          </w:p>
        </w:tc>
      </w:tr>
      <w:tr w:rsidR="007A09DB" w:rsidRPr="00BA4278" w:rsidTr="00BA4278">
        <w:tc>
          <w:tcPr>
            <w:tcW w:w="5216" w:type="dxa"/>
            <w:tcBorders>
              <w:top w:val="nil"/>
              <w:left w:val="nil"/>
              <w:right w:val="nil"/>
            </w:tcBorders>
            <w:shd w:val="clear" w:color="000000" w:fill="FFFFFF"/>
          </w:tcPr>
          <w:p w:rsidR="007A09DB" w:rsidRPr="00BA4278" w:rsidRDefault="007A09DB" w:rsidP="00BA4278">
            <w:pPr>
              <w:pStyle w:val="Tabletext"/>
              <w:ind w:left="227" w:hanging="227"/>
              <w:rPr>
                <w:rFonts w:eastAsiaTheme="minorEastAsia"/>
                <w:color w:val="000000"/>
                <w:lang w:eastAsia="en-AU"/>
              </w:rPr>
            </w:pPr>
            <w:r w:rsidRPr="00BA4278">
              <w:rPr>
                <w:rFonts w:eastAsiaTheme="minorEastAsia"/>
                <w:color w:val="000000"/>
                <w:lang w:eastAsia="en-AU"/>
              </w:rPr>
              <w:t>Consumer price index</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3.0</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2.8</w:t>
            </w:r>
          </w:p>
        </w:tc>
        <w:tc>
          <w:tcPr>
            <w:tcW w:w="850" w:type="dxa"/>
            <w:tcBorders>
              <w:top w:val="nil"/>
              <w:left w:val="nil"/>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(0.2)</w:t>
            </w:r>
          </w:p>
        </w:tc>
      </w:tr>
      <w:tr w:rsidR="007A09DB" w:rsidRPr="00BA4278" w:rsidTr="00BA4278">
        <w:tc>
          <w:tcPr>
            <w:tcW w:w="5216" w:type="dxa"/>
            <w:tcBorders>
              <w:top w:val="nil"/>
              <w:left w:val="nil"/>
              <w:bottom w:val="single" w:sz="12" w:space="0" w:color="auto"/>
              <w:right w:val="nil"/>
            </w:tcBorders>
            <w:shd w:val="clear" w:color="000000" w:fill="FFFFFF"/>
          </w:tcPr>
          <w:p w:rsidR="007A09DB" w:rsidRPr="00BA4278" w:rsidRDefault="007A09DB" w:rsidP="00BA4278">
            <w:pPr>
              <w:pStyle w:val="Tabletext"/>
              <w:ind w:left="227" w:hanging="227"/>
              <w:rPr>
                <w:rFonts w:eastAsiaTheme="minorEastAsia"/>
                <w:color w:val="000000"/>
                <w:vertAlign w:val="superscript"/>
                <w:lang w:eastAsia="en-AU"/>
              </w:rPr>
            </w:pPr>
            <w:r w:rsidRPr="00BA4278">
              <w:rPr>
                <w:rFonts w:eastAsiaTheme="minorEastAsia"/>
                <w:color w:val="000000"/>
                <w:lang w:eastAsia="en-AU"/>
              </w:rPr>
              <w:t xml:space="preserve">Wage price index </w:t>
            </w:r>
            <w:r w:rsidRPr="00BA4278">
              <w:rPr>
                <w:rFonts w:eastAsiaTheme="minorEastAsia"/>
                <w:color w:val="000000"/>
                <w:position w:val="2"/>
                <w:vertAlign w:val="superscript"/>
                <w:lang w:eastAsia="en-AU"/>
              </w:rPr>
              <w:t>(d)</w:t>
            </w:r>
          </w:p>
        </w:tc>
        <w:tc>
          <w:tcPr>
            <w:tcW w:w="850" w:type="dxa"/>
            <w:tcBorders>
              <w:top w:val="nil"/>
              <w:left w:val="nil"/>
              <w:bottom w:val="single" w:sz="12" w:space="0" w:color="auto"/>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3.8</w:t>
            </w:r>
          </w:p>
        </w:tc>
        <w:tc>
          <w:tcPr>
            <w:tcW w:w="850" w:type="dxa"/>
            <w:tcBorders>
              <w:top w:val="nil"/>
              <w:left w:val="nil"/>
              <w:bottom w:val="single" w:sz="12" w:space="0" w:color="auto"/>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4.0</w:t>
            </w:r>
          </w:p>
        </w:tc>
        <w:tc>
          <w:tcPr>
            <w:tcW w:w="850" w:type="dxa"/>
            <w:tcBorders>
              <w:top w:val="nil"/>
              <w:left w:val="nil"/>
              <w:bottom w:val="single" w:sz="12" w:space="0" w:color="auto"/>
              <w:right w:val="nil"/>
            </w:tcBorders>
            <w:shd w:val="clear" w:color="000000" w:fill="FFFFFF"/>
          </w:tcPr>
          <w:p w:rsidR="007A09DB" w:rsidRPr="00BA4278" w:rsidRDefault="007A09DB" w:rsidP="00BA4278">
            <w:pPr>
              <w:pStyle w:val="TableofFigures"/>
              <w:rPr>
                <w:rFonts w:eastAsiaTheme="minorEastAsia"/>
                <w:color w:val="000000"/>
                <w:sz w:val="19"/>
                <w:lang w:eastAsia="en-AU"/>
              </w:rPr>
            </w:pPr>
            <w:r w:rsidRPr="00BA4278">
              <w:rPr>
                <w:rFonts w:eastAsiaTheme="minorEastAsia"/>
                <w:color w:val="000000"/>
                <w:sz w:val="19"/>
                <w:lang w:eastAsia="en-AU"/>
              </w:rPr>
              <w:t>0.3</w:t>
            </w:r>
          </w:p>
        </w:tc>
      </w:tr>
    </w:tbl>
    <w:p w:rsidR="007A09DB" w:rsidRDefault="007A09DB" w:rsidP="00833438">
      <w:pPr>
        <w:pStyle w:val="Source"/>
      </w:pPr>
      <w:r>
        <w:t xml:space="preserve">Sources: </w:t>
      </w:r>
      <w:r w:rsidRPr="00833438">
        <w:t>Australian</w:t>
      </w:r>
      <w:r>
        <w:t xml:space="preserve"> Bureau of Statistics; Department of Treasury and Finance</w:t>
      </w:r>
    </w:p>
    <w:p w:rsidR="007A09DB" w:rsidRPr="00833438" w:rsidRDefault="007A09DB" w:rsidP="00833438">
      <w:pPr>
        <w:pStyle w:val="Notes"/>
      </w:pPr>
      <w:r>
        <w:t>Notes:</w:t>
      </w:r>
    </w:p>
    <w:p w:rsidR="007A09DB" w:rsidRDefault="007A09DB" w:rsidP="000104BA">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7A09DB" w:rsidRDefault="007A09DB" w:rsidP="000104BA">
      <w:pPr>
        <w:pStyle w:val="Notes"/>
      </w:pPr>
      <w:r>
        <w:t>(b)</w:t>
      </w:r>
      <w:r>
        <w:tab/>
        <w:t>Percentage point variation.</w:t>
      </w:r>
    </w:p>
    <w:p w:rsidR="007A09DB" w:rsidRDefault="007A09DB" w:rsidP="000104BA">
      <w:pPr>
        <w:pStyle w:val="Notes"/>
      </w:pPr>
      <w:r>
        <w:t>(c)</w:t>
      </w:r>
      <w:r>
        <w:tab/>
      </w:r>
      <w:r w:rsidRPr="000104BA">
        <w:t>Actual growth rates may differ from those in previous publications due to revisions in Australian Bureau of Statistics data</w:t>
      </w:r>
      <w:r>
        <w:t>.</w:t>
      </w:r>
    </w:p>
    <w:p w:rsidR="007A09DB" w:rsidRDefault="007A09DB" w:rsidP="000104BA">
      <w:pPr>
        <w:pStyle w:val="Notes"/>
      </w:pPr>
      <w:r>
        <w:t>(d)</w:t>
      </w:r>
      <w:r>
        <w:tab/>
        <w:t>Total hourly rate excluding bonuses.</w:t>
      </w:r>
    </w:p>
    <w:p w:rsidR="007A09DB" w:rsidRDefault="007A09DB" w:rsidP="000104BA">
      <w:r>
        <w:t xml:space="preserve">The impact of the global financial crisis on revenue is evident in Table A.5,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7A09DB" w:rsidRDefault="007A09DB" w:rsidP="000104BA">
      <w:r>
        <w:t xml:space="preserve">This increase in expenditure largely reflects the Commonwealth Government’s fiscal stimulus packages, such as </w:t>
      </w:r>
      <w:r w:rsidRPr="00833465">
        <w:rPr>
          <w:i/>
        </w:rPr>
        <w:t>Building the Education Revolution</w:t>
      </w:r>
      <w:r>
        <w:t>, which were mostly distributed by the states.</w:t>
      </w:r>
    </w:p>
    <w:p w:rsidR="007A09DB" w:rsidRDefault="007A09DB" w:rsidP="000104BA">
      <w:r>
        <w:t>Much of the overestimation of revenue can be attributed to the weak performance of the property market, with the land transfer duty</w:t>
      </w:r>
      <w:r>
        <w:fldChar w:fldCharType="begin"/>
      </w:r>
      <w:r>
        <w:instrText xml:space="preserve"> XE "</w:instrText>
      </w:r>
      <w:r w:rsidRPr="00495035">
        <w:rPr>
          <w:rFonts w:eastAsiaTheme="minorHAnsi"/>
        </w:rPr>
        <w:instrText>Land transfer duty</w:instrText>
      </w:r>
      <w:r>
        <w:instrText xml:space="preserve">" </w:instrText>
      </w:r>
      <w:r>
        <w:fldChar w:fldCharType="end"/>
      </w:r>
      <w:r>
        <w:rPr>
          <w:rFonts w:eastAsiaTheme="minorHAnsi"/>
        </w:rPr>
        <w:fldChar w:fldCharType="begin"/>
      </w:r>
      <w:r>
        <w:instrText xml:space="preserve"> XE "Taxation:</w:instrText>
      </w:r>
      <w:r w:rsidRPr="00495035">
        <w:rPr>
          <w:rFonts w:eastAsiaTheme="minorHAnsi"/>
        </w:rPr>
        <w:instrText>Land transfer duty</w:instrText>
      </w:r>
      <w:r>
        <w:instrText xml:space="preserve">" </w:instrText>
      </w:r>
      <w:r>
        <w:rPr>
          <w:rFonts w:eastAsiaTheme="minorHAnsi"/>
        </w:rPr>
        <w:fldChar w:fldCharType="end"/>
      </w:r>
      <w:r>
        <w:t xml:space="preserve"> forecast being over $900 million higher than the actual outcome. By contrast, the error in the forecast of payroll tax revenue was small and partly reflects the response of employers to hoard labour.</w:t>
      </w:r>
    </w:p>
    <w:p w:rsidR="007A09DB" w:rsidRDefault="007A09DB" w:rsidP="000104BA">
      <w:pPr>
        <w:ind w:right="-37"/>
      </w:pPr>
      <w:r>
        <w:t>The pervading weak consumer sentiment</w:t>
      </w:r>
      <w:r>
        <w:fldChar w:fldCharType="begin"/>
      </w:r>
      <w:r>
        <w:instrText xml:space="preserve"> XE "</w:instrText>
      </w:r>
      <w:r w:rsidRPr="00727263">
        <w:instrText>Consumer sentiment</w:instrText>
      </w:r>
      <w:r>
        <w:instrText xml:space="preserve">" </w:instrText>
      </w:r>
      <w:r>
        <w:fldChar w:fldCharType="end"/>
      </w:r>
      <w:r>
        <w:t xml:space="preserve"> during the global financial crisis led to much weaker consumption growth, and consequently to a sizeable forecast error for GST revenue</w:t>
      </w:r>
      <w:r>
        <w:fldChar w:fldCharType="begin"/>
      </w:r>
      <w:r>
        <w:instrText xml:space="preserve"> XE "</w:instrText>
      </w:r>
      <w:r w:rsidRPr="00715441">
        <w:rPr>
          <w:rFonts w:eastAsiaTheme="minorHAnsi"/>
        </w:rPr>
        <w:instrText>Goods and services tax:</w:instrText>
      </w:r>
      <w:r w:rsidRPr="00715441">
        <w:instrText>Revenue</w:instrText>
      </w:r>
      <w:r>
        <w:instrText xml:space="preserve">" </w:instrText>
      </w:r>
      <w:r>
        <w:fldChar w:fldCharType="end"/>
      </w:r>
      <w:r>
        <w:t>. The global financial crisis seems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7A09DB" w:rsidRPr="00B124B5" w:rsidRDefault="007A09DB" w:rsidP="000104BA">
      <w:r w:rsidRPr="00B124B5">
        <w:t>The overestimation of land transfer duty</w:t>
      </w:r>
      <w:r>
        <w:fldChar w:fldCharType="begin"/>
      </w:r>
      <w:r>
        <w:instrText xml:space="preserve"> XE "</w:instrText>
      </w:r>
      <w:r w:rsidRPr="00495035">
        <w:rPr>
          <w:rFonts w:eastAsiaTheme="minorHAnsi"/>
        </w:rPr>
        <w:instrText>Land transfer duty</w:instrText>
      </w:r>
      <w:r>
        <w:instrText xml:space="preserve">" </w:instrText>
      </w:r>
      <w:r>
        <w:fldChar w:fldCharType="end"/>
      </w:r>
      <w:r w:rsidRPr="00B124B5">
        <w:t xml:space="preserve"> and GST was dwarfed by the underestimation of other revenues. A large share of this was the increased Commonwealth Government disbursements to the states as part of the stimulus package. However, these revenues were partially offset by increased expenditure as the Commonwealth Government</w:t>
      </w:r>
      <w:r>
        <w:t>’</w:t>
      </w:r>
      <w:r w:rsidRPr="00B124B5">
        <w:t>s stimulus payments were spent. Of the $3.2</w:t>
      </w:r>
      <w:r>
        <w:t> billion</w:t>
      </w:r>
      <w:r w:rsidRPr="00B124B5">
        <w:t xml:space="preserve"> forecast error for other revenues, approximately $2.4</w:t>
      </w:r>
      <w:r>
        <w:t> billion</w:t>
      </w:r>
      <w:r w:rsidRPr="00B124B5">
        <w:t xml:space="preserve"> is attributable to grants revenue</w:t>
      </w:r>
      <w:r>
        <w:fldChar w:fldCharType="begin"/>
      </w:r>
      <w:r>
        <w:instrText xml:space="preserve"> XE "</w:instrText>
      </w:r>
      <w:r w:rsidRPr="00937A6A">
        <w:rPr>
          <w:rFonts w:eastAsiaTheme="minorHAnsi"/>
        </w:rPr>
        <w:instrText>Grants:</w:instrText>
      </w:r>
      <w:r w:rsidRPr="00937A6A">
        <w:instrText>Revenue</w:instrText>
      </w:r>
      <w:r>
        <w:instrText xml:space="preserve">" </w:instrText>
      </w:r>
      <w:r>
        <w:fldChar w:fldCharType="end"/>
      </w:r>
      <w:r w:rsidRPr="00B124B5">
        <w:t xml:space="preserve"> other than GST.</w:t>
      </w:r>
    </w:p>
    <w:p w:rsidR="007A09DB" w:rsidRDefault="007A09DB" w:rsidP="000104BA">
      <w:r w:rsidRPr="00B124B5">
        <w:t>This analysis reports the contemporaneous</w:t>
      </w:r>
      <w:r>
        <w:t xml:space="preserve"> effect of macroeconomic shocks, whereas in many situations there will be enduring influences. While the national GST pool recovered from the lows of 2009</w:t>
      </w:r>
      <w:r>
        <w:noBreakHyphen/>
        <w:t>10 following the global financial crisis, since then its growth has remained below trend. This is consistent with the changes in household consumption</w:t>
      </w:r>
      <w:r>
        <w:fldChar w:fldCharType="begin"/>
      </w:r>
      <w:r>
        <w:instrText xml:space="preserve"> XE "</w:instrText>
      </w:r>
      <w:r w:rsidRPr="00E67DB0">
        <w:rPr>
          <w:rFonts w:eastAsiaTheme="minorHAnsi"/>
        </w:rPr>
        <w:instrText>Household consumption</w:instrText>
      </w:r>
      <w:r>
        <w:instrText xml:space="preserve">" </w:instrText>
      </w:r>
      <w:r>
        <w:fldChar w:fldCharType="end"/>
      </w:r>
      <w:r>
        <w:t>. Similarly, following a temporary recovery in land transfer volumes in 2009</w:t>
      </w:r>
      <w:r>
        <w:noBreakHyphen/>
        <w:t>10, property market turnover was subdued in subsequent years as potential buyers were cautious about entering the market.</w:t>
      </w:r>
    </w:p>
    <w:p w:rsidR="007A09DB" w:rsidRDefault="007A09DB" w:rsidP="000104BA">
      <w:pPr>
        <w:pStyle w:val="Tableheading"/>
      </w:pPr>
      <w:r>
        <w:t>Table A.5:</w:t>
      </w:r>
      <w:r>
        <w:tab/>
        <w:t xml:space="preserve">Actual deviations of key revenue lines from </w:t>
      </w:r>
      <w:r>
        <w:rPr>
          <w:i/>
        </w:rPr>
        <w:t>2008</w:t>
      </w:r>
      <w:r>
        <w:rPr>
          <w:i/>
        </w:rPr>
        <w:noBreakHyphen/>
        <w:t>09</w:t>
      </w:r>
      <w:r>
        <w:t xml:space="preserve"> </w:t>
      </w:r>
      <w:r>
        <w:rPr>
          <w:i/>
        </w:rPr>
        <w:t>Budget</w:t>
      </w:r>
      <w:r>
        <w:t xml:space="preserve"> forecasts</w:t>
      </w:r>
    </w:p>
    <w:p w:rsidR="007A09DB" w:rsidRPr="00F01379" w:rsidRDefault="007A09DB" w:rsidP="00EA3092">
      <w:pPr>
        <w:pStyle w:val="million"/>
      </w:pPr>
      <w:r>
        <w:t>($ million)</w:t>
      </w:r>
    </w:p>
    <w:tbl>
      <w:tblPr>
        <w:tblW w:w="7765" w:type="dxa"/>
        <w:tblInd w:w="45" w:type="dxa"/>
        <w:tblLayout w:type="fixed"/>
        <w:tblCellMar>
          <w:left w:w="45" w:type="dxa"/>
          <w:right w:w="45" w:type="dxa"/>
        </w:tblCellMar>
        <w:tblLook w:val="0000" w:firstRow="0" w:lastRow="0" w:firstColumn="0" w:lastColumn="0" w:noHBand="0" w:noVBand="0"/>
      </w:tblPr>
      <w:tblGrid>
        <w:gridCol w:w="4365"/>
        <w:gridCol w:w="850"/>
        <w:gridCol w:w="850"/>
        <w:gridCol w:w="850"/>
        <w:gridCol w:w="850"/>
      </w:tblGrid>
      <w:tr w:rsidR="007A09DB" w:rsidRPr="00264A7C" w:rsidTr="00264A7C">
        <w:trPr>
          <w:cantSplit/>
          <w:tblHeader/>
        </w:trPr>
        <w:tc>
          <w:tcPr>
            <w:tcW w:w="4365" w:type="dxa"/>
            <w:shd w:val="clear" w:color="000000" w:fill="000000"/>
            <w:vAlign w:val="bottom"/>
          </w:tcPr>
          <w:p w:rsidR="007A09DB" w:rsidRPr="00264A7C" w:rsidRDefault="007A09DB" w:rsidP="00264A7C">
            <w:pPr>
              <w:pStyle w:val="Tabletext"/>
              <w:keepNext/>
              <w:rPr>
                <w:rFonts w:eastAsiaTheme="minorEastAsia"/>
                <w:color w:val="FFFFFF"/>
                <w:lang w:eastAsia="en-AU"/>
              </w:rPr>
            </w:pP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2008</w:t>
            </w:r>
            <w:r>
              <w:rPr>
                <w:rFonts w:eastAsiaTheme="minorEastAsia"/>
                <w:color w:val="FFFFFF"/>
                <w:sz w:val="19"/>
                <w:lang w:eastAsia="en-AU"/>
              </w:rPr>
              <w:noBreakHyphen/>
            </w:r>
            <w:r w:rsidRPr="00264A7C">
              <w:rPr>
                <w:rFonts w:eastAsiaTheme="minorEastAsia"/>
                <w:color w:val="FFFFFF"/>
                <w:sz w:val="19"/>
                <w:lang w:eastAsia="en-AU"/>
              </w:rPr>
              <w:t>09</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2008</w:t>
            </w:r>
            <w:r>
              <w:rPr>
                <w:rFonts w:eastAsiaTheme="minorEastAsia"/>
                <w:color w:val="FFFFFF"/>
                <w:sz w:val="19"/>
                <w:lang w:eastAsia="en-AU"/>
              </w:rPr>
              <w:noBreakHyphen/>
            </w:r>
            <w:r w:rsidRPr="00264A7C">
              <w:rPr>
                <w:rFonts w:eastAsiaTheme="minorEastAsia"/>
                <w:color w:val="FFFFFF"/>
                <w:sz w:val="19"/>
                <w:lang w:eastAsia="en-AU"/>
              </w:rPr>
              <w:t>09</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Forecast</w:t>
            </w:r>
          </w:p>
        </w:tc>
        <w:tc>
          <w:tcPr>
            <w:tcW w:w="850" w:type="dxa"/>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Forecast</w:t>
            </w:r>
          </w:p>
        </w:tc>
      </w:tr>
      <w:tr w:rsidR="007A09DB" w:rsidRPr="00264A7C" w:rsidTr="00264A7C">
        <w:trPr>
          <w:cantSplit/>
          <w:tblHeader/>
        </w:trPr>
        <w:tc>
          <w:tcPr>
            <w:tcW w:w="4365" w:type="dxa"/>
            <w:tcBorders>
              <w:top w:val="nil"/>
              <w:bottom w:val="single" w:sz="6" w:space="0" w:color="000000"/>
            </w:tcBorders>
            <w:shd w:val="clear" w:color="000000" w:fill="000000"/>
            <w:vAlign w:val="bottom"/>
          </w:tcPr>
          <w:p w:rsidR="007A09DB" w:rsidRPr="00264A7C" w:rsidRDefault="007A09DB" w:rsidP="00264A7C">
            <w:pPr>
              <w:pStyle w:val="Tabletext"/>
              <w:keepNext/>
              <w:rPr>
                <w:rFonts w:eastAsiaTheme="minorEastAsia"/>
                <w:color w:val="FFFFFF"/>
                <w:lang w:eastAsia="en-AU"/>
              </w:rPr>
            </w:pP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budget</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actual</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error</w:t>
            </w:r>
          </w:p>
        </w:tc>
        <w:tc>
          <w:tcPr>
            <w:tcW w:w="850" w:type="dxa"/>
            <w:tcBorders>
              <w:top w:val="nil"/>
              <w:bottom w:val="single" w:sz="6" w:space="0" w:color="000000"/>
            </w:tcBorders>
            <w:shd w:val="clear" w:color="000000" w:fill="000000"/>
            <w:vAlign w:val="bottom"/>
          </w:tcPr>
          <w:p w:rsidR="007A09DB" w:rsidRPr="00264A7C" w:rsidRDefault="007A09DB" w:rsidP="00264A7C">
            <w:pPr>
              <w:pStyle w:val="Tabletextheading"/>
              <w:keepNext/>
              <w:rPr>
                <w:rFonts w:eastAsiaTheme="minorEastAsia"/>
                <w:color w:val="FFFFFF"/>
                <w:sz w:val="19"/>
                <w:lang w:eastAsia="en-AU"/>
              </w:rPr>
            </w:pPr>
            <w:r w:rsidRPr="00264A7C">
              <w:rPr>
                <w:rFonts w:eastAsiaTheme="minorEastAsia"/>
                <w:color w:val="FFFFFF"/>
                <w:sz w:val="19"/>
                <w:lang w:eastAsia="en-AU"/>
              </w:rPr>
              <w:t>error (%)</w:t>
            </w:r>
          </w:p>
        </w:tc>
      </w:tr>
      <w:tr w:rsidR="007A09DB" w:rsidRPr="00264A7C" w:rsidTr="00264A7C">
        <w:trPr>
          <w:cantSplit/>
        </w:trPr>
        <w:tc>
          <w:tcPr>
            <w:tcW w:w="4365" w:type="dxa"/>
            <w:tcBorders>
              <w:top w:val="single" w:sz="6" w:space="0" w:color="000000"/>
              <w:left w:val="nil"/>
              <w:right w:val="nil"/>
            </w:tcBorders>
            <w:shd w:val="clear" w:color="auto" w:fill="FFFFFF"/>
          </w:tcPr>
          <w:p w:rsidR="007A09DB" w:rsidRPr="00264A7C" w:rsidRDefault="007A09DB" w:rsidP="00413594">
            <w:pPr>
              <w:pStyle w:val="Tabletext"/>
              <w:ind w:left="230" w:hanging="230"/>
              <w:rPr>
                <w:rFonts w:eastAsiaTheme="minorEastAsia"/>
                <w:color w:val="000000"/>
                <w:lang w:eastAsia="en-AU"/>
              </w:rPr>
            </w:pPr>
            <w:r w:rsidRPr="00264A7C">
              <w:rPr>
                <w:rFonts w:eastAsiaTheme="minorEastAsia"/>
                <w:color w:val="000000"/>
                <w:lang w:eastAsia="en-AU"/>
              </w:rPr>
              <w:t>Payroll taxes</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3 963</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3 980</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17</w:t>
            </w:r>
          </w:p>
        </w:tc>
        <w:tc>
          <w:tcPr>
            <w:tcW w:w="850" w:type="dxa"/>
            <w:tcBorders>
              <w:top w:val="single" w:sz="6" w:space="0" w:color="000000"/>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w:t>
            </w:r>
          </w:p>
        </w:tc>
      </w:tr>
      <w:tr w:rsidR="007A09DB" w:rsidRPr="00264A7C" w:rsidTr="00264A7C">
        <w:trPr>
          <w:cantSplit/>
        </w:trPr>
        <w:tc>
          <w:tcPr>
            <w:tcW w:w="4365" w:type="dxa"/>
            <w:tcBorders>
              <w:top w:val="nil"/>
              <w:left w:val="nil"/>
              <w:right w:val="nil"/>
            </w:tcBorders>
            <w:shd w:val="clear" w:color="auto" w:fill="FFFFFF"/>
          </w:tcPr>
          <w:p w:rsidR="007A09DB" w:rsidRPr="00264A7C" w:rsidRDefault="007A09DB" w:rsidP="00413594">
            <w:pPr>
              <w:pStyle w:val="Tabletext"/>
              <w:ind w:left="230" w:hanging="230"/>
              <w:rPr>
                <w:rFonts w:eastAsiaTheme="minorEastAsia"/>
                <w:color w:val="000000"/>
                <w:lang w:eastAsia="en-AU"/>
              </w:rPr>
            </w:pPr>
            <w:r w:rsidRPr="00264A7C">
              <w:rPr>
                <w:rFonts w:eastAsiaTheme="minorEastAsia"/>
                <w:color w:val="000000"/>
                <w:lang w:eastAsia="en-AU"/>
              </w:rPr>
              <w:t>Land transfer duty</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3 737</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2 801</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s="Calibri"/>
                <w:color w:val="000000"/>
                <w:sz w:val="19"/>
                <w:lang w:eastAsia="en-AU"/>
              </w:rPr>
            </w:pPr>
            <w:r w:rsidRPr="00264A7C">
              <w:rPr>
                <w:rFonts w:eastAsiaTheme="minorEastAsia"/>
                <w:color w:val="000000"/>
                <w:sz w:val="19"/>
                <w:lang w:eastAsia="en-AU"/>
              </w:rPr>
              <w:t>(936)</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s="Calibri"/>
                <w:color w:val="000000"/>
                <w:sz w:val="19"/>
                <w:lang w:eastAsia="en-AU"/>
              </w:rPr>
            </w:pPr>
            <w:r w:rsidRPr="00264A7C">
              <w:rPr>
                <w:rFonts w:eastAsiaTheme="minorEastAsia"/>
                <w:color w:val="000000"/>
                <w:sz w:val="19"/>
                <w:lang w:eastAsia="en-AU"/>
              </w:rPr>
              <w:t>(25)</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413594">
            <w:pPr>
              <w:pStyle w:val="Tabletext"/>
              <w:ind w:left="230" w:hanging="230"/>
              <w:rPr>
                <w:rFonts w:eastAsiaTheme="minorEastAsia"/>
                <w:color w:val="000000"/>
                <w:lang w:eastAsia="en-AU"/>
              </w:rPr>
            </w:pPr>
            <w:r w:rsidRPr="00264A7C">
              <w:rPr>
                <w:rFonts w:eastAsiaTheme="minorEastAsia"/>
                <w:color w:val="000000"/>
                <w:lang w:eastAsia="en-AU"/>
              </w:rPr>
              <w:t>Other own</w:t>
            </w:r>
            <w:r>
              <w:rPr>
                <w:rFonts w:eastAsiaTheme="minorEastAsia"/>
                <w:color w:val="000000"/>
                <w:lang w:eastAsia="en-AU"/>
              </w:rPr>
              <w:noBreakHyphen/>
            </w:r>
            <w:r w:rsidRPr="00264A7C">
              <w:rPr>
                <w:rFonts w:eastAsiaTheme="minorEastAsia"/>
                <w:color w:val="000000"/>
                <w:lang w:eastAsia="en-AU"/>
              </w:rPr>
              <w:t>sourced revenue</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5 683</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5 846</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163</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3</w:t>
            </w:r>
          </w:p>
        </w:tc>
      </w:tr>
      <w:tr w:rsidR="007A09DB" w:rsidRPr="00264A7C" w:rsidTr="00264A7C">
        <w:trPr>
          <w:cantSplit/>
        </w:trPr>
        <w:tc>
          <w:tcPr>
            <w:tcW w:w="4365" w:type="dxa"/>
            <w:tcBorders>
              <w:top w:val="single" w:sz="6" w:space="0" w:color="auto"/>
              <w:left w:val="nil"/>
              <w:right w:val="nil"/>
            </w:tcBorders>
            <w:shd w:val="clear" w:color="auto" w:fill="FFFFFF"/>
          </w:tcPr>
          <w:p w:rsidR="007A09DB" w:rsidRPr="00264A7C" w:rsidRDefault="007A09DB" w:rsidP="00413594">
            <w:pPr>
              <w:pStyle w:val="Tabletext"/>
              <w:ind w:left="230" w:hanging="230"/>
              <w:rPr>
                <w:rFonts w:eastAsiaTheme="minorEastAsia"/>
                <w:b/>
                <w:bCs/>
                <w:color w:val="000000"/>
                <w:lang w:eastAsia="en-AU"/>
              </w:rPr>
            </w:pPr>
            <w:r w:rsidRPr="00264A7C">
              <w:rPr>
                <w:rFonts w:eastAsiaTheme="minorEastAsia"/>
                <w:b/>
                <w:bCs/>
                <w:color w:val="000000"/>
                <w:lang w:eastAsia="en-AU"/>
              </w:rPr>
              <w:t>Taxation revenue</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13 383</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12 627</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cs="Calibri"/>
                <w:b/>
                <w:bCs/>
                <w:color w:val="000000"/>
                <w:sz w:val="19"/>
                <w:lang w:eastAsia="en-AU"/>
              </w:rPr>
            </w:pPr>
            <w:r w:rsidRPr="00264A7C">
              <w:rPr>
                <w:rFonts w:eastAsiaTheme="minorEastAsia"/>
                <w:b/>
                <w:bCs/>
                <w:color w:val="000000"/>
                <w:sz w:val="19"/>
                <w:lang w:eastAsia="en-AU"/>
              </w:rPr>
              <w:t>(756)</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cs="Calibri"/>
                <w:b/>
                <w:bCs/>
                <w:color w:val="000000"/>
                <w:sz w:val="19"/>
                <w:lang w:eastAsia="en-AU"/>
              </w:rPr>
            </w:pPr>
            <w:r w:rsidRPr="00264A7C">
              <w:rPr>
                <w:rFonts w:eastAsiaTheme="minorEastAsia"/>
                <w:b/>
                <w:bCs/>
                <w:color w:val="000000"/>
                <w:sz w:val="19"/>
                <w:lang w:eastAsia="en-AU"/>
              </w:rPr>
              <w:t>(6)</w:t>
            </w:r>
          </w:p>
        </w:tc>
      </w:tr>
      <w:tr w:rsidR="007A09DB" w:rsidRPr="00264A7C" w:rsidTr="00264A7C">
        <w:trPr>
          <w:cantSplit/>
        </w:trPr>
        <w:tc>
          <w:tcPr>
            <w:tcW w:w="4365" w:type="dxa"/>
            <w:tcBorders>
              <w:top w:val="nil"/>
              <w:left w:val="nil"/>
              <w:right w:val="nil"/>
            </w:tcBorders>
            <w:shd w:val="clear" w:color="auto" w:fill="FFFFFF"/>
          </w:tcPr>
          <w:p w:rsidR="007A09DB" w:rsidRPr="00264A7C" w:rsidRDefault="007A09DB" w:rsidP="00413594">
            <w:pPr>
              <w:pStyle w:val="Tabletext"/>
              <w:ind w:left="230" w:hanging="230"/>
              <w:rPr>
                <w:rFonts w:eastAsiaTheme="minorEastAsia"/>
                <w:color w:val="000000"/>
                <w:lang w:eastAsia="en-AU"/>
              </w:rPr>
            </w:pPr>
            <w:r w:rsidRPr="00264A7C">
              <w:rPr>
                <w:rFonts w:eastAsiaTheme="minorEastAsia"/>
                <w:color w:val="000000"/>
                <w:lang w:eastAsia="en-AU"/>
              </w:rPr>
              <w:t>Other revenue</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14 146</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17 339</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3 193</w:t>
            </w:r>
          </w:p>
        </w:tc>
        <w:tc>
          <w:tcPr>
            <w:tcW w:w="850" w:type="dxa"/>
            <w:tcBorders>
              <w:top w:val="nil"/>
              <w:left w:val="nil"/>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Pr>
                <w:rFonts w:eastAsiaTheme="minorEastAsia"/>
                <w:color w:val="000000"/>
                <w:sz w:val="19"/>
                <w:lang w:eastAsia="en-AU"/>
              </w:rPr>
              <w:t>23</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413594">
            <w:pPr>
              <w:pStyle w:val="Tabletext"/>
              <w:ind w:left="230" w:hanging="230"/>
              <w:rPr>
                <w:rFonts w:eastAsiaTheme="minorEastAsia"/>
                <w:color w:val="000000"/>
                <w:lang w:eastAsia="en-AU"/>
              </w:rPr>
            </w:pPr>
            <w:r w:rsidRPr="00264A7C">
              <w:rPr>
                <w:rFonts w:eastAsiaTheme="minorEastAsia"/>
                <w:color w:val="000000"/>
                <w:lang w:eastAsia="en-AU"/>
              </w:rPr>
              <w:t>GST</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10 281</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olor w:val="000000"/>
                <w:sz w:val="19"/>
                <w:lang w:eastAsia="en-AU"/>
              </w:rPr>
            </w:pPr>
            <w:r w:rsidRPr="00264A7C">
              <w:rPr>
                <w:rFonts w:eastAsiaTheme="minorEastAsia"/>
                <w:color w:val="000000"/>
                <w:sz w:val="19"/>
                <w:lang w:eastAsia="en-AU"/>
              </w:rPr>
              <w:t>9 319</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s="Calibri"/>
                <w:color w:val="000000"/>
                <w:sz w:val="19"/>
                <w:lang w:eastAsia="en-AU"/>
              </w:rPr>
            </w:pPr>
            <w:r w:rsidRPr="00264A7C">
              <w:rPr>
                <w:rFonts w:eastAsiaTheme="minorEastAsia"/>
                <w:color w:val="000000"/>
                <w:sz w:val="19"/>
                <w:lang w:eastAsia="en-AU"/>
              </w:rPr>
              <w:t>(962)</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cs="Calibri"/>
                <w:color w:val="000000"/>
                <w:sz w:val="19"/>
                <w:lang w:eastAsia="en-AU"/>
              </w:rPr>
            </w:pPr>
            <w:r w:rsidRPr="00264A7C">
              <w:rPr>
                <w:rFonts w:eastAsiaTheme="minorEastAsia"/>
                <w:color w:val="000000"/>
                <w:sz w:val="19"/>
                <w:lang w:eastAsia="en-AU"/>
              </w:rPr>
              <w:t>(9)</w:t>
            </w:r>
          </w:p>
        </w:tc>
      </w:tr>
      <w:tr w:rsidR="007A09DB" w:rsidRPr="00264A7C" w:rsidTr="00264A7C">
        <w:trPr>
          <w:cantSplit/>
        </w:trPr>
        <w:tc>
          <w:tcPr>
            <w:tcW w:w="4365" w:type="dxa"/>
            <w:tcBorders>
              <w:top w:val="single" w:sz="6" w:space="0" w:color="auto"/>
              <w:left w:val="nil"/>
              <w:right w:val="nil"/>
            </w:tcBorders>
            <w:shd w:val="clear" w:color="auto" w:fill="FFFFFF"/>
          </w:tcPr>
          <w:p w:rsidR="007A09DB" w:rsidRPr="00264A7C" w:rsidRDefault="007A09DB" w:rsidP="00413594">
            <w:pPr>
              <w:pStyle w:val="Tabletext"/>
              <w:ind w:left="230" w:hanging="230"/>
              <w:rPr>
                <w:rFonts w:eastAsiaTheme="minorEastAsia"/>
                <w:b/>
                <w:bCs/>
                <w:color w:val="000000"/>
                <w:lang w:eastAsia="en-AU"/>
              </w:rPr>
            </w:pPr>
            <w:r w:rsidRPr="00264A7C">
              <w:rPr>
                <w:rFonts w:eastAsiaTheme="minorEastAsia"/>
                <w:b/>
                <w:bCs/>
                <w:color w:val="000000"/>
                <w:lang w:eastAsia="en-AU"/>
              </w:rPr>
              <w:t>Total revenue</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37 810</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39 285</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1 475</w:t>
            </w:r>
          </w:p>
        </w:tc>
        <w:tc>
          <w:tcPr>
            <w:tcW w:w="850" w:type="dxa"/>
            <w:tcBorders>
              <w:top w:val="single" w:sz="6" w:space="0" w:color="auto"/>
              <w:left w:val="nil"/>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4</w:t>
            </w:r>
          </w:p>
        </w:tc>
      </w:tr>
      <w:tr w:rsidR="007A09DB" w:rsidRPr="00264A7C" w:rsidTr="00264A7C">
        <w:trPr>
          <w:cantSplit/>
        </w:trPr>
        <w:tc>
          <w:tcPr>
            <w:tcW w:w="4365" w:type="dxa"/>
            <w:tcBorders>
              <w:top w:val="nil"/>
              <w:left w:val="nil"/>
              <w:bottom w:val="single" w:sz="6" w:space="0" w:color="auto"/>
              <w:right w:val="nil"/>
            </w:tcBorders>
            <w:shd w:val="clear" w:color="auto" w:fill="FFFFFF"/>
          </w:tcPr>
          <w:p w:rsidR="007A09DB" w:rsidRPr="00264A7C" w:rsidRDefault="007A09DB" w:rsidP="00413594">
            <w:pPr>
              <w:pStyle w:val="Tabletext"/>
              <w:ind w:left="230" w:hanging="230"/>
              <w:rPr>
                <w:rFonts w:eastAsiaTheme="minorEastAsia"/>
                <w:b/>
                <w:bCs/>
                <w:color w:val="000000"/>
                <w:lang w:eastAsia="en-AU"/>
              </w:rPr>
            </w:pPr>
            <w:r w:rsidRPr="00264A7C">
              <w:rPr>
                <w:rFonts w:eastAsiaTheme="minorEastAsia"/>
                <w:b/>
                <w:bCs/>
                <w:color w:val="000000"/>
                <w:lang w:eastAsia="en-AU"/>
              </w:rPr>
              <w:t>Total expenses</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36 982</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39 034</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sidRPr="00264A7C">
              <w:rPr>
                <w:rFonts w:eastAsiaTheme="minorEastAsia"/>
                <w:b/>
                <w:bCs/>
                <w:color w:val="000000"/>
                <w:sz w:val="19"/>
                <w:lang w:eastAsia="en-AU"/>
              </w:rPr>
              <w:t>2 051</w:t>
            </w:r>
          </w:p>
        </w:tc>
        <w:tc>
          <w:tcPr>
            <w:tcW w:w="850" w:type="dxa"/>
            <w:tcBorders>
              <w:top w:val="nil"/>
              <w:left w:val="nil"/>
              <w:bottom w:val="single" w:sz="6"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6</w:t>
            </w:r>
          </w:p>
        </w:tc>
      </w:tr>
      <w:tr w:rsidR="007A09DB" w:rsidRPr="00264A7C" w:rsidTr="00264A7C">
        <w:trPr>
          <w:cantSplit/>
        </w:trPr>
        <w:tc>
          <w:tcPr>
            <w:tcW w:w="4365" w:type="dxa"/>
            <w:tcBorders>
              <w:top w:val="single" w:sz="6" w:space="0" w:color="auto"/>
              <w:left w:val="nil"/>
              <w:bottom w:val="single" w:sz="12" w:space="0" w:color="auto"/>
              <w:right w:val="nil"/>
            </w:tcBorders>
            <w:shd w:val="clear" w:color="auto" w:fill="FFFFFF"/>
          </w:tcPr>
          <w:p w:rsidR="007A09DB" w:rsidRPr="00264A7C" w:rsidRDefault="007A09DB" w:rsidP="00413594">
            <w:pPr>
              <w:pStyle w:val="Tabletext"/>
              <w:ind w:left="230" w:hanging="230"/>
              <w:rPr>
                <w:rFonts w:eastAsiaTheme="minorEastAsia"/>
                <w:b/>
                <w:bCs/>
                <w:color w:val="000000"/>
                <w:lang w:eastAsia="en-AU"/>
              </w:rPr>
            </w:pPr>
            <w:r w:rsidRPr="00264A7C">
              <w:rPr>
                <w:rFonts w:eastAsiaTheme="minorEastAsia"/>
                <w:b/>
                <w:bCs/>
                <w:color w:val="000000"/>
                <w:lang w:eastAsia="en-AU"/>
              </w:rPr>
              <w:t>Net result from transactions</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828</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b/>
                <w:bCs/>
                <w:color w:val="000000"/>
                <w:sz w:val="19"/>
                <w:lang w:eastAsia="en-AU"/>
              </w:rPr>
            </w:pPr>
            <w:r>
              <w:rPr>
                <w:rFonts w:eastAsiaTheme="minorEastAsia"/>
                <w:b/>
                <w:bCs/>
                <w:color w:val="000000"/>
                <w:sz w:val="19"/>
                <w:lang w:eastAsia="en-AU"/>
              </w:rPr>
              <w:t>251</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cs="Calibri"/>
                <w:b/>
                <w:bCs/>
                <w:color w:val="000000"/>
                <w:sz w:val="19"/>
                <w:lang w:eastAsia="en-AU"/>
              </w:rPr>
            </w:pPr>
            <w:r w:rsidRPr="00264A7C">
              <w:rPr>
                <w:rFonts w:eastAsiaTheme="minorEastAsia"/>
                <w:b/>
                <w:bCs/>
                <w:color w:val="000000"/>
                <w:sz w:val="19"/>
                <w:lang w:eastAsia="en-AU"/>
              </w:rPr>
              <w:t>(576)</w:t>
            </w:r>
          </w:p>
        </w:tc>
        <w:tc>
          <w:tcPr>
            <w:tcW w:w="850" w:type="dxa"/>
            <w:tcBorders>
              <w:top w:val="single" w:sz="6" w:space="0" w:color="auto"/>
              <w:left w:val="nil"/>
              <w:bottom w:val="single" w:sz="12" w:space="0" w:color="auto"/>
              <w:right w:val="nil"/>
            </w:tcBorders>
            <w:shd w:val="clear" w:color="auto" w:fill="FFFFFF"/>
          </w:tcPr>
          <w:p w:rsidR="007A09DB" w:rsidRPr="00264A7C" w:rsidRDefault="007A09DB" w:rsidP="00264A7C">
            <w:pPr>
              <w:pStyle w:val="TableofFigures"/>
              <w:keepNext/>
              <w:rPr>
                <w:rFonts w:eastAsiaTheme="minorEastAsia" w:cs="Calibri"/>
                <w:b/>
                <w:bCs/>
                <w:color w:val="000000"/>
                <w:sz w:val="19"/>
                <w:lang w:eastAsia="en-AU"/>
              </w:rPr>
            </w:pPr>
            <w:r w:rsidRPr="00264A7C">
              <w:rPr>
                <w:rFonts w:eastAsiaTheme="minorEastAsia"/>
                <w:b/>
                <w:bCs/>
                <w:color w:val="000000"/>
                <w:sz w:val="19"/>
                <w:lang w:eastAsia="en-AU"/>
              </w:rPr>
              <w:t>(70)</w:t>
            </w:r>
          </w:p>
        </w:tc>
      </w:tr>
    </w:tbl>
    <w:p w:rsidR="007A09DB" w:rsidRDefault="007A09DB" w:rsidP="000104BA">
      <w:pPr>
        <w:pStyle w:val="Source"/>
      </w:pPr>
      <w:r>
        <w:t>Source: Department of Treasury and Finance</w:t>
      </w:r>
    </w:p>
    <w:p w:rsidR="007A09DB" w:rsidRDefault="007A09DB" w:rsidP="00602376">
      <w:pPr>
        <w:rPr>
          <w:lang w:eastAsia="en-AU"/>
        </w:rPr>
      </w:pPr>
    </w:p>
    <w:p w:rsidR="007A09DB" w:rsidRDefault="007A09DB" w:rsidP="00614836">
      <w:pPr>
        <w:rPr>
          <w:rFonts w:eastAsiaTheme="minorHAnsi"/>
        </w:rPr>
        <w:sectPr w:rsidR="007A09DB" w:rsidSect="00614836">
          <w:footerReference w:type="even" r:id="rId52"/>
          <w:footerReference w:type="default" r:id="rId53"/>
          <w:type w:val="oddPage"/>
          <w:pgSz w:w="9979" w:h="14170" w:code="34"/>
          <w:pgMar w:top="1138" w:right="1138" w:bottom="1138" w:left="1138" w:header="720" w:footer="432" w:gutter="0"/>
          <w:cols w:space="708"/>
          <w:docGrid w:linePitch="360"/>
        </w:sectPr>
      </w:pPr>
    </w:p>
    <w:p w:rsidR="007A09DB" w:rsidRDefault="007A09DB" w:rsidP="00062624">
      <w:pPr>
        <w:pStyle w:val="ChapterHeading"/>
      </w:pPr>
      <w:bookmarkStart w:id="108" w:name="_Toc449123075"/>
      <w:r>
        <w:t>Style conventions</w:t>
      </w:r>
      <w:bookmarkEnd w:id="108"/>
    </w:p>
    <w:p w:rsidR="007A09DB" w:rsidRPr="007B2462" w:rsidRDefault="007A09DB" w:rsidP="00F63711">
      <w:r w:rsidRPr="007B2462">
        <w:t>Figures in the tables and in the text have been rounded. Discrepancies in tables between totals and sums of components reflect rounding. Percentage changes in all tables are based on the underlying unrounded amounts.</w:t>
      </w:r>
    </w:p>
    <w:p w:rsidR="007A09DB" w:rsidRPr="007B2462" w:rsidRDefault="007A09DB" w:rsidP="00F63711">
      <w:r w:rsidRPr="007B2462">
        <w:t>The notation used in the tables and charts is as follows:</w:t>
      </w:r>
    </w:p>
    <w:p w:rsidR="007A09DB" w:rsidRPr="007B2462" w:rsidRDefault="007A09DB" w:rsidP="00F63711">
      <w:pPr>
        <w:tabs>
          <w:tab w:val="left" w:pos="2520"/>
        </w:tabs>
        <w:ind w:left="720"/>
      </w:pPr>
      <w:r w:rsidRPr="007B2462">
        <w:t>..</w:t>
      </w:r>
      <w:r w:rsidRPr="007B2462">
        <w:tab/>
        <w:t>zero, or rounded to zero</w:t>
      </w:r>
    </w:p>
    <w:p w:rsidR="007A09DB" w:rsidRPr="007B2462" w:rsidRDefault="007A09DB" w:rsidP="00F63711">
      <w:pPr>
        <w:tabs>
          <w:tab w:val="left" w:pos="2520"/>
        </w:tabs>
        <w:ind w:left="720"/>
      </w:pPr>
      <w:r w:rsidRPr="007B2462">
        <w:t>(xxx.x)</w:t>
      </w:r>
      <w:r w:rsidRPr="007B2462">
        <w:tab/>
        <w:t>negative numbers</w:t>
      </w:r>
    </w:p>
    <w:p w:rsidR="007A09DB" w:rsidRPr="007B2462" w:rsidRDefault="007A09DB" w:rsidP="00F63711">
      <w:pPr>
        <w:tabs>
          <w:tab w:val="left" w:pos="2520"/>
        </w:tabs>
        <w:ind w:left="720"/>
      </w:pPr>
      <w:r w:rsidRPr="007B2462">
        <w:t>1 basis point</w:t>
      </w:r>
      <w:r w:rsidRPr="007B2462">
        <w:tab/>
        <w:t>0.01</w:t>
      </w:r>
      <w:r>
        <w:t> per cent</w:t>
      </w:r>
    </w:p>
    <w:p w:rsidR="007A09DB" w:rsidRPr="007B2462" w:rsidRDefault="007A09DB" w:rsidP="00F63711">
      <w:pPr>
        <w:tabs>
          <w:tab w:val="left" w:pos="2520"/>
        </w:tabs>
        <w:ind w:left="720"/>
      </w:pPr>
      <w:r w:rsidRPr="007B2462">
        <w:t>1</w:t>
      </w:r>
      <w:r>
        <w:t> billion</w:t>
      </w:r>
      <w:r w:rsidRPr="007B2462">
        <w:tab/>
        <w:t>1 000</w:t>
      </w:r>
      <w:r>
        <w:t> million</w:t>
      </w:r>
    </w:p>
    <w:p w:rsidR="007A09DB" w:rsidRPr="007B2462" w:rsidRDefault="007A09DB" w:rsidP="00F63711">
      <w:pPr>
        <w:tabs>
          <w:tab w:val="left" w:pos="2520"/>
        </w:tabs>
        <w:ind w:left="720"/>
      </w:pPr>
      <w:r w:rsidRPr="007B2462">
        <w:t>Cat. No.</w:t>
      </w:r>
      <w:r w:rsidRPr="007B2462">
        <w:tab/>
        <w:t>catalogue number</w:t>
      </w:r>
    </w:p>
    <w:p w:rsidR="007A09DB" w:rsidRPr="007B2462" w:rsidRDefault="007A09DB" w:rsidP="00F63711">
      <w:pPr>
        <w:tabs>
          <w:tab w:val="left" w:pos="2520"/>
        </w:tabs>
        <w:ind w:left="720"/>
      </w:pPr>
      <w:r w:rsidRPr="007B2462">
        <w:t>na</w:t>
      </w:r>
      <w:r w:rsidRPr="007B2462">
        <w:tab/>
        <w:t>not available or not applicable</w:t>
      </w:r>
    </w:p>
    <w:p w:rsidR="007A09DB" w:rsidRPr="007B2462" w:rsidRDefault="007A09DB" w:rsidP="00F63711">
      <w:pPr>
        <w:tabs>
          <w:tab w:val="left" w:pos="2520"/>
        </w:tabs>
        <w:ind w:left="720"/>
      </w:pPr>
      <w:r w:rsidRPr="007B2462">
        <w:t>nm</w:t>
      </w:r>
      <w:r w:rsidRPr="007B2462">
        <w:tab/>
        <w:t>new measure</w:t>
      </w:r>
    </w:p>
    <w:p w:rsidR="007A09DB" w:rsidRPr="007B2462" w:rsidRDefault="007A09DB" w:rsidP="00F63711">
      <w:pPr>
        <w:tabs>
          <w:tab w:val="left" w:pos="2520"/>
        </w:tabs>
        <w:ind w:left="720"/>
      </w:pPr>
      <w:r w:rsidRPr="007B2462">
        <w:t>ongoing</w:t>
      </w:r>
      <w:r w:rsidRPr="007B2462">
        <w:tab/>
        <w:t>continuing output, program, project etc.</w:t>
      </w:r>
    </w:p>
    <w:p w:rsidR="007A09DB" w:rsidRPr="007B2462" w:rsidRDefault="007A09DB" w:rsidP="00F63711">
      <w:pPr>
        <w:tabs>
          <w:tab w:val="left" w:pos="2520"/>
        </w:tabs>
        <w:ind w:left="720"/>
      </w:pPr>
      <w:r w:rsidRPr="007B2462">
        <w:t>tbd</w:t>
      </w:r>
      <w:r w:rsidRPr="007B2462">
        <w:tab/>
        <w:t>to be determined</w:t>
      </w:r>
    </w:p>
    <w:p w:rsidR="007A09DB" w:rsidRPr="007B2462" w:rsidRDefault="007A09DB" w:rsidP="00F63711">
      <w:pPr>
        <w:tabs>
          <w:tab w:val="left" w:pos="2520"/>
        </w:tabs>
        <w:ind w:left="720"/>
      </w:pPr>
      <w:r w:rsidRPr="007B2462">
        <w:t>LHS</w:t>
      </w:r>
      <w:r w:rsidRPr="007B2462">
        <w:tab/>
        <w:t>left</w:t>
      </w:r>
      <w:r>
        <w:noBreakHyphen/>
      </w:r>
      <w:r w:rsidRPr="007B2462">
        <w:t>hand</w:t>
      </w:r>
      <w:r>
        <w:noBreakHyphen/>
      </w:r>
      <w:r w:rsidRPr="007B2462">
        <w:t>side</w:t>
      </w:r>
    </w:p>
    <w:p w:rsidR="007A09DB" w:rsidRPr="007B2462" w:rsidRDefault="007A09DB" w:rsidP="00F63711">
      <w:pPr>
        <w:tabs>
          <w:tab w:val="left" w:pos="2520"/>
        </w:tabs>
        <w:ind w:left="720"/>
      </w:pPr>
      <w:r w:rsidRPr="007B2462">
        <w:t>RHS</w:t>
      </w:r>
      <w:r w:rsidRPr="007B2462">
        <w:tab/>
        <w:t>right</w:t>
      </w:r>
      <w:r>
        <w:noBreakHyphen/>
      </w:r>
      <w:r w:rsidRPr="007B2462">
        <w:t>hand</w:t>
      </w:r>
      <w:r>
        <w:noBreakHyphen/>
      </w:r>
      <w:r w:rsidRPr="007B2462">
        <w:t>side</w:t>
      </w:r>
    </w:p>
    <w:p w:rsidR="007A09DB" w:rsidRPr="004F2A52" w:rsidRDefault="007A09DB" w:rsidP="004F2A52">
      <w:pPr>
        <w:pStyle w:val="Chartpara"/>
        <w:spacing w:after="120"/>
        <w:rPr>
          <w:rFonts w:eastAsiaTheme="minorHAnsi"/>
        </w:rPr>
      </w:pPr>
    </w:p>
    <w:p w:rsidR="007A09DB" w:rsidRDefault="007A09DB" w:rsidP="00FE2D38">
      <w:pPr>
        <w:rPr>
          <w:rFonts w:eastAsiaTheme="minorHAnsi"/>
          <w:color w:val="000000" w:themeColor="text1"/>
        </w:rPr>
      </w:pPr>
      <w:r w:rsidRPr="00C47FE8">
        <w:rPr>
          <w:rFonts w:eastAsiaTheme="minorHAnsi"/>
          <w:color w:val="000000" w:themeColor="text1"/>
        </w:rPr>
        <w:t xml:space="preserve">Please refer to the </w:t>
      </w:r>
      <w:r w:rsidRPr="00C47FE8">
        <w:rPr>
          <w:rFonts w:eastAsiaTheme="minorHAnsi"/>
          <w:b/>
          <w:color w:val="000000" w:themeColor="text1"/>
        </w:rPr>
        <w:t xml:space="preserve">Treasury and Finance glossary for budget and financial reports </w:t>
      </w:r>
      <w:r w:rsidRPr="00C47FE8">
        <w:rPr>
          <w:rFonts w:eastAsiaTheme="minorHAnsi"/>
          <w:b/>
          <w:color w:val="000000" w:themeColor="text1"/>
        </w:rPr>
        <w:br/>
      </w:r>
      <w:r w:rsidRPr="00C47FE8">
        <w:rPr>
          <w:rFonts w:eastAsiaTheme="minorHAnsi"/>
          <w:color w:val="000000" w:themeColor="text1"/>
        </w:rPr>
        <w:t xml:space="preserve">at </w:t>
      </w:r>
      <w:hyperlink r:id="rId54" w:history="1">
        <w:r w:rsidRPr="004F2A52">
          <w:rPr>
            <w:rStyle w:val="Hyperlink"/>
            <w:rFonts w:eastAsiaTheme="minorHAnsi"/>
            <w:color w:val="000000" w:themeColor="text1"/>
          </w:rPr>
          <w:t>dtf.vic.gov.au</w:t>
        </w:r>
      </w:hyperlink>
      <w:r w:rsidRPr="00C47FE8">
        <w:rPr>
          <w:rFonts w:eastAsiaTheme="minorHAnsi"/>
          <w:color w:val="000000" w:themeColor="text1"/>
        </w:rPr>
        <w:t xml:space="preserve"> for additional terms and references.</w:t>
      </w:r>
    </w:p>
    <w:p w:rsidR="007A09DB" w:rsidRDefault="007A09DB">
      <w:pPr>
        <w:spacing w:after="0"/>
        <w:rPr>
          <w:rFonts w:eastAsiaTheme="minorHAnsi"/>
          <w:color w:val="000000" w:themeColor="text1"/>
        </w:rPr>
      </w:pPr>
      <w:r>
        <w:rPr>
          <w:rFonts w:eastAsiaTheme="minorHAnsi"/>
          <w:color w:val="000000" w:themeColor="text1"/>
        </w:rPr>
        <w:br w:type="page"/>
      </w:r>
    </w:p>
    <w:p w:rsidR="007A09DB" w:rsidRPr="00C47FE8" w:rsidRDefault="007A09DB" w:rsidP="00FE2D38">
      <w:pPr>
        <w:rPr>
          <w:rFonts w:eastAsiaTheme="minorHAnsi"/>
          <w:color w:val="000000" w:themeColor="text1"/>
        </w:rPr>
      </w:pPr>
    </w:p>
    <w:p w:rsidR="007A09DB" w:rsidRDefault="007A09DB" w:rsidP="00A77095">
      <w:pPr>
        <w:spacing w:after="0"/>
        <w:rPr>
          <w:rFonts w:eastAsiaTheme="minorHAnsi"/>
        </w:rPr>
      </w:pPr>
    </w:p>
    <w:p w:rsidR="007A09DB" w:rsidRDefault="007A09DB" w:rsidP="00614836">
      <w:pPr>
        <w:rPr>
          <w:rFonts w:eastAsiaTheme="minorHAnsi"/>
        </w:rPr>
        <w:sectPr w:rsidR="007A09DB" w:rsidSect="00F302FC">
          <w:footerReference w:type="even" r:id="rId55"/>
          <w:footerReference w:type="default" r:id="rId56"/>
          <w:type w:val="oddPage"/>
          <w:pgSz w:w="9979" w:h="14181" w:code="138"/>
          <w:pgMar w:top="1138" w:right="1138" w:bottom="1138" w:left="1138" w:header="720" w:footer="432" w:gutter="0"/>
          <w:cols w:space="708"/>
          <w:docGrid w:linePitch="360"/>
        </w:sectPr>
      </w:pPr>
    </w:p>
    <w:p w:rsidR="007A09DB" w:rsidRDefault="007A09DB" w:rsidP="00062624">
      <w:pPr>
        <w:pStyle w:val="ChapterHeading"/>
      </w:pPr>
      <w:bookmarkStart w:id="109" w:name="_Toc449123076"/>
      <w:r>
        <w:t>Index</w:t>
      </w:r>
      <w:bookmarkEnd w:id="109"/>
    </w:p>
    <w:p w:rsidR="00AE778A" w:rsidRDefault="007A09DB" w:rsidP="00B37EF1">
      <w:pPr>
        <w:rPr>
          <w:rFonts w:eastAsiaTheme="minorHAnsi"/>
          <w:noProof/>
        </w:rPr>
        <w:sectPr w:rsidR="00AE778A" w:rsidSect="00AE778A">
          <w:footerReference w:type="even" r:id="rId57"/>
          <w:footerReference w:type="default" r:id="rId58"/>
          <w:type w:val="oddPage"/>
          <w:pgSz w:w="9979" w:h="14181" w:code="138"/>
          <w:pgMar w:top="1138" w:right="1138" w:bottom="1138" w:left="1138" w:header="720" w:footer="432" w:gutter="0"/>
          <w:cols w:space="708"/>
          <w:docGrid w:linePitch="360"/>
        </w:sectPr>
      </w:pPr>
      <w:r>
        <w:rPr>
          <w:rFonts w:eastAsiaTheme="minorHAnsi"/>
        </w:rPr>
        <w:fldChar w:fldCharType="begin"/>
      </w:r>
      <w:r>
        <w:rPr>
          <w:rFonts w:eastAsiaTheme="minorHAnsi"/>
        </w:rPr>
        <w:instrText xml:space="preserve"> INDEX \h "A" \c "2" \z "3081" </w:instrText>
      </w:r>
      <w:r>
        <w:rPr>
          <w:rFonts w:eastAsiaTheme="minorHAnsi"/>
        </w:rPr>
        <w:fldChar w:fldCharType="separate"/>
      </w:r>
    </w:p>
    <w:p w:rsidR="00AE778A" w:rsidRDefault="00AE778A">
      <w:pPr>
        <w:pStyle w:val="IndexHeading"/>
        <w:keepNext/>
        <w:tabs>
          <w:tab w:val="right" w:leader="dot" w:pos="3481"/>
        </w:tabs>
        <w:rPr>
          <w:rFonts w:eastAsiaTheme="minorEastAsia" w:cstheme="minorBidi"/>
          <w:b w:val="0"/>
          <w:bCs w:val="0"/>
          <w:noProof/>
        </w:rPr>
      </w:pPr>
      <w:r>
        <w:rPr>
          <w:noProof/>
        </w:rPr>
        <w:t>A</w:t>
      </w:r>
    </w:p>
    <w:p w:rsidR="00AE778A" w:rsidRDefault="00AE778A">
      <w:pPr>
        <w:pStyle w:val="Index1"/>
        <w:tabs>
          <w:tab w:val="right" w:leader="dot" w:pos="3481"/>
        </w:tabs>
        <w:rPr>
          <w:noProof/>
        </w:rPr>
      </w:pPr>
      <w:r>
        <w:rPr>
          <w:noProof/>
        </w:rPr>
        <w:t xml:space="preserve">AAA credit rating. </w:t>
      </w:r>
      <w:r w:rsidRPr="006475A2">
        <w:rPr>
          <w:i/>
          <w:noProof/>
        </w:rPr>
        <w:t xml:space="preserve">See </w:t>
      </w:r>
      <w:r>
        <w:rPr>
          <w:noProof/>
        </w:rPr>
        <w:t>Triple</w:t>
      </w:r>
      <w:r>
        <w:rPr>
          <w:noProof/>
        </w:rPr>
        <w:noBreakHyphen/>
        <w:t>A credit rating</w:t>
      </w:r>
    </w:p>
    <w:p w:rsidR="00AE778A" w:rsidRDefault="00AE778A">
      <w:pPr>
        <w:pStyle w:val="Index1"/>
        <w:tabs>
          <w:tab w:val="right" w:leader="dot" w:pos="3481"/>
        </w:tabs>
        <w:rPr>
          <w:noProof/>
        </w:rPr>
      </w:pPr>
      <w:r>
        <w:rPr>
          <w:noProof/>
        </w:rPr>
        <w:t>Asset recycling, 27, 38, 40, 53</w:t>
      </w:r>
    </w:p>
    <w:p w:rsidR="00AE778A" w:rsidRDefault="00AE778A">
      <w:pPr>
        <w:pStyle w:val="IndexHeading"/>
        <w:keepNext/>
        <w:tabs>
          <w:tab w:val="right" w:leader="dot" w:pos="3481"/>
        </w:tabs>
        <w:rPr>
          <w:rFonts w:eastAsiaTheme="minorEastAsia" w:cstheme="minorBidi"/>
          <w:b w:val="0"/>
          <w:bCs w:val="0"/>
          <w:noProof/>
        </w:rPr>
      </w:pPr>
      <w:r>
        <w:rPr>
          <w:noProof/>
        </w:rPr>
        <w:t>B</w:t>
      </w:r>
    </w:p>
    <w:p w:rsidR="00AE778A" w:rsidRDefault="00AE778A">
      <w:pPr>
        <w:pStyle w:val="Index1"/>
        <w:tabs>
          <w:tab w:val="right" w:leader="dot" w:pos="3481"/>
        </w:tabs>
        <w:rPr>
          <w:noProof/>
        </w:rPr>
      </w:pPr>
      <w:r w:rsidRPr="006475A2">
        <w:rPr>
          <w:rFonts w:eastAsiaTheme="minorHAnsi"/>
          <w:noProof/>
        </w:rPr>
        <w:t xml:space="preserve">Back to Work </w:t>
      </w:r>
      <w:r>
        <w:rPr>
          <w:noProof/>
        </w:rPr>
        <w:t>Scheme, 20</w:t>
      </w:r>
    </w:p>
    <w:p w:rsidR="00AE778A" w:rsidRDefault="00AE778A">
      <w:pPr>
        <w:pStyle w:val="Index1"/>
        <w:tabs>
          <w:tab w:val="right" w:leader="dot" w:pos="3481"/>
        </w:tabs>
        <w:rPr>
          <w:noProof/>
        </w:rPr>
      </w:pPr>
      <w:r w:rsidRPr="006475A2">
        <w:rPr>
          <w:rFonts w:eastAsiaTheme="minorHAnsi"/>
          <w:noProof/>
        </w:rPr>
        <w:t>Ballarat rail corridor</w:t>
      </w:r>
      <w:r>
        <w:rPr>
          <w:noProof/>
        </w:rPr>
        <w:t>, 31, 65</w:t>
      </w:r>
    </w:p>
    <w:p w:rsidR="00AE778A" w:rsidRDefault="00AE778A">
      <w:pPr>
        <w:pStyle w:val="Index1"/>
        <w:tabs>
          <w:tab w:val="right" w:leader="dot" w:pos="3481"/>
        </w:tabs>
        <w:rPr>
          <w:noProof/>
        </w:rPr>
      </w:pPr>
      <w:r w:rsidRPr="006475A2">
        <w:rPr>
          <w:rFonts w:eastAsiaTheme="minorHAnsi"/>
          <w:noProof/>
        </w:rPr>
        <w:t>Business confidence</w:t>
      </w:r>
      <w:r>
        <w:rPr>
          <w:noProof/>
        </w:rPr>
        <w:t>, 2</w:t>
      </w:r>
    </w:p>
    <w:p w:rsidR="00AE778A" w:rsidRDefault="00AE778A">
      <w:pPr>
        <w:pStyle w:val="Index1"/>
        <w:tabs>
          <w:tab w:val="right" w:leader="dot" w:pos="3481"/>
        </w:tabs>
        <w:rPr>
          <w:noProof/>
        </w:rPr>
      </w:pPr>
      <w:r w:rsidRPr="006475A2">
        <w:rPr>
          <w:rFonts w:eastAsiaTheme="minorHAnsi"/>
          <w:noProof/>
        </w:rPr>
        <w:t>Business investment</w:t>
      </w:r>
      <w:r>
        <w:rPr>
          <w:noProof/>
        </w:rPr>
        <w:t>, 1, 15, 23</w:t>
      </w:r>
    </w:p>
    <w:p w:rsidR="00AE778A" w:rsidRDefault="00AE778A">
      <w:pPr>
        <w:pStyle w:val="IndexHeading"/>
        <w:keepNext/>
        <w:tabs>
          <w:tab w:val="right" w:leader="dot" w:pos="3481"/>
        </w:tabs>
        <w:rPr>
          <w:rFonts w:eastAsiaTheme="minorEastAsia" w:cstheme="minorBidi"/>
          <w:b w:val="0"/>
          <w:bCs w:val="0"/>
          <w:noProof/>
        </w:rPr>
      </w:pPr>
      <w:r>
        <w:rPr>
          <w:noProof/>
        </w:rPr>
        <w:t>C</w:t>
      </w:r>
    </w:p>
    <w:p w:rsidR="00AE778A" w:rsidRDefault="00AE778A">
      <w:pPr>
        <w:pStyle w:val="Index1"/>
        <w:tabs>
          <w:tab w:val="right" w:leader="dot" w:pos="3481"/>
        </w:tabs>
        <w:rPr>
          <w:noProof/>
        </w:rPr>
      </w:pPr>
      <w:r w:rsidRPr="006475A2">
        <w:rPr>
          <w:rFonts w:eastAsiaTheme="minorHAnsi"/>
          <w:noProof/>
        </w:rPr>
        <w:t>Capital planning horizon</w:t>
      </w:r>
      <w:r>
        <w:rPr>
          <w:noProof/>
        </w:rPr>
        <w:t>, 2, 35</w:t>
      </w:r>
    </w:p>
    <w:p w:rsidR="00AE778A" w:rsidRDefault="00AE778A">
      <w:pPr>
        <w:pStyle w:val="Index1"/>
        <w:tabs>
          <w:tab w:val="right" w:leader="dot" w:pos="3481"/>
        </w:tabs>
        <w:rPr>
          <w:noProof/>
        </w:rPr>
      </w:pPr>
      <w:r w:rsidRPr="006475A2">
        <w:rPr>
          <w:rFonts w:eastAsiaTheme="minorHAnsi"/>
          <w:noProof/>
        </w:rPr>
        <w:t>City Loop</w:t>
      </w:r>
      <w:r>
        <w:rPr>
          <w:noProof/>
        </w:rPr>
        <w:t>, 6–7, 30, 31</w:t>
      </w:r>
    </w:p>
    <w:p w:rsidR="00AE778A" w:rsidRDefault="00AE778A">
      <w:pPr>
        <w:pStyle w:val="Index1"/>
        <w:tabs>
          <w:tab w:val="right" w:leader="dot" w:pos="3481"/>
        </w:tabs>
        <w:rPr>
          <w:noProof/>
        </w:rPr>
      </w:pPr>
      <w:r w:rsidRPr="006475A2">
        <w:rPr>
          <w:rFonts w:eastAsiaTheme="minorHAnsi"/>
          <w:noProof/>
        </w:rPr>
        <w:t>Commonwealth infrastructure grants</w:t>
      </w:r>
      <w:r>
        <w:rPr>
          <w:noProof/>
        </w:rPr>
        <w:t>, 39, 40</w:t>
      </w:r>
    </w:p>
    <w:p w:rsidR="00AE778A" w:rsidRDefault="00AE778A">
      <w:pPr>
        <w:pStyle w:val="Index1"/>
        <w:tabs>
          <w:tab w:val="right" w:leader="dot" w:pos="3481"/>
        </w:tabs>
        <w:rPr>
          <w:noProof/>
        </w:rPr>
      </w:pPr>
      <w:r>
        <w:rPr>
          <w:noProof/>
        </w:rPr>
        <w:t xml:space="preserve">Consumer price index. </w:t>
      </w:r>
      <w:r w:rsidRPr="006475A2">
        <w:rPr>
          <w:i/>
          <w:noProof/>
        </w:rPr>
        <w:t xml:space="preserve">See </w:t>
      </w:r>
      <w:r>
        <w:rPr>
          <w:noProof/>
        </w:rPr>
        <w:t>Inflation</w:t>
      </w:r>
    </w:p>
    <w:p w:rsidR="00AE778A" w:rsidRDefault="00AE778A">
      <w:pPr>
        <w:pStyle w:val="Index1"/>
        <w:tabs>
          <w:tab w:val="right" w:leader="dot" w:pos="3481"/>
        </w:tabs>
        <w:rPr>
          <w:noProof/>
        </w:rPr>
      </w:pPr>
      <w:r w:rsidRPr="006475A2">
        <w:rPr>
          <w:rFonts w:eastAsiaTheme="minorHAnsi"/>
          <w:noProof/>
        </w:rPr>
        <w:t>Consumer sentiment</w:t>
      </w:r>
      <w:r>
        <w:rPr>
          <w:noProof/>
        </w:rPr>
        <w:t>, 16, 81, 83</w:t>
      </w:r>
    </w:p>
    <w:p w:rsidR="00AE778A" w:rsidRDefault="00AE778A">
      <w:pPr>
        <w:pStyle w:val="Index1"/>
        <w:tabs>
          <w:tab w:val="right" w:leader="dot" w:pos="3481"/>
        </w:tabs>
        <w:rPr>
          <w:noProof/>
        </w:rPr>
      </w:pPr>
      <w:r w:rsidRPr="006475A2">
        <w:rPr>
          <w:rFonts w:eastAsiaTheme="minorHAnsi"/>
          <w:noProof/>
        </w:rPr>
        <w:t>Consumer spending</w:t>
      </w:r>
      <w:r>
        <w:rPr>
          <w:noProof/>
        </w:rPr>
        <w:t>, 18, 24, 58</w:t>
      </w:r>
    </w:p>
    <w:p w:rsidR="00AE778A" w:rsidRDefault="00AE778A">
      <w:pPr>
        <w:pStyle w:val="Index1"/>
        <w:tabs>
          <w:tab w:val="right" w:leader="dot" w:pos="3481"/>
        </w:tabs>
        <w:rPr>
          <w:noProof/>
        </w:rPr>
      </w:pPr>
      <w:r w:rsidRPr="006475A2">
        <w:rPr>
          <w:rFonts w:eastAsiaTheme="minorHAnsi"/>
          <w:noProof/>
        </w:rPr>
        <w:t>Core infrastructure</w:t>
      </w:r>
      <w:r>
        <w:rPr>
          <w:noProof/>
        </w:rPr>
        <w:t>, 35, 40–42</w:t>
      </w:r>
    </w:p>
    <w:p w:rsidR="00AE778A" w:rsidRDefault="00AE778A">
      <w:pPr>
        <w:pStyle w:val="IndexHeading"/>
        <w:keepNext/>
        <w:tabs>
          <w:tab w:val="right" w:leader="dot" w:pos="3481"/>
        </w:tabs>
        <w:rPr>
          <w:rFonts w:eastAsiaTheme="minorEastAsia" w:cstheme="minorBidi"/>
          <w:b w:val="0"/>
          <w:bCs w:val="0"/>
          <w:noProof/>
        </w:rPr>
      </w:pPr>
      <w:r>
        <w:rPr>
          <w:noProof/>
        </w:rPr>
        <w:t>D</w:t>
      </w:r>
    </w:p>
    <w:p w:rsidR="00AE778A" w:rsidRDefault="00AE778A">
      <w:pPr>
        <w:pStyle w:val="Index1"/>
        <w:tabs>
          <w:tab w:val="right" w:leader="dot" w:pos="3481"/>
        </w:tabs>
        <w:rPr>
          <w:noProof/>
        </w:rPr>
      </w:pPr>
      <w:r>
        <w:rPr>
          <w:noProof/>
        </w:rPr>
        <w:t>Debt</w:t>
      </w:r>
    </w:p>
    <w:p w:rsidR="00AE778A" w:rsidRDefault="00AE778A">
      <w:pPr>
        <w:pStyle w:val="Index2"/>
        <w:tabs>
          <w:tab w:val="right" w:leader="dot" w:pos="3481"/>
        </w:tabs>
        <w:rPr>
          <w:noProof/>
        </w:rPr>
      </w:pPr>
      <w:r>
        <w:rPr>
          <w:noProof/>
        </w:rPr>
        <w:t>General government net debt, 14</w:t>
      </w:r>
    </w:p>
    <w:p w:rsidR="00AE778A" w:rsidRDefault="00AE778A">
      <w:pPr>
        <w:pStyle w:val="Index2"/>
        <w:tabs>
          <w:tab w:val="right" w:leader="dot" w:pos="3481"/>
        </w:tabs>
        <w:rPr>
          <w:noProof/>
        </w:rPr>
      </w:pPr>
      <w:r>
        <w:rPr>
          <w:noProof/>
        </w:rPr>
        <w:t xml:space="preserve">Net debt, 2, 8, 13–14, 33, 35–37, 43–44, </w:t>
      </w:r>
      <w:r>
        <w:rPr>
          <w:noProof/>
        </w:rPr>
        <w:br/>
        <w:t>64–66, 72–77, 79–80</w:t>
      </w:r>
    </w:p>
    <w:p w:rsidR="00AE778A" w:rsidRDefault="00AE778A">
      <w:pPr>
        <w:pStyle w:val="Index1"/>
        <w:tabs>
          <w:tab w:val="right" w:leader="dot" w:pos="3481"/>
        </w:tabs>
        <w:rPr>
          <w:noProof/>
        </w:rPr>
      </w:pPr>
      <w:r w:rsidRPr="006475A2">
        <w:rPr>
          <w:rFonts w:eastAsiaTheme="minorHAnsi"/>
          <w:noProof/>
        </w:rPr>
        <w:t>Drysdale Bypass</w:t>
      </w:r>
      <w:r>
        <w:rPr>
          <w:noProof/>
        </w:rPr>
        <w:t>, 8</w:t>
      </w:r>
    </w:p>
    <w:p w:rsidR="00AE778A" w:rsidRDefault="00AE778A">
      <w:pPr>
        <w:pStyle w:val="Index1"/>
        <w:tabs>
          <w:tab w:val="right" w:leader="dot" w:pos="3481"/>
        </w:tabs>
        <w:rPr>
          <w:noProof/>
        </w:rPr>
      </w:pPr>
      <w:r>
        <w:rPr>
          <w:noProof/>
        </w:rPr>
        <w:t>Dwelling investment, 15, 17, 23</w:t>
      </w:r>
    </w:p>
    <w:p w:rsidR="00AE778A" w:rsidRDefault="00AE778A">
      <w:pPr>
        <w:pStyle w:val="IndexHeading"/>
        <w:keepNext/>
        <w:tabs>
          <w:tab w:val="right" w:leader="dot" w:pos="3481"/>
        </w:tabs>
        <w:rPr>
          <w:rFonts w:eastAsiaTheme="minorEastAsia" w:cstheme="minorBidi"/>
          <w:b w:val="0"/>
          <w:bCs w:val="0"/>
          <w:noProof/>
        </w:rPr>
      </w:pPr>
      <w:r>
        <w:rPr>
          <w:noProof/>
        </w:rPr>
        <w:t>E</w:t>
      </w:r>
    </w:p>
    <w:p w:rsidR="00AE778A" w:rsidRDefault="00AE778A">
      <w:pPr>
        <w:pStyle w:val="Index1"/>
        <w:tabs>
          <w:tab w:val="right" w:leader="dot" w:pos="3481"/>
        </w:tabs>
        <w:rPr>
          <w:noProof/>
        </w:rPr>
      </w:pPr>
      <w:r>
        <w:rPr>
          <w:noProof/>
        </w:rPr>
        <w:t>Early childhood</w:t>
      </w:r>
    </w:p>
    <w:p w:rsidR="00AE778A" w:rsidRDefault="00AE778A">
      <w:pPr>
        <w:pStyle w:val="Index2"/>
        <w:tabs>
          <w:tab w:val="right" w:leader="dot" w:pos="3481"/>
        </w:tabs>
        <w:rPr>
          <w:noProof/>
        </w:rPr>
      </w:pPr>
      <w:r>
        <w:rPr>
          <w:noProof/>
        </w:rPr>
        <w:t>Education, 12</w:t>
      </w:r>
    </w:p>
    <w:p w:rsidR="00AE778A" w:rsidRDefault="00AE778A">
      <w:pPr>
        <w:pStyle w:val="Index1"/>
        <w:tabs>
          <w:tab w:val="right" w:leader="dot" w:pos="3481"/>
        </w:tabs>
        <w:rPr>
          <w:noProof/>
        </w:rPr>
      </w:pPr>
      <w:r w:rsidRPr="006475A2">
        <w:rPr>
          <w:rFonts w:eastAsiaTheme="minorHAnsi"/>
          <w:noProof/>
        </w:rPr>
        <w:t>Economic conditions</w:t>
      </w:r>
      <w:r>
        <w:rPr>
          <w:noProof/>
        </w:rPr>
        <w:t>, 15, 23, 46, 71, 80</w:t>
      </w:r>
    </w:p>
    <w:p w:rsidR="00AE778A" w:rsidRDefault="00AE778A">
      <w:pPr>
        <w:pStyle w:val="Index2"/>
        <w:tabs>
          <w:tab w:val="right" w:leader="dot" w:pos="3481"/>
        </w:tabs>
        <w:rPr>
          <w:noProof/>
        </w:rPr>
      </w:pPr>
      <w:r>
        <w:rPr>
          <w:noProof/>
        </w:rPr>
        <w:t>Australia, 22–23</w:t>
      </w:r>
    </w:p>
    <w:p w:rsidR="00AE778A" w:rsidRDefault="00AE778A">
      <w:pPr>
        <w:pStyle w:val="Index2"/>
        <w:tabs>
          <w:tab w:val="right" w:leader="dot" w:pos="3481"/>
        </w:tabs>
        <w:rPr>
          <w:noProof/>
        </w:rPr>
      </w:pPr>
      <w:r>
        <w:rPr>
          <w:noProof/>
        </w:rPr>
        <w:t>International, 23–24</w:t>
      </w:r>
    </w:p>
    <w:p w:rsidR="00AE778A" w:rsidRDefault="00AE778A">
      <w:pPr>
        <w:pStyle w:val="Index2"/>
        <w:tabs>
          <w:tab w:val="right" w:leader="dot" w:pos="3481"/>
        </w:tabs>
        <w:rPr>
          <w:noProof/>
        </w:rPr>
      </w:pPr>
      <w:r>
        <w:rPr>
          <w:noProof/>
        </w:rPr>
        <w:t>Victorian, 15–18</w:t>
      </w:r>
    </w:p>
    <w:p w:rsidR="00AE778A" w:rsidRDefault="00AE778A">
      <w:pPr>
        <w:pStyle w:val="Index1"/>
        <w:tabs>
          <w:tab w:val="right" w:leader="dot" w:pos="3481"/>
        </w:tabs>
        <w:rPr>
          <w:noProof/>
        </w:rPr>
      </w:pPr>
      <w:r>
        <w:rPr>
          <w:noProof/>
        </w:rPr>
        <w:br w:type="column"/>
        <w:t xml:space="preserve">Economic growth, 3–4, 17, 23–24, 30, 35, </w:t>
      </w:r>
      <w:r>
        <w:rPr>
          <w:noProof/>
        </w:rPr>
        <w:br/>
        <w:t xml:space="preserve">39, 42, 81–82, </w:t>
      </w:r>
      <w:r w:rsidRPr="006475A2">
        <w:rPr>
          <w:i/>
          <w:noProof/>
        </w:rPr>
        <w:t>See also </w:t>
      </w:r>
      <w:r>
        <w:rPr>
          <w:noProof/>
        </w:rPr>
        <w:t>Risks</w:t>
      </w:r>
    </w:p>
    <w:p w:rsidR="00AE778A" w:rsidRDefault="00AE778A">
      <w:pPr>
        <w:pStyle w:val="Index2"/>
        <w:tabs>
          <w:tab w:val="right" w:leader="dot" w:pos="3481"/>
        </w:tabs>
        <w:rPr>
          <w:noProof/>
        </w:rPr>
      </w:pPr>
      <w:r w:rsidRPr="006475A2">
        <w:rPr>
          <w:rFonts w:eastAsiaTheme="minorHAnsi"/>
          <w:noProof/>
        </w:rPr>
        <w:t>Australia</w:t>
      </w:r>
      <w:r>
        <w:rPr>
          <w:noProof/>
        </w:rPr>
        <w:t>, 15, 22, 23</w:t>
      </w:r>
    </w:p>
    <w:p w:rsidR="00AE778A" w:rsidRDefault="00AE778A">
      <w:pPr>
        <w:pStyle w:val="Index2"/>
        <w:tabs>
          <w:tab w:val="right" w:leader="dot" w:pos="3481"/>
        </w:tabs>
        <w:rPr>
          <w:noProof/>
        </w:rPr>
      </w:pPr>
      <w:r w:rsidRPr="006475A2">
        <w:rPr>
          <w:rFonts w:eastAsiaTheme="minorHAnsi"/>
          <w:noProof/>
        </w:rPr>
        <w:t>National</w:t>
      </w:r>
      <w:r>
        <w:rPr>
          <w:noProof/>
        </w:rPr>
        <w:t>, 15, 22</w:t>
      </w:r>
    </w:p>
    <w:p w:rsidR="00AE778A" w:rsidRDefault="00AE778A">
      <w:pPr>
        <w:pStyle w:val="Index2"/>
        <w:tabs>
          <w:tab w:val="right" w:leader="dot" w:pos="3481"/>
        </w:tabs>
        <w:rPr>
          <w:noProof/>
        </w:rPr>
      </w:pPr>
      <w:r w:rsidRPr="006475A2">
        <w:rPr>
          <w:rFonts w:eastAsiaTheme="minorHAnsi"/>
          <w:noProof/>
        </w:rPr>
        <w:t>Victoria</w:t>
      </w:r>
      <w:r>
        <w:rPr>
          <w:noProof/>
        </w:rPr>
        <w:t>, 3, 5, 27, 34</w:t>
      </w:r>
    </w:p>
    <w:p w:rsidR="00AE778A" w:rsidRDefault="00AE778A">
      <w:pPr>
        <w:pStyle w:val="Index1"/>
        <w:tabs>
          <w:tab w:val="right" w:leader="dot" w:pos="3481"/>
        </w:tabs>
        <w:rPr>
          <w:noProof/>
        </w:rPr>
      </w:pPr>
      <w:r w:rsidRPr="006475A2">
        <w:rPr>
          <w:rFonts w:eastAsiaTheme="minorHAnsi"/>
          <w:noProof/>
        </w:rPr>
        <w:t>Education</w:t>
      </w:r>
    </w:p>
    <w:p w:rsidR="00AE778A" w:rsidRDefault="00AE778A">
      <w:pPr>
        <w:pStyle w:val="Index2"/>
        <w:tabs>
          <w:tab w:val="right" w:leader="dot" w:pos="3481"/>
        </w:tabs>
        <w:rPr>
          <w:noProof/>
        </w:rPr>
      </w:pPr>
      <w:r>
        <w:rPr>
          <w:noProof/>
        </w:rPr>
        <w:t>Schools, 11–12, 28–29, 40–41, 47, 49, 59</w:t>
      </w:r>
    </w:p>
    <w:p w:rsidR="00AE778A" w:rsidRDefault="00AE778A">
      <w:pPr>
        <w:pStyle w:val="Index1"/>
        <w:tabs>
          <w:tab w:val="right" w:leader="dot" w:pos="3481"/>
        </w:tabs>
        <w:rPr>
          <w:noProof/>
        </w:rPr>
      </w:pPr>
      <w:r w:rsidRPr="006475A2">
        <w:rPr>
          <w:rFonts w:eastAsiaTheme="minorHAnsi"/>
          <w:noProof/>
        </w:rPr>
        <w:t>Education State</w:t>
      </w:r>
      <w:r>
        <w:rPr>
          <w:noProof/>
        </w:rPr>
        <w:t>, 2</w:t>
      </w:r>
    </w:p>
    <w:p w:rsidR="00AE778A" w:rsidRDefault="00AE778A">
      <w:pPr>
        <w:pStyle w:val="Index1"/>
        <w:tabs>
          <w:tab w:val="right" w:leader="dot" w:pos="3481"/>
        </w:tabs>
        <w:rPr>
          <w:noProof/>
        </w:rPr>
      </w:pPr>
      <w:r w:rsidRPr="006475A2">
        <w:rPr>
          <w:rFonts w:eastAsiaTheme="minorHAnsi"/>
          <w:noProof/>
        </w:rPr>
        <w:t>Emergency services</w:t>
      </w:r>
      <w:r>
        <w:rPr>
          <w:noProof/>
        </w:rPr>
        <w:t>, 12</w:t>
      </w:r>
    </w:p>
    <w:p w:rsidR="00AE778A" w:rsidRDefault="00AE778A">
      <w:pPr>
        <w:pStyle w:val="Index1"/>
        <w:tabs>
          <w:tab w:val="right" w:leader="dot" w:pos="3481"/>
        </w:tabs>
        <w:rPr>
          <w:noProof/>
        </w:rPr>
      </w:pPr>
      <w:r>
        <w:rPr>
          <w:noProof/>
        </w:rPr>
        <w:t>Employment</w:t>
      </w:r>
    </w:p>
    <w:p w:rsidR="00AE778A" w:rsidRDefault="00AE778A">
      <w:pPr>
        <w:pStyle w:val="Index2"/>
        <w:tabs>
          <w:tab w:val="right" w:leader="dot" w:pos="3481"/>
        </w:tabs>
        <w:rPr>
          <w:noProof/>
        </w:rPr>
      </w:pPr>
      <w:r>
        <w:rPr>
          <w:noProof/>
        </w:rPr>
        <w:t>Growth, 18, 23, 52</w:t>
      </w:r>
    </w:p>
    <w:p w:rsidR="00AE778A" w:rsidRDefault="00AE778A">
      <w:pPr>
        <w:pStyle w:val="Index2"/>
        <w:tabs>
          <w:tab w:val="right" w:leader="dot" w:pos="3481"/>
        </w:tabs>
        <w:rPr>
          <w:noProof/>
        </w:rPr>
      </w:pPr>
      <w:r>
        <w:rPr>
          <w:noProof/>
        </w:rPr>
        <w:t>Industry, 5</w:t>
      </w:r>
    </w:p>
    <w:p w:rsidR="00AE778A" w:rsidRDefault="00AE778A">
      <w:pPr>
        <w:pStyle w:val="IndexHeading"/>
        <w:keepNext/>
        <w:tabs>
          <w:tab w:val="right" w:leader="dot" w:pos="3481"/>
        </w:tabs>
        <w:rPr>
          <w:rFonts w:eastAsiaTheme="minorEastAsia" w:cstheme="minorBidi"/>
          <w:b w:val="0"/>
          <w:bCs w:val="0"/>
          <w:noProof/>
        </w:rPr>
      </w:pPr>
      <w:r>
        <w:rPr>
          <w:noProof/>
        </w:rPr>
        <w:t>F</w:t>
      </w:r>
    </w:p>
    <w:p w:rsidR="00AE778A" w:rsidRDefault="00AE778A">
      <w:pPr>
        <w:pStyle w:val="Index1"/>
        <w:tabs>
          <w:tab w:val="right" w:leader="dot" w:pos="3481"/>
        </w:tabs>
        <w:rPr>
          <w:noProof/>
        </w:rPr>
      </w:pPr>
      <w:r w:rsidRPr="006475A2">
        <w:rPr>
          <w:rFonts w:eastAsiaTheme="minorHAnsi"/>
          <w:noProof/>
        </w:rPr>
        <w:t>Family Violence</w:t>
      </w:r>
      <w:r>
        <w:rPr>
          <w:noProof/>
        </w:rPr>
        <w:t>, 2, 10, 52</w:t>
      </w:r>
    </w:p>
    <w:p w:rsidR="00AE778A" w:rsidRDefault="00AE778A">
      <w:pPr>
        <w:pStyle w:val="Index2"/>
        <w:tabs>
          <w:tab w:val="right" w:leader="dot" w:pos="3481"/>
        </w:tabs>
        <w:rPr>
          <w:noProof/>
        </w:rPr>
      </w:pPr>
      <w:r>
        <w:rPr>
          <w:noProof/>
        </w:rPr>
        <w:t>Royal Commission, 2, 10, 52</w:t>
      </w:r>
    </w:p>
    <w:p w:rsidR="00AE778A" w:rsidRDefault="00AE778A">
      <w:pPr>
        <w:pStyle w:val="Index1"/>
        <w:tabs>
          <w:tab w:val="right" w:leader="dot" w:pos="3481"/>
        </w:tabs>
        <w:rPr>
          <w:noProof/>
        </w:rPr>
      </w:pPr>
      <w:r w:rsidRPr="006475A2">
        <w:rPr>
          <w:rFonts w:eastAsiaTheme="minorHAnsi"/>
          <w:noProof/>
        </w:rPr>
        <w:t>Financial management</w:t>
      </w:r>
      <w:r>
        <w:rPr>
          <w:noProof/>
        </w:rPr>
        <w:t>, 2, 13–14, 34</w:t>
      </w:r>
    </w:p>
    <w:p w:rsidR="00AE778A" w:rsidRDefault="00AE778A">
      <w:pPr>
        <w:pStyle w:val="Index1"/>
        <w:tabs>
          <w:tab w:val="right" w:leader="dot" w:pos="3481"/>
        </w:tabs>
        <w:rPr>
          <w:noProof/>
        </w:rPr>
      </w:pPr>
      <w:r w:rsidRPr="006475A2">
        <w:rPr>
          <w:rFonts w:eastAsiaTheme="minorHAnsi"/>
          <w:noProof/>
        </w:rPr>
        <w:t>Food and fibre</w:t>
      </w:r>
      <w:r>
        <w:rPr>
          <w:noProof/>
        </w:rPr>
        <w:t>, 4, 17</w:t>
      </w:r>
    </w:p>
    <w:p w:rsidR="00AE778A" w:rsidRDefault="00AE778A">
      <w:pPr>
        <w:pStyle w:val="Index1"/>
        <w:tabs>
          <w:tab w:val="right" w:leader="dot" w:pos="3481"/>
        </w:tabs>
        <w:rPr>
          <w:noProof/>
        </w:rPr>
      </w:pPr>
      <w:r w:rsidRPr="006475A2">
        <w:rPr>
          <w:rFonts w:eastAsiaTheme="minorHAnsi"/>
          <w:noProof/>
        </w:rPr>
        <w:t>Future Industries Fund</w:t>
      </w:r>
      <w:r>
        <w:rPr>
          <w:noProof/>
        </w:rPr>
        <w:t>, 4</w:t>
      </w:r>
    </w:p>
    <w:p w:rsidR="00AE778A" w:rsidRDefault="00AE778A">
      <w:pPr>
        <w:pStyle w:val="Index1"/>
        <w:tabs>
          <w:tab w:val="right" w:leader="dot" w:pos="3481"/>
        </w:tabs>
        <w:rPr>
          <w:noProof/>
        </w:rPr>
      </w:pPr>
      <w:r w:rsidRPr="006475A2">
        <w:rPr>
          <w:rFonts w:eastAsiaTheme="minorHAnsi"/>
          <w:noProof/>
        </w:rPr>
        <w:t>Future infrastructure funding</w:t>
      </w:r>
      <w:r>
        <w:rPr>
          <w:noProof/>
        </w:rPr>
        <w:t>, 8–9</w:t>
      </w:r>
    </w:p>
    <w:p w:rsidR="00AE778A" w:rsidRDefault="00AE778A">
      <w:pPr>
        <w:pStyle w:val="IndexHeading"/>
        <w:keepNext/>
        <w:tabs>
          <w:tab w:val="right" w:leader="dot" w:pos="3481"/>
        </w:tabs>
        <w:rPr>
          <w:rFonts w:eastAsiaTheme="minorEastAsia" w:cstheme="minorBidi"/>
          <w:b w:val="0"/>
          <w:bCs w:val="0"/>
          <w:noProof/>
        </w:rPr>
      </w:pPr>
      <w:r>
        <w:rPr>
          <w:noProof/>
        </w:rPr>
        <w:t>G</w:t>
      </w:r>
    </w:p>
    <w:p w:rsidR="00AE778A" w:rsidRDefault="00AE778A">
      <w:pPr>
        <w:pStyle w:val="Index1"/>
        <w:tabs>
          <w:tab w:val="right" w:leader="dot" w:pos="3481"/>
        </w:tabs>
        <w:rPr>
          <w:noProof/>
        </w:rPr>
      </w:pPr>
      <w:r w:rsidRPr="006475A2">
        <w:rPr>
          <w:rFonts w:eastAsiaTheme="minorHAnsi"/>
          <w:noProof/>
        </w:rPr>
        <w:t>General fiscal risks</w:t>
      </w:r>
      <w:r>
        <w:rPr>
          <w:noProof/>
        </w:rPr>
        <w:t>, 58</w:t>
      </w:r>
    </w:p>
    <w:p w:rsidR="00AE778A" w:rsidRDefault="00AE778A">
      <w:pPr>
        <w:pStyle w:val="Index1"/>
        <w:tabs>
          <w:tab w:val="right" w:leader="dot" w:pos="3481"/>
        </w:tabs>
        <w:rPr>
          <w:noProof/>
        </w:rPr>
      </w:pPr>
      <w:r>
        <w:rPr>
          <w:noProof/>
        </w:rPr>
        <w:t xml:space="preserve">General government net debt. </w:t>
      </w:r>
      <w:r w:rsidRPr="006475A2">
        <w:rPr>
          <w:i/>
          <w:noProof/>
        </w:rPr>
        <w:t xml:space="preserve">See </w:t>
      </w:r>
      <w:r>
        <w:rPr>
          <w:noProof/>
        </w:rPr>
        <w:t>Debt</w:t>
      </w:r>
    </w:p>
    <w:p w:rsidR="00AE778A" w:rsidRDefault="00AE778A">
      <w:pPr>
        <w:pStyle w:val="Index1"/>
        <w:tabs>
          <w:tab w:val="right" w:leader="dot" w:pos="3481"/>
        </w:tabs>
        <w:rPr>
          <w:noProof/>
        </w:rPr>
      </w:pPr>
      <w:r w:rsidRPr="006475A2">
        <w:rPr>
          <w:rFonts w:eastAsiaTheme="minorHAnsi"/>
          <w:noProof/>
        </w:rPr>
        <w:t>Goods and services tax</w:t>
      </w:r>
    </w:p>
    <w:p w:rsidR="00AE778A" w:rsidRDefault="00AE778A">
      <w:pPr>
        <w:pStyle w:val="Index2"/>
        <w:tabs>
          <w:tab w:val="right" w:leader="dot" w:pos="3481"/>
        </w:tabs>
        <w:rPr>
          <w:noProof/>
        </w:rPr>
      </w:pPr>
      <w:r>
        <w:rPr>
          <w:noProof/>
        </w:rPr>
        <w:t>Revenue, 48, 60, 83</w:t>
      </w:r>
    </w:p>
    <w:p w:rsidR="00AE778A" w:rsidRDefault="00AE778A">
      <w:pPr>
        <w:pStyle w:val="Index1"/>
        <w:tabs>
          <w:tab w:val="right" w:leader="dot" w:pos="3481"/>
        </w:tabs>
        <w:rPr>
          <w:noProof/>
        </w:rPr>
      </w:pPr>
      <w:r w:rsidRPr="006475A2">
        <w:rPr>
          <w:rFonts w:eastAsiaTheme="minorHAnsi"/>
          <w:noProof/>
        </w:rPr>
        <w:t>Goulburn</w:t>
      </w:r>
      <w:r w:rsidRPr="006475A2">
        <w:rPr>
          <w:rFonts w:eastAsiaTheme="minorHAnsi"/>
          <w:noProof/>
        </w:rPr>
        <w:noBreakHyphen/>
        <w:t>Murray Water Connections Project</w:t>
      </w:r>
      <w:r>
        <w:rPr>
          <w:noProof/>
        </w:rPr>
        <w:t>, 48</w:t>
      </w:r>
    </w:p>
    <w:p w:rsidR="00AE778A" w:rsidRDefault="00AE778A">
      <w:pPr>
        <w:pStyle w:val="Index1"/>
        <w:tabs>
          <w:tab w:val="right" w:leader="dot" w:pos="3481"/>
        </w:tabs>
        <w:rPr>
          <w:noProof/>
        </w:rPr>
      </w:pPr>
      <w:r>
        <w:rPr>
          <w:noProof/>
        </w:rPr>
        <w:t>Grants</w:t>
      </w:r>
    </w:p>
    <w:p w:rsidR="00AE778A" w:rsidRDefault="00AE778A">
      <w:pPr>
        <w:pStyle w:val="Index2"/>
        <w:tabs>
          <w:tab w:val="right" w:leader="dot" w:pos="3481"/>
        </w:tabs>
        <w:rPr>
          <w:noProof/>
        </w:rPr>
      </w:pPr>
      <w:r>
        <w:rPr>
          <w:noProof/>
        </w:rPr>
        <w:t>Commonwealth, 48, 53</w:t>
      </w:r>
    </w:p>
    <w:p w:rsidR="00AE778A" w:rsidRDefault="00AE778A">
      <w:pPr>
        <w:pStyle w:val="Index2"/>
        <w:tabs>
          <w:tab w:val="right" w:leader="dot" w:pos="3481"/>
        </w:tabs>
        <w:rPr>
          <w:noProof/>
        </w:rPr>
      </w:pPr>
      <w:r>
        <w:rPr>
          <w:noProof/>
        </w:rPr>
        <w:t>Goods and services tax, 24, 53, 60</w:t>
      </w:r>
    </w:p>
    <w:p w:rsidR="00AE778A" w:rsidRDefault="00AE778A">
      <w:pPr>
        <w:pStyle w:val="Index2"/>
        <w:tabs>
          <w:tab w:val="right" w:leader="dot" w:pos="3481"/>
        </w:tabs>
        <w:rPr>
          <w:noProof/>
        </w:rPr>
      </w:pPr>
      <w:r>
        <w:rPr>
          <w:noProof/>
        </w:rPr>
        <w:t>Revenue, 48, 83</w:t>
      </w:r>
    </w:p>
    <w:p w:rsidR="00AE778A" w:rsidRDefault="00AE778A">
      <w:pPr>
        <w:pStyle w:val="Index1"/>
        <w:tabs>
          <w:tab w:val="right" w:leader="dot" w:pos="3481"/>
        </w:tabs>
        <w:rPr>
          <w:noProof/>
        </w:rPr>
      </w:pPr>
      <w:r w:rsidRPr="006475A2">
        <w:rPr>
          <w:rFonts w:eastAsiaTheme="minorHAnsi"/>
          <w:noProof/>
        </w:rPr>
        <w:t>Gross domestic product</w:t>
      </w:r>
      <w:r>
        <w:rPr>
          <w:noProof/>
        </w:rPr>
        <w:t>, 35</w:t>
      </w:r>
    </w:p>
    <w:p w:rsidR="00AE778A" w:rsidRDefault="00AE778A">
      <w:pPr>
        <w:pStyle w:val="Index1"/>
        <w:tabs>
          <w:tab w:val="right" w:leader="dot" w:pos="3481"/>
        </w:tabs>
        <w:rPr>
          <w:noProof/>
        </w:rPr>
      </w:pPr>
      <w:r>
        <w:rPr>
          <w:noProof/>
        </w:rPr>
        <w:t xml:space="preserve">Gross state product, 1–2, 8, 13, 15, 16–17, </w:t>
      </w:r>
      <w:r>
        <w:rPr>
          <w:noProof/>
        </w:rPr>
        <w:br/>
        <w:t xml:space="preserve">33, 35–37, 40, 42, 43, </w:t>
      </w:r>
      <w:r w:rsidRPr="006475A2">
        <w:rPr>
          <w:i/>
          <w:noProof/>
        </w:rPr>
        <w:t xml:space="preserve">See also </w:t>
      </w:r>
      <w:r>
        <w:rPr>
          <w:noProof/>
        </w:rPr>
        <w:t>Economic growth</w:t>
      </w:r>
    </w:p>
    <w:p w:rsidR="00AE778A" w:rsidRDefault="00AE778A">
      <w:pPr>
        <w:pStyle w:val="Index2"/>
        <w:tabs>
          <w:tab w:val="right" w:leader="dot" w:pos="3481"/>
        </w:tabs>
        <w:rPr>
          <w:noProof/>
        </w:rPr>
      </w:pPr>
      <w:r>
        <w:rPr>
          <w:noProof/>
        </w:rPr>
        <w:t>Growth, 15–16</w:t>
      </w:r>
    </w:p>
    <w:p w:rsidR="00AE778A" w:rsidRDefault="00AE778A">
      <w:pPr>
        <w:pStyle w:val="IndexHeading"/>
        <w:keepNext/>
        <w:tabs>
          <w:tab w:val="right" w:leader="dot" w:pos="3481"/>
        </w:tabs>
        <w:rPr>
          <w:rFonts w:eastAsiaTheme="minorEastAsia" w:cstheme="minorBidi"/>
          <w:b w:val="0"/>
          <w:bCs w:val="0"/>
          <w:noProof/>
        </w:rPr>
      </w:pPr>
      <w:r>
        <w:rPr>
          <w:noProof/>
        </w:rPr>
        <w:br w:type="column"/>
        <w:t>H</w:t>
      </w:r>
    </w:p>
    <w:p w:rsidR="00AE778A" w:rsidRDefault="00AE778A">
      <w:pPr>
        <w:pStyle w:val="Index1"/>
        <w:tabs>
          <w:tab w:val="right" w:leader="dot" w:pos="3481"/>
        </w:tabs>
        <w:rPr>
          <w:noProof/>
        </w:rPr>
      </w:pPr>
      <w:r w:rsidRPr="006475A2">
        <w:rPr>
          <w:rFonts w:eastAsiaTheme="minorHAnsi"/>
          <w:noProof/>
        </w:rPr>
        <w:t>Health</w:t>
      </w:r>
    </w:p>
    <w:p w:rsidR="00AE778A" w:rsidRDefault="00AE778A">
      <w:pPr>
        <w:pStyle w:val="Index2"/>
        <w:tabs>
          <w:tab w:val="right" w:leader="dot" w:pos="3481"/>
        </w:tabs>
        <w:rPr>
          <w:noProof/>
        </w:rPr>
      </w:pPr>
      <w:r>
        <w:rPr>
          <w:noProof/>
        </w:rPr>
        <w:t>Care, 2, 4, 11, 21, 30</w:t>
      </w:r>
    </w:p>
    <w:p w:rsidR="00AE778A" w:rsidRDefault="00AE778A">
      <w:pPr>
        <w:pStyle w:val="Index2"/>
        <w:tabs>
          <w:tab w:val="right" w:leader="dot" w:pos="3481"/>
        </w:tabs>
        <w:rPr>
          <w:noProof/>
        </w:rPr>
      </w:pPr>
      <w:r>
        <w:rPr>
          <w:noProof/>
        </w:rPr>
        <w:t>Hospitals, 11, 28–29, 40, 47</w:t>
      </w:r>
    </w:p>
    <w:p w:rsidR="00AE778A" w:rsidRDefault="00AE778A">
      <w:pPr>
        <w:pStyle w:val="Index2"/>
        <w:tabs>
          <w:tab w:val="right" w:leader="dot" w:pos="3481"/>
        </w:tabs>
        <w:rPr>
          <w:noProof/>
        </w:rPr>
      </w:pPr>
      <w:r>
        <w:rPr>
          <w:noProof/>
        </w:rPr>
        <w:t>Services, 11, 40, 52</w:t>
      </w:r>
    </w:p>
    <w:p w:rsidR="00AE778A" w:rsidRDefault="00AE778A">
      <w:pPr>
        <w:pStyle w:val="Index1"/>
        <w:tabs>
          <w:tab w:val="right" w:leader="dot" w:pos="3481"/>
        </w:tabs>
        <w:rPr>
          <w:noProof/>
        </w:rPr>
      </w:pPr>
      <w:r w:rsidRPr="006475A2">
        <w:rPr>
          <w:rFonts w:eastAsiaTheme="minorHAnsi"/>
          <w:noProof/>
        </w:rPr>
        <w:t>Hoddle Street</w:t>
      </w:r>
      <w:r>
        <w:rPr>
          <w:noProof/>
        </w:rPr>
        <w:t>, 8</w:t>
      </w:r>
    </w:p>
    <w:p w:rsidR="00AE778A" w:rsidRDefault="00AE778A">
      <w:pPr>
        <w:pStyle w:val="Index1"/>
        <w:tabs>
          <w:tab w:val="right" w:leader="dot" w:pos="3481"/>
        </w:tabs>
        <w:rPr>
          <w:noProof/>
        </w:rPr>
      </w:pPr>
      <w:r w:rsidRPr="006475A2">
        <w:rPr>
          <w:rFonts w:eastAsiaTheme="minorHAnsi"/>
          <w:noProof/>
        </w:rPr>
        <w:t>Hours worked</w:t>
      </w:r>
      <w:r>
        <w:rPr>
          <w:noProof/>
        </w:rPr>
        <w:t>, 20, 46, 52</w:t>
      </w:r>
    </w:p>
    <w:p w:rsidR="00AE778A" w:rsidRDefault="00AE778A">
      <w:pPr>
        <w:pStyle w:val="Index1"/>
        <w:tabs>
          <w:tab w:val="right" w:leader="dot" w:pos="3481"/>
        </w:tabs>
        <w:rPr>
          <w:noProof/>
        </w:rPr>
      </w:pPr>
      <w:r w:rsidRPr="006475A2">
        <w:rPr>
          <w:rFonts w:eastAsiaTheme="minorHAnsi"/>
          <w:noProof/>
        </w:rPr>
        <w:t>Household consumption</w:t>
      </w:r>
      <w:r>
        <w:rPr>
          <w:noProof/>
        </w:rPr>
        <w:t>, 1, 23, 47, 60, 74, 83</w:t>
      </w:r>
    </w:p>
    <w:p w:rsidR="00AE778A" w:rsidRDefault="00AE778A">
      <w:pPr>
        <w:pStyle w:val="Index1"/>
        <w:tabs>
          <w:tab w:val="right" w:leader="dot" w:pos="3481"/>
        </w:tabs>
        <w:rPr>
          <w:noProof/>
        </w:rPr>
      </w:pPr>
      <w:r w:rsidRPr="006475A2">
        <w:rPr>
          <w:rFonts w:eastAsiaTheme="minorHAnsi"/>
          <w:noProof/>
        </w:rPr>
        <w:t>Hurstbridge line</w:t>
      </w:r>
      <w:r>
        <w:rPr>
          <w:noProof/>
        </w:rPr>
        <w:t>, 6, 31</w:t>
      </w:r>
    </w:p>
    <w:p w:rsidR="00AE778A" w:rsidRDefault="00AE778A">
      <w:pPr>
        <w:pStyle w:val="IndexHeading"/>
        <w:keepNext/>
        <w:tabs>
          <w:tab w:val="right" w:leader="dot" w:pos="3481"/>
        </w:tabs>
        <w:rPr>
          <w:rFonts w:eastAsiaTheme="minorEastAsia" w:cstheme="minorBidi"/>
          <w:b w:val="0"/>
          <w:bCs w:val="0"/>
          <w:noProof/>
        </w:rPr>
      </w:pPr>
      <w:r>
        <w:rPr>
          <w:noProof/>
        </w:rPr>
        <w:t>I</w:t>
      </w:r>
    </w:p>
    <w:p w:rsidR="00AE778A" w:rsidRDefault="00AE778A">
      <w:pPr>
        <w:pStyle w:val="Index1"/>
        <w:tabs>
          <w:tab w:val="right" w:leader="dot" w:pos="3481"/>
        </w:tabs>
        <w:rPr>
          <w:noProof/>
        </w:rPr>
      </w:pPr>
      <w:r>
        <w:rPr>
          <w:noProof/>
        </w:rPr>
        <w:t>Inflation, 17, 24</w:t>
      </w:r>
    </w:p>
    <w:p w:rsidR="00AE778A" w:rsidRDefault="00AE778A">
      <w:pPr>
        <w:pStyle w:val="Index2"/>
        <w:tabs>
          <w:tab w:val="right" w:leader="dot" w:pos="3481"/>
        </w:tabs>
        <w:rPr>
          <w:noProof/>
        </w:rPr>
      </w:pPr>
      <w:r>
        <w:rPr>
          <w:noProof/>
        </w:rPr>
        <w:t>Consumer price index, 16, 59</w:t>
      </w:r>
    </w:p>
    <w:p w:rsidR="00AE778A" w:rsidRDefault="00AE778A">
      <w:pPr>
        <w:pStyle w:val="Index1"/>
        <w:tabs>
          <w:tab w:val="right" w:leader="dot" w:pos="3481"/>
        </w:tabs>
        <w:rPr>
          <w:noProof/>
        </w:rPr>
      </w:pPr>
      <w:r w:rsidRPr="006475A2">
        <w:rPr>
          <w:rFonts w:eastAsiaTheme="minorHAnsi"/>
          <w:noProof/>
        </w:rPr>
        <w:t>Infrastructure investment</w:t>
      </w:r>
      <w:r>
        <w:rPr>
          <w:noProof/>
        </w:rPr>
        <w:t>, 1</w:t>
      </w:r>
    </w:p>
    <w:p w:rsidR="00AE778A" w:rsidRDefault="00AE778A">
      <w:pPr>
        <w:pStyle w:val="Index2"/>
        <w:tabs>
          <w:tab w:val="right" w:leader="dot" w:pos="3481"/>
        </w:tabs>
        <w:rPr>
          <w:noProof/>
        </w:rPr>
      </w:pPr>
      <w:r>
        <w:rPr>
          <w:noProof/>
        </w:rPr>
        <w:t>Government infrastructure investment, 13, 31, 54</w:t>
      </w:r>
    </w:p>
    <w:p w:rsidR="00AE778A" w:rsidRDefault="00AE778A">
      <w:pPr>
        <w:pStyle w:val="Index1"/>
        <w:tabs>
          <w:tab w:val="right" w:leader="dot" w:pos="3481"/>
        </w:tabs>
        <w:rPr>
          <w:noProof/>
        </w:rPr>
      </w:pPr>
      <w:r>
        <w:rPr>
          <w:noProof/>
        </w:rPr>
        <w:t>Infrastructure Victoria, 27, 42</w:t>
      </w:r>
    </w:p>
    <w:p w:rsidR="00AE778A" w:rsidRDefault="00AE778A">
      <w:pPr>
        <w:pStyle w:val="Index1"/>
        <w:tabs>
          <w:tab w:val="right" w:leader="dot" w:pos="3481"/>
        </w:tabs>
        <w:rPr>
          <w:noProof/>
        </w:rPr>
      </w:pPr>
      <w:r w:rsidRPr="006475A2">
        <w:rPr>
          <w:rFonts w:eastAsiaTheme="minorHAnsi"/>
          <w:noProof/>
        </w:rPr>
        <w:t>Insurance</w:t>
      </w:r>
      <w:r>
        <w:rPr>
          <w:noProof/>
        </w:rPr>
        <w:t>, 59</w:t>
      </w:r>
    </w:p>
    <w:p w:rsidR="00AE778A" w:rsidRDefault="00AE778A">
      <w:pPr>
        <w:pStyle w:val="Index2"/>
        <w:tabs>
          <w:tab w:val="right" w:leader="dot" w:pos="3481"/>
        </w:tabs>
        <w:rPr>
          <w:noProof/>
        </w:rPr>
      </w:pPr>
      <w:r>
        <w:rPr>
          <w:noProof/>
        </w:rPr>
        <w:t>Agencies, 68, 75, 76, 80</w:t>
      </w:r>
    </w:p>
    <w:p w:rsidR="00AE778A" w:rsidRDefault="00AE778A">
      <w:pPr>
        <w:pStyle w:val="Index1"/>
        <w:tabs>
          <w:tab w:val="right" w:leader="dot" w:pos="3481"/>
        </w:tabs>
        <w:rPr>
          <w:noProof/>
        </w:rPr>
      </w:pPr>
      <w:r>
        <w:rPr>
          <w:noProof/>
        </w:rPr>
        <w:t>International Monetary Fund, 23, 35</w:t>
      </w:r>
    </w:p>
    <w:p w:rsidR="00AE778A" w:rsidRDefault="00AE778A">
      <w:pPr>
        <w:pStyle w:val="Index1"/>
        <w:tabs>
          <w:tab w:val="right" w:leader="dot" w:pos="3481"/>
        </w:tabs>
        <w:rPr>
          <w:noProof/>
        </w:rPr>
      </w:pPr>
      <w:r w:rsidRPr="006475A2">
        <w:rPr>
          <w:rFonts w:eastAsiaTheme="minorHAnsi"/>
          <w:noProof/>
        </w:rPr>
        <w:t>Investment attraction</w:t>
      </w:r>
      <w:r>
        <w:rPr>
          <w:noProof/>
        </w:rPr>
        <w:t>, 5</w:t>
      </w:r>
    </w:p>
    <w:p w:rsidR="00AE778A" w:rsidRDefault="00AE778A">
      <w:pPr>
        <w:pStyle w:val="IndexHeading"/>
        <w:keepNext/>
        <w:tabs>
          <w:tab w:val="right" w:leader="dot" w:pos="3481"/>
        </w:tabs>
        <w:rPr>
          <w:rFonts w:eastAsiaTheme="minorEastAsia" w:cstheme="minorBidi"/>
          <w:b w:val="0"/>
          <w:bCs w:val="0"/>
          <w:noProof/>
        </w:rPr>
      </w:pPr>
      <w:r>
        <w:rPr>
          <w:noProof/>
        </w:rPr>
        <w:t>J</w:t>
      </w:r>
    </w:p>
    <w:p w:rsidR="00AE778A" w:rsidRDefault="00AE778A">
      <w:pPr>
        <w:pStyle w:val="Index1"/>
        <w:tabs>
          <w:tab w:val="right" w:leader="dot" w:pos="3481"/>
        </w:tabs>
        <w:rPr>
          <w:noProof/>
        </w:rPr>
      </w:pPr>
      <w:r>
        <w:rPr>
          <w:noProof/>
        </w:rPr>
        <w:t>J</w:t>
      </w:r>
      <w:r w:rsidRPr="006475A2">
        <w:rPr>
          <w:rFonts w:eastAsiaTheme="minorHAnsi"/>
          <w:noProof/>
        </w:rPr>
        <w:t>obs</w:t>
      </w:r>
    </w:p>
    <w:p w:rsidR="00AE778A" w:rsidRDefault="00AE778A">
      <w:pPr>
        <w:pStyle w:val="Index2"/>
        <w:tabs>
          <w:tab w:val="right" w:leader="dot" w:pos="3481"/>
        </w:tabs>
        <w:rPr>
          <w:noProof/>
        </w:rPr>
      </w:pPr>
      <w:r>
        <w:rPr>
          <w:noProof/>
        </w:rPr>
        <w:t>Growth, 15, 19, 20, 21</w:t>
      </w:r>
    </w:p>
    <w:p w:rsidR="00AE778A" w:rsidRDefault="00AE778A">
      <w:pPr>
        <w:pStyle w:val="Index2"/>
        <w:tabs>
          <w:tab w:val="right" w:leader="dot" w:pos="3481"/>
        </w:tabs>
        <w:rPr>
          <w:noProof/>
        </w:rPr>
      </w:pPr>
      <w:r>
        <w:rPr>
          <w:noProof/>
        </w:rPr>
        <w:t>Jobs Victoria, 4, 52</w:t>
      </w:r>
    </w:p>
    <w:p w:rsidR="00AE778A" w:rsidRDefault="00AE778A">
      <w:pPr>
        <w:pStyle w:val="Index2"/>
        <w:tabs>
          <w:tab w:val="right" w:leader="dot" w:pos="3481"/>
        </w:tabs>
        <w:rPr>
          <w:noProof/>
        </w:rPr>
      </w:pPr>
      <w:r w:rsidRPr="006475A2">
        <w:rPr>
          <w:rFonts w:eastAsiaTheme="minorHAnsi"/>
          <w:noProof/>
        </w:rPr>
        <w:t>Regional</w:t>
      </w:r>
      <w:r>
        <w:rPr>
          <w:noProof/>
        </w:rPr>
        <w:t>, 1</w:t>
      </w:r>
    </w:p>
    <w:p w:rsidR="00AE778A" w:rsidRDefault="00AE778A">
      <w:pPr>
        <w:pStyle w:val="IndexHeading"/>
        <w:keepNext/>
        <w:tabs>
          <w:tab w:val="right" w:leader="dot" w:pos="3481"/>
        </w:tabs>
        <w:rPr>
          <w:rFonts w:eastAsiaTheme="minorEastAsia" w:cstheme="minorBidi"/>
          <w:b w:val="0"/>
          <w:bCs w:val="0"/>
          <w:noProof/>
        </w:rPr>
      </w:pPr>
      <w:r>
        <w:rPr>
          <w:noProof/>
        </w:rPr>
        <w:t>L</w:t>
      </w:r>
    </w:p>
    <w:p w:rsidR="00AE778A" w:rsidRDefault="00AE778A">
      <w:pPr>
        <w:pStyle w:val="Index1"/>
        <w:tabs>
          <w:tab w:val="right" w:leader="dot" w:pos="3481"/>
        </w:tabs>
        <w:rPr>
          <w:noProof/>
        </w:rPr>
      </w:pPr>
      <w:r w:rsidRPr="006475A2">
        <w:rPr>
          <w:rFonts w:eastAsiaTheme="minorHAnsi"/>
          <w:noProof/>
        </w:rPr>
        <w:t>Labor’s Financial Statement 2014</w:t>
      </w:r>
      <w:r>
        <w:rPr>
          <w:noProof/>
        </w:rPr>
        <w:t>, 30</w:t>
      </w:r>
    </w:p>
    <w:p w:rsidR="00AE778A" w:rsidRDefault="00AE778A">
      <w:pPr>
        <w:pStyle w:val="Index1"/>
        <w:tabs>
          <w:tab w:val="right" w:leader="dot" w:pos="3481"/>
        </w:tabs>
        <w:rPr>
          <w:noProof/>
        </w:rPr>
      </w:pPr>
      <w:r w:rsidRPr="006475A2">
        <w:rPr>
          <w:rFonts w:eastAsiaTheme="minorHAnsi"/>
          <w:noProof/>
        </w:rPr>
        <w:t>Labour force participation</w:t>
      </w:r>
      <w:r>
        <w:rPr>
          <w:noProof/>
        </w:rPr>
        <w:t>, 19</w:t>
      </w:r>
    </w:p>
    <w:p w:rsidR="00AE778A" w:rsidRDefault="00AE778A">
      <w:pPr>
        <w:pStyle w:val="Index1"/>
        <w:tabs>
          <w:tab w:val="right" w:leader="dot" w:pos="3481"/>
        </w:tabs>
        <w:rPr>
          <w:noProof/>
        </w:rPr>
      </w:pPr>
      <w:r>
        <w:rPr>
          <w:noProof/>
        </w:rPr>
        <w:t>Labour market</w:t>
      </w:r>
    </w:p>
    <w:p w:rsidR="00AE778A" w:rsidRDefault="00AE778A">
      <w:pPr>
        <w:pStyle w:val="Index2"/>
        <w:tabs>
          <w:tab w:val="right" w:leader="dot" w:pos="3481"/>
        </w:tabs>
        <w:rPr>
          <w:noProof/>
        </w:rPr>
      </w:pPr>
      <w:r>
        <w:rPr>
          <w:noProof/>
        </w:rPr>
        <w:t>Conditions, 15, 18</w:t>
      </w:r>
    </w:p>
    <w:p w:rsidR="00AE778A" w:rsidRDefault="00AE778A">
      <w:pPr>
        <w:pStyle w:val="Index2"/>
        <w:tabs>
          <w:tab w:val="right" w:leader="dot" w:pos="3481"/>
        </w:tabs>
        <w:rPr>
          <w:noProof/>
        </w:rPr>
      </w:pPr>
      <w:r w:rsidRPr="006475A2">
        <w:rPr>
          <w:rFonts w:eastAsiaTheme="minorHAnsi"/>
          <w:noProof/>
        </w:rPr>
        <w:t>Employment g</w:t>
      </w:r>
      <w:r>
        <w:rPr>
          <w:noProof/>
        </w:rPr>
        <w:t>rowth, 18, 23, 52</w:t>
      </w:r>
    </w:p>
    <w:p w:rsidR="00AE778A" w:rsidRDefault="00AE778A">
      <w:pPr>
        <w:pStyle w:val="Index2"/>
        <w:tabs>
          <w:tab w:val="right" w:leader="dot" w:pos="3481"/>
        </w:tabs>
        <w:rPr>
          <w:noProof/>
        </w:rPr>
      </w:pPr>
      <w:r w:rsidRPr="006475A2">
        <w:rPr>
          <w:rFonts w:eastAsiaTheme="minorHAnsi"/>
          <w:noProof/>
        </w:rPr>
        <w:t>Labour force participation</w:t>
      </w:r>
      <w:r>
        <w:rPr>
          <w:noProof/>
        </w:rPr>
        <w:t>, 19</w:t>
      </w:r>
    </w:p>
    <w:p w:rsidR="00AE778A" w:rsidRDefault="00AE778A">
      <w:pPr>
        <w:pStyle w:val="Index2"/>
        <w:tabs>
          <w:tab w:val="right" w:leader="dot" w:pos="3481"/>
        </w:tabs>
        <w:rPr>
          <w:noProof/>
        </w:rPr>
      </w:pPr>
      <w:r w:rsidRPr="006475A2">
        <w:rPr>
          <w:rFonts w:eastAsiaTheme="minorHAnsi"/>
          <w:noProof/>
        </w:rPr>
        <w:t>Youth</w:t>
      </w:r>
      <w:r>
        <w:rPr>
          <w:noProof/>
        </w:rPr>
        <w:t>, 18</w:t>
      </w:r>
    </w:p>
    <w:p w:rsidR="00AE778A" w:rsidRDefault="00AE778A">
      <w:pPr>
        <w:pStyle w:val="Index1"/>
        <w:tabs>
          <w:tab w:val="right" w:leader="dot" w:pos="3481"/>
        </w:tabs>
        <w:rPr>
          <w:noProof/>
        </w:rPr>
      </w:pPr>
      <w:r w:rsidRPr="006475A2">
        <w:rPr>
          <w:rFonts w:eastAsiaTheme="minorHAnsi"/>
          <w:noProof/>
        </w:rPr>
        <w:t>Land transfer duty</w:t>
      </w:r>
      <w:r>
        <w:rPr>
          <w:noProof/>
        </w:rPr>
        <w:t>, 46, 52, 58, 80–81, 83</w:t>
      </w:r>
    </w:p>
    <w:p w:rsidR="00AE778A" w:rsidRDefault="00AE778A">
      <w:pPr>
        <w:pStyle w:val="Index1"/>
        <w:tabs>
          <w:tab w:val="right" w:leader="dot" w:pos="3481"/>
        </w:tabs>
        <w:rPr>
          <w:noProof/>
        </w:rPr>
      </w:pPr>
      <w:r>
        <w:rPr>
          <w:noProof/>
        </w:rPr>
        <w:t xml:space="preserve">Level Crossing Removal Program, 27, 31–32, </w:t>
      </w:r>
      <w:r>
        <w:rPr>
          <w:noProof/>
        </w:rPr>
        <w:br/>
        <w:t>37, 55</w:t>
      </w:r>
    </w:p>
    <w:p w:rsidR="00AE778A" w:rsidRDefault="00AE778A">
      <w:pPr>
        <w:pStyle w:val="IndexHeading"/>
        <w:keepNext/>
        <w:tabs>
          <w:tab w:val="right" w:leader="dot" w:pos="3481"/>
        </w:tabs>
        <w:rPr>
          <w:rFonts w:eastAsiaTheme="minorEastAsia" w:cstheme="minorBidi"/>
          <w:b w:val="0"/>
          <w:bCs w:val="0"/>
          <w:noProof/>
        </w:rPr>
      </w:pPr>
      <w:r>
        <w:rPr>
          <w:noProof/>
        </w:rPr>
        <w:br w:type="column"/>
        <w:t>M</w:t>
      </w:r>
    </w:p>
    <w:p w:rsidR="00AE778A" w:rsidRDefault="00AE778A">
      <w:pPr>
        <w:pStyle w:val="Index1"/>
        <w:tabs>
          <w:tab w:val="right" w:leader="dot" w:pos="3481"/>
        </w:tabs>
        <w:rPr>
          <w:noProof/>
        </w:rPr>
      </w:pPr>
      <w:r w:rsidRPr="006475A2">
        <w:rPr>
          <w:rFonts w:eastAsiaTheme="minorHAnsi"/>
          <w:noProof/>
        </w:rPr>
        <w:t>Melbourne Metro Tunnel</w:t>
      </w:r>
      <w:r>
        <w:rPr>
          <w:noProof/>
        </w:rPr>
        <w:t xml:space="preserve">, 6–7, 27, 30–33, </w:t>
      </w:r>
      <w:r>
        <w:rPr>
          <w:noProof/>
        </w:rPr>
        <w:br/>
        <w:t>39, 54–55</w:t>
      </w:r>
    </w:p>
    <w:p w:rsidR="00AE778A" w:rsidRDefault="00AE778A">
      <w:pPr>
        <w:pStyle w:val="Index1"/>
        <w:tabs>
          <w:tab w:val="right" w:leader="dot" w:pos="3481"/>
        </w:tabs>
        <w:rPr>
          <w:noProof/>
        </w:rPr>
      </w:pPr>
      <w:r>
        <w:rPr>
          <w:noProof/>
        </w:rPr>
        <w:t>Mental h</w:t>
      </w:r>
      <w:r w:rsidRPr="006475A2">
        <w:rPr>
          <w:rFonts w:eastAsiaTheme="minorHAnsi"/>
          <w:noProof/>
        </w:rPr>
        <w:t xml:space="preserve">ealth </w:t>
      </w:r>
      <w:r>
        <w:rPr>
          <w:noProof/>
        </w:rPr>
        <w:t>services, 11</w:t>
      </w:r>
    </w:p>
    <w:p w:rsidR="00AE778A" w:rsidRDefault="00AE778A">
      <w:pPr>
        <w:pStyle w:val="Index1"/>
        <w:tabs>
          <w:tab w:val="right" w:leader="dot" w:pos="3481"/>
        </w:tabs>
        <w:rPr>
          <w:noProof/>
        </w:rPr>
      </w:pPr>
      <w:r w:rsidRPr="006475A2">
        <w:rPr>
          <w:rFonts w:eastAsiaTheme="minorHAnsi"/>
          <w:noProof/>
        </w:rPr>
        <w:t>Mernda rail extension</w:t>
      </w:r>
      <w:r>
        <w:rPr>
          <w:noProof/>
        </w:rPr>
        <w:t>, 7, 31</w:t>
      </w:r>
    </w:p>
    <w:p w:rsidR="00AE778A" w:rsidRDefault="00AE778A">
      <w:pPr>
        <w:pStyle w:val="Index1"/>
        <w:tabs>
          <w:tab w:val="right" w:leader="dot" w:pos="3481"/>
        </w:tabs>
        <w:rPr>
          <w:noProof/>
        </w:rPr>
      </w:pPr>
      <w:r w:rsidRPr="006475A2">
        <w:rPr>
          <w:rFonts w:eastAsiaTheme="minorHAnsi"/>
          <w:noProof/>
        </w:rPr>
        <w:t>Migration</w:t>
      </w:r>
      <w:r>
        <w:rPr>
          <w:noProof/>
        </w:rPr>
        <w:t>, 17–18, 60</w:t>
      </w:r>
    </w:p>
    <w:p w:rsidR="00AE778A" w:rsidRDefault="00AE778A">
      <w:pPr>
        <w:pStyle w:val="Index1"/>
        <w:tabs>
          <w:tab w:val="right" w:leader="dot" w:pos="3481"/>
        </w:tabs>
        <w:rPr>
          <w:noProof/>
        </w:rPr>
      </w:pPr>
      <w:r w:rsidRPr="006475A2">
        <w:rPr>
          <w:rFonts w:eastAsiaTheme="minorHAnsi"/>
          <w:noProof/>
        </w:rPr>
        <w:t>Monash Freeway</w:t>
      </w:r>
      <w:r>
        <w:rPr>
          <w:noProof/>
        </w:rPr>
        <w:t>, 7–8, 55</w:t>
      </w:r>
    </w:p>
    <w:p w:rsidR="00AE778A" w:rsidRDefault="00AE778A">
      <w:pPr>
        <w:pStyle w:val="Index1"/>
        <w:tabs>
          <w:tab w:val="right" w:leader="dot" w:pos="3481"/>
        </w:tabs>
        <w:rPr>
          <w:noProof/>
        </w:rPr>
      </w:pPr>
      <w:r w:rsidRPr="006475A2">
        <w:rPr>
          <w:rFonts w:eastAsiaTheme="minorHAnsi"/>
          <w:noProof/>
        </w:rPr>
        <w:t>Murray Basin Rail Project</w:t>
      </w:r>
      <w:r>
        <w:rPr>
          <w:noProof/>
        </w:rPr>
        <w:t>, 31, 37</w:t>
      </w:r>
    </w:p>
    <w:p w:rsidR="00AE778A" w:rsidRDefault="00AE778A">
      <w:pPr>
        <w:pStyle w:val="IndexHeading"/>
        <w:keepNext/>
        <w:tabs>
          <w:tab w:val="right" w:leader="dot" w:pos="3481"/>
        </w:tabs>
        <w:rPr>
          <w:rFonts w:eastAsiaTheme="minorEastAsia" w:cstheme="minorBidi"/>
          <w:b w:val="0"/>
          <w:bCs w:val="0"/>
          <w:noProof/>
        </w:rPr>
      </w:pPr>
      <w:r>
        <w:rPr>
          <w:noProof/>
        </w:rPr>
        <w:t>N</w:t>
      </w:r>
    </w:p>
    <w:p w:rsidR="00AE778A" w:rsidRDefault="00AE778A">
      <w:pPr>
        <w:pStyle w:val="Index1"/>
        <w:tabs>
          <w:tab w:val="right" w:leader="dot" w:pos="3481"/>
        </w:tabs>
        <w:rPr>
          <w:noProof/>
        </w:rPr>
      </w:pPr>
      <w:r w:rsidRPr="006475A2">
        <w:rPr>
          <w:rFonts w:eastAsiaTheme="minorHAnsi"/>
          <w:noProof/>
        </w:rPr>
        <w:t>National Disability Insurance Scheme</w:t>
      </w:r>
      <w:r>
        <w:rPr>
          <w:noProof/>
        </w:rPr>
        <w:t>, 59</w:t>
      </w:r>
    </w:p>
    <w:p w:rsidR="00AE778A" w:rsidRDefault="00AE778A">
      <w:pPr>
        <w:pStyle w:val="Index1"/>
        <w:tabs>
          <w:tab w:val="right" w:leader="dot" w:pos="3481"/>
        </w:tabs>
        <w:rPr>
          <w:noProof/>
        </w:rPr>
      </w:pPr>
      <w:r>
        <w:rPr>
          <w:noProof/>
        </w:rPr>
        <w:t xml:space="preserve">Net debt. </w:t>
      </w:r>
      <w:r w:rsidRPr="006475A2">
        <w:rPr>
          <w:i/>
          <w:noProof/>
        </w:rPr>
        <w:t xml:space="preserve">See </w:t>
      </w:r>
      <w:r>
        <w:rPr>
          <w:noProof/>
        </w:rPr>
        <w:t>Debt</w:t>
      </w:r>
    </w:p>
    <w:p w:rsidR="00AE778A" w:rsidRDefault="00AE778A">
      <w:pPr>
        <w:pStyle w:val="Index1"/>
        <w:tabs>
          <w:tab w:val="right" w:leader="dot" w:pos="3481"/>
        </w:tabs>
        <w:rPr>
          <w:noProof/>
        </w:rPr>
      </w:pPr>
      <w:r>
        <w:rPr>
          <w:noProof/>
        </w:rPr>
        <w:t>Net financial liabilities, 65–68</w:t>
      </w:r>
    </w:p>
    <w:p w:rsidR="00AE778A" w:rsidRDefault="00AE778A">
      <w:pPr>
        <w:pStyle w:val="Index1"/>
        <w:tabs>
          <w:tab w:val="right" w:leader="dot" w:pos="3481"/>
        </w:tabs>
        <w:rPr>
          <w:noProof/>
        </w:rPr>
      </w:pPr>
      <w:r w:rsidRPr="006475A2">
        <w:rPr>
          <w:rFonts w:eastAsiaTheme="minorHAnsi"/>
          <w:noProof/>
        </w:rPr>
        <w:t>New Energy Technologies</w:t>
      </w:r>
      <w:r>
        <w:rPr>
          <w:noProof/>
        </w:rPr>
        <w:t>, 4</w:t>
      </w:r>
    </w:p>
    <w:p w:rsidR="00AE778A" w:rsidRDefault="00AE778A">
      <w:pPr>
        <w:pStyle w:val="Index1"/>
        <w:tabs>
          <w:tab w:val="right" w:leader="dot" w:pos="3481"/>
        </w:tabs>
        <w:rPr>
          <w:noProof/>
        </w:rPr>
      </w:pPr>
      <w:r>
        <w:rPr>
          <w:noProof/>
        </w:rPr>
        <w:t>Non</w:t>
      </w:r>
      <w:r>
        <w:rPr>
          <w:noProof/>
        </w:rPr>
        <w:noBreakHyphen/>
        <w:t xml:space="preserve">financial public sector, 61–62, </w:t>
      </w:r>
      <w:r w:rsidRPr="006475A2">
        <w:rPr>
          <w:i/>
          <w:noProof/>
        </w:rPr>
        <w:t>See also </w:t>
      </w:r>
      <w:r>
        <w:rPr>
          <w:noProof/>
        </w:rPr>
        <w:t>Debt</w:t>
      </w:r>
    </w:p>
    <w:p w:rsidR="00AE778A" w:rsidRDefault="00AE778A">
      <w:pPr>
        <w:pStyle w:val="IndexHeading"/>
        <w:keepNext/>
        <w:tabs>
          <w:tab w:val="right" w:leader="dot" w:pos="3481"/>
        </w:tabs>
        <w:rPr>
          <w:rFonts w:eastAsiaTheme="minorEastAsia" w:cstheme="minorBidi"/>
          <w:b w:val="0"/>
          <w:bCs w:val="0"/>
          <w:noProof/>
        </w:rPr>
      </w:pPr>
      <w:r>
        <w:rPr>
          <w:noProof/>
        </w:rPr>
        <w:t>O</w:t>
      </w:r>
    </w:p>
    <w:p w:rsidR="00AE778A" w:rsidRDefault="00AE778A">
      <w:pPr>
        <w:pStyle w:val="Index1"/>
        <w:tabs>
          <w:tab w:val="right" w:leader="dot" w:pos="3481"/>
        </w:tabs>
        <w:rPr>
          <w:noProof/>
        </w:rPr>
      </w:pPr>
      <w:r>
        <w:rPr>
          <w:noProof/>
        </w:rPr>
        <w:t>Operating result</w:t>
      </w:r>
    </w:p>
    <w:p w:rsidR="00AE778A" w:rsidRDefault="00AE778A">
      <w:pPr>
        <w:pStyle w:val="Index2"/>
        <w:tabs>
          <w:tab w:val="right" w:leader="dot" w:pos="3481"/>
        </w:tabs>
        <w:rPr>
          <w:noProof/>
        </w:rPr>
      </w:pPr>
      <w:r>
        <w:rPr>
          <w:noProof/>
        </w:rPr>
        <w:t>Non-financial public sector, 62–63</w:t>
      </w:r>
    </w:p>
    <w:p w:rsidR="00AE778A" w:rsidRDefault="00AE778A">
      <w:pPr>
        <w:pStyle w:val="Index2"/>
        <w:tabs>
          <w:tab w:val="right" w:leader="dot" w:pos="3481"/>
        </w:tabs>
        <w:rPr>
          <w:noProof/>
        </w:rPr>
      </w:pPr>
      <w:r>
        <w:rPr>
          <w:noProof/>
        </w:rPr>
        <w:t>State of Victoria, 67–68</w:t>
      </w:r>
    </w:p>
    <w:p w:rsidR="00AE778A" w:rsidRDefault="00AE778A">
      <w:pPr>
        <w:pStyle w:val="Index1"/>
        <w:tabs>
          <w:tab w:val="right" w:leader="dot" w:pos="3481"/>
        </w:tabs>
        <w:rPr>
          <w:noProof/>
        </w:rPr>
      </w:pPr>
      <w:r w:rsidRPr="006475A2">
        <w:rPr>
          <w:rFonts w:eastAsiaTheme="minorHAnsi"/>
          <w:noProof/>
        </w:rPr>
        <w:t>Operating surplus</w:t>
      </w:r>
      <w:r>
        <w:rPr>
          <w:noProof/>
        </w:rPr>
        <w:t>, 2, 13–14, 43</w:t>
      </w:r>
    </w:p>
    <w:p w:rsidR="00AE778A" w:rsidRDefault="00AE778A">
      <w:pPr>
        <w:pStyle w:val="IndexHeading"/>
        <w:keepNext/>
        <w:tabs>
          <w:tab w:val="right" w:leader="dot" w:pos="3481"/>
        </w:tabs>
        <w:rPr>
          <w:rFonts w:eastAsiaTheme="minorEastAsia" w:cstheme="minorBidi"/>
          <w:b w:val="0"/>
          <w:bCs w:val="0"/>
          <w:noProof/>
        </w:rPr>
      </w:pPr>
      <w:r>
        <w:rPr>
          <w:noProof/>
        </w:rPr>
        <w:t>P</w:t>
      </w:r>
    </w:p>
    <w:p w:rsidR="00AE778A" w:rsidRDefault="00AE778A">
      <w:pPr>
        <w:pStyle w:val="Index1"/>
        <w:tabs>
          <w:tab w:val="right" w:leader="dot" w:pos="3481"/>
        </w:tabs>
        <w:rPr>
          <w:noProof/>
        </w:rPr>
      </w:pPr>
      <w:r>
        <w:rPr>
          <w:noProof/>
        </w:rPr>
        <w:t xml:space="preserve">Payroll tax. </w:t>
      </w:r>
      <w:r w:rsidRPr="006475A2">
        <w:rPr>
          <w:i/>
          <w:noProof/>
        </w:rPr>
        <w:t xml:space="preserve">See </w:t>
      </w:r>
      <w:r>
        <w:rPr>
          <w:noProof/>
        </w:rPr>
        <w:t>Taxation</w:t>
      </w:r>
    </w:p>
    <w:p w:rsidR="00AE778A" w:rsidRDefault="00AE778A">
      <w:pPr>
        <w:pStyle w:val="Index1"/>
        <w:tabs>
          <w:tab w:val="right" w:leader="dot" w:pos="3481"/>
        </w:tabs>
        <w:rPr>
          <w:noProof/>
        </w:rPr>
      </w:pPr>
      <w:r w:rsidRPr="006475A2">
        <w:rPr>
          <w:rFonts w:eastAsiaTheme="minorHAnsi"/>
          <w:noProof/>
        </w:rPr>
        <w:t>Police</w:t>
      </w:r>
      <w:r>
        <w:rPr>
          <w:noProof/>
        </w:rPr>
        <w:t>, 12, 52</w:t>
      </w:r>
    </w:p>
    <w:p w:rsidR="00AE778A" w:rsidRDefault="00AE778A">
      <w:pPr>
        <w:pStyle w:val="Index1"/>
        <w:tabs>
          <w:tab w:val="right" w:leader="dot" w:pos="3481"/>
        </w:tabs>
        <w:rPr>
          <w:noProof/>
        </w:rPr>
      </w:pPr>
      <w:r w:rsidRPr="006475A2">
        <w:rPr>
          <w:rFonts w:eastAsiaTheme="minorHAnsi"/>
          <w:noProof/>
        </w:rPr>
        <w:t>Population</w:t>
      </w:r>
    </w:p>
    <w:p w:rsidR="00AE778A" w:rsidRDefault="00AE778A">
      <w:pPr>
        <w:pStyle w:val="Index2"/>
        <w:tabs>
          <w:tab w:val="right" w:leader="dot" w:pos="3481"/>
        </w:tabs>
        <w:rPr>
          <w:noProof/>
        </w:rPr>
      </w:pPr>
      <w:r>
        <w:rPr>
          <w:noProof/>
        </w:rPr>
        <w:t>Growth, 1–3, 6, 7, 11, 13, 15, 17–18,</w:t>
      </w:r>
      <w:r>
        <w:rPr>
          <w:noProof/>
        </w:rPr>
        <w:br/>
        <w:t xml:space="preserve"> 27–29, 41, 46, 48, 58, 60</w:t>
      </w:r>
    </w:p>
    <w:p w:rsidR="00AE778A" w:rsidRDefault="00AE778A">
      <w:pPr>
        <w:pStyle w:val="Index1"/>
        <w:tabs>
          <w:tab w:val="right" w:leader="dot" w:pos="3481"/>
        </w:tabs>
        <w:rPr>
          <w:noProof/>
        </w:rPr>
      </w:pPr>
      <w:r w:rsidRPr="006475A2">
        <w:rPr>
          <w:rFonts w:eastAsiaTheme="minorHAnsi"/>
          <w:noProof/>
        </w:rPr>
        <w:t>Port of Melbourne</w:t>
      </w:r>
      <w:r>
        <w:rPr>
          <w:noProof/>
        </w:rPr>
        <w:t xml:space="preserve">, 8–9, 32, 37, 44, 47, </w:t>
      </w:r>
      <w:r>
        <w:rPr>
          <w:noProof/>
        </w:rPr>
        <w:br/>
        <w:t>49, 53, 55–56</w:t>
      </w:r>
    </w:p>
    <w:p w:rsidR="00AE778A" w:rsidRDefault="00AE778A">
      <w:pPr>
        <w:pStyle w:val="Index1"/>
        <w:tabs>
          <w:tab w:val="right" w:leader="dot" w:pos="3481"/>
        </w:tabs>
        <w:rPr>
          <w:noProof/>
        </w:rPr>
      </w:pPr>
      <w:r w:rsidRPr="006475A2">
        <w:rPr>
          <w:rFonts w:eastAsiaTheme="minorHAnsi"/>
          <w:noProof/>
        </w:rPr>
        <w:t>Premier’s Jobs and Investment Fund</w:t>
      </w:r>
      <w:r>
        <w:rPr>
          <w:noProof/>
        </w:rPr>
        <w:t>, 20</w:t>
      </w:r>
    </w:p>
    <w:p w:rsidR="00AE778A" w:rsidRDefault="00AE778A">
      <w:pPr>
        <w:pStyle w:val="Index1"/>
        <w:tabs>
          <w:tab w:val="right" w:leader="dot" w:pos="3481"/>
        </w:tabs>
        <w:rPr>
          <w:noProof/>
        </w:rPr>
      </w:pPr>
      <w:r w:rsidRPr="006475A2">
        <w:rPr>
          <w:rFonts w:eastAsiaTheme="minorHAnsi"/>
          <w:noProof/>
        </w:rPr>
        <w:t>Priority growth sectors</w:t>
      </w:r>
      <w:r>
        <w:rPr>
          <w:noProof/>
        </w:rPr>
        <w:t>, 4</w:t>
      </w:r>
    </w:p>
    <w:p w:rsidR="00AE778A" w:rsidRDefault="00AE778A">
      <w:pPr>
        <w:pStyle w:val="Index1"/>
        <w:tabs>
          <w:tab w:val="right" w:leader="dot" w:pos="3481"/>
        </w:tabs>
        <w:rPr>
          <w:noProof/>
        </w:rPr>
      </w:pPr>
      <w:r w:rsidRPr="006475A2">
        <w:rPr>
          <w:rFonts w:eastAsiaTheme="minorHAnsi"/>
          <w:noProof/>
        </w:rPr>
        <w:t>Productivity</w:t>
      </w:r>
      <w:r>
        <w:rPr>
          <w:noProof/>
        </w:rPr>
        <w:t>, 2–4, 6, 8, 13, 27, 29–30, 41–42,</w:t>
      </w:r>
      <w:r>
        <w:rPr>
          <w:noProof/>
        </w:rPr>
        <w:br/>
        <w:t xml:space="preserve"> 43–44, 52, 55, 82</w:t>
      </w:r>
    </w:p>
    <w:p w:rsidR="00AE778A" w:rsidRDefault="00AE778A">
      <w:pPr>
        <w:pStyle w:val="Index1"/>
        <w:tabs>
          <w:tab w:val="right" w:leader="dot" w:pos="3481"/>
        </w:tabs>
        <w:rPr>
          <w:noProof/>
        </w:rPr>
      </w:pPr>
      <w:r w:rsidRPr="006475A2">
        <w:rPr>
          <w:rFonts w:eastAsiaTheme="minorHAnsi"/>
          <w:noProof/>
        </w:rPr>
        <w:t>Public financial corporations</w:t>
      </w:r>
      <w:r>
        <w:rPr>
          <w:noProof/>
        </w:rPr>
        <w:t>, 47, 61</w:t>
      </w:r>
    </w:p>
    <w:p w:rsidR="00AE778A" w:rsidRDefault="00AE778A">
      <w:pPr>
        <w:pStyle w:val="Index1"/>
        <w:tabs>
          <w:tab w:val="right" w:leader="dot" w:pos="3481"/>
        </w:tabs>
        <w:rPr>
          <w:noProof/>
        </w:rPr>
      </w:pPr>
      <w:r>
        <w:rPr>
          <w:noProof/>
        </w:rPr>
        <w:t>Public non</w:t>
      </w:r>
      <w:r>
        <w:rPr>
          <w:noProof/>
        </w:rPr>
        <w:noBreakHyphen/>
        <w:t>financial corporations, 61, 75</w:t>
      </w:r>
    </w:p>
    <w:p w:rsidR="00AE778A" w:rsidRDefault="00AE778A">
      <w:pPr>
        <w:pStyle w:val="Index1"/>
        <w:tabs>
          <w:tab w:val="right" w:leader="dot" w:pos="3481"/>
        </w:tabs>
        <w:rPr>
          <w:noProof/>
        </w:rPr>
      </w:pPr>
      <w:r w:rsidRPr="006475A2">
        <w:rPr>
          <w:rFonts w:eastAsiaTheme="minorHAnsi"/>
          <w:noProof/>
        </w:rPr>
        <w:t>Public private partnerships (PPPs)</w:t>
      </w:r>
      <w:r>
        <w:rPr>
          <w:noProof/>
        </w:rPr>
        <w:t>, 32, 38, 54</w:t>
      </w:r>
    </w:p>
    <w:p w:rsidR="00AE778A" w:rsidRDefault="00AE778A">
      <w:pPr>
        <w:pStyle w:val="Index1"/>
        <w:tabs>
          <w:tab w:val="right" w:leader="dot" w:pos="3481"/>
        </w:tabs>
        <w:rPr>
          <w:noProof/>
        </w:rPr>
      </w:pPr>
      <w:r w:rsidRPr="006475A2">
        <w:rPr>
          <w:rFonts w:eastAsiaTheme="minorHAnsi"/>
          <w:noProof/>
        </w:rPr>
        <w:t>Public transport</w:t>
      </w:r>
      <w:r>
        <w:rPr>
          <w:noProof/>
        </w:rPr>
        <w:t>, 6–7, 28, 30–31, 41, 55</w:t>
      </w:r>
    </w:p>
    <w:p w:rsidR="00AE778A" w:rsidRDefault="00AE778A">
      <w:pPr>
        <w:pStyle w:val="Index2"/>
        <w:tabs>
          <w:tab w:val="right" w:leader="dot" w:pos="3481"/>
        </w:tabs>
        <w:rPr>
          <w:noProof/>
        </w:rPr>
      </w:pPr>
      <w:r>
        <w:rPr>
          <w:noProof/>
        </w:rPr>
        <w:t>Regional, 1</w:t>
      </w:r>
    </w:p>
    <w:p w:rsidR="00AE778A" w:rsidRDefault="00AE778A">
      <w:pPr>
        <w:pStyle w:val="IndexHeading"/>
        <w:keepNext/>
        <w:tabs>
          <w:tab w:val="right" w:leader="dot" w:pos="3481"/>
        </w:tabs>
        <w:rPr>
          <w:rFonts w:eastAsiaTheme="minorEastAsia" w:cstheme="minorBidi"/>
          <w:b w:val="0"/>
          <w:bCs w:val="0"/>
          <w:noProof/>
        </w:rPr>
      </w:pPr>
      <w:r>
        <w:rPr>
          <w:noProof/>
        </w:rPr>
        <w:br w:type="column"/>
        <w:t>R</w:t>
      </w:r>
    </w:p>
    <w:p w:rsidR="00AE778A" w:rsidRDefault="00AE778A">
      <w:pPr>
        <w:pStyle w:val="Index1"/>
        <w:tabs>
          <w:tab w:val="right" w:leader="dot" w:pos="3481"/>
        </w:tabs>
        <w:rPr>
          <w:noProof/>
        </w:rPr>
      </w:pPr>
      <w:r w:rsidRPr="006475A2">
        <w:rPr>
          <w:rFonts w:eastAsiaTheme="minorHAnsi"/>
          <w:noProof/>
        </w:rPr>
        <w:t>Red Tape Commissioner</w:t>
      </w:r>
      <w:r>
        <w:rPr>
          <w:noProof/>
        </w:rPr>
        <w:t>, 5</w:t>
      </w:r>
    </w:p>
    <w:p w:rsidR="00AE778A" w:rsidRDefault="00AE778A">
      <w:pPr>
        <w:pStyle w:val="Index1"/>
        <w:tabs>
          <w:tab w:val="right" w:leader="dot" w:pos="3481"/>
        </w:tabs>
        <w:rPr>
          <w:noProof/>
        </w:rPr>
      </w:pPr>
      <w:r w:rsidRPr="006475A2">
        <w:rPr>
          <w:rFonts w:eastAsiaTheme="minorHAnsi"/>
          <w:noProof/>
        </w:rPr>
        <w:t>Regional jobs</w:t>
      </w:r>
      <w:r>
        <w:rPr>
          <w:noProof/>
        </w:rPr>
        <w:t>, 1</w:t>
      </w:r>
    </w:p>
    <w:p w:rsidR="00AE778A" w:rsidRDefault="00AE778A">
      <w:pPr>
        <w:pStyle w:val="Index1"/>
        <w:tabs>
          <w:tab w:val="right" w:leader="dot" w:pos="3481"/>
        </w:tabs>
        <w:rPr>
          <w:noProof/>
        </w:rPr>
      </w:pPr>
      <w:r w:rsidRPr="006475A2">
        <w:rPr>
          <w:rFonts w:eastAsiaTheme="minorHAnsi"/>
          <w:noProof/>
        </w:rPr>
        <w:t>Regional Jobs Fund</w:t>
      </w:r>
      <w:r>
        <w:rPr>
          <w:noProof/>
        </w:rPr>
        <w:t>, 20</w:t>
      </w:r>
    </w:p>
    <w:p w:rsidR="00AE778A" w:rsidRDefault="00AE778A">
      <w:pPr>
        <w:pStyle w:val="Index1"/>
        <w:tabs>
          <w:tab w:val="right" w:leader="dot" w:pos="3481"/>
        </w:tabs>
        <w:rPr>
          <w:noProof/>
        </w:rPr>
      </w:pPr>
      <w:r w:rsidRPr="006475A2">
        <w:rPr>
          <w:rFonts w:eastAsiaTheme="minorHAnsi"/>
          <w:noProof/>
        </w:rPr>
        <w:t>Risks</w:t>
      </w:r>
    </w:p>
    <w:p w:rsidR="00AE778A" w:rsidRDefault="00AE778A">
      <w:pPr>
        <w:pStyle w:val="Index2"/>
        <w:tabs>
          <w:tab w:val="right" w:leader="dot" w:pos="3481"/>
        </w:tabs>
        <w:rPr>
          <w:noProof/>
        </w:rPr>
      </w:pPr>
      <w:r>
        <w:rPr>
          <w:noProof/>
        </w:rPr>
        <w:t>Economic, 58</w:t>
      </w:r>
    </w:p>
    <w:p w:rsidR="00AE778A" w:rsidRDefault="00AE778A">
      <w:pPr>
        <w:pStyle w:val="Index2"/>
        <w:tabs>
          <w:tab w:val="right" w:leader="dot" w:pos="3481"/>
        </w:tabs>
        <w:rPr>
          <w:noProof/>
        </w:rPr>
      </w:pPr>
      <w:r>
        <w:rPr>
          <w:noProof/>
        </w:rPr>
        <w:t>Expenditure, 58</w:t>
      </w:r>
    </w:p>
    <w:p w:rsidR="00AE778A" w:rsidRDefault="00AE778A">
      <w:pPr>
        <w:pStyle w:val="Index2"/>
        <w:tabs>
          <w:tab w:val="right" w:leader="dot" w:pos="3481"/>
        </w:tabs>
        <w:rPr>
          <w:noProof/>
        </w:rPr>
      </w:pPr>
      <w:r>
        <w:rPr>
          <w:noProof/>
        </w:rPr>
        <w:t>Fiscal, 57–60</w:t>
      </w:r>
    </w:p>
    <w:p w:rsidR="00AE778A" w:rsidRDefault="00AE778A">
      <w:pPr>
        <w:pStyle w:val="Index1"/>
        <w:tabs>
          <w:tab w:val="right" w:leader="dot" w:pos="3481"/>
        </w:tabs>
        <w:rPr>
          <w:noProof/>
        </w:rPr>
      </w:pPr>
      <w:r w:rsidRPr="006475A2">
        <w:rPr>
          <w:rFonts w:eastAsiaTheme="minorHAnsi"/>
          <w:noProof/>
        </w:rPr>
        <w:t>Road safety</w:t>
      </w:r>
      <w:r>
        <w:rPr>
          <w:noProof/>
        </w:rPr>
        <w:t>, 8</w:t>
      </w:r>
    </w:p>
    <w:p w:rsidR="00AE778A" w:rsidRDefault="00AE778A">
      <w:pPr>
        <w:pStyle w:val="Index1"/>
        <w:tabs>
          <w:tab w:val="right" w:leader="dot" w:pos="3481"/>
        </w:tabs>
        <w:rPr>
          <w:noProof/>
        </w:rPr>
      </w:pPr>
      <w:r w:rsidRPr="006475A2">
        <w:rPr>
          <w:rFonts w:eastAsiaTheme="minorHAnsi"/>
          <w:noProof/>
        </w:rPr>
        <w:t>Roads</w:t>
      </w:r>
      <w:r>
        <w:rPr>
          <w:noProof/>
        </w:rPr>
        <w:t>, 1, 6–8, 28, 30</w:t>
      </w:r>
    </w:p>
    <w:p w:rsidR="00AE778A" w:rsidRDefault="00AE778A">
      <w:pPr>
        <w:pStyle w:val="Index1"/>
        <w:tabs>
          <w:tab w:val="right" w:leader="dot" w:pos="3481"/>
        </w:tabs>
        <w:rPr>
          <w:noProof/>
        </w:rPr>
      </w:pPr>
      <w:r>
        <w:rPr>
          <w:noProof/>
        </w:rPr>
        <w:t xml:space="preserve">Royal Commission into Family Violence. </w:t>
      </w:r>
      <w:r w:rsidRPr="006475A2">
        <w:rPr>
          <w:i/>
          <w:noProof/>
        </w:rPr>
        <w:t xml:space="preserve">See </w:t>
      </w:r>
      <w:r>
        <w:rPr>
          <w:noProof/>
        </w:rPr>
        <w:t>Family Violence</w:t>
      </w:r>
    </w:p>
    <w:p w:rsidR="00AE778A" w:rsidRDefault="00AE778A">
      <w:pPr>
        <w:pStyle w:val="IndexHeading"/>
        <w:keepNext/>
        <w:tabs>
          <w:tab w:val="right" w:leader="dot" w:pos="3481"/>
        </w:tabs>
        <w:rPr>
          <w:rFonts w:eastAsiaTheme="minorEastAsia" w:cstheme="minorBidi"/>
          <w:b w:val="0"/>
          <w:bCs w:val="0"/>
          <w:noProof/>
        </w:rPr>
      </w:pPr>
      <w:r>
        <w:rPr>
          <w:noProof/>
        </w:rPr>
        <w:t>S</w:t>
      </w:r>
    </w:p>
    <w:p w:rsidR="00AE778A" w:rsidRDefault="00AE778A">
      <w:pPr>
        <w:pStyle w:val="Index1"/>
        <w:tabs>
          <w:tab w:val="right" w:leader="dot" w:pos="3481"/>
        </w:tabs>
        <w:rPr>
          <w:noProof/>
        </w:rPr>
      </w:pPr>
      <w:r>
        <w:rPr>
          <w:noProof/>
        </w:rPr>
        <w:t>Schools, 11</w:t>
      </w:r>
    </w:p>
    <w:p w:rsidR="00AE778A" w:rsidRDefault="00AE778A">
      <w:pPr>
        <w:pStyle w:val="Index1"/>
        <w:tabs>
          <w:tab w:val="right" w:leader="dot" w:pos="3481"/>
        </w:tabs>
        <w:rPr>
          <w:noProof/>
        </w:rPr>
      </w:pPr>
      <w:r>
        <w:rPr>
          <w:noProof/>
        </w:rPr>
        <w:t>Sensitivity analysis</w:t>
      </w:r>
    </w:p>
    <w:p w:rsidR="00AE778A" w:rsidRDefault="00AE778A">
      <w:pPr>
        <w:pStyle w:val="Index2"/>
        <w:tabs>
          <w:tab w:val="right" w:leader="dot" w:pos="3481"/>
        </w:tabs>
        <w:rPr>
          <w:noProof/>
        </w:rPr>
      </w:pPr>
      <w:r>
        <w:rPr>
          <w:noProof/>
        </w:rPr>
        <w:t>Average weekly earnings, 78</w:t>
      </w:r>
    </w:p>
    <w:p w:rsidR="00AE778A" w:rsidRDefault="00AE778A">
      <w:pPr>
        <w:pStyle w:val="Index2"/>
        <w:tabs>
          <w:tab w:val="right" w:leader="dot" w:pos="3481"/>
        </w:tabs>
        <w:rPr>
          <w:noProof/>
        </w:rPr>
      </w:pPr>
      <w:r>
        <w:rPr>
          <w:noProof/>
        </w:rPr>
        <w:t>Consumer prices, 76</w:t>
      </w:r>
    </w:p>
    <w:p w:rsidR="00AE778A" w:rsidRDefault="00AE778A">
      <w:pPr>
        <w:pStyle w:val="Index2"/>
        <w:tabs>
          <w:tab w:val="right" w:leader="dot" w:pos="3481"/>
        </w:tabs>
        <w:rPr>
          <w:noProof/>
        </w:rPr>
      </w:pPr>
      <w:r>
        <w:rPr>
          <w:noProof/>
        </w:rPr>
        <w:t>Domestic and overseas share prices, 80</w:t>
      </w:r>
    </w:p>
    <w:p w:rsidR="00AE778A" w:rsidRDefault="00AE778A">
      <w:pPr>
        <w:pStyle w:val="Index2"/>
        <w:tabs>
          <w:tab w:val="right" w:leader="dot" w:pos="3481"/>
        </w:tabs>
        <w:rPr>
          <w:noProof/>
        </w:rPr>
      </w:pPr>
      <w:r>
        <w:rPr>
          <w:noProof/>
        </w:rPr>
        <w:t>Employment, 77</w:t>
      </w:r>
    </w:p>
    <w:p w:rsidR="00AE778A" w:rsidRDefault="00AE778A">
      <w:pPr>
        <w:pStyle w:val="Index2"/>
        <w:tabs>
          <w:tab w:val="right" w:leader="dot" w:pos="3481"/>
        </w:tabs>
        <w:rPr>
          <w:noProof/>
        </w:rPr>
      </w:pPr>
      <w:r>
        <w:rPr>
          <w:noProof/>
        </w:rPr>
        <w:t>Gross state product, 74</w:t>
      </w:r>
    </w:p>
    <w:p w:rsidR="00AE778A" w:rsidRDefault="00AE778A">
      <w:pPr>
        <w:pStyle w:val="Index2"/>
        <w:tabs>
          <w:tab w:val="right" w:leader="dot" w:pos="3481"/>
        </w:tabs>
        <w:rPr>
          <w:noProof/>
        </w:rPr>
      </w:pPr>
      <w:r>
        <w:rPr>
          <w:noProof/>
        </w:rPr>
        <w:t>Interest rates, 75</w:t>
      </w:r>
    </w:p>
    <w:p w:rsidR="00AE778A" w:rsidRDefault="00AE778A">
      <w:pPr>
        <w:pStyle w:val="Index2"/>
        <w:tabs>
          <w:tab w:val="right" w:leader="dot" w:pos="3481"/>
        </w:tabs>
        <w:rPr>
          <w:noProof/>
        </w:rPr>
      </w:pPr>
      <w:r>
        <w:rPr>
          <w:noProof/>
        </w:rPr>
        <w:t>Property prices and volumes, 80</w:t>
      </w:r>
    </w:p>
    <w:p w:rsidR="00AE778A" w:rsidRDefault="00AE778A">
      <w:pPr>
        <w:pStyle w:val="Index1"/>
        <w:tabs>
          <w:tab w:val="right" w:leader="dot" w:pos="3481"/>
        </w:tabs>
        <w:rPr>
          <w:noProof/>
        </w:rPr>
      </w:pPr>
      <w:r w:rsidRPr="006475A2">
        <w:rPr>
          <w:rFonts w:eastAsiaTheme="minorHAnsi"/>
          <w:noProof/>
        </w:rPr>
        <w:t>Service delivery</w:t>
      </w:r>
      <w:r>
        <w:rPr>
          <w:noProof/>
        </w:rPr>
        <w:t>, 43–44, 52</w:t>
      </w:r>
    </w:p>
    <w:p w:rsidR="00AE778A" w:rsidRDefault="00AE778A">
      <w:pPr>
        <w:pStyle w:val="Index1"/>
        <w:tabs>
          <w:tab w:val="right" w:leader="dot" w:pos="3481"/>
        </w:tabs>
        <w:rPr>
          <w:noProof/>
        </w:rPr>
      </w:pPr>
      <w:r w:rsidRPr="006475A2">
        <w:rPr>
          <w:rFonts w:eastAsiaTheme="minorHAnsi"/>
          <w:noProof/>
        </w:rPr>
        <w:t>Skills</w:t>
      </w:r>
      <w:r>
        <w:rPr>
          <w:noProof/>
        </w:rPr>
        <w:t>, 4–5, 21</w:t>
      </w:r>
    </w:p>
    <w:p w:rsidR="00AE778A" w:rsidRDefault="00AE778A">
      <w:pPr>
        <w:pStyle w:val="Index1"/>
        <w:tabs>
          <w:tab w:val="right" w:leader="dot" w:pos="3481"/>
        </w:tabs>
        <w:rPr>
          <w:noProof/>
        </w:rPr>
      </w:pPr>
      <w:r w:rsidRPr="006475A2">
        <w:rPr>
          <w:rFonts w:eastAsiaTheme="minorHAnsi"/>
          <w:noProof/>
        </w:rPr>
        <w:t>Small business</w:t>
      </w:r>
      <w:r>
        <w:rPr>
          <w:noProof/>
        </w:rPr>
        <w:t>, 5</w:t>
      </w:r>
    </w:p>
    <w:p w:rsidR="00AE778A" w:rsidRDefault="00AE778A">
      <w:pPr>
        <w:pStyle w:val="Index1"/>
        <w:tabs>
          <w:tab w:val="right" w:leader="dot" w:pos="3481"/>
        </w:tabs>
        <w:rPr>
          <w:noProof/>
        </w:rPr>
      </w:pPr>
      <w:r w:rsidRPr="006475A2">
        <w:rPr>
          <w:rFonts w:eastAsiaTheme="minorHAnsi"/>
          <w:noProof/>
        </w:rPr>
        <w:t>Smart Planning Program</w:t>
      </w:r>
      <w:r>
        <w:rPr>
          <w:noProof/>
        </w:rPr>
        <w:t>, 5, 29</w:t>
      </w:r>
    </w:p>
    <w:p w:rsidR="00AE778A" w:rsidRDefault="00AE778A">
      <w:pPr>
        <w:pStyle w:val="Index1"/>
        <w:tabs>
          <w:tab w:val="right" w:leader="dot" w:pos="3481"/>
        </w:tabs>
        <w:rPr>
          <w:noProof/>
        </w:rPr>
      </w:pPr>
      <w:r>
        <w:rPr>
          <w:noProof/>
        </w:rPr>
        <w:t>Structural change, 15, 19</w:t>
      </w:r>
    </w:p>
    <w:p w:rsidR="00AE778A" w:rsidRDefault="00AE778A">
      <w:pPr>
        <w:pStyle w:val="Index1"/>
        <w:tabs>
          <w:tab w:val="right" w:leader="dot" w:pos="3481"/>
        </w:tabs>
        <w:rPr>
          <w:noProof/>
        </w:rPr>
      </w:pPr>
      <w:r>
        <w:rPr>
          <w:noProof/>
        </w:rPr>
        <w:t>Superannuation</w:t>
      </w:r>
    </w:p>
    <w:p w:rsidR="00AE778A" w:rsidRDefault="00AE778A">
      <w:pPr>
        <w:pStyle w:val="Index2"/>
        <w:tabs>
          <w:tab w:val="right" w:leader="dot" w:pos="3481"/>
        </w:tabs>
        <w:rPr>
          <w:noProof/>
        </w:rPr>
      </w:pPr>
      <w:r>
        <w:rPr>
          <w:noProof/>
        </w:rPr>
        <w:t>Expense, 75–76, 79–80</w:t>
      </w:r>
    </w:p>
    <w:p w:rsidR="00AE778A" w:rsidRDefault="00AE778A">
      <w:pPr>
        <w:pStyle w:val="Index2"/>
        <w:tabs>
          <w:tab w:val="right" w:leader="dot" w:pos="3481"/>
        </w:tabs>
        <w:rPr>
          <w:noProof/>
        </w:rPr>
      </w:pPr>
      <w:r>
        <w:rPr>
          <w:noProof/>
        </w:rPr>
        <w:t>Liability, 14, 43, 79–80</w:t>
      </w:r>
    </w:p>
    <w:p w:rsidR="00AE778A" w:rsidRDefault="00AE778A">
      <w:pPr>
        <w:pStyle w:val="Index2"/>
        <w:tabs>
          <w:tab w:val="right" w:leader="dot" w:pos="3481"/>
        </w:tabs>
        <w:rPr>
          <w:noProof/>
        </w:rPr>
      </w:pPr>
      <w:r>
        <w:rPr>
          <w:noProof/>
        </w:rPr>
        <w:t>Unfunded superannuation liability, 57</w:t>
      </w:r>
    </w:p>
    <w:p w:rsidR="00AE778A" w:rsidRDefault="00AE778A">
      <w:pPr>
        <w:pStyle w:val="Index1"/>
        <w:tabs>
          <w:tab w:val="right" w:leader="dot" w:pos="3481"/>
        </w:tabs>
        <w:rPr>
          <w:noProof/>
        </w:rPr>
      </w:pPr>
      <w:r>
        <w:rPr>
          <w:noProof/>
        </w:rPr>
        <w:t xml:space="preserve">Surplus. </w:t>
      </w:r>
      <w:r w:rsidRPr="006475A2">
        <w:rPr>
          <w:i/>
          <w:noProof/>
        </w:rPr>
        <w:t xml:space="preserve">See </w:t>
      </w:r>
      <w:r>
        <w:rPr>
          <w:noProof/>
        </w:rPr>
        <w:t>Operating surplus</w:t>
      </w:r>
    </w:p>
    <w:p w:rsidR="00AE778A" w:rsidRDefault="00AE778A">
      <w:pPr>
        <w:pStyle w:val="IndexHeading"/>
        <w:keepNext/>
        <w:tabs>
          <w:tab w:val="right" w:leader="dot" w:pos="3481"/>
        </w:tabs>
        <w:rPr>
          <w:rFonts w:eastAsiaTheme="minorEastAsia" w:cstheme="minorBidi"/>
          <w:b w:val="0"/>
          <w:bCs w:val="0"/>
          <w:noProof/>
        </w:rPr>
      </w:pPr>
      <w:r>
        <w:rPr>
          <w:noProof/>
        </w:rPr>
        <w:t>T</w:t>
      </w:r>
    </w:p>
    <w:p w:rsidR="00AE778A" w:rsidRDefault="00AE778A">
      <w:pPr>
        <w:pStyle w:val="Index1"/>
        <w:tabs>
          <w:tab w:val="right" w:leader="dot" w:pos="3481"/>
        </w:tabs>
        <w:rPr>
          <w:noProof/>
        </w:rPr>
      </w:pPr>
      <w:r w:rsidRPr="006475A2">
        <w:rPr>
          <w:rFonts w:eastAsiaTheme="minorHAnsi"/>
          <w:noProof/>
        </w:rPr>
        <w:t>Taxation</w:t>
      </w:r>
    </w:p>
    <w:p w:rsidR="00AE778A" w:rsidRDefault="00AE778A">
      <w:pPr>
        <w:pStyle w:val="Index2"/>
        <w:tabs>
          <w:tab w:val="right" w:leader="dot" w:pos="3481"/>
        </w:tabs>
        <w:rPr>
          <w:noProof/>
        </w:rPr>
      </w:pPr>
      <w:r>
        <w:rPr>
          <w:noProof/>
        </w:rPr>
        <w:t>Gambling, 47</w:t>
      </w:r>
    </w:p>
    <w:p w:rsidR="00AE778A" w:rsidRDefault="00AE778A">
      <w:pPr>
        <w:pStyle w:val="Index2"/>
        <w:tabs>
          <w:tab w:val="right" w:leader="dot" w:pos="3481"/>
        </w:tabs>
        <w:rPr>
          <w:noProof/>
        </w:rPr>
      </w:pPr>
      <w:r>
        <w:rPr>
          <w:noProof/>
        </w:rPr>
        <w:t>Goods and services tax, 74</w:t>
      </w:r>
    </w:p>
    <w:p w:rsidR="00AE778A" w:rsidRDefault="00AE778A">
      <w:pPr>
        <w:pStyle w:val="Index2"/>
        <w:tabs>
          <w:tab w:val="right" w:leader="dot" w:pos="3481"/>
        </w:tabs>
        <w:rPr>
          <w:noProof/>
        </w:rPr>
      </w:pPr>
      <w:r>
        <w:rPr>
          <w:noProof/>
        </w:rPr>
        <w:t>Insurance, 47</w:t>
      </w:r>
    </w:p>
    <w:p w:rsidR="00AE778A" w:rsidRDefault="00AE778A">
      <w:pPr>
        <w:pStyle w:val="Index2"/>
        <w:tabs>
          <w:tab w:val="right" w:leader="dot" w:pos="3481"/>
        </w:tabs>
        <w:rPr>
          <w:noProof/>
        </w:rPr>
      </w:pPr>
      <w:r>
        <w:rPr>
          <w:noProof/>
        </w:rPr>
        <w:t>Land tax, 46, 52</w:t>
      </w:r>
    </w:p>
    <w:p w:rsidR="00AE778A" w:rsidRDefault="00AE778A">
      <w:pPr>
        <w:pStyle w:val="Index2"/>
        <w:tabs>
          <w:tab w:val="right" w:leader="dot" w:pos="3481"/>
        </w:tabs>
        <w:rPr>
          <w:noProof/>
        </w:rPr>
      </w:pPr>
      <w:r w:rsidRPr="006475A2">
        <w:rPr>
          <w:rFonts w:eastAsiaTheme="minorHAnsi"/>
          <w:noProof/>
        </w:rPr>
        <w:t>Land transfer duty</w:t>
      </w:r>
      <w:r>
        <w:rPr>
          <w:noProof/>
        </w:rPr>
        <w:t>, 46, 52, 58, 80–81, 83</w:t>
      </w:r>
    </w:p>
    <w:p w:rsidR="00AE778A" w:rsidRDefault="00AE778A">
      <w:pPr>
        <w:pStyle w:val="Index2"/>
        <w:tabs>
          <w:tab w:val="right" w:leader="dot" w:pos="3481"/>
        </w:tabs>
        <w:rPr>
          <w:noProof/>
        </w:rPr>
      </w:pPr>
      <w:r>
        <w:rPr>
          <w:noProof/>
        </w:rPr>
        <w:t>Motor vehicle, 47, 58</w:t>
      </w:r>
    </w:p>
    <w:p w:rsidR="00AE778A" w:rsidRDefault="00AE778A">
      <w:pPr>
        <w:pStyle w:val="Index2"/>
        <w:tabs>
          <w:tab w:val="right" w:leader="dot" w:pos="3481"/>
        </w:tabs>
        <w:rPr>
          <w:noProof/>
        </w:rPr>
      </w:pPr>
      <w:r>
        <w:rPr>
          <w:noProof/>
        </w:rPr>
        <w:t>Payroll tax, 5, 46, 52, 58, 81, 82</w:t>
      </w:r>
    </w:p>
    <w:p w:rsidR="00AE778A" w:rsidRDefault="00AE778A">
      <w:pPr>
        <w:pStyle w:val="Index2"/>
        <w:tabs>
          <w:tab w:val="right" w:leader="dot" w:pos="3481"/>
        </w:tabs>
        <w:rPr>
          <w:noProof/>
        </w:rPr>
      </w:pPr>
      <w:r>
        <w:rPr>
          <w:noProof/>
        </w:rPr>
        <w:t>Revenue, 46, 58, 76</w:t>
      </w:r>
    </w:p>
    <w:p w:rsidR="00AE778A" w:rsidRDefault="00AE778A">
      <w:pPr>
        <w:pStyle w:val="Index1"/>
        <w:tabs>
          <w:tab w:val="right" w:leader="dot" w:pos="3481"/>
        </w:tabs>
        <w:rPr>
          <w:noProof/>
        </w:rPr>
      </w:pPr>
      <w:r>
        <w:rPr>
          <w:noProof/>
        </w:rPr>
        <w:t>Tech Schools, 12</w:t>
      </w:r>
    </w:p>
    <w:p w:rsidR="00AE778A" w:rsidRDefault="00AE778A">
      <w:pPr>
        <w:pStyle w:val="Index1"/>
        <w:tabs>
          <w:tab w:val="right" w:leader="dot" w:pos="3481"/>
        </w:tabs>
        <w:rPr>
          <w:noProof/>
        </w:rPr>
      </w:pPr>
      <w:r w:rsidRPr="006475A2">
        <w:rPr>
          <w:rFonts w:eastAsiaTheme="minorHAnsi"/>
          <w:noProof/>
        </w:rPr>
        <w:t>Thompsons Road</w:t>
      </w:r>
      <w:r>
        <w:rPr>
          <w:noProof/>
        </w:rPr>
        <w:t>, 8, 31</w:t>
      </w:r>
    </w:p>
    <w:p w:rsidR="00AE778A" w:rsidRDefault="00AE778A">
      <w:pPr>
        <w:pStyle w:val="Index1"/>
        <w:tabs>
          <w:tab w:val="right" w:leader="dot" w:pos="3481"/>
        </w:tabs>
        <w:rPr>
          <w:noProof/>
        </w:rPr>
      </w:pPr>
      <w:r w:rsidRPr="006475A2">
        <w:rPr>
          <w:rFonts w:eastAsiaTheme="minorHAnsi"/>
          <w:noProof/>
        </w:rPr>
        <w:t>Training</w:t>
      </w:r>
      <w:r>
        <w:rPr>
          <w:noProof/>
        </w:rPr>
        <w:t>, 6, 12, 21, 42</w:t>
      </w:r>
    </w:p>
    <w:p w:rsidR="00AE778A" w:rsidRDefault="00AE778A">
      <w:pPr>
        <w:pStyle w:val="Index1"/>
        <w:tabs>
          <w:tab w:val="right" w:leader="dot" w:pos="3481"/>
        </w:tabs>
        <w:rPr>
          <w:noProof/>
        </w:rPr>
      </w:pPr>
      <w:r w:rsidRPr="006475A2">
        <w:rPr>
          <w:rFonts w:eastAsiaTheme="minorHAnsi"/>
          <w:noProof/>
        </w:rPr>
        <w:t>Transformative projects</w:t>
      </w:r>
      <w:r>
        <w:rPr>
          <w:noProof/>
        </w:rPr>
        <w:t>, 32, 42, 54</w:t>
      </w:r>
    </w:p>
    <w:p w:rsidR="00AE778A" w:rsidRDefault="00AE778A">
      <w:pPr>
        <w:pStyle w:val="Index1"/>
        <w:tabs>
          <w:tab w:val="right" w:leader="dot" w:pos="3481"/>
        </w:tabs>
        <w:rPr>
          <w:noProof/>
        </w:rPr>
      </w:pPr>
      <w:r w:rsidRPr="006475A2">
        <w:rPr>
          <w:rFonts w:eastAsiaTheme="minorHAnsi"/>
          <w:noProof/>
        </w:rPr>
        <w:t>Triple</w:t>
      </w:r>
      <w:r w:rsidRPr="006475A2">
        <w:rPr>
          <w:rFonts w:eastAsiaTheme="minorHAnsi"/>
          <w:noProof/>
        </w:rPr>
        <w:noBreakHyphen/>
        <w:t>A credit rating</w:t>
      </w:r>
      <w:r>
        <w:rPr>
          <w:noProof/>
        </w:rPr>
        <w:t>, 2, 8, 13–14, 34, 37, 44, 61</w:t>
      </w:r>
    </w:p>
    <w:p w:rsidR="00AE778A" w:rsidRDefault="00AE778A">
      <w:pPr>
        <w:pStyle w:val="IndexHeading"/>
        <w:keepNext/>
        <w:tabs>
          <w:tab w:val="right" w:leader="dot" w:pos="3481"/>
        </w:tabs>
        <w:rPr>
          <w:rFonts w:eastAsiaTheme="minorEastAsia" w:cstheme="minorBidi"/>
          <w:b w:val="0"/>
          <w:bCs w:val="0"/>
          <w:noProof/>
        </w:rPr>
      </w:pPr>
      <w:r>
        <w:rPr>
          <w:noProof/>
        </w:rPr>
        <w:t>U</w:t>
      </w:r>
    </w:p>
    <w:p w:rsidR="00AE778A" w:rsidRDefault="00AE778A">
      <w:pPr>
        <w:pStyle w:val="Index1"/>
        <w:tabs>
          <w:tab w:val="right" w:leader="dot" w:pos="3481"/>
        </w:tabs>
        <w:rPr>
          <w:noProof/>
        </w:rPr>
      </w:pPr>
      <w:r w:rsidRPr="006475A2">
        <w:rPr>
          <w:rFonts w:eastAsiaTheme="minorHAnsi"/>
          <w:noProof/>
        </w:rPr>
        <w:t>Unemployment</w:t>
      </w:r>
      <w:r>
        <w:rPr>
          <w:noProof/>
        </w:rPr>
        <w:t>, 3–4</w:t>
      </w:r>
    </w:p>
    <w:p w:rsidR="00AE778A" w:rsidRDefault="00AE778A">
      <w:pPr>
        <w:pStyle w:val="Index2"/>
        <w:tabs>
          <w:tab w:val="right" w:leader="dot" w:pos="3481"/>
        </w:tabs>
        <w:rPr>
          <w:noProof/>
        </w:rPr>
      </w:pPr>
      <w:r>
        <w:rPr>
          <w:noProof/>
        </w:rPr>
        <w:t>Unemployment rate, 15, 18–20, 23–24</w:t>
      </w:r>
    </w:p>
    <w:p w:rsidR="00AE778A" w:rsidRDefault="00AE778A">
      <w:pPr>
        <w:pStyle w:val="Index2"/>
        <w:tabs>
          <w:tab w:val="right" w:leader="dot" w:pos="3481"/>
        </w:tabs>
        <w:rPr>
          <w:noProof/>
        </w:rPr>
      </w:pPr>
      <w:r w:rsidRPr="006475A2">
        <w:rPr>
          <w:rFonts w:eastAsiaTheme="minorHAnsi"/>
          <w:noProof/>
        </w:rPr>
        <w:t>Youth</w:t>
      </w:r>
      <w:r>
        <w:rPr>
          <w:noProof/>
        </w:rPr>
        <w:t>, 18, 20</w:t>
      </w:r>
    </w:p>
    <w:p w:rsidR="00AE778A" w:rsidRDefault="00AE778A">
      <w:pPr>
        <w:pStyle w:val="IndexHeading"/>
        <w:keepNext/>
        <w:tabs>
          <w:tab w:val="right" w:leader="dot" w:pos="3481"/>
        </w:tabs>
        <w:rPr>
          <w:rFonts w:eastAsiaTheme="minorEastAsia" w:cstheme="minorBidi"/>
          <w:b w:val="0"/>
          <w:bCs w:val="0"/>
          <w:noProof/>
        </w:rPr>
      </w:pPr>
      <w:r>
        <w:rPr>
          <w:noProof/>
        </w:rPr>
        <w:t>V</w:t>
      </w:r>
    </w:p>
    <w:p w:rsidR="00AE778A" w:rsidRDefault="00AE778A">
      <w:pPr>
        <w:pStyle w:val="Index1"/>
        <w:tabs>
          <w:tab w:val="right" w:leader="dot" w:pos="3481"/>
        </w:tabs>
        <w:rPr>
          <w:noProof/>
        </w:rPr>
      </w:pPr>
      <w:r w:rsidRPr="006475A2">
        <w:rPr>
          <w:rFonts w:eastAsiaTheme="minorHAnsi"/>
          <w:noProof/>
        </w:rPr>
        <w:t>Victoria’s Automotive Transition Plan</w:t>
      </w:r>
      <w:r>
        <w:rPr>
          <w:noProof/>
        </w:rPr>
        <w:t>, 4, 21</w:t>
      </w:r>
    </w:p>
    <w:p w:rsidR="00AE778A" w:rsidRDefault="00AE778A">
      <w:pPr>
        <w:pStyle w:val="Index1"/>
        <w:tabs>
          <w:tab w:val="right" w:leader="dot" w:pos="3481"/>
        </w:tabs>
        <w:rPr>
          <w:noProof/>
        </w:rPr>
      </w:pPr>
      <w:r w:rsidRPr="006475A2">
        <w:rPr>
          <w:rFonts w:eastAsiaTheme="minorHAnsi"/>
          <w:noProof/>
        </w:rPr>
        <w:t>Victorian Heart Hospital</w:t>
      </w:r>
      <w:r>
        <w:rPr>
          <w:noProof/>
        </w:rPr>
        <w:t>, 11</w:t>
      </w:r>
    </w:p>
    <w:p w:rsidR="00AE778A" w:rsidRDefault="00AE778A">
      <w:pPr>
        <w:pStyle w:val="Index1"/>
        <w:tabs>
          <w:tab w:val="right" w:leader="dot" w:pos="3481"/>
        </w:tabs>
        <w:rPr>
          <w:noProof/>
        </w:rPr>
      </w:pPr>
      <w:r w:rsidRPr="006475A2">
        <w:rPr>
          <w:rFonts w:eastAsiaTheme="minorHAnsi" w:cs="Garamond"/>
          <w:noProof/>
          <w:color w:val="000000"/>
        </w:rPr>
        <w:t>Victorian Transport Fund</w:t>
      </w:r>
      <w:r>
        <w:rPr>
          <w:noProof/>
        </w:rPr>
        <w:t>, 9, 32, 37, 49</w:t>
      </w:r>
    </w:p>
    <w:p w:rsidR="00AE778A" w:rsidRDefault="00AE778A">
      <w:pPr>
        <w:pStyle w:val="IndexHeading"/>
        <w:keepNext/>
        <w:tabs>
          <w:tab w:val="right" w:leader="dot" w:pos="3481"/>
        </w:tabs>
        <w:rPr>
          <w:rFonts w:eastAsiaTheme="minorEastAsia" w:cstheme="minorBidi"/>
          <w:b w:val="0"/>
          <w:bCs w:val="0"/>
          <w:noProof/>
        </w:rPr>
      </w:pPr>
      <w:r>
        <w:rPr>
          <w:noProof/>
        </w:rPr>
        <w:t>W</w:t>
      </w:r>
    </w:p>
    <w:p w:rsidR="00AE778A" w:rsidRDefault="00AE778A">
      <w:pPr>
        <w:pStyle w:val="Index1"/>
        <w:tabs>
          <w:tab w:val="right" w:leader="dot" w:pos="3481"/>
        </w:tabs>
        <w:rPr>
          <w:noProof/>
        </w:rPr>
      </w:pPr>
      <w:r w:rsidRPr="006475A2">
        <w:rPr>
          <w:rFonts w:eastAsiaTheme="minorHAnsi"/>
          <w:noProof/>
        </w:rPr>
        <w:t>Wages</w:t>
      </w:r>
      <w:r>
        <w:rPr>
          <w:noProof/>
        </w:rPr>
        <w:t>, 5, 17, 46, 49, 58, 78, 81–82</w:t>
      </w:r>
    </w:p>
    <w:p w:rsidR="00AE778A" w:rsidRDefault="00AE778A">
      <w:pPr>
        <w:pStyle w:val="Index1"/>
        <w:tabs>
          <w:tab w:val="right" w:leader="dot" w:pos="3481"/>
        </w:tabs>
        <w:rPr>
          <w:noProof/>
        </w:rPr>
      </w:pPr>
      <w:r w:rsidRPr="006475A2">
        <w:rPr>
          <w:rFonts w:eastAsiaTheme="minorHAnsi"/>
          <w:noProof/>
        </w:rPr>
        <w:t>Western Distributor</w:t>
      </w:r>
      <w:r>
        <w:rPr>
          <w:noProof/>
        </w:rPr>
        <w:t>, 7, 27, 31–33, 39, 54–55</w:t>
      </w:r>
    </w:p>
    <w:p w:rsidR="00AE778A" w:rsidRDefault="00AE778A">
      <w:pPr>
        <w:pStyle w:val="IndexHeading"/>
        <w:keepNext/>
        <w:tabs>
          <w:tab w:val="right" w:leader="dot" w:pos="3481"/>
        </w:tabs>
        <w:rPr>
          <w:rFonts w:eastAsiaTheme="minorEastAsia" w:cstheme="minorBidi"/>
          <w:b w:val="0"/>
          <w:bCs w:val="0"/>
          <w:noProof/>
        </w:rPr>
      </w:pPr>
      <w:r>
        <w:rPr>
          <w:noProof/>
        </w:rPr>
        <w:t>Y</w:t>
      </w:r>
    </w:p>
    <w:p w:rsidR="00AE778A" w:rsidRDefault="00AE778A">
      <w:pPr>
        <w:pStyle w:val="Index1"/>
        <w:tabs>
          <w:tab w:val="right" w:leader="dot" w:pos="3481"/>
        </w:tabs>
        <w:rPr>
          <w:noProof/>
        </w:rPr>
      </w:pPr>
      <w:r w:rsidRPr="006475A2">
        <w:rPr>
          <w:rFonts w:eastAsiaTheme="minorHAnsi"/>
          <w:noProof/>
        </w:rPr>
        <w:t>Yan Yean Road</w:t>
      </w:r>
      <w:r>
        <w:rPr>
          <w:noProof/>
        </w:rPr>
        <w:t>, 8, 31</w:t>
      </w:r>
    </w:p>
    <w:p w:rsidR="00AE778A" w:rsidRDefault="00AE778A" w:rsidP="00B37EF1">
      <w:pPr>
        <w:rPr>
          <w:rFonts w:eastAsiaTheme="minorHAnsi"/>
          <w:noProof/>
        </w:rPr>
        <w:sectPr w:rsidR="00AE778A" w:rsidSect="00AE778A">
          <w:type w:val="continuous"/>
          <w:pgSz w:w="9979" w:h="14181" w:code="138"/>
          <w:pgMar w:top="1138" w:right="1138" w:bottom="1138" w:left="1138" w:header="720" w:footer="432" w:gutter="0"/>
          <w:cols w:num="2" w:space="463"/>
          <w:docGrid w:linePitch="360"/>
        </w:sectPr>
      </w:pPr>
    </w:p>
    <w:p w:rsidR="007A09DB" w:rsidRDefault="007A09DB" w:rsidP="00B37EF1">
      <w:pPr>
        <w:rPr>
          <w:rFonts w:eastAsiaTheme="minorHAnsi"/>
        </w:rPr>
      </w:pPr>
      <w:r>
        <w:rPr>
          <w:rFonts w:eastAsiaTheme="minorHAnsi"/>
        </w:rPr>
        <w:fldChar w:fldCharType="end"/>
      </w:r>
    </w:p>
    <w:p w:rsidR="007A09DB" w:rsidRDefault="007A09DB" w:rsidP="00B37EF1">
      <w:pPr>
        <w:rPr>
          <w:rFonts w:eastAsiaTheme="minorHAnsi"/>
        </w:rPr>
      </w:pPr>
    </w:p>
    <w:p w:rsidR="007A09DB" w:rsidRDefault="007A09DB" w:rsidP="00B37EF1">
      <w:pPr>
        <w:rPr>
          <w:rFonts w:eastAsiaTheme="minorHAnsi"/>
        </w:rPr>
      </w:pPr>
    </w:p>
    <w:p w:rsidR="007A09DB" w:rsidRDefault="007A09DB" w:rsidP="00836C1C">
      <w:pPr>
        <w:spacing w:after="0"/>
        <w:rPr>
          <w:rFonts w:eastAsiaTheme="minorHAnsi"/>
        </w:rPr>
      </w:pPr>
    </w:p>
    <w:p w:rsidR="00AE778A" w:rsidRDefault="00AE778A">
      <w:pPr>
        <w:spacing w:after="0"/>
        <w:rPr>
          <w:rFonts w:eastAsiaTheme="minorHAnsi"/>
        </w:rPr>
      </w:pPr>
      <w:r>
        <w:rPr>
          <w:rFonts w:eastAsiaTheme="minorHAnsi"/>
        </w:rPr>
        <w:br w:type="page"/>
      </w:r>
    </w:p>
    <w:p w:rsidR="0081406B" w:rsidRDefault="0081406B" w:rsidP="0081406B">
      <w:r w:rsidRPr="007B2462">
        <w:fldChar w:fldCharType="begin"/>
      </w:r>
      <w:r w:rsidRPr="007B2462">
        <w:instrText xml:space="preserve"> XE "</w:instrText>
      </w:r>
      <w:r>
        <w:instrText>AAA credit rating</w:instrText>
      </w:r>
      <w:r w:rsidRPr="007B2462">
        <w:instrText>" \t "</w:instrText>
      </w:r>
      <w:r w:rsidRPr="007B2462">
        <w:rPr>
          <w:i/>
        </w:rPr>
        <w:instrText xml:space="preserve">See </w:instrText>
      </w:r>
      <w:r>
        <w:instrText>Triple</w:instrText>
      </w:r>
      <w:r>
        <w:noBreakHyphen/>
        <w:instrText>A credit rating</w:instrText>
      </w:r>
      <w:r w:rsidRPr="007B2462">
        <w:instrText xml:space="preserve">" </w:instrText>
      </w:r>
      <w:r w:rsidRPr="007B2462">
        <w:fldChar w:fldCharType="end"/>
      </w:r>
      <w:r w:rsidRPr="007B2462">
        <w:fldChar w:fldCharType="begin"/>
      </w:r>
      <w:r w:rsidRPr="007B2462">
        <w:instrText xml:space="preserve"> XE "</w:instrText>
      </w:r>
      <w:r>
        <w:instrText>Consumer price index</w:instrText>
      </w:r>
      <w:r w:rsidRPr="007B2462">
        <w:instrText>" \t "</w:instrText>
      </w:r>
      <w:r w:rsidRPr="007B2462">
        <w:rPr>
          <w:i/>
        </w:rPr>
        <w:instrText xml:space="preserve">See </w:instrText>
      </w:r>
      <w:r>
        <w:instrText>Inflation</w:instrText>
      </w:r>
      <w:r w:rsidRPr="007B2462">
        <w:instrText xml:space="preserve">" </w:instrText>
      </w:r>
      <w:r w:rsidRPr="007B2462">
        <w:fldChar w:fldCharType="end"/>
      </w:r>
      <w:r w:rsidRPr="007B2462">
        <w:fldChar w:fldCharType="begin"/>
      </w:r>
      <w:r w:rsidRPr="007B2462">
        <w:instrText xml:space="preserve"> XE "</w:instrText>
      </w:r>
      <w:r>
        <w:instrText>Economic growth</w:instrText>
      </w:r>
      <w:r w:rsidRPr="007B2462">
        <w:instrText>" \t "</w:instrText>
      </w:r>
      <w:r w:rsidRPr="007B2462">
        <w:rPr>
          <w:i/>
        </w:rPr>
        <w:instrText>See</w:instrText>
      </w:r>
      <w:r>
        <w:rPr>
          <w:i/>
        </w:rPr>
        <w:instrText> also </w:instrText>
      </w:r>
      <w:r>
        <w:instrText>Risks</w:instrText>
      </w:r>
      <w:r w:rsidRPr="007B2462">
        <w:instrText xml:space="preserve">" </w:instrText>
      </w:r>
      <w:r w:rsidRPr="007B2462">
        <w:fldChar w:fldCharType="end"/>
      </w:r>
      <w:r w:rsidRPr="007B2462">
        <w:fldChar w:fldCharType="begin"/>
      </w:r>
      <w:r w:rsidRPr="007B2462">
        <w:instrText xml:space="preserve"> XE "General government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w:instrText>
      </w:r>
      <w:r>
        <w:instrText>Gross state product</w:instrText>
      </w:r>
      <w:r w:rsidRPr="007B2462">
        <w:instrText>" \t "</w:instrText>
      </w:r>
      <w:r w:rsidRPr="007B2462">
        <w:rPr>
          <w:i/>
        </w:rPr>
        <w:instrText>See</w:instrText>
      </w:r>
      <w:r>
        <w:rPr>
          <w:i/>
        </w:rPr>
        <w:instrText xml:space="preserve"> also</w:instrText>
      </w:r>
      <w:r w:rsidRPr="007B2462">
        <w:rPr>
          <w:i/>
        </w:rPr>
        <w:instrText xml:space="preserve"> </w:instrText>
      </w:r>
      <w:r>
        <w:instrText>Economic growth</w:instrText>
      </w:r>
      <w:r w:rsidRPr="007B2462">
        <w:instrText xml:space="preserve">" </w:instrText>
      </w:r>
      <w:r w:rsidRPr="007B2462">
        <w:fldChar w:fldCharType="end"/>
      </w:r>
      <w:r w:rsidRPr="007B2462">
        <w:fldChar w:fldCharType="begin"/>
      </w:r>
      <w:r w:rsidRPr="007B2462">
        <w:instrText xml:space="preserve"> XE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w:instrText>
      </w:r>
      <w:r>
        <w:instrText>Non</w:instrText>
      </w:r>
      <w:r>
        <w:noBreakHyphen/>
        <w:instrText>financial public sector</w:instrText>
      </w:r>
      <w:r w:rsidRPr="007B2462">
        <w:instrText>" \t "</w:instrText>
      </w:r>
      <w:r w:rsidRPr="007B2462">
        <w:rPr>
          <w:i/>
        </w:rPr>
        <w:instrText>See</w:instrText>
      </w:r>
      <w:r>
        <w:rPr>
          <w:i/>
        </w:rPr>
        <w:instrText> also </w:instrText>
      </w:r>
      <w:r w:rsidRPr="007B2462">
        <w:instrText xml:space="preserve">Debt" </w:instrText>
      </w:r>
      <w:r w:rsidRPr="007B2462">
        <w:fldChar w:fldCharType="end"/>
      </w:r>
      <w:r w:rsidRPr="007B2462">
        <w:fldChar w:fldCharType="begin"/>
      </w:r>
      <w:r w:rsidRPr="007B2462">
        <w:instrText xml:space="preserve"> XE "</w:instrText>
      </w:r>
      <w:r>
        <w:instrText>Royal Commission into Family Violence</w:instrText>
      </w:r>
      <w:r w:rsidRPr="007B2462">
        <w:instrText>" \t "</w:instrText>
      </w:r>
      <w:r w:rsidRPr="007B2462">
        <w:rPr>
          <w:i/>
        </w:rPr>
        <w:instrText xml:space="preserve">See </w:instrText>
      </w:r>
      <w:r>
        <w:instrText>Family Violence</w:instrText>
      </w:r>
      <w:r w:rsidRPr="007B2462">
        <w:instrText xml:space="preserve">" </w:instrText>
      </w:r>
      <w:r w:rsidRPr="007B2462">
        <w:fldChar w:fldCharType="end"/>
      </w:r>
      <w:r w:rsidRPr="007B2462">
        <w:fldChar w:fldCharType="begin"/>
      </w:r>
      <w:r w:rsidRPr="007B2462">
        <w:instrText xml:space="preserve"> XE "Surplus" \t "</w:instrText>
      </w:r>
      <w:r w:rsidRPr="007B2462">
        <w:rPr>
          <w:i/>
        </w:rPr>
        <w:instrText xml:space="preserve">See </w:instrText>
      </w:r>
      <w:r w:rsidRPr="007B2462">
        <w:instrText xml:space="preserve">Operating surplus" </w:instrText>
      </w:r>
      <w:r w:rsidRPr="007B2462">
        <w:fldChar w:fldCharType="end"/>
      </w:r>
      <w:r w:rsidRPr="007B2462">
        <w:fldChar w:fldCharType="begin"/>
      </w:r>
      <w:r w:rsidRPr="007B2462">
        <w:instrText xml:space="preserve"> XE "</w:instrText>
      </w:r>
      <w:r>
        <w:instrText>Payroll tax</w:instrText>
      </w:r>
      <w:r w:rsidRPr="007B2462">
        <w:instrText>" \t "</w:instrText>
      </w:r>
      <w:r w:rsidRPr="007B2462">
        <w:rPr>
          <w:i/>
        </w:rPr>
        <w:instrText xml:space="preserve">See </w:instrText>
      </w:r>
      <w:r>
        <w:instrText>Taxation</w:instrText>
      </w:r>
      <w:r w:rsidRPr="007B2462">
        <w:instrText xml:space="preserve">" </w:instrText>
      </w:r>
      <w:r w:rsidRPr="007B2462">
        <w:fldChar w:fldCharType="end"/>
      </w:r>
    </w:p>
    <w:p w:rsidR="007A09DB" w:rsidRDefault="007A09DB" w:rsidP="00836C1C">
      <w:pPr>
        <w:spacing w:after="0"/>
        <w:rPr>
          <w:rFonts w:eastAsiaTheme="minorHAnsi"/>
        </w:rPr>
      </w:pPr>
    </w:p>
    <w:sectPr w:rsidR="007A09DB" w:rsidSect="00AE778A">
      <w:type w:val="continuous"/>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8A" w:rsidRDefault="00AE778A" w:rsidP="00AE778A">
      <w:pPr>
        <w:spacing w:after="0"/>
      </w:pPr>
      <w:r>
        <w:separator/>
      </w:r>
    </w:p>
  </w:endnote>
  <w:endnote w:type="continuationSeparator" w:id="0">
    <w:p w:rsidR="00AE778A" w:rsidRDefault="00AE778A" w:rsidP="00AE7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6B" w:rsidRPr="002C3C9F" w:rsidRDefault="0081406B" w:rsidP="002C3C9F">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Chapter 2</w:t>
    </w:r>
    <w:r>
      <w:tab/>
    </w: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29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38</w:t>
    </w:r>
    <w:r>
      <w:rPr>
        <w:rStyle w:val="PageNumber"/>
      </w:rPr>
      <w:fldChar w:fldCharType="end"/>
    </w:r>
    <w:r>
      <w:tab/>
      <w:t>Chapter 3</w:t>
    </w:r>
    <w:r>
      <w:tab/>
      <w:t>2016</w:t>
    </w:r>
    <w:r w:rsidR="0088152A">
      <w:rPr>
        <w:rStyle w:val="PageNumber"/>
      </w:rPr>
      <w:noBreakHyphen/>
    </w:r>
    <w:r>
      <w:rPr>
        <w:rStyle w:val="PageNumber"/>
      </w:rPr>
      <w:t>17</w:t>
    </w:r>
    <w:r>
      <w:t xml:space="preserve"> Strategy and Outlook</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Chapter 3</w:t>
    </w:r>
    <w:r>
      <w:tab/>
    </w: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37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70</w:t>
    </w:r>
    <w:r>
      <w:rPr>
        <w:rStyle w:val="PageNumber"/>
      </w:rPr>
      <w:fldChar w:fldCharType="end"/>
    </w:r>
    <w:r>
      <w:tab/>
      <w:t>Chapter 4</w:t>
    </w:r>
    <w:r>
      <w:tab/>
      <w:t>2016</w:t>
    </w:r>
    <w:r w:rsidR="0088152A">
      <w:rPr>
        <w:rStyle w:val="PageNumber"/>
      </w:rPr>
      <w:noBreakHyphen/>
    </w:r>
    <w:r>
      <w:rPr>
        <w:rStyle w:val="PageNumber"/>
      </w:rPr>
      <w:t>17</w:t>
    </w:r>
    <w:r>
      <w:t xml:space="preserve"> Strategy and Outlook</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Chapter 4</w:t>
    </w:r>
    <w:r>
      <w:tab/>
    </w: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65</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78</w:t>
    </w:r>
    <w:r>
      <w:rPr>
        <w:rStyle w:val="PageNumber"/>
      </w:rPr>
      <w:fldChar w:fldCharType="end"/>
    </w:r>
    <w:r>
      <w:tab/>
      <w:t>Chapter 5</w:t>
    </w:r>
    <w:r>
      <w:tab/>
      <w:t>2016</w:t>
    </w:r>
    <w:r w:rsidR="0088152A">
      <w:rPr>
        <w:rStyle w:val="PageNumber"/>
      </w:rPr>
      <w:noBreakHyphen/>
    </w:r>
    <w:r>
      <w:rPr>
        <w:rStyle w:val="PageNumber"/>
      </w:rPr>
      <w:t>17</w:t>
    </w:r>
    <w:r>
      <w:t xml:space="preserve"> Strategy and Outlook</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Chapter 5</w:t>
    </w:r>
    <w:r>
      <w:tab/>
    </w: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73</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88</w:t>
    </w:r>
    <w:r>
      <w:rPr>
        <w:rStyle w:val="PageNumber"/>
      </w:rPr>
      <w:fldChar w:fldCharType="end"/>
    </w:r>
    <w:r>
      <w:tab/>
      <w:t>Appendix A</w:t>
    </w:r>
    <w:r>
      <w:tab/>
      <w:t>2016</w:t>
    </w:r>
    <w:r w:rsidR="0088152A">
      <w:rPr>
        <w:rStyle w:val="PageNumber"/>
      </w:rPr>
      <w:noBreakHyphen/>
    </w:r>
    <w:r>
      <w:rPr>
        <w:rStyle w:val="PageNumber"/>
      </w:rPr>
      <w:t>17</w:t>
    </w:r>
    <w:r>
      <w:t xml:space="preserve"> Strategy and Outlook</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Appendix A</w:t>
    </w:r>
    <w:r>
      <w:tab/>
    </w: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89</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98</w:t>
    </w:r>
    <w:r>
      <w:rPr>
        <w:rStyle w:val="PageNumber"/>
      </w:rPr>
      <w:fldChar w:fldCharType="end"/>
    </w:r>
    <w:r>
      <w:tab/>
      <w:t>Style conventions</w:t>
    </w:r>
    <w:r>
      <w:tab/>
      <w:t>2016</w:t>
    </w:r>
    <w:r w:rsidR="0088152A">
      <w:rPr>
        <w:rStyle w:val="PageNumber"/>
      </w:rPr>
      <w:noBreakHyphen/>
    </w:r>
    <w:r>
      <w:rPr>
        <w:rStyle w:val="PageNumber"/>
      </w:rPr>
      <w:t>17</w:t>
    </w:r>
    <w:r>
      <w:t xml:space="preserve"> Strategy and Outlook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6B" w:rsidRDefault="0081406B" w:rsidP="002C3C9F">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Style conventions</w:t>
    </w:r>
    <w:r>
      <w:tab/>
    </w: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97</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102</w:t>
    </w:r>
    <w:r>
      <w:rPr>
        <w:rStyle w:val="PageNumber"/>
      </w:rPr>
      <w:fldChar w:fldCharType="end"/>
    </w:r>
    <w:r>
      <w:tab/>
    </w:r>
    <w:r w:rsidR="00AE778A">
      <w:t>Index</w:t>
    </w:r>
    <w:r>
      <w:tab/>
      <w:t>20</w:t>
    </w:r>
    <w:r w:rsidR="00062624">
      <w:t>16</w:t>
    </w:r>
    <w:r>
      <w:rPr>
        <w:rStyle w:val="PageNumber"/>
      </w:rPr>
      <w:t>-</w:t>
    </w:r>
    <w:r w:rsidR="00062624">
      <w:rPr>
        <w:rStyle w:val="PageNumber"/>
      </w:rPr>
      <w:t>17</w:t>
    </w:r>
    <w:r>
      <w:t xml:space="preserve"> Strategy and Outlook</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062624">
      <w:rPr>
        <w:rStyle w:val="PageNumber"/>
      </w:rPr>
      <w:t>16</w:t>
    </w:r>
    <w:r>
      <w:rPr>
        <w:rStyle w:val="PageNumber"/>
      </w:rPr>
      <w:t>-</w:t>
    </w:r>
    <w:r w:rsidR="00062624">
      <w:rPr>
        <w:rStyle w:val="PageNumber"/>
      </w:rPr>
      <w:t>17</w:t>
    </w:r>
    <w:r>
      <w:t xml:space="preserve"> Strategy and Outlook</w:t>
    </w:r>
    <w:r>
      <w:tab/>
    </w:r>
    <w:r w:rsidR="00AE778A">
      <w:t>Index</w:t>
    </w:r>
    <w:r>
      <w:tab/>
    </w:r>
    <w:r>
      <w:rPr>
        <w:rStyle w:val="PageNumber"/>
      </w:rPr>
      <w:fldChar w:fldCharType="begin"/>
    </w:r>
    <w:r>
      <w:rPr>
        <w:rStyle w:val="PageNumber"/>
      </w:rPr>
      <w:instrText xml:space="preserve"> PAGE </w:instrText>
    </w:r>
    <w:r>
      <w:rPr>
        <w:rStyle w:val="PageNumber"/>
      </w:rPr>
      <w:fldChar w:fldCharType="separate"/>
    </w:r>
    <w:r w:rsidR="003D2100">
      <w:rPr>
        <w:rStyle w:val="PageNumber"/>
        <w:noProof/>
      </w:rPr>
      <w:t>101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Pr="004816CA" w:rsidRDefault="001F3F46" w:rsidP="004816CA">
    <w:pPr>
      <w:pStyle w:val="Footer"/>
      <w:pBdr>
        <w:top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Pr="004816CA" w:rsidRDefault="001F3F46" w:rsidP="004816CA">
    <w:pPr>
      <w:pStyle w:val="Footer"/>
      <w:pBdr>
        <w:top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Chapter x</w:t>
    </w:r>
    <w:r>
      <w:tab/>
      <w:t>2016</w:t>
    </w:r>
    <w:r w:rsidR="0088152A">
      <w:rPr>
        <w:rStyle w:val="PageNumber"/>
      </w:rPr>
      <w:noBreakHyphen/>
    </w:r>
    <w:r>
      <w:rPr>
        <w:rStyle w:val="PageNumber"/>
      </w:rPr>
      <w:t>17</w:t>
    </w:r>
    <w:r>
      <w:t xml:space="preserve"> Strategy and Outlook</w:t>
    </w:r>
  </w:p>
  <w:p w:rsidR="001F3F46" w:rsidRDefault="001F3F46"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Chapter x</w:t>
    </w:r>
    <w:r>
      <w:tab/>
      <w:t>2016</w:t>
    </w:r>
    <w:r w:rsidR="0088152A">
      <w:rPr>
        <w:rStyle w:val="PageNumber"/>
      </w:rPr>
      <w:noBreakHyphen/>
    </w:r>
    <w:r>
      <w:rPr>
        <w:rStyle w:val="PageNumber"/>
      </w:rPr>
      <w:t>17</w:t>
    </w:r>
    <w:r>
      <w:t xml:space="preserve"> Service Delivery</w:t>
    </w:r>
  </w:p>
  <w:p w:rsidR="001F3F46" w:rsidRDefault="001F3F46"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Chapter x</w:t>
    </w:r>
    <w:r>
      <w:rPr>
        <w:rStyle w:val="PageNumber"/>
      </w:rPr>
      <w:tab/>
      <w:t>2016</w:t>
    </w:r>
    <w:r w:rsidR="0088152A">
      <w:rPr>
        <w:rStyle w:val="PageNumber"/>
      </w:rPr>
      <w:noBreakHyphen/>
    </w:r>
    <w:r>
      <w:rPr>
        <w:rStyle w:val="PageNumber"/>
      </w:rPr>
      <w:t>17 State Capital Program</w:t>
    </w:r>
  </w:p>
  <w:p w:rsidR="001F3F46" w:rsidRDefault="001F3F46"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Chapter x</w:t>
    </w:r>
    <w:r>
      <w:tab/>
      <w:t>2016</w:t>
    </w:r>
    <w:r w:rsidR="0088152A">
      <w:rPr>
        <w:rStyle w:val="PageNumber"/>
      </w:rPr>
      <w:noBreakHyphen/>
    </w:r>
    <w:r>
      <w:rPr>
        <w:rStyle w:val="PageNumber"/>
      </w:rPr>
      <w:t>17</w:t>
    </w:r>
    <w:r>
      <w:t xml:space="preserve"> Statement of Finances</w:t>
    </w:r>
  </w:p>
  <w:p w:rsidR="001F3F46" w:rsidRDefault="001F3F46"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Chapter x</w:t>
    </w:r>
    <w:r>
      <w:rPr>
        <w:rStyle w:val="PageNumber"/>
      </w:rPr>
      <w:tab/>
      <w:t>2016</w:t>
    </w:r>
    <w:r w:rsidR="0088152A">
      <w:rPr>
        <w:rStyle w:val="PageNumber"/>
      </w:rPr>
      <w:noBreakHyphen/>
    </w:r>
    <w:r>
      <w:rPr>
        <w:rStyle w:val="PageNumber"/>
      </w:rPr>
      <w:t>17 Budget Update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Pr="000A595E" w:rsidRDefault="001F3F46" w:rsidP="000A595E">
    <w:pPr>
      <w:pStyle w:val="Footer"/>
      <w:pBdr>
        <w:top w:val="none" w:sz="0" w:space="0" w:color="auto"/>
      </w:pBdr>
      <w:tabs>
        <w:tab w:val="clear" w:pos="7085"/>
        <w:tab w:val="center" w:pos="5103"/>
        <w:tab w:val="right" w:pos="7655"/>
      </w:tabs>
      <w:spacing w:after="0"/>
      <w:rPr>
        <w:rStyle w:val="PageNumber"/>
      </w:rPr>
    </w:pPr>
    <w:r>
      <w:rPr>
        <w:rStyle w:val="PageNumber"/>
      </w:rPr>
      <w:fldChar w:fldCharType="begin"/>
    </w:r>
    <w:r>
      <w:rPr>
        <w:rStyle w:val="PageNumber"/>
      </w:rPr>
      <w:instrText xml:space="preserve"> PAGE  \* roman  \* MERGEFORMAT </w:instrText>
    </w:r>
    <w:r>
      <w:rPr>
        <w:rStyle w:val="PageNumber"/>
      </w:rPr>
      <w:fldChar w:fldCharType="separate"/>
    </w:r>
    <w:r w:rsidR="00D71529">
      <w:rPr>
        <w:rStyle w:val="PageNumber"/>
        <w:noProof/>
      </w:rPr>
      <w:t>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BB493A">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14</w:t>
    </w:r>
    <w:r>
      <w:rPr>
        <w:rStyle w:val="PageNumber"/>
      </w:rPr>
      <w:fldChar w:fldCharType="end"/>
    </w:r>
    <w:r>
      <w:tab/>
      <w:t>Chapter 1</w:t>
    </w:r>
    <w:r>
      <w:tab/>
      <w:t>2016</w:t>
    </w:r>
    <w:r w:rsidR="0088152A">
      <w:rPr>
        <w:rStyle w:val="PageNumber"/>
      </w:rPr>
      <w:noBreakHyphen/>
    </w:r>
    <w:r>
      <w:rPr>
        <w:rStyle w:val="PageNumber"/>
      </w:rPr>
      <w:t>17</w:t>
    </w:r>
    <w:r>
      <w:t xml:space="preserve"> Strategy and Outlook</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BB493A">
    <w:pPr>
      <w:pStyle w:val="Footer"/>
      <w:tabs>
        <w:tab w:val="clear" w:pos="7085"/>
        <w:tab w:val="center" w:pos="5103"/>
        <w:tab w:val="right" w:pos="7655"/>
      </w:tabs>
      <w:spacing w:after="0"/>
      <w:rPr>
        <w:rStyle w:val="PageNumber"/>
      </w:rPr>
    </w:pPr>
    <w:r>
      <w:rPr>
        <w:rStyle w:val="PageNumber"/>
      </w:rPr>
      <w:t>2016</w:t>
    </w:r>
    <w:r w:rsidR="0088152A">
      <w:rPr>
        <w:rStyle w:val="PageNumber"/>
      </w:rPr>
      <w:noBreakHyphen/>
    </w:r>
    <w:r>
      <w:rPr>
        <w:rStyle w:val="PageNumber"/>
      </w:rPr>
      <w:t>17</w:t>
    </w:r>
    <w:r>
      <w:t xml:space="preserve"> Strategy and Outlook</w:t>
    </w:r>
    <w:r>
      <w:tab/>
      <w:t>Chapter 1</w:t>
    </w:r>
    <w:r>
      <w:tab/>
    </w: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46" w:rsidRDefault="001F3F4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D71529">
      <w:rPr>
        <w:rStyle w:val="PageNumber"/>
        <w:noProof/>
      </w:rPr>
      <w:t>28</w:t>
    </w:r>
    <w:r>
      <w:rPr>
        <w:rStyle w:val="PageNumber"/>
      </w:rPr>
      <w:fldChar w:fldCharType="end"/>
    </w:r>
    <w:r>
      <w:tab/>
      <w:t>Chapter 2</w:t>
    </w:r>
    <w:r>
      <w:tab/>
      <w:t>2016</w:t>
    </w:r>
    <w:r w:rsidR="0088152A">
      <w:rPr>
        <w:rStyle w:val="PageNumber"/>
      </w:rPr>
      <w:noBreakHyphen/>
    </w:r>
    <w:r>
      <w:rPr>
        <w:rStyle w:val="PageNumber"/>
      </w:rPr>
      <w:t>17</w:t>
    </w:r>
    <w:r>
      <w:t xml:space="preserve"> Strategy and Outlook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8A" w:rsidRDefault="00AE778A" w:rsidP="00AE778A">
      <w:pPr>
        <w:spacing w:after="0"/>
      </w:pPr>
      <w:r>
        <w:separator/>
      </w:r>
    </w:p>
  </w:footnote>
  <w:footnote w:type="continuationSeparator" w:id="0">
    <w:p w:rsidR="00AE778A" w:rsidRDefault="00AE778A" w:rsidP="00AE77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5">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5"/>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36"/>
    <w:rsid w:val="0000414E"/>
    <w:rsid w:val="00006F06"/>
    <w:rsid w:val="000110AE"/>
    <w:rsid w:val="00020E91"/>
    <w:rsid w:val="00021CE5"/>
    <w:rsid w:val="000221B3"/>
    <w:rsid w:val="00031488"/>
    <w:rsid w:val="00035734"/>
    <w:rsid w:val="000362EA"/>
    <w:rsid w:val="00041292"/>
    <w:rsid w:val="00043F9F"/>
    <w:rsid w:val="000451B1"/>
    <w:rsid w:val="00050885"/>
    <w:rsid w:val="00056F1F"/>
    <w:rsid w:val="00060942"/>
    <w:rsid w:val="00061F50"/>
    <w:rsid w:val="00062624"/>
    <w:rsid w:val="00064DBA"/>
    <w:rsid w:val="00064FD8"/>
    <w:rsid w:val="000751CE"/>
    <w:rsid w:val="000771C1"/>
    <w:rsid w:val="000804F8"/>
    <w:rsid w:val="000868E5"/>
    <w:rsid w:val="000925EA"/>
    <w:rsid w:val="00093898"/>
    <w:rsid w:val="000A5321"/>
    <w:rsid w:val="000A595E"/>
    <w:rsid w:val="000B1105"/>
    <w:rsid w:val="000B12EE"/>
    <w:rsid w:val="000B1B53"/>
    <w:rsid w:val="000B2895"/>
    <w:rsid w:val="000B392B"/>
    <w:rsid w:val="000C1027"/>
    <w:rsid w:val="000C18E1"/>
    <w:rsid w:val="000D652A"/>
    <w:rsid w:val="000E725D"/>
    <w:rsid w:val="00100FCC"/>
    <w:rsid w:val="00121E77"/>
    <w:rsid w:val="00130570"/>
    <w:rsid w:val="001368DE"/>
    <w:rsid w:val="00140C5B"/>
    <w:rsid w:val="00150C34"/>
    <w:rsid w:val="00154535"/>
    <w:rsid w:val="0015668D"/>
    <w:rsid w:val="0016459F"/>
    <w:rsid w:val="00170A52"/>
    <w:rsid w:val="00176CD6"/>
    <w:rsid w:val="0017767A"/>
    <w:rsid w:val="00184093"/>
    <w:rsid w:val="00185277"/>
    <w:rsid w:val="001856DE"/>
    <w:rsid w:val="001A7ED4"/>
    <w:rsid w:val="001B3DC4"/>
    <w:rsid w:val="001C0D0F"/>
    <w:rsid w:val="001C1EAD"/>
    <w:rsid w:val="001C2F60"/>
    <w:rsid w:val="001C6D0D"/>
    <w:rsid w:val="001D18E7"/>
    <w:rsid w:val="001E15F3"/>
    <w:rsid w:val="001F3DDD"/>
    <w:rsid w:val="001F3F46"/>
    <w:rsid w:val="001F4F89"/>
    <w:rsid w:val="0020013B"/>
    <w:rsid w:val="00225DCD"/>
    <w:rsid w:val="0023358D"/>
    <w:rsid w:val="00240744"/>
    <w:rsid w:val="002411D9"/>
    <w:rsid w:val="00241F81"/>
    <w:rsid w:val="00242919"/>
    <w:rsid w:val="00245DCF"/>
    <w:rsid w:val="0025606D"/>
    <w:rsid w:val="002733B3"/>
    <w:rsid w:val="00282839"/>
    <w:rsid w:val="0028434C"/>
    <w:rsid w:val="002A10C4"/>
    <w:rsid w:val="002B0303"/>
    <w:rsid w:val="002B15CD"/>
    <w:rsid w:val="002B5189"/>
    <w:rsid w:val="002B7044"/>
    <w:rsid w:val="002C04C2"/>
    <w:rsid w:val="002C1C0D"/>
    <w:rsid w:val="002D0C50"/>
    <w:rsid w:val="002D4189"/>
    <w:rsid w:val="002D7692"/>
    <w:rsid w:val="002E0D69"/>
    <w:rsid w:val="002E31A2"/>
    <w:rsid w:val="002E5C62"/>
    <w:rsid w:val="002F3CB5"/>
    <w:rsid w:val="003010A2"/>
    <w:rsid w:val="00302525"/>
    <w:rsid w:val="00322573"/>
    <w:rsid w:val="00322DD7"/>
    <w:rsid w:val="003233E0"/>
    <w:rsid w:val="003236C9"/>
    <w:rsid w:val="003259E9"/>
    <w:rsid w:val="0032698D"/>
    <w:rsid w:val="0033005B"/>
    <w:rsid w:val="003352CE"/>
    <w:rsid w:val="0034073C"/>
    <w:rsid w:val="00341734"/>
    <w:rsid w:val="00341E1B"/>
    <w:rsid w:val="00342ECD"/>
    <w:rsid w:val="00346956"/>
    <w:rsid w:val="00346AFE"/>
    <w:rsid w:val="003511F8"/>
    <w:rsid w:val="003553FF"/>
    <w:rsid w:val="00364C8B"/>
    <w:rsid w:val="0036725D"/>
    <w:rsid w:val="003819A4"/>
    <w:rsid w:val="0038201A"/>
    <w:rsid w:val="00382EC5"/>
    <w:rsid w:val="003926C8"/>
    <w:rsid w:val="0039472C"/>
    <w:rsid w:val="0039576F"/>
    <w:rsid w:val="00397F02"/>
    <w:rsid w:val="003C0422"/>
    <w:rsid w:val="003C2F48"/>
    <w:rsid w:val="003C3AAE"/>
    <w:rsid w:val="003D2100"/>
    <w:rsid w:val="003E0A67"/>
    <w:rsid w:val="003E2EE8"/>
    <w:rsid w:val="003E31E5"/>
    <w:rsid w:val="003E5374"/>
    <w:rsid w:val="003E5F71"/>
    <w:rsid w:val="003F15E7"/>
    <w:rsid w:val="003F4955"/>
    <w:rsid w:val="00402B50"/>
    <w:rsid w:val="004046AE"/>
    <w:rsid w:val="00406F75"/>
    <w:rsid w:val="00411AEE"/>
    <w:rsid w:val="00412BC0"/>
    <w:rsid w:val="004274F6"/>
    <w:rsid w:val="00437861"/>
    <w:rsid w:val="00446F20"/>
    <w:rsid w:val="00455F51"/>
    <w:rsid w:val="00465985"/>
    <w:rsid w:val="0046648A"/>
    <w:rsid w:val="0046774A"/>
    <w:rsid w:val="00472150"/>
    <w:rsid w:val="0047243E"/>
    <w:rsid w:val="00480ADD"/>
    <w:rsid w:val="004828FB"/>
    <w:rsid w:val="00485CB3"/>
    <w:rsid w:val="00492D93"/>
    <w:rsid w:val="00496465"/>
    <w:rsid w:val="00497606"/>
    <w:rsid w:val="004C08B1"/>
    <w:rsid w:val="004C3F0D"/>
    <w:rsid w:val="004C654C"/>
    <w:rsid w:val="004C767D"/>
    <w:rsid w:val="004D2300"/>
    <w:rsid w:val="004D392F"/>
    <w:rsid w:val="004D3DE7"/>
    <w:rsid w:val="004F0906"/>
    <w:rsid w:val="004F1592"/>
    <w:rsid w:val="004F2A52"/>
    <w:rsid w:val="004F6EFF"/>
    <w:rsid w:val="004F779D"/>
    <w:rsid w:val="00503A10"/>
    <w:rsid w:val="005040D7"/>
    <w:rsid w:val="0050487A"/>
    <w:rsid w:val="0050690B"/>
    <w:rsid w:val="00507425"/>
    <w:rsid w:val="0051195C"/>
    <w:rsid w:val="005142C4"/>
    <w:rsid w:val="00515C51"/>
    <w:rsid w:val="00516DF2"/>
    <w:rsid w:val="00522994"/>
    <w:rsid w:val="00531A3D"/>
    <w:rsid w:val="00533108"/>
    <w:rsid w:val="005429ED"/>
    <w:rsid w:val="00545CA0"/>
    <w:rsid w:val="00547E3B"/>
    <w:rsid w:val="005552E0"/>
    <w:rsid w:val="00561253"/>
    <w:rsid w:val="005659B1"/>
    <w:rsid w:val="00565C3C"/>
    <w:rsid w:val="00571E1E"/>
    <w:rsid w:val="00572DD3"/>
    <w:rsid w:val="00576FDF"/>
    <w:rsid w:val="00586BF0"/>
    <w:rsid w:val="00595530"/>
    <w:rsid w:val="0059636A"/>
    <w:rsid w:val="00597626"/>
    <w:rsid w:val="005A0574"/>
    <w:rsid w:val="005A6362"/>
    <w:rsid w:val="005A6BE2"/>
    <w:rsid w:val="005A6FB4"/>
    <w:rsid w:val="005B081E"/>
    <w:rsid w:val="005B2863"/>
    <w:rsid w:val="005B41A8"/>
    <w:rsid w:val="005B54F2"/>
    <w:rsid w:val="005C1363"/>
    <w:rsid w:val="005C361B"/>
    <w:rsid w:val="005C7712"/>
    <w:rsid w:val="005D65C9"/>
    <w:rsid w:val="005D66F6"/>
    <w:rsid w:val="005D67FF"/>
    <w:rsid w:val="005D76F8"/>
    <w:rsid w:val="005D78C9"/>
    <w:rsid w:val="005E0AA3"/>
    <w:rsid w:val="005E17AB"/>
    <w:rsid w:val="005E5FCA"/>
    <w:rsid w:val="005F67EF"/>
    <w:rsid w:val="00602BE7"/>
    <w:rsid w:val="00605F2A"/>
    <w:rsid w:val="0060685C"/>
    <w:rsid w:val="00606A43"/>
    <w:rsid w:val="00614836"/>
    <w:rsid w:val="006306E9"/>
    <w:rsid w:val="00635546"/>
    <w:rsid w:val="00641E21"/>
    <w:rsid w:val="00642BF1"/>
    <w:rsid w:val="00643DF9"/>
    <w:rsid w:val="00654E77"/>
    <w:rsid w:val="006568CD"/>
    <w:rsid w:val="00666CB7"/>
    <w:rsid w:val="00667796"/>
    <w:rsid w:val="00673B29"/>
    <w:rsid w:val="00674B54"/>
    <w:rsid w:val="00677E49"/>
    <w:rsid w:val="0068185C"/>
    <w:rsid w:val="006841B2"/>
    <w:rsid w:val="00686543"/>
    <w:rsid w:val="0068681D"/>
    <w:rsid w:val="006901D9"/>
    <w:rsid w:val="006A6CEB"/>
    <w:rsid w:val="006A7B84"/>
    <w:rsid w:val="006B4753"/>
    <w:rsid w:val="006C50DB"/>
    <w:rsid w:val="006C5EC5"/>
    <w:rsid w:val="006D1E53"/>
    <w:rsid w:val="006E3619"/>
    <w:rsid w:val="006F055E"/>
    <w:rsid w:val="006F1D55"/>
    <w:rsid w:val="00701445"/>
    <w:rsid w:val="00715BF1"/>
    <w:rsid w:val="007161C5"/>
    <w:rsid w:val="0071751D"/>
    <w:rsid w:val="00717D6F"/>
    <w:rsid w:val="00723CCF"/>
    <w:rsid w:val="007465D1"/>
    <w:rsid w:val="00746C6E"/>
    <w:rsid w:val="0076041D"/>
    <w:rsid w:val="00762943"/>
    <w:rsid w:val="007641DC"/>
    <w:rsid w:val="007703C5"/>
    <w:rsid w:val="0077603A"/>
    <w:rsid w:val="00784E79"/>
    <w:rsid w:val="00784F64"/>
    <w:rsid w:val="0078635B"/>
    <w:rsid w:val="00793367"/>
    <w:rsid w:val="007A09DB"/>
    <w:rsid w:val="007A1057"/>
    <w:rsid w:val="007B4258"/>
    <w:rsid w:val="007B5CBA"/>
    <w:rsid w:val="007F39AE"/>
    <w:rsid w:val="008047B2"/>
    <w:rsid w:val="0081406B"/>
    <w:rsid w:val="0081669E"/>
    <w:rsid w:val="00817BD7"/>
    <w:rsid w:val="00825389"/>
    <w:rsid w:val="0082652B"/>
    <w:rsid w:val="0084045D"/>
    <w:rsid w:val="0084378E"/>
    <w:rsid w:val="00853954"/>
    <w:rsid w:val="00863D40"/>
    <w:rsid w:val="008659CB"/>
    <w:rsid w:val="0086685D"/>
    <w:rsid w:val="00867B50"/>
    <w:rsid w:val="00880B83"/>
    <w:rsid w:val="0088152A"/>
    <w:rsid w:val="008827CA"/>
    <w:rsid w:val="00882953"/>
    <w:rsid w:val="008858A3"/>
    <w:rsid w:val="008871F8"/>
    <w:rsid w:val="00887B0B"/>
    <w:rsid w:val="00887F89"/>
    <w:rsid w:val="00891D05"/>
    <w:rsid w:val="008A0DCD"/>
    <w:rsid w:val="008A5FE9"/>
    <w:rsid w:val="008B0FFC"/>
    <w:rsid w:val="008C5612"/>
    <w:rsid w:val="008E20C7"/>
    <w:rsid w:val="008E4C65"/>
    <w:rsid w:val="008E5024"/>
    <w:rsid w:val="008F0F55"/>
    <w:rsid w:val="008F60AE"/>
    <w:rsid w:val="00902A9D"/>
    <w:rsid w:val="00904A16"/>
    <w:rsid w:val="00910D2B"/>
    <w:rsid w:val="0091115C"/>
    <w:rsid w:val="009200FD"/>
    <w:rsid w:val="009331F3"/>
    <w:rsid w:val="00937B02"/>
    <w:rsid w:val="00946EF0"/>
    <w:rsid w:val="00950D83"/>
    <w:rsid w:val="00957917"/>
    <w:rsid w:val="0096304A"/>
    <w:rsid w:val="0097206F"/>
    <w:rsid w:val="009738E6"/>
    <w:rsid w:val="00973A41"/>
    <w:rsid w:val="0097680B"/>
    <w:rsid w:val="0098552F"/>
    <w:rsid w:val="00992E7A"/>
    <w:rsid w:val="00995570"/>
    <w:rsid w:val="009A2BC2"/>
    <w:rsid w:val="009A3179"/>
    <w:rsid w:val="009B25A6"/>
    <w:rsid w:val="009B4DD0"/>
    <w:rsid w:val="009B7C82"/>
    <w:rsid w:val="009C05DD"/>
    <w:rsid w:val="009C2A0E"/>
    <w:rsid w:val="009C5731"/>
    <w:rsid w:val="009D183F"/>
    <w:rsid w:val="009E4089"/>
    <w:rsid w:val="009E5D93"/>
    <w:rsid w:val="009F0A3E"/>
    <w:rsid w:val="009F0F12"/>
    <w:rsid w:val="00A02FA8"/>
    <w:rsid w:val="00A1268C"/>
    <w:rsid w:val="00A14E0E"/>
    <w:rsid w:val="00A16285"/>
    <w:rsid w:val="00A16406"/>
    <w:rsid w:val="00A21AF5"/>
    <w:rsid w:val="00A2357F"/>
    <w:rsid w:val="00A251B1"/>
    <w:rsid w:val="00A47723"/>
    <w:rsid w:val="00A525FE"/>
    <w:rsid w:val="00A56CBA"/>
    <w:rsid w:val="00A576F6"/>
    <w:rsid w:val="00A57B48"/>
    <w:rsid w:val="00A71163"/>
    <w:rsid w:val="00A74AB1"/>
    <w:rsid w:val="00A74D09"/>
    <w:rsid w:val="00A759FE"/>
    <w:rsid w:val="00A805CA"/>
    <w:rsid w:val="00A831CC"/>
    <w:rsid w:val="00A93F82"/>
    <w:rsid w:val="00A96824"/>
    <w:rsid w:val="00AA1AEA"/>
    <w:rsid w:val="00AA5AD3"/>
    <w:rsid w:val="00AB125D"/>
    <w:rsid w:val="00AB2018"/>
    <w:rsid w:val="00AB2CC7"/>
    <w:rsid w:val="00AC5F6D"/>
    <w:rsid w:val="00AD7110"/>
    <w:rsid w:val="00AE1F2D"/>
    <w:rsid w:val="00AE778A"/>
    <w:rsid w:val="00B022A5"/>
    <w:rsid w:val="00B04BB6"/>
    <w:rsid w:val="00B0624D"/>
    <w:rsid w:val="00B13989"/>
    <w:rsid w:val="00B14F51"/>
    <w:rsid w:val="00B16EDA"/>
    <w:rsid w:val="00B21FEB"/>
    <w:rsid w:val="00B27537"/>
    <w:rsid w:val="00B27782"/>
    <w:rsid w:val="00B37863"/>
    <w:rsid w:val="00B37EF1"/>
    <w:rsid w:val="00B527F0"/>
    <w:rsid w:val="00B55816"/>
    <w:rsid w:val="00B56AF7"/>
    <w:rsid w:val="00B64A6A"/>
    <w:rsid w:val="00B72182"/>
    <w:rsid w:val="00B72576"/>
    <w:rsid w:val="00B73926"/>
    <w:rsid w:val="00B742AA"/>
    <w:rsid w:val="00B76343"/>
    <w:rsid w:val="00B82D32"/>
    <w:rsid w:val="00B83B9F"/>
    <w:rsid w:val="00B847DA"/>
    <w:rsid w:val="00BA02BC"/>
    <w:rsid w:val="00BA2418"/>
    <w:rsid w:val="00BB534C"/>
    <w:rsid w:val="00BC2C13"/>
    <w:rsid w:val="00BC61E2"/>
    <w:rsid w:val="00BC7FB5"/>
    <w:rsid w:val="00BD0A5C"/>
    <w:rsid w:val="00BD364F"/>
    <w:rsid w:val="00BD7B65"/>
    <w:rsid w:val="00BE4F6F"/>
    <w:rsid w:val="00BF2190"/>
    <w:rsid w:val="00BF3DAE"/>
    <w:rsid w:val="00BF6AF3"/>
    <w:rsid w:val="00BF7248"/>
    <w:rsid w:val="00C0011A"/>
    <w:rsid w:val="00C04DD7"/>
    <w:rsid w:val="00C05D16"/>
    <w:rsid w:val="00C05DC9"/>
    <w:rsid w:val="00C1395D"/>
    <w:rsid w:val="00C14A3C"/>
    <w:rsid w:val="00C155B4"/>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9591C"/>
    <w:rsid w:val="00C97E08"/>
    <w:rsid w:val="00CB3778"/>
    <w:rsid w:val="00CB3C8A"/>
    <w:rsid w:val="00CB74FE"/>
    <w:rsid w:val="00CC2049"/>
    <w:rsid w:val="00CC3A34"/>
    <w:rsid w:val="00CC5883"/>
    <w:rsid w:val="00CC69F7"/>
    <w:rsid w:val="00CC73D9"/>
    <w:rsid w:val="00CD0577"/>
    <w:rsid w:val="00CE4B0E"/>
    <w:rsid w:val="00CF0F98"/>
    <w:rsid w:val="00CF132C"/>
    <w:rsid w:val="00CF25B1"/>
    <w:rsid w:val="00CF5FE1"/>
    <w:rsid w:val="00CF6838"/>
    <w:rsid w:val="00CF6AB4"/>
    <w:rsid w:val="00CF7617"/>
    <w:rsid w:val="00D0607A"/>
    <w:rsid w:val="00D10578"/>
    <w:rsid w:val="00D12B44"/>
    <w:rsid w:val="00D1521C"/>
    <w:rsid w:val="00D24C1E"/>
    <w:rsid w:val="00D24E4D"/>
    <w:rsid w:val="00D2588E"/>
    <w:rsid w:val="00D26C08"/>
    <w:rsid w:val="00D52B3F"/>
    <w:rsid w:val="00D5615F"/>
    <w:rsid w:val="00D56B84"/>
    <w:rsid w:val="00D639F6"/>
    <w:rsid w:val="00D646A9"/>
    <w:rsid w:val="00D67950"/>
    <w:rsid w:val="00D71529"/>
    <w:rsid w:val="00D9023F"/>
    <w:rsid w:val="00D94612"/>
    <w:rsid w:val="00D95D7D"/>
    <w:rsid w:val="00DA0931"/>
    <w:rsid w:val="00DA4D63"/>
    <w:rsid w:val="00DA6CAB"/>
    <w:rsid w:val="00DB33FA"/>
    <w:rsid w:val="00DB3AF6"/>
    <w:rsid w:val="00DB716A"/>
    <w:rsid w:val="00DD79E9"/>
    <w:rsid w:val="00DE1D28"/>
    <w:rsid w:val="00DE3B1B"/>
    <w:rsid w:val="00E06647"/>
    <w:rsid w:val="00E232F8"/>
    <w:rsid w:val="00E24DAF"/>
    <w:rsid w:val="00E338A0"/>
    <w:rsid w:val="00E35F1A"/>
    <w:rsid w:val="00E37D79"/>
    <w:rsid w:val="00E43FB1"/>
    <w:rsid w:val="00E4642D"/>
    <w:rsid w:val="00E7552F"/>
    <w:rsid w:val="00E76C60"/>
    <w:rsid w:val="00E76F2A"/>
    <w:rsid w:val="00E84842"/>
    <w:rsid w:val="00E87460"/>
    <w:rsid w:val="00E97B8E"/>
    <w:rsid w:val="00EA3A5B"/>
    <w:rsid w:val="00EB1400"/>
    <w:rsid w:val="00EB1FD8"/>
    <w:rsid w:val="00EB6BA8"/>
    <w:rsid w:val="00EB7A3E"/>
    <w:rsid w:val="00EC2ADF"/>
    <w:rsid w:val="00EC5292"/>
    <w:rsid w:val="00ED0B29"/>
    <w:rsid w:val="00EE6157"/>
    <w:rsid w:val="00EF4C87"/>
    <w:rsid w:val="00EF6BFD"/>
    <w:rsid w:val="00F06BEE"/>
    <w:rsid w:val="00F135C4"/>
    <w:rsid w:val="00F13D93"/>
    <w:rsid w:val="00F14A31"/>
    <w:rsid w:val="00F17676"/>
    <w:rsid w:val="00F2013A"/>
    <w:rsid w:val="00F208A1"/>
    <w:rsid w:val="00F21979"/>
    <w:rsid w:val="00F22CBF"/>
    <w:rsid w:val="00F25DFE"/>
    <w:rsid w:val="00F302FC"/>
    <w:rsid w:val="00F312E6"/>
    <w:rsid w:val="00F35817"/>
    <w:rsid w:val="00F3640E"/>
    <w:rsid w:val="00F4248C"/>
    <w:rsid w:val="00F46717"/>
    <w:rsid w:val="00F6397C"/>
    <w:rsid w:val="00F63E44"/>
    <w:rsid w:val="00F640AC"/>
    <w:rsid w:val="00F6691A"/>
    <w:rsid w:val="00F67E7B"/>
    <w:rsid w:val="00F731C9"/>
    <w:rsid w:val="00F773CE"/>
    <w:rsid w:val="00F80542"/>
    <w:rsid w:val="00F87345"/>
    <w:rsid w:val="00F96FDC"/>
    <w:rsid w:val="00F97CC3"/>
    <w:rsid w:val="00FA5495"/>
    <w:rsid w:val="00FA5CC9"/>
    <w:rsid w:val="00FB5BB7"/>
    <w:rsid w:val="00FB5CEA"/>
    <w:rsid w:val="00FB6608"/>
    <w:rsid w:val="00FC2781"/>
    <w:rsid w:val="00FC486A"/>
    <w:rsid w:val="00FC62B6"/>
    <w:rsid w:val="00FC7DAC"/>
    <w:rsid w:val="00FD2818"/>
    <w:rsid w:val="00FE2B63"/>
    <w:rsid w:val="00FF010C"/>
    <w:rsid w:val="00FF01C0"/>
    <w:rsid w:val="00FF1527"/>
    <w:rsid w:val="00FF6229"/>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5"/>
    <w:lsdException w:name="toc 4" w:uiPriority="5"/>
    <w:lsdException w:name="toc 5" w:uiPriority="5"/>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uiPriority="99"/>
    <w:lsdException w:name="index heading" w:uiPriority="99"/>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uiPriority="99"/>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uiPriority="99"/>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46C6E"/>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746C6E"/>
    <w:rPr>
      <w:rFonts w:ascii="Calibri" w:hAnsi="Calibri"/>
      <w:szCs w:val="18"/>
      <w:lang w:eastAsia="en-US"/>
    </w:rPr>
  </w:style>
  <w:style w:type="paragraph" w:customStyle="1" w:styleId="BP4Figures">
    <w:name w:val="BP4 Figures"/>
    <w:basedOn w:val="TableofFigures"/>
    <w:semiHidden/>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semiHidden/>
    <w:rsid w:val="00817BD7"/>
    <w:rPr>
      <w:sz w:val="18"/>
    </w:rPr>
  </w:style>
  <w:style w:type="paragraph" w:customStyle="1" w:styleId="BP4headingl">
    <w:name w:val="BP4 heading l"/>
    <w:basedOn w:val="BP4headingr"/>
    <w:semiHidden/>
    <w:rsid w:val="00817BD7"/>
    <w:pPr>
      <w:jc w:val="left"/>
    </w:pPr>
  </w:style>
  <w:style w:type="paragraph" w:customStyle="1" w:styleId="Tabletext">
    <w:name w:val="Table text"/>
    <w:basedOn w:val="TableofFigures"/>
    <w:link w:val="TabletextChar"/>
    <w:qFormat/>
    <w:rsid w:val="00AE1F2D"/>
    <w:pPr>
      <w:ind w:left="180" w:hanging="180"/>
      <w:jc w:val="left"/>
    </w:pPr>
    <w:rPr>
      <w:sz w:val="19"/>
    </w:rPr>
  </w:style>
  <w:style w:type="paragraph" w:customStyle="1" w:styleId="BP4tabletext">
    <w:name w:val="BP4 table text"/>
    <w:basedOn w:val="Tabletext"/>
    <w:semiHidden/>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uiPriority w:val="2"/>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semiHidden/>
    <w:rsid w:val="00397F02"/>
    <w:pPr>
      <w:numPr>
        <w:numId w:val="1"/>
      </w:numPr>
    </w:pPr>
    <w:rPr>
      <w:rFonts w:ascii="Calibri" w:hAnsi="Calibri"/>
      <w:sz w:val="20"/>
      <w:szCs w:val="18"/>
    </w:rPr>
  </w:style>
  <w:style w:type="paragraph" w:customStyle="1" w:styleId="OGHeading1">
    <w:name w:val="OGHeading1"/>
    <w:basedOn w:val="Normal"/>
    <w:semiHidden/>
    <w:rsid w:val="00397F02"/>
    <w:rPr>
      <w:rFonts w:ascii="Calibri" w:hAnsi="Calibri"/>
      <w:b/>
      <w:sz w:val="32"/>
      <w:szCs w:val="28"/>
    </w:rPr>
  </w:style>
  <w:style w:type="paragraph" w:customStyle="1" w:styleId="OGHeading2">
    <w:name w:val="OGHeading2"/>
    <w:basedOn w:val="Normal"/>
    <w:link w:val="OGHeading2Char"/>
    <w:semiHidden/>
    <w:rsid w:val="00397F02"/>
    <w:pPr>
      <w:keepNext/>
      <w:spacing w:before="60"/>
    </w:pPr>
    <w:rPr>
      <w:rFonts w:ascii="Calibri" w:hAnsi="Calibri"/>
      <w:b/>
      <w:sz w:val="28"/>
      <w:szCs w:val="24"/>
    </w:rPr>
  </w:style>
  <w:style w:type="character" w:customStyle="1" w:styleId="OGHeading2Char">
    <w:name w:val="OGHeading2 Char"/>
    <w:link w:val="OGHeading2"/>
    <w:semiHidden/>
    <w:rsid w:val="00AE1F2D"/>
    <w:rPr>
      <w:rFonts w:ascii="Calibri" w:hAnsi="Calibri"/>
      <w:b/>
      <w:sz w:val="28"/>
      <w:szCs w:val="24"/>
      <w:lang w:eastAsia="en-US"/>
    </w:rPr>
  </w:style>
  <w:style w:type="paragraph" w:customStyle="1" w:styleId="OGTabHead">
    <w:name w:val="OGTabHead"/>
    <w:basedOn w:val="Normal"/>
    <w:semiHidden/>
    <w:rsid w:val="00882953"/>
    <w:pPr>
      <w:keepNext/>
      <w:keepLines/>
      <w:spacing w:before="30" w:after="30"/>
    </w:pPr>
    <w:rPr>
      <w:rFonts w:ascii="Calibri" w:hAnsi="Calibri"/>
      <w:i/>
      <w:sz w:val="20"/>
      <w:szCs w:val="18"/>
    </w:rPr>
  </w:style>
  <w:style w:type="paragraph" w:customStyle="1" w:styleId="OGTabText">
    <w:name w:val="OGTabText"/>
    <w:basedOn w:val="Normal"/>
    <w:link w:val="OGTabTextChar"/>
    <w:semiHidden/>
    <w:rsid w:val="00882953"/>
    <w:pPr>
      <w:spacing w:before="30" w:after="30"/>
      <w:ind w:left="144"/>
    </w:pPr>
    <w:rPr>
      <w:rFonts w:ascii="Calibri" w:hAnsi="Calibri"/>
      <w:sz w:val="20"/>
      <w:szCs w:val="18"/>
    </w:rPr>
  </w:style>
  <w:style w:type="character" w:customStyle="1" w:styleId="OGTabTextChar">
    <w:name w:val="OGTabText Char"/>
    <w:link w:val="OGTabText"/>
    <w:semiHidden/>
    <w:rsid w:val="00AE1F2D"/>
    <w:rPr>
      <w:rFonts w:ascii="Calibri" w:hAnsi="Calibri"/>
      <w:szCs w:val="18"/>
      <w:lang w:eastAsia="en-US"/>
    </w:rPr>
  </w:style>
  <w:style w:type="paragraph" w:customStyle="1" w:styleId="OGText">
    <w:name w:val="OGText"/>
    <w:basedOn w:val="Normal"/>
    <w:link w:val="OGTextChar"/>
    <w:semiHidden/>
    <w:rsid w:val="00882953"/>
    <w:pPr>
      <w:keepNext/>
      <w:spacing w:before="40"/>
    </w:pPr>
    <w:rPr>
      <w:rFonts w:ascii="Calibri" w:hAnsi="Calibri"/>
      <w:sz w:val="20"/>
      <w:szCs w:val="18"/>
    </w:rPr>
  </w:style>
  <w:style w:type="character" w:customStyle="1" w:styleId="OGTextChar">
    <w:name w:val="OGText Char"/>
    <w:link w:val="OGText"/>
    <w:semiHidden/>
    <w:rsid w:val="00AE1F2D"/>
    <w:rPr>
      <w:rFonts w:ascii="Calibri" w:hAnsi="Calibri"/>
      <w:szCs w:val="18"/>
      <w:lang w:eastAsia="en-US"/>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uiPriority w:val="2"/>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910D2B"/>
    <w:pPr>
      <w:spacing w:after="0"/>
      <w:ind w:left="1152" w:hanging="1152"/>
    </w:pPr>
    <w:rPr>
      <w:b w:val="0"/>
      <w:noProof/>
      <w:sz w:val="20"/>
    </w:rPr>
  </w:style>
  <w:style w:type="paragraph" w:styleId="TOC5">
    <w:name w:val="toc 5"/>
    <w:basedOn w:val="TOC1"/>
    <w:next w:val="Normal"/>
    <w:uiPriority w:val="5"/>
    <w:rsid w:val="00910D2B"/>
    <w:rPr>
      <w:b w:val="0"/>
      <w:sz w:val="20"/>
    </w:rPr>
  </w:style>
  <w:style w:type="paragraph" w:customStyle="1" w:styleId="Tableheadingcontinued">
    <w:name w:val="Table heading continued"/>
    <w:basedOn w:val="Tableheading"/>
    <w:uiPriority w:val="2"/>
    <w:rsid w:val="002E5C62"/>
  </w:style>
  <w:style w:type="paragraph" w:customStyle="1" w:styleId="Tabletextcentred">
    <w:name w:val="Table text centred"/>
    <w:basedOn w:val="Tabletext"/>
    <w:uiPriority w:val="2"/>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semiHidden/>
    <w:rsid w:val="00AE1F2D"/>
    <w:rPr>
      <w:rFonts w:ascii="Calibri" w:hAnsi="Calibri"/>
      <w:szCs w:val="18"/>
    </w:rPr>
  </w:style>
  <w:style w:type="paragraph" w:customStyle="1" w:styleId="OGTabBullet">
    <w:name w:val="OGTabBullet"/>
    <w:basedOn w:val="OGBullet"/>
    <w:link w:val="OGTabBulletChar"/>
    <w:semiHidden/>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semiHidden/>
    <w:rsid w:val="00882953"/>
    <w:pPr>
      <w:spacing w:before="30" w:after="30"/>
    </w:pPr>
  </w:style>
  <w:style w:type="paragraph" w:customStyle="1" w:styleId="Tabletextheadingcentred">
    <w:name w:val="Table text heading centred"/>
    <w:basedOn w:val="Tabletextheading"/>
    <w:uiPriority w:val="2"/>
    <w:rsid w:val="000B1B53"/>
    <w:pPr>
      <w:jc w:val="center"/>
    </w:pPr>
  </w:style>
  <w:style w:type="paragraph" w:customStyle="1" w:styleId="DashText">
    <w:name w:val="Dash Text"/>
    <w:basedOn w:val="Normal"/>
    <w:uiPriority w:val="2"/>
    <w:qFormat/>
    <w:rsid w:val="00CB74FE"/>
    <w:pPr>
      <w:numPr>
        <w:ilvl w:val="1"/>
        <w:numId w:val="4"/>
      </w:numPr>
    </w:pPr>
  </w:style>
  <w:style w:type="paragraph" w:customStyle="1" w:styleId="OGTableofFigures">
    <w:name w:val="OGTable of Figures"/>
    <w:basedOn w:val="TableofFigures"/>
    <w:semiHidden/>
    <w:rsid w:val="00882953"/>
    <w:pPr>
      <w:spacing w:before="30" w:after="30"/>
    </w:pPr>
  </w:style>
  <w:style w:type="paragraph" w:customStyle="1" w:styleId="NotesIndent">
    <w:name w:val="NotesIndent"/>
    <w:basedOn w:val="Notes"/>
    <w:uiPriority w:val="2"/>
    <w:rsid w:val="00507425"/>
    <w:pPr>
      <w:tabs>
        <w:tab w:val="clear" w:pos="454"/>
      </w:tabs>
      <w:ind w:left="915"/>
    </w:pPr>
  </w:style>
  <w:style w:type="paragraph" w:customStyle="1" w:styleId="NotesDash">
    <w:name w:val="NotesDash"/>
    <w:basedOn w:val="NotesIndent"/>
    <w:uiPriority w:val="2"/>
    <w:rsid w:val="0000414E"/>
    <w:pPr>
      <w:numPr>
        <w:numId w:val="5"/>
      </w:numPr>
      <w:tabs>
        <w:tab w:val="clear" w:pos="922"/>
        <w:tab w:val="num" w:pos="720"/>
      </w:tabs>
      <w:ind w:left="720" w:hanging="259"/>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uiPriority w:val="2"/>
    <w:rsid w:val="00CF5FE1"/>
    <w:pPr>
      <w:jc w:val="left"/>
    </w:pPr>
  </w:style>
  <w:style w:type="paragraph" w:styleId="NormalIndent">
    <w:name w:val="Normal Indent"/>
    <w:basedOn w:val="Normal"/>
    <w:semiHidden/>
    <w:locked/>
    <w:rsid w:val="00A831CC"/>
    <w:pPr>
      <w:ind w:left="360"/>
    </w:pPr>
  </w:style>
  <w:style w:type="paragraph" w:customStyle="1" w:styleId="Tabletextindent">
    <w:name w:val="Table text indent"/>
    <w:basedOn w:val="Tabletext"/>
    <w:uiPriority w:val="2"/>
    <w:rsid w:val="00E24DAF"/>
    <w:pPr>
      <w:ind w:left="360" w:firstLine="0"/>
    </w:pPr>
  </w:style>
  <w:style w:type="paragraph" w:customStyle="1" w:styleId="Tabletextindent2">
    <w:name w:val="Table text indent 2"/>
    <w:basedOn w:val="Tabletextindent"/>
    <w:uiPriority w:val="2"/>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semiHidden/>
    <w:rsid w:val="00061F50"/>
    <w:rPr>
      <w:b/>
      <w:lang w:eastAsia="en-AU"/>
    </w:rPr>
  </w:style>
  <w:style w:type="paragraph" w:customStyle="1" w:styleId="OGTabColRight">
    <w:name w:val="OGTabColRight"/>
    <w:basedOn w:val="OGTableofFigures"/>
    <w:semiHidden/>
    <w:rsid w:val="00A14E0E"/>
    <w:rPr>
      <w:b/>
    </w:rPr>
  </w:style>
  <w:style w:type="paragraph" w:customStyle="1" w:styleId="OGTabColLeft">
    <w:name w:val="OGTabColLeft"/>
    <w:basedOn w:val="OGTabColRight"/>
    <w:semiHidden/>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semiHidden/>
    <w:rsid w:val="00C24EC3"/>
    <w:pPr>
      <w:spacing w:after="60"/>
      <w:ind w:left="360" w:right="115" w:firstLine="0"/>
    </w:pPr>
    <w:rPr>
      <w:lang w:eastAsia="en-AU"/>
    </w:rPr>
  </w:style>
  <w:style w:type="paragraph" w:customStyle="1" w:styleId="OGNotesIndent">
    <w:name w:val="OGNotesIndent"/>
    <w:basedOn w:val="OGNotes"/>
    <w:semiHidden/>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ighlightBoxText"/>
    <w:uiPriority w:val="2"/>
    <w:qFormat/>
    <w:rsid w:val="0000414E"/>
    <w:rPr>
      <w:rFonts w:ascii="Calibri" w:hAnsi="Calibri"/>
      <w:b/>
      <w:sz w:val="21"/>
    </w:rPr>
  </w:style>
  <w:style w:type="paragraph" w:customStyle="1" w:styleId="HighlightBoxText">
    <w:name w:val="Highlight Box Text"/>
    <w:basedOn w:val="HighlightBoxBullet"/>
    <w:uiPriority w:val="2"/>
    <w:rsid w:val="00C24EC3"/>
    <w:pPr>
      <w:numPr>
        <w:numId w:val="0"/>
      </w:numPr>
    </w:pPr>
  </w:style>
  <w:style w:type="paragraph" w:customStyle="1" w:styleId="TableofContentscontinued">
    <w:name w:val="Table of Contents continued"/>
    <w:basedOn w:val="Normal"/>
    <w:uiPriority w:val="4"/>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AE1F2D"/>
    <w:rPr>
      <w:rFonts w:ascii="Calibri" w:hAnsi="Calibri"/>
      <w:i/>
      <w:sz w:val="18"/>
      <w:szCs w:val="18"/>
      <w:lang w:eastAsia="en-US"/>
    </w:rPr>
  </w:style>
  <w:style w:type="character" w:customStyle="1" w:styleId="TabletextheadingChar">
    <w:name w:val="Table text heading Char"/>
    <w:link w:val="Tabletextheading"/>
    <w:locked/>
    <w:rsid w:val="00746C6E"/>
    <w:rPr>
      <w:rFonts w:ascii="Calibri" w:hAnsi="Calibri"/>
      <w:i/>
      <w:szCs w:val="18"/>
      <w:lang w:eastAsia="en-US"/>
    </w:rPr>
  </w:style>
  <w:style w:type="character" w:customStyle="1" w:styleId="SourceChar">
    <w:name w:val="Source Char"/>
    <w:link w:val="Source"/>
    <w:locked/>
    <w:rsid w:val="00746C6E"/>
    <w:rPr>
      <w:rFonts w:ascii="Calibri" w:hAnsi="Calibri"/>
      <w:i/>
      <w:sz w:val="15"/>
      <w:lang w:eastAsia="en-US"/>
    </w:rPr>
  </w:style>
  <w:style w:type="table" w:customStyle="1" w:styleId="TableDTFfinancialcompact">
    <w:name w:val="Table DTF financial (compact)"/>
    <w:basedOn w:val="TableNormal"/>
    <w:uiPriority w:val="99"/>
    <w:rsid w:val="00B37EF1"/>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B37EF1"/>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styleId="NormalWeb">
    <w:name w:val="Normal (Web)"/>
    <w:basedOn w:val="Normal"/>
    <w:uiPriority w:val="99"/>
    <w:semiHidden/>
    <w:unhideWhenUsed/>
    <w:locked/>
    <w:rsid w:val="00614836"/>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614836"/>
    <w:pPr>
      <w:ind w:left="720"/>
      <w:contextualSpacing/>
    </w:pPr>
  </w:style>
  <w:style w:type="character" w:styleId="Hyperlink">
    <w:name w:val="Hyperlink"/>
    <w:basedOn w:val="DefaultParagraphFont"/>
    <w:uiPriority w:val="99"/>
    <w:unhideWhenUsed/>
    <w:locked/>
    <w:rsid w:val="00614836"/>
    <w:rPr>
      <w:color w:val="0000FF"/>
      <w:u w:val="single"/>
    </w:rPr>
  </w:style>
  <w:style w:type="paragraph" w:styleId="BalloonText">
    <w:name w:val="Balloon Text"/>
    <w:basedOn w:val="Normal"/>
    <w:link w:val="BalloonTextChar"/>
    <w:semiHidden/>
    <w:locked/>
    <w:rsid w:val="0061483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14836"/>
    <w:rPr>
      <w:rFonts w:ascii="Tahoma" w:hAnsi="Tahoma" w:cs="Tahoma"/>
      <w:sz w:val="16"/>
      <w:szCs w:val="16"/>
      <w:lang w:eastAsia="en-US"/>
    </w:rPr>
  </w:style>
  <w:style w:type="paragraph" w:customStyle="1" w:styleId="Tabletextnoindent">
    <w:name w:val="Table text no indent"/>
    <w:basedOn w:val="Normal"/>
    <w:qFormat/>
    <w:rsid w:val="00614836"/>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614836"/>
    <w:rPr>
      <w:rFonts w:ascii="Calibri" w:hAnsi="Calibri"/>
      <w:b/>
      <w:sz w:val="22"/>
      <w:lang w:eastAsia="en-US"/>
    </w:rPr>
  </w:style>
  <w:style w:type="character" w:customStyle="1" w:styleId="NotesChar">
    <w:name w:val="Notes Char"/>
    <w:link w:val="Notes"/>
    <w:locked/>
    <w:rsid w:val="00614836"/>
    <w:rPr>
      <w:rFonts w:ascii="Calibri" w:hAnsi="Calibri"/>
      <w:i/>
      <w:sz w:val="15"/>
      <w:lang w:eastAsia="en-US"/>
    </w:rPr>
  </w:style>
  <w:style w:type="character" w:customStyle="1" w:styleId="TabletextChar">
    <w:name w:val="Table text Char"/>
    <w:link w:val="Tabletext"/>
    <w:rsid w:val="00614836"/>
    <w:rPr>
      <w:rFonts w:ascii="Calibri" w:hAnsi="Calibri"/>
      <w:sz w:val="19"/>
      <w:szCs w:val="18"/>
      <w:lang w:eastAsia="en-US"/>
    </w:rPr>
  </w:style>
  <w:style w:type="character" w:customStyle="1" w:styleId="BulletTextChar">
    <w:name w:val="Bullet Text Char"/>
    <w:link w:val="BulletText"/>
    <w:uiPriority w:val="2"/>
    <w:locked/>
    <w:rsid w:val="00614836"/>
    <w:rPr>
      <w:rFonts w:ascii="Garamond" w:hAnsi="Garamond"/>
      <w:sz w:val="22"/>
      <w:lang w:eastAsia="en-US"/>
    </w:rPr>
  </w:style>
  <w:style w:type="character" w:customStyle="1" w:styleId="Heading1Char">
    <w:name w:val="Heading 1 Char"/>
    <w:basedOn w:val="DefaultParagraphFont"/>
    <w:link w:val="Heading1"/>
    <w:rsid w:val="00614836"/>
    <w:rPr>
      <w:rFonts w:ascii="Calibri" w:hAnsi="Calibri"/>
      <w:b/>
      <w:caps/>
      <w:sz w:val="26"/>
      <w:szCs w:val="22"/>
      <w:lang w:eastAsia="en-US"/>
    </w:rPr>
  </w:style>
  <w:style w:type="character" w:customStyle="1" w:styleId="ChartheadingChar">
    <w:name w:val="Chart heading Char"/>
    <w:link w:val="Chartheading"/>
    <w:locked/>
    <w:rsid w:val="00614836"/>
    <w:rPr>
      <w:rFonts w:ascii="Calibri" w:hAnsi="Calibri"/>
      <w:b/>
      <w:sz w:val="22"/>
      <w:lang w:eastAsia="en-US"/>
    </w:rPr>
  </w:style>
  <w:style w:type="character" w:customStyle="1" w:styleId="Heading3Char">
    <w:name w:val="Heading 3 Char"/>
    <w:basedOn w:val="DefaultParagraphFont"/>
    <w:link w:val="Heading3"/>
    <w:rsid w:val="00614836"/>
    <w:rPr>
      <w:rFonts w:ascii="Calibri" w:hAnsi="Calibri"/>
      <w:b/>
      <w:i/>
      <w:kern w:val="28"/>
      <w:sz w:val="24"/>
      <w:szCs w:val="22"/>
      <w:lang w:eastAsia="en-US"/>
    </w:rPr>
  </w:style>
  <w:style w:type="character" w:styleId="CommentReference">
    <w:name w:val="annotation reference"/>
    <w:basedOn w:val="DefaultParagraphFont"/>
    <w:uiPriority w:val="99"/>
    <w:semiHidden/>
    <w:unhideWhenUsed/>
    <w:locked/>
    <w:rsid w:val="00614836"/>
    <w:rPr>
      <w:sz w:val="16"/>
      <w:szCs w:val="16"/>
    </w:rPr>
  </w:style>
  <w:style w:type="paragraph" w:styleId="CommentText">
    <w:name w:val="annotation text"/>
    <w:basedOn w:val="Normal"/>
    <w:link w:val="CommentTextChar"/>
    <w:uiPriority w:val="99"/>
    <w:semiHidden/>
    <w:unhideWhenUsed/>
    <w:locked/>
    <w:rsid w:val="00614836"/>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14836"/>
    <w:rPr>
      <w:rFonts w:asciiTheme="minorHAnsi" w:eastAsiaTheme="minorHAnsi" w:hAnsiTheme="minorHAnsi" w:cstheme="minorBidi"/>
      <w:lang w:eastAsia="en-US"/>
    </w:rPr>
  </w:style>
  <w:style w:type="paragraph" w:customStyle="1" w:styleId="Default">
    <w:name w:val="Default"/>
    <w:rsid w:val="00614836"/>
    <w:pPr>
      <w:autoSpaceDE w:val="0"/>
      <w:autoSpaceDN w:val="0"/>
      <w:adjustRightInd w:val="0"/>
    </w:pPr>
    <w:rPr>
      <w:rFonts w:ascii="Garamond" w:hAnsi="Garamond" w:cs="Garamond"/>
      <w:color w:val="000000"/>
      <w:sz w:val="24"/>
      <w:szCs w:val="24"/>
    </w:rPr>
  </w:style>
  <w:style w:type="character" w:styleId="PlaceholderText">
    <w:name w:val="Placeholder Text"/>
    <w:basedOn w:val="DefaultParagraphFont"/>
    <w:uiPriority w:val="99"/>
    <w:semiHidden/>
    <w:rsid w:val="00614836"/>
    <w:rPr>
      <w:color w:val="808080"/>
    </w:rPr>
  </w:style>
  <w:style w:type="character" w:customStyle="1" w:styleId="Heading2Char">
    <w:name w:val="Heading 2 Char"/>
    <w:link w:val="Heading2"/>
    <w:rsid w:val="00614836"/>
    <w:rPr>
      <w:rFonts w:ascii="Calibri" w:hAnsi="Calibri"/>
      <w:b/>
      <w:kern w:val="28"/>
      <w:sz w:val="26"/>
      <w:szCs w:val="22"/>
      <w:lang w:eastAsia="en-US"/>
    </w:rPr>
  </w:style>
  <w:style w:type="paragraph" w:styleId="FootnoteText">
    <w:name w:val="footnote text"/>
    <w:basedOn w:val="Normal"/>
    <w:link w:val="FootnoteTextChar"/>
    <w:uiPriority w:val="5"/>
    <w:semiHidden/>
    <w:locked/>
    <w:rsid w:val="00614836"/>
    <w:pPr>
      <w:spacing w:after="0"/>
    </w:pPr>
    <w:rPr>
      <w:sz w:val="20"/>
    </w:rPr>
  </w:style>
  <w:style w:type="character" w:customStyle="1" w:styleId="FootnoteTextChar">
    <w:name w:val="Footnote Text Char"/>
    <w:basedOn w:val="DefaultParagraphFont"/>
    <w:link w:val="FootnoteText"/>
    <w:uiPriority w:val="5"/>
    <w:semiHidden/>
    <w:rsid w:val="00614836"/>
    <w:rPr>
      <w:rFonts w:ascii="Garamond" w:hAnsi="Garamond"/>
      <w:lang w:eastAsia="en-US"/>
    </w:rPr>
  </w:style>
  <w:style w:type="character" w:styleId="FootnoteReference">
    <w:name w:val="footnote reference"/>
    <w:basedOn w:val="DefaultParagraphFont"/>
    <w:uiPriority w:val="5"/>
    <w:semiHidden/>
    <w:locked/>
    <w:rsid w:val="00614836"/>
    <w:rPr>
      <w:vertAlign w:val="superscript"/>
    </w:rPr>
  </w:style>
  <w:style w:type="character" w:customStyle="1" w:styleId="FooterChar">
    <w:name w:val="Footer Char"/>
    <w:basedOn w:val="DefaultParagraphFont"/>
    <w:link w:val="Footer"/>
    <w:rsid w:val="000A595E"/>
    <w:rPr>
      <w:rFonts w:ascii="Calibri" w:hAnsi="Calibri"/>
      <w:szCs w:val="18"/>
      <w:lang w:eastAsia="en-US"/>
    </w:rPr>
  </w:style>
  <w:style w:type="character" w:customStyle="1" w:styleId="HeaderChar">
    <w:name w:val="Header Char"/>
    <w:basedOn w:val="DefaultParagraphFont"/>
    <w:link w:val="Header"/>
    <w:rsid w:val="000A595E"/>
    <w:rPr>
      <w:rFonts w:ascii="Calibri" w:hAnsi="Calibri"/>
      <w:szCs w:val="18"/>
      <w:lang w:eastAsia="en-US"/>
    </w:rPr>
  </w:style>
  <w:style w:type="paragraph" w:styleId="Index3">
    <w:name w:val="index 3"/>
    <w:basedOn w:val="Normal"/>
    <w:next w:val="Normal"/>
    <w:autoRedefine/>
    <w:semiHidden/>
    <w:rsid w:val="00A525FE"/>
    <w:pPr>
      <w:spacing w:after="0"/>
      <w:ind w:left="660" w:hanging="220"/>
    </w:pPr>
    <w:rPr>
      <w:rFonts w:asciiTheme="minorHAnsi" w:hAnsiTheme="minorHAnsi"/>
      <w:sz w:val="18"/>
      <w:szCs w:val="18"/>
    </w:rPr>
  </w:style>
  <w:style w:type="paragraph" w:styleId="Index4">
    <w:name w:val="index 4"/>
    <w:basedOn w:val="Normal"/>
    <w:next w:val="Normal"/>
    <w:autoRedefine/>
    <w:semiHidden/>
    <w:rsid w:val="00A525FE"/>
    <w:pPr>
      <w:spacing w:after="0"/>
      <w:ind w:left="880" w:hanging="220"/>
    </w:pPr>
    <w:rPr>
      <w:rFonts w:asciiTheme="minorHAnsi" w:hAnsiTheme="minorHAnsi"/>
      <w:sz w:val="18"/>
      <w:szCs w:val="18"/>
    </w:rPr>
  </w:style>
  <w:style w:type="paragraph" w:styleId="Index5">
    <w:name w:val="index 5"/>
    <w:basedOn w:val="Normal"/>
    <w:next w:val="Normal"/>
    <w:autoRedefine/>
    <w:semiHidden/>
    <w:rsid w:val="00A525FE"/>
    <w:pPr>
      <w:spacing w:after="0"/>
      <w:ind w:left="1100" w:hanging="220"/>
    </w:pPr>
    <w:rPr>
      <w:rFonts w:asciiTheme="minorHAnsi" w:hAnsiTheme="minorHAnsi"/>
      <w:sz w:val="18"/>
      <w:szCs w:val="18"/>
    </w:rPr>
  </w:style>
  <w:style w:type="paragraph" w:styleId="Index6">
    <w:name w:val="index 6"/>
    <w:basedOn w:val="Normal"/>
    <w:next w:val="Normal"/>
    <w:autoRedefine/>
    <w:semiHidden/>
    <w:locked/>
    <w:rsid w:val="00A525FE"/>
    <w:pPr>
      <w:spacing w:after="0"/>
      <w:ind w:left="1320" w:hanging="220"/>
    </w:pPr>
    <w:rPr>
      <w:rFonts w:asciiTheme="minorHAnsi" w:hAnsiTheme="minorHAnsi"/>
      <w:sz w:val="18"/>
      <w:szCs w:val="18"/>
    </w:rPr>
  </w:style>
  <w:style w:type="paragraph" w:styleId="Index7">
    <w:name w:val="index 7"/>
    <w:basedOn w:val="Normal"/>
    <w:next w:val="Normal"/>
    <w:autoRedefine/>
    <w:semiHidden/>
    <w:locked/>
    <w:rsid w:val="00A525FE"/>
    <w:pPr>
      <w:spacing w:after="0"/>
      <w:ind w:left="1540" w:hanging="220"/>
    </w:pPr>
    <w:rPr>
      <w:rFonts w:asciiTheme="minorHAnsi" w:hAnsiTheme="minorHAnsi"/>
      <w:sz w:val="18"/>
      <w:szCs w:val="18"/>
    </w:rPr>
  </w:style>
  <w:style w:type="paragraph" w:styleId="Index8">
    <w:name w:val="index 8"/>
    <w:basedOn w:val="Normal"/>
    <w:next w:val="Normal"/>
    <w:autoRedefine/>
    <w:semiHidden/>
    <w:locked/>
    <w:rsid w:val="00A525FE"/>
    <w:pPr>
      <w:spacing w:after="0"/>
      <w:ind w:left="1760" w:hanging="220"/>
    </w:pPr>
    <w:rPr>
      <w:rFonts w:asciiTheme="minorHAnsi" w:hAnsiTheme="minorHAnsi"/>
      <w:sz w:val="18"/>
      <w:szCs w:val="18"/>
    </w:rPr>
  </w:style>
  <w:style w:type="paragraph" w:styleId="Index9">
    <w:name w:val="index 9"/>
    <w:basedOn w:val="Normal"/>
    <w:next w:val="Normal"/>
    <w:autoRedefine/>
    <w:semiHidden/>
    <w:locked/>
    <w:rsid w:val="00A525FE"/>
    <w:pPr>
      <w:spacing w:after="0"/>
      <w:ind w:left="1980" w:hanging="2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5"/>
    <w:lsdException w:name="toc 4" w:uiPriority="5"/>
    <w:lsdException w:name="toc 5" w:uiPriority="5"/>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uiPriority="99"/>
    <w:lsdException w:name="index heading" w:uiPriority="99"/>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uiPriority="99"/>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uiPriority="99"/>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46C6E"/>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746C6E"/>
    <w:rPr>
      <w:rFonts w:ascii="Calibri" w:hAnsi="Calibri"/>
      <w:szCs w:val="18"/>
      <w:lang w:eastAsia="en-US"/>
    </w:rPr>
  </w:style>
  <w:style w:type="paragraph" w:customStyle="1" w:styleId="BP4Figures">
    <w:name w:val="BP4 Figures"/>
    <w:basedOn w:val="TableofFigures"/>
    <w:semiHidden/>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semiHidden/>
    <w:rsid w:val="00817BD7"/>
    <w:rPr>
      <w:sz w:val="18"/>
    </w:rPr>
  </w:style>
  <w:style w:type="paragraph" w:customStyle="1" w:styleId="BP4headingl">
    <w:name w:val="BP4 heading l"/>
    <w:basedOn w:val="BP4headingr"/>
    <w:semiHidden/>
    <w:rsid w:val="00817BD7"/>
    <w:pPr>
      <w:jc w:val="left"/>
    </w:pPr>
  </w:style>
  <w:style w:type="paragraph" w:customStyle="1" w:styleId="Tabletext">
    <w:name w:val="Table text"/>
    <w:basedOn w:val="TableofFigures"/>
    <w:link w:val="TabletextChar"/>
    <w:qFormat/>
    <w:rsid w:val="00AE1F2D"/>
    <w:pPr>
      <w:ind w:left="180" w:hanging="180"/>
      <w:jc w:val="left"/>
    </w:pPr>
    <w:rPr>
      <w:sz w:val="19"/>
    </w:rPr>
  </w:style>
  <w:style w:type="paragraph" w:customStyle="1" w:styleId="BP4tabletext">
    <w:name w:val="BP4 table text"/>
    <w:basedOn w:val="Tabletext"/>
    <w:semiHidden/>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uiPriority w:val="2"/>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semiHidden/>
    <w:rsid w:val="00397F02"/>
    <w:pPr>
      <w:numPr>
        <w:numId w:val="1"/>
      </w:numPr>
    </w:pPr>
    <w:rPr>
      <w:rFonts w:ascii="Calibri" w:hAnsi="Calibri"/>
      <w:sz w:val="20"/>
      <w:szCs w:val="18"/>
    </w:rPr>
  </w:style>
  <w:style w:type="paragraph" w:customStyle="1" w:styleId="OGHeading1">
    <w:name w:val="OGHeading1"/>
    <w:basedOn w:val="Normal"/>
    <w:semiHidden/>
    <w:rsid w:val="00397F02"/>
    <w:rPr>
      <w:rFonts w:ascii="Calibri" w:hAnsi="Calibri"/>
      <w:b/>
      <w:sz w:val="32"/>
      <w:szCs w:val="28"/>
    </w:rPr>
  </w:style>
  <w:style w:type="paragraph" w:customStyle="1" w:styleId="OGHeading2">
    <w:name w:val="OGHeading2"/>
    <w:basedOn w:val="Normal"/>
    <w:link w:val="OGHeading2Char"/>
    <w:semiHidden/>
    <w:rsid w:val="00397F02"/>
    <w:pPr>
      <w:keepNext/>
      <w:spacing w:before="60"/>
    </w:pPr>
    <w:rPr>
      <w:rFonts w:ascii="Calibri" w:hAnsi="Calibri"/>
      <w:b/>
      <w:sz w:val="28"/>
      <w:szCs w:val="24"/>
    </w:rPr>
  </w:style>
  <w:style w:type="character" w:customStyle="1" w:styleId="OGHeading2Char">
    <w:name w:val="OGHeading2 Char"/>
    <w:link w:val="OGHeading2"/>
    <w:semiHidden/>
    <w:rsid w:val="00AE1F2D"/>
    <w:rPr>
      <w:rFonts w:ascii="Calibri" w:hAnsi="Calibri"/>
      <w:b/>
      <w:sz w:val="28"/>
      <w:szCs w:val="24"/>
      <w:lang w:eastAsia="en-US"/>
    </w:rPr>
  </w:style>
  <w:style w:type="paragraph" w:customStyle="1" w:styleId="OGTabHead">
    <w:name w:val="OGTabHead"/>
    <w:basedOn w:val="Normal"/>
    <w:semiHidden/>
    <w:rsid w:val="00882953"/>
    <w:pPr>
      <w:keepNext/>
      <w:keepLines/>
      <w:spacing w:before="30" w:after="30"/>
    </w:pPr>
    <w:rPr>
      <w:rFonts w:ascii="Calibri" w:hAnsi="Calibri"/>
      <w:i/>
      <w:sz w:val="20"/>
      <w:szCs w:val="18"/>
    </w:rPr>
  </w:style>
  <w:style w:type="paragraph" w:customStyle="1" w:styleId="OGTabText">
    <w:name w:val="OGTabText"/>
    <w:basedOn w:val="Normal"/>
    <w:link w:val="OGTabTextChar"/>
    <w:semiHidden/>
    <w:rsid w:val="00882953"/>
    <w:pPr>
      <w:spacing w:before="30" w:after="30"/>
      <w:ind w:left="144"/>
    </w:pPr>
    <w:rPr>
      <w:rFonts w:ascii="Calibri" w:hAnsi="Calibri"/>
      <w:sz w:val="20"/>
      <w:szCs w:val="18"/>
    </w:rPr>
  </w:style>
  <w:style w:type="character" w:customStyle="1" w:styleId="OGTabTextChar">
    <w:name w:val="OGTabText Char"/>
    <w:link w:val="OGTabText"/>
    <w:semiHidden/>
    <w:rsid w:val="00AE1F2D"/>
    <w:rPr>
      <w:rFonts w:ascii="Calibri" w:hAnsi="Calibri"/>
      <w:szCs w:val="18"/>
      <w:lang w:eastAsia="en-US"/>
    </w:rPr>
  </w:style>
  <w:style w:type="paragraph" w:customStyle="1" w:styleId="OGText">
    <w:name w:val="OGText"/>
    <w:basedOn w:val="Normal"/>
    <w:link w:val="OGTextChar"/>
    <w:semiHidden/>
    <w:rsid w:val="00882953"/>
    <w:pPr>
      <w:keepNext/>
      <w:spacing w:before="40"/>
    </w:pPr>
    <w:rPr>
      <w:rFonts w:ascii="Calibri" w:hAnsi="Calibri"/>
      <w:sz w:val="20"/>
      <w:szCs w:val="18"/>
    </w:rPr>
  </w:style>
  <w:style w:type="character" w:customStyle="1" w:styleId="OGTextChar">
    <w:name w:val="OGText Char"/>
    <w:link w:val="OGText"/>
    <w:semiHidden/>
    <w:rsid w:val="00AE1F2D"/>
    <w:rPr>
      <w:rFonts w:ascii="Calibri" w:hAnsi="Calibri"/>
      <w:szCs w:val="18"/>
      <w:lang w:eastAsia="en-US"/>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uiPriority w:val="2"/>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910D2B"/>
    <w:pPr>
      <w:spacing w:after="0"/>
      <w:ind w:left="1152" w:hanging="1152"/>
    </w:pPr>
    <w:rPr>
      <w:b w:val="0"/>
      <w:noProof/>
      <w:sz w:val="20"/>
    </w:rPr>
  </w:style>
  <w:style w:type="paragraph" w:styleId="TOC5">
    <w:name w:val="toc 5"/>
    <w:basedOn w:val="TOC1"/>
    <w:next w:val="Normal"/>
    <w:uiPriority w:val="5"/>
    <w:rsid w:val="00910D2B"/>
    <w:rPr>
      <w:b w:val="0"/>
      <w:sz w:val="20"/>
    </w:rPr>
  </w:style>
  <w:style w:type="paragraph" w:customStyle="1" w:styleId="Tableheadingcontinued">
    <w:name w:val="Table heading continued"/>
    <w:basedOn w:val="Tableheading"/>
    <w:uiPriority w:val="2"/>
    <w:rsid w:val="002E5C62"/>
  </w:style>
  <w:style w:type="paragraph" w:customStyle="1" w:styleId="Tabletextcentred">
    <w:name w:val="Table text centred"/>
    <w:basedOn w:val="Tabletext"/>
    <w:uiPriority w:val="2"/>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semiHidden/>
    <w:rsid w:val="00AE1F2D"/>
    <w:rPr>
      <w:rFonts w:ascii="Calibri" w:hAnsi="Calibri"/>
      <w:szCs w:val="18"/>
    </w:rPr>
  </w:style>
  <w:style w:type="paragraph" w:customStyle="1" w:styleId="OGTabBullet">
    <w:name w:val="OGTabBullet"/>
    <w:basedOn w:val="OGBullet"/>
    <w:link w:val="OGTabBulletChar"/>
    <w:semiHidden/>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semiHidden/>
    <w:rsid w:val="00882953"/>
    <w:pPr>
      <w:spacing w:before="30" w:after="30"/>
    </w:pPr>
  </w:style>
  <w:style w:type="paragraph" w:customStyle="1" w:styleId="Tabletextheadingcentred">
    <w:name w:val="Table text heading centred"/>
    <w:basedOn w:val="Tabletextheading"/>
    <w:uiPriority w:val="2"/>
    <w:rsid w:val="000B1B53"/>
    <w:pPr>
      <w:jc w:val="center"/>
    </w:pPr>
  </w:style>
  <w:style w:type="paragraph" w:customStyle="1" w:styleId="DashText">
    <w:name w:val="Dash Text"/>
    <w:basedOn w:val="Normal"/>
    <w:uiPriority w:val="2"/>
    <w:qFormat/>
    <w:rsid w:val="00CB74FE"/>
    <w:pPr>
      <w:numPr>
        <w:ilvl w:val="1"/>
        <w:numId w:val="4"/>
      </w:numPr>
    </w:pPr>
  </w:style>
  <w:style w:type="paragraph" w:customStyle="1" w:styleId="OGTableofFigures">
    <w:name w:val="OGTable of Figures"/>
    <w:basedOn w:val="TableofFigures"/>
    <w:semiHidden/>
    <w:rsid w:val="00882953"/>
    <w:pPr>
      <w:spacing w:before="30" w:after="30"/>
    </w:pPr>
  </w:style>
  <w:style w:type="paragraph" w:customStyle="1" w:styleId="NotesIndent">
    <w:name w:val="NotesIndent"/>
    <w:basedOn w:val="Notes"/>
    <w:uiPriority w:val="2"/>
    <w:rsid w:val="00507425"/>
    <w:pPr>
      <w:tabs>
        <w:tab w:val="clear" w:pos="454"/>
      </w:tabs>
      <w:ind w:left="915"/>
    </w:pPr>
  </w:style>
  <w:style w:type="paragraph" w:customStyle="1" w:styleId="NotesDash">
    <w:name w:val="NotesDash"/>
    <w:basedOn w:val="NotesIndent"/>
    <w:uiPriority w:val="2"/>
    <w:rsid w:val="0000414E"/>
    <w:pPr>
      <w:numPr>
        <w:numId w:val="5"/>
      </w:numPr>
      <w:tabs>
        <w:tab w:val="clear" w:pos="922"/>
        <w:tab w:val="num" w:pos="720"/>
      </w:tabs>
      <w:ind w:left="720" w:hanging="259"/>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uiPriority w:val="2"/>
    <w:rsid w:val="00CF5FE1"/>
    <w:pPr>
      <w:jc w:val="left"/>
    </w:pPr>
  </w:style>
  <w:style w:type="paragraph" w:styleId="NormalIndent">
    <w:name w:val="Normal Indent"/>
    <w:basedOn w:val="Normal"/>
    <w:semiHidden/>
    <w:locked/>
    <w:rsid w:val="00A831CC"/>
    <w:pPr>
      <w:ind w:left="360"/>
    </w:pPr>
  </w:style>
  <w:style w:type="paragraph" w:customStyle="1" w:styleId="Tabletextindent">
    <w:name w:val="Table text indent"/>
    <w:basedOn w:val="Tabletext"/>
    <w:uiPriority w:val="2"/>
    <w:rsid w:val="00E24DAF"/>
    <w:pPr>
      <w:ind w:left="360" w:firstLine="0"/>
    </w:pPr>
  </w:style>
  <w:style w:type="paragraph" w:customStyle="1" w:styleId="Tabletextindent2">
    <w:name w:val="Table text indent 2"/>
    <w:basedOn w:val="Tabletextindent"/>
    <w:uiPriority w:val="2"/>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semiHidden/>
    <w:rsid w:val="00061F50"/>
    <w:rPr>
      <w:b/>
      <w:lang w:eastAsia="en-AU"/>
    </w:rPr>
  </w:style>
  <w:style w:type="paragraph" w:customStyle="1" w:styleId="OGTabColRight">
    <w:name w:val="OGTabColRight"/>
    <w:basedOn w:val="OGTableofFigures"/>
    <w:semiHidden/>
    <w:rsid w:val="00A14E0E"/>
    <w:rPr>
      <w:b/>
    </w:rPr>
  </w:style>
  <w:style w:type="paragraph" w:customStyle="1" w:styleId="OGTabColLeft">
    <w:name w:val="OGTabColLeft"/>
    <w:basedOn w:val="OGTabColRight"/>
    <w:semiHidden/>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semiHidden/>
    <w:rsid w:val="00C24EC3"/>
    <w:pPr>
      <w:spacing w:after="60"/>
      <w:ind w:left="360" w:right="115" w:firstLine="0"/>
    </w:pPr>
    <w:rPr>
      <w:lang w:eastAsia="en-AU"/>
    </w:rPr>
  </w:style>
  <w:style w:type="paragraph" w:customStyle="1" w:styleId="OGNotesIndent">
    <w:name w:val="OGNotesIndent"/>
    <w:basedOn w:val="OGNotes"/>
    <w:semiHidden/>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ighlightBoxText"/>
    <w:uiPriority w:val="2"/>
    <w:qFormat/>
    <w:rsid w:val="0000414E"/>
    <w:rPr>
      <w:rFonts w:ascii="Calibri" w:hAnsi="Calibri"/>
      <w:b/>
      <w:sz w:val="21"/>
    </w:rPr>
  </w:style>
  <w:style w:type="paragraph" w:customStyle="1" w:styleId="HighlightBoxText">
    <w:name w:val="Highlight Box Text"/>
    <w:basedOn w:val="HighlightBoxBullet"/>
    <w:uiPriority w:val="2"/>
    <w:rsid w:val="00C24EC3"/>
    <w:pPr>
      <w:numPr>
        <w:numId w:val="0"/>
      </w:numPr>
    </w:pPr>
  </w:style>
  <w:style w:type="paragraph" w:customStyle="1" w:styleId="TableofContentscontinued">
    <w:name w:val="Table of Contents continued"/>
    <w:basedOn w:val="Normal"/>
    <w:uiPriority w:val="4"/>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AE1F2D"/>
    <w:rPr>
      <w:rFonts w:ascii="Calibri" w:hAnsi="Calibri"/>
      <w:i/>
      <w:sz w:val="18"/>
      <w:szCs w:val="18"/>
      <w:lang w:eastAsia="en-US"/>
    </w:rPr>
  </w:style>
  <w:style w:type="character" w:customStyle="1" w:styleId="TabletextheadingChar">
    <w:name w:val="Table text heading Char"/>
    <w:link w:val="Tabletextheading"/>
    <w:locked/>
    <w:rsid w:val="00746C6E"/>
    <w:rPr>
      <w:rFonts w:ascii="Calibri" w:hAnsi="Calibri"/>
      <w:i/>
      <w:szCs w:val="18"/>
      <w:lang w:eastAsia="en-US"/>
    </w:rPr>
  </w:style>
  <w:style w:type="character" w:customStyle="1" w:styleId="SourceChar">
    <w:name w:val="Source Char"/>
    <w:link w:val="Source"/>
    <w:locked/>
    <w:rsid w:val="00746C6E"/>
    <w:rPr>
      <w:rFonts w:ascii="Calibri" w:hAnsi="Calibri"/>
      <w:i/>
      <w:sz w:val="15"/>
      <w:lang w:eastAsia="en-US"/>
    </w:rPr>
  </w:style>
  <w:style w:type="table" w:customStyle="1" w:styleId="TableDTFfinancialcompact">
    <w:name w:val="Table DTF financial (compact)"/>
    <w:basedOn w:val="TableNormal"/>
    <w:uiPriority w:val="99"/>
    <w:rsid w:val="00B37EF1"/>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B37EF1"/>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styleId="NormalWeb">
    <w:name w:val="Normal (Web)"/>
    <w:basedOn w:val="Normal"/>
    <w:uiPriority w:val="99"/>
    <w:semiHidden/>
    <w:unhideWhenUsed/>
    <w:locked/>
    <w:rsid w:val="00614836"/>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614836"/>
    <w:pPr>
      <w:ind w:left="720"/>
      <w:contextualSpacing/>
    </w:pPr>
  </w:style>
  <w:style w:type="character" w:styleId="Hyperlink">
    <w:name w:val="Hyperlink"/>
    <w:basedOn w:val="DefaultParagraphFont"/>
    <w:uiPriority w:val="99"/>
    <w:unhideWhenUsed/>
    <w:locked/>
    <w:rsid w:val="00614836"/>
    <w:rPr>
      <w:color w:val="0000FF"/>
      <w:u w:val="single"/>
    </w:rPr>
  </w:style>
  <w:style w:type="paragraph" w:styleId="BalloonText">
    <w:name w:val="Balloon Text"/>
    <w:basedOn w:val="Normal"/>
    <w:link w:val="BalloonTextChar"/>
    <w:semiHidden/>
    <w:locked/>
    <w:rsid w:val="0061483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14836"/>
    <w:rPr>
      <w:rFonts w:ascii="Tahoma" w:hAnsi="Tahoma" w:cs="Tahoma"/>
      <w:sz w:val="16"/>
      <w:szCs w:val="16"/>
      <w:lang w:eastAsia="en-US"/>
    </w:rPr>
  </w:style>
  <w:style w:type="paragraph" w:customStyle="1" w:styleId="Tabletextnoindent">
    <w:name w:val="Table text no indent"/>
    <w:basedOn w:val="Normal"/>
    <w:qFormat/>
    <w:rsid w:val="00614836"/>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rsid w:val="00614836"/>
    <w:rPr>
      <w:rFonts w:ascii="Calibri" w:hAnsi="Calibri"/>
      <w:b/>
      <w:sz w:val="22"/>
      <w:lang w:eastAsia="en-US"/>
    </w:rPr>
  </w:style>
  <w:style w:type="character" w:customStyle="1" w:styleId="NotesChar">
    <w:name w:val="Notes Char"/>
    <w:link w:val="Notes"/>
    <w:locked/>
    <w:rsid w:val="00614836"/>
    <w:rPr>
      <w:rFonts w:ascii="Calibri" w:hAnsi="Calibri"/>
      <w:i/>
      <w:sz w:val="15"/>
      <w:lang w:eastAsia="en-US"/>
    </w:rPr>
  </w:style>
  <w:style w:type="character" w:customStyle="1" w:styleId="TabletextChar">
    <w:name w:val="Table text Char"/>
    <w:link w:val="Tabletext"/>
    <w:rsid w:val="00614836"/>
    <w:rPr>
      <w:rFonts w:ascii="Calibri" w:hAnsi="Calibri"/>
      <w:sz w:val="19"/>
      <w:szCs w:val="18"/>
      <w:lang w:eastAsia="en-US"/>
    </w:rPr>
  </w:style>
  <w:style w:type="character" w:customStyle="1" w:styleId="BulletTextChar">
    <w:name w:val="Bullet Text Char"/>
    <w:link w:val="BulletText"/>
    <w:uiPriority w:val="2"/>
    <w:locked/>
    <w:rsid w:val="00614836"/>
    <w:rPr>
      <w:rFonts w:ascii="Garamond" w:hAnsi="Garamond"/>
      <w:sz w:val="22"/>
      <w:lang w:eastAsia="en-US"/>
    </w:rPr>
  </w:style>
  <w:style w:type="character" w:customStyle="1" w:styleId="Heading1Char">
    <w:name w:val="Heading 1 Char"/>
    <w:basedOn w:val="DefaultParagraphFont"/>
    <w:link w:val="Heading1"/>
    <w:rsid w:val="00614836"/>
    <w:rPr>
      <w:rFonts w:ascii="Calibri" w:hAnsi="Calibri"/>
      <w:b/>
      <w:caps/>
      <w:sz w:val="26"/>
      <w:szCs w:val="22"/>
      <w:lang w:eastAsia="en-US"/>
    </w:rPr>
  </w:style>
  <w:style w:type="character" w:customStyle="1" w:styleId="ChartheadingChar">
    <w:name w:val="Chart heading Char"/>
    <w:link w:val="Chartheading"/>
    <w:locked/>
    <w:rsid w:val="00614836"/>
    <w:rPr>
      <w:rFonts w:ascii="Calibri" w:hAnsi="Calibri"/>
      <w:b/>
      <w:sz w:val="22"/>
      <w:lang w:eastAsia="en-US"/>
    </w:rPr>
  </w:style>
  <w:style w:type="character" w:customStyle="1" w:styleId="Heading3Char">
    <w:name w:val="Heading 3 Char"/>
    <w:basedOn w:val="DefaultParagraphFont"/>
    <w:link w:val="Heading3"/>
    <w:rsid w:val="00614836"/>
    <w:rPr>
      <w:rFonts w:ascii="Calibri" w:hAnsi="Calibri"/>
      <w:b/>
      <w:i/>
      <w:kern w:val="28"/>
      <w:sz w:val="24"/>
      <w:szCs w:val="22"/>
      <w:lang w:eastAsia="en-US"/>
    </w:rPr>
  </w:style>
  <w:style w:type="character" w:styleId="CommentReference">
    <w:name w:val="annotation reference"/>
    <w:basedOn w:val="DefaultParagraphFont"/>
    <w:uiPriority w:val="99"/>
    <w:semiHidden/>
    <w:unhideWhenUsed/>
    <w:locked/>
    <w:rsid w:val="00614836"/>
    <w:rPr>
      <w:sz w:val="16"/>
      <w:szCs w:val="16"/>
    </w:rPr>
  </w:style>
  <w:style w:type="paragraph" w:styleId="CommentText">
    <w:name w:val="annotation text"/>
    <w:basedOn w:val="Normal"/>
    <w:link w:val="CommentTextChar"/>
    <w:uiPriority w:val="99"/>
    <w:semiHidden/>
    <w:unhideWhenUsed/>
    <w:locked/>
    <w:rsid w:val="00614836"/>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14836"/>
    <w:rPr>
      <w:rFonts w:asciiTheme="minorHAnsi" w:eastAsiaTheme="minorHAnsi" w:hAnsiTheme="minorHAnsi" w:cstheme="minorBidi"/>
      <w:lang w:eastAsia="en-US"/>
    </w:rPr>
  </w:style>
  <w:style w:type="paragraph" w:customStyle="1" w:styleId="Default">
    <w:name w:val="Default"/>
    <w:rsid w:val="00614836"/>
    <w:pPr>
      <w:autoSpaceDE w:val="0"/>
      <w:autoSpaceDN w:val="0"/>
      <w:adjustRightInd w:val="0"/>
    </w:pPr>
    <w:rPr>
      <w:rFonts w:ascii="Garamond" w:hAnsi="Garamond" w:cs="Garamond"/>
      <w:color w:val="000000"/>
      <w:sz w:val="24"/>
      <w:szCs w:val="24"/>
    </w:rPr>
  </w:style>
  <w:style w:type="character" w:styleId="PlaceholderText">
    <w:name w:val="Placeholder Text"/>
    <w:basedOn w:val="DefaultParagraphFont"/>
    <w:uiPriority w:val="99"/>
    <w:semiHidden/>
    <w:rsid w:val="00614836"/>
    <w:rPr>
      <w:color w:val="808080"/>
    </w:rPr>
  </w:style>
  <w:style w:type="character" w:customStyle="1" w:styleId="Heading2Char">
    <w:name w:val="Heading 2 Char"/>
    <w:link w:val="Heading2"/>
    <w:rsid w:val="00614836"/>
    <w:rPr>
      <w:rFonts w:ascii="Calibri" w:hAnsi="Calibri"/>
      <w:b/>
      <w:kern w:val="28"/>
      <w:sz w:val="26"/>
      <w:szCs w:val="22"/>
      <w:lang w:eastAsia="en-US"/>
    </w:rPr>
  </w:style>
  <w:style w:type="paragraph" w:styleId="FootnoteText">
    <w:name w:val="footnote text"/>
    <w:basedOn w:val="Normal"/>
    <w:link w:val="FootnoteTextChar"/>
    <w:uiPriority w:val="5"/>
    <w:semiHidden/>
    <w:locked/>
    <w:rsid w:val="00614836"/>
    <w:pPr>
      <w:spacing w:after="0"/>
    </w:pPr>
    <w:rPr>
      <w:sz w:val="20"/>
    </w:rPr>
  </w:style>
  <w:style w:type="character" w:customStyle="1" w:styleId="FootnoteTextChar">
    <w:name w:val="Footnote Text Char"/>
    <w:basedOn w:val="DefaultParagraphFont"/>
    <w:link w:val="FootnoteText"/>
    <w:uiPriority w:val="5"/>
    <w:semiHidden/>
    <w:rsid w:val="00614836"/>
    <w:rPr>
      <w:rFonts w:ascii="Garamond" w:hAnsi="Garamond"/>
      <w:lang w:eastAsia="en-US"/>
    </w:rPr>
  </w:style>
  <w:style w:type="character" w:styleId="FootnoteReference">
    <w:name w:val="footnote reference"/>
    <w:basedOn w:val="DefaultParagraphFont"/>
    <w:uiPriority w:val="5"/>
    <w:semiHidden/>
    <w:locked/>
    <w:rsid w:val="00614836"/>
    <w:rPr>
      <w:vertAlign w:val="superscript"/>
    </w:rPr>
  </w:style>
  <w:style w:type="character" w:customStyle="1" w:styleId="FooterChar">
    <w:name w:val="Footer Char"/>
    <w:basedOn w:val="DefaultParagraphFont"/>
    <w:link w:val="Footer"/>
    <w:rsid w:val="000A595E"/>
    <w:rPr>
      <w:rFonts w:ascii="Calibri" w:hAnsi="Calibri"/>
      <w:szCs w:val="18"/>
      <w:lang w:eastAsia="en-US"/>
    </w:rPr>
  </w:style>
  <w:style w:type="character" w:customStyle="1" w:styleId="HeaderChar">
    <w:name w:val="Header Char"/>
    <w:basedOn w:val="DefaultParagraphFont"/>
    <w:link w:val="Header"/>
    <w:rsid w:val="000A595E"/>
    <w:rPr>
      <w:rFonts w:ascii="Calibri" w:hAnsi="Calibri"/>
      <w:szCs w:val="18"/>
      <w:lang w:eastAsia="en-US"/>
    </w:rPr>
  </w:style>
  <w:style w:type="paragraph" w:styleId="Index3">
    <w:name w:val="index 3"/>
    <w:basedOn w:val="Normal"/>
    <w:next w:val="Normal"/>
    <w:autoRedefine/>
    <w:semiHidden/>
    <w:rsid w:val="00A525FE"/>
    <w:pPr>
      <w:spacing w:after="0"/>
      <w:ind w:left="660" w:hanging="220"/>
    </w:pPr>
    <w:rPr>
      <w:rFonts w:asciiTheme="minorHAnsi" w:hAnsiTheme="minorHAnsi"/>
      <w:sz w:val="18"/>
      <w:szCs w:val="18"/>
    </w:rPr>
  </w:style>
  <w:style w:type="paragraph" w:styleId="Index4">
    <w:name w:val="index 4"/>
    <w:basedOn w:val="Normal"/>
    <w:next w:val="Normal"/>
    <w:autoRedefine/>
    <w:semiHidden/>
    <w:rsid w:val="00A525FE"/>
    <w:pPr>
      <w:spacing w:after="0"/>
      <w:ind w:left="880" w:hanging="220"/>
    </w:pPr>
    <w:rPr>
      <w:rFonts w:asciiTheme="minorHAnsi" w:hAnsiTheme="minorHAnsi"/>
      <w:sz w:val="18"/>
      <w:szCs w:val="18"/>
    </w:rPr>
  </w:style>
  <w:style w:type="paragraph" w:styleId="Index5">
    <w:name w:val="index 5"/>
    <w:basedOn w:val="Normal"/>
    <w:next w:val="Normal"/>
    <w:autoRedefine/>
    <w:semiHidden/>
    <w:rsid w:val="00A525FE"/>
    <w:pPr>
      <w:spacing w:after="0"/>
      <w:ind w:left="1100" w:hanging="220"/>
    </w:pPr>
    <w:rPr>
      <w:rFonts w:asciiTheme="minorHAnsi" w:hAnsiTheme="minorHAnsi"/>
      <w:sz w:val="18"/>
      <w:szCs w:val="18"/>
    </w:rPr>
  </w:style>
  <w:style w:type="paragraph" w:styleId="Index6">
    <w:name w:val="index 6"/>
    <w:basedOn w:val="Normal"/>
    <w:next w:val="Normal"/>
    <w:autoRedefine/>
    <w:semiHidden/>
    <w:locked/>
    <w:rsid w:val="00A525FE"/>
    <w:pPr>
      <w:spacing w:after="0"/>
      <w:ind w:left="1320" w:hanging="220"/>
    </w:pPr>
    <w:rPr>
      <w:rFonts w:asciiTheme="minorHAnsi" w:hAnsiTheme="minorHAnsi"/>
      <w:sz w:val="18"/>
      <w:szCs w:val="18"/>
    </w:rPr>
  </w:style>
  <w:style w:type="paragraph" w:styleId="Index7">
    <w:name w:val="index 7"/>
    <w:basedOn w:val="Normal"/>
    <w:next w:val="Normal"/>
    <w:autoRedefine/>
    <w:semiHidden/>
    <w:locked/>
    <w:rsid w:val="00A525FE"/>
    <w:pPr>
      <w:spacing w:after="0"/>
      <w:ind w:left="1540" w:hanging="220"/>
    </w:pPr>
    <w:rPr>
      <w:rFonts w:asciiTheme="minorHAnsi" w:hAnsiTheme="minorHAnsi"/>
      <w:sz w:val="18"/>
      <w:szCs w:val="18"/>
    </w:rPr>
  </w:style>
  <w:style w:type="paragraph" w:styleId="Index8">
    <w:name w:val="index 8"/>
    <w:basedOn w:val="Normal"/>
    <w:next w:val="Normal"/>
    <w:autoRedefine/>
    <w:semiHidden/>
    <w:locked/>
    <w:rsid w:val="00A525FE"/>
    <w:pPr>
      <w:spacing w:after="0"/>
      <w:ind w:left="1760" w:hanging="220"/>
    </w:pPr>
    <w:rPr>
      <w:rFonts w:asciiTheme="minorHAnsi" w:hAnsiTheme="minorHAnsi"/>
      <w:sz w:val="18"/>
      <w:szCs w:val="18"/>
    </w:rPr>
  </w:style>
  <w:style w:type="paragraph" w:styleId="Index9">
    <w:name w:val="index 9"/>
    <w:basedOn w:val="Normal"/>
    <w:next w:val="Normal"/>
    <w:autoRedefine/>
    <w:semiHidden/>
    <w:locked/>
    <w:rsid w:val="00A525FE"/>
    <w:pPr>
      <w:spacing w:after="0"/>
      <w:ind w:left="1980" w:hanging="2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footer" Target="footer9.xml"/><Relationship Id="rId39" Type="http://schemas.openxmlformats.org/officeDocument/2006/relationships/image" Target="media/image19.emf"/><Relationship Id="rId21" Type="http://schemas.openxmlformats.org/officeDocument/2006/relationships/image" Target="media/image5.emf"/><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2.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image" Target="media/image11.emf"/><Relationship Id="rId41" Type="http://schemas.openxmlformats.org/officeDocument/2006/relationships/footer" Target="footer14.xml"/><Relationship Id="rId54" Type="http://schemas.openxmlformats.org/officeDocument/2006/relationships/hyperlink" Target="http://www.dtf.vic.gov.au/Publications/Government-Financial-Management-publications/DTF-glossary-for-budget-and-financial-repor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image" Target="media/image14.emf"/><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footer" Target="footer18.xml"/><Relationship Id="rId58"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footer" Target="footer11.xml"/><Relationship Id="rId49" Type="http://schemas.openxmlformats.org/officeDocument/2006/relationships/image" Target="media/image25.emf"/><Relationship Id="rId57"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image" Target="media/image13.emf"/><Relationship Id="rId44" Type="http://schemas.openxmlformats.org/officeDocument/2006/relationships/footer" Target="footer15.xml"/><Relationship Id="rId52" Type="http://schemas.openxmlformats.org/officeDocument/2006/relationships/footer" Target="footer17.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image" Target="media/image6.emf"/><Relationship Id="rId27" Type="http://schemas.openxmlformats.org/officeDocument/2006/relationships/footer" Target="footer10.xml"/><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image" Target="media/image24.emf"/><Relationship Id="rId56"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image" Target="media/image27.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000A-6C97-4BAA-971E-3F466038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43</Pages>
  <Words>28482</Words>
  <Characters>162348</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Budget Paper No. 2, Strategy and Outlook</vt:lpstr>
    </vt:vector>
  </TitlesOfParts>
  <Company>DTF</Company>
  <LinksUpToDate>false</LinksUpToDate>
  <CharactersWithSpaces>190450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2, Strategy and Outlook</dc:title>
  <dc:creator>Deidre Steain</dc:creator>
  <cp:keywords>Strategy and Outlook</cp:keywords>
  <cp:lastModifiedBy>Deidre Steain</cp:lastModifiedBy>
  <cp:revision>2</cp:revision>
  <cp:lastPrinted>2016-04-23T04:21:00Z</cp:lastPrinted>
  <dcterms:created xsi:type="dcterms:W3CDTF">2016-04-26T02:40:00Z</dcterms:created>
  <dcterms:modified xsi:type="dcterms:W3CDTF">2016-04-26T02:40:00Z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