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5C7D" w14:textId="5E3736CD" w:rsidR="00F352C4" w:rsidRPr="007B2462" w:rsidRDefault="00F352C4" w:rsidP="00F352C4">
      <w:pPr>
        <w:pBdr>
          <w:bottom w:val="single" w:sz="12" w:space="0" w:color="auto"/>
        </w:pBdr>
        <w:spacing w:before="1560"/>
        <w:jc w:val="center"/>
        <w:rPr>
          <w:rFonts w:ascii="Calibri" w:hAnsi="Calibri"/>
          <w:b/>
          <w:sz w:val="52"/>
          <w:szCs w:val="52"/>
        </w:rPr>
      </w:pPr>
      <w:r>
        <w:rPr>
          <w:rFonts w:ascii="Calibri" w:hAnsi="Calibri"/>
          <w:b/>
          <w:sz w:val="52"/>
          <w:szCs w:val="52"/>
        </w:rPr>
        <w:t>Budget Update</w:t>
      </w:r>
    </w:p>
    <w:p w14:paraId="44DD16D4" w14:textId="23E0D1F1" w:rsidR="00F352C4" w:rsidRPr="00E34C95" w:rsidRDefault="00F352C4" w:rsidP="00F352C4">
      <w:pPr>
        <w:jc w:val="center"/>
        <w:rPr>
          <w:rFonts w:ascii="Calibri" w:hAnsi="Calibri"/>
          <w:b/>
          <w:sz w:val="50"/>
          <w:szCs w:val="52"/>
        </w:rPr>
      </w:pPr>
      <w:r w:rsidRPr="007B2462">
        <w:rPr>
          <w:rFonts w:ascii="Calibri" w:hAnsi="Calibri"/>
          <w:b/>
          <w:sz w:val="52"/>
          <w:szCs w:val="52"/>
        </w:rPr>
        <w:t>20</w:t>
      </w:r>
      <w:r>
        <w:rPr>
          <w:rFonts w:ascii="Calibri" w:hAnsi="Calibri"/>
          <w:b/>
          <w:sz w:val="52"/>
          <w:szCs w:val="52"/>
        </w:rPr>
        <w:t>2</w:t>
      </w:r>
      <w:r w:rsidR="00BD7D6D">
        <w:rPr>
          <w:rFonts w:ascii="Calibri" w:hAnsi="Calibri"/>
          <w:b/>
          <w:sz w:val="52"/>
          <w:szCs w:val="52"/>
        </w:rPr>
        <w:t>4</w:t>
      </w:r>
      <w:r>
        <w:rPr>
          <w:rFonts w:ascii="Calibri" w:hAnsi="Calibri"/>
          <w:b/>
          <w:sz w:val="52"/>
          <w:szCs w:val="52"/>
        </w:rPr>
        <w:noBreakHyphen/>
        <w:t>2</w:t>
      </w:r>
      <w:r w:rsidR="00BD7D6D">
        <w:rPr>
          <w:rFonts w:ascii="Calibri" w:hAnsi="Calibri"/>
          <w:b/>
          <w:sz w:val="52"/>
          <w:szCs w:val="52"/>
        </w:rPr>
        <w:t>5</w:t>
      </w:r>
    </w:p>
    <w:p w14:paraId="70C1A0AC" w14:textId="77777777" w:rsidR="00F352C4" w:rsidRDefault="00F352C4" w:rsidP="00F352C4">
      <w:pPr>
        <w:jc w:val="center"/>
        <w:rPr>
          <w:rFonts w:ascii="Calibri" w:hAnsi="Calibri"/>
          <w:sz w:val="30"/>
          <w:szCs w:val="30"/>
        </w:rPr>
      </w:pPr>
    </w:p>
    <w:p w14:paraId="4F3DE8A2" w14:textId="77777777" w:rsidR="00F352C4" w:rsidRPr="007B2462" w:rsidRDefault="00F352C4" w:rsidP="00F352C4">
      <w:pPr>
        <w:jc w:val="center"/>
        <w:rPr>
          <w:rFonts w:ascii="Calibri" w:hAnsi="Calibri"/>
          <w:sz w:val="30"/>
          <w:szCs w:val="30"/>
        </w:rPr>
      </w:pPr>
    </w:p>
    <w:p w14:paraId="15127C53" w14:textId="77777777" w:rsidR="00F352C4" w:rsidRPr="007B2462" w:rsidRDefault="00F352C4" w:rsidP="00F352C4">
      <w:pPr>
        <w:jc w:val="center"/>
      </w:pPr>
      <w:r w:rsidRPr="00D26163">
        <w:rPr>
          <w:rFonts w:ascii="Calibri" w:hAnsi="Calibri" w:cs="Calibri"/>
          <w:noProof/>
          <w:lang w:eastAsia="en-AU"/>
        </w:rPr>
        <w:drawing>
          <wp:inline distT="0" distB="0" distL="0" distR="0" wp14:anchorId="46E297B7" wp14:editId="7DE32A3C">
            <wp:extent cx="940435" cy="1147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01383E18" w14:textId="77777777" w:rsidR="00F352C4" w:rsidRPr="007B2462" w:rsidRDefault="00F352C4" w:rsidP="00F352C4">
      <w:pPr>
        <w:jc w:val="center"/>
        <w:rPr>
          <w:sz w:val="36"/>
          <w:szCs w:val="36"/>
        </w:rPr>
      </w:pPr>
    </w:p>
    <w:p w14:paraId="65B2CC33" w14:textId="77777777" w:rsidR="00F352C4" w:rsidRPr="007B2462" w:rsidRDefault="00F352C4" w:rsidP="00F352C4">
      <w:pPr>
        <w:jc w:val="center"/>
        <w:rPr>
          <w:sz w:val="36"/>
          <w:szCs w:val="36"/>
        </w:rPr>
      </w:pPr>
    </w:p>
    <w:p w14:paraId="1750A430" w14:textId="77777777" w:rsidR="00F352C4" w:rsidRPr="007B2462" w:rsidRDefault="00F352C4" w:rsidP="00F352C4">
      <w:pPr>
        <w:jc w:val="center"/>
        <w:rPr>
          <w:sz w:val="36"/>
          <w:szCs w:val="36"/>
        </w:rPr>
      </w:pPr>
    </w:p>
    <w:p w14:paraId="0BB77459" w14:textId="77777777" w:rsidR="00F352C4" w:rsidRPr="007B2462" w:rsidRDefault="00F352C4" w:rsidP="00F352C4">
      <w:pPr>
        <w:jc w:val="center"/>
        <w:rPr>
          <w:rFonts w:ascii="Calibri" w:hAnsi="Calibri"/>
          <w:sz w:val="28"/>
          <w:szCs w:val="28"/>
        </w:rPr>
      </w:pPr>
      <w:r w:rsidRPr="007B2462">
        <w:rPr>
          <w:rFonts w:ascii="Calibri" w:hAnsi="Calibri"/>
          <w:sz w:val="28"/>
          <w:szCs w:val="28"/>
        </w:rPr>
        <w:t>Presented by</w:t>
      </w:r>
    </w:p>
    <w:p w14:paraId="17F72292" w14:textId="77777777" w:rsidR="00F352C4" w:rsidRPr="00D26163" w:rsidRDefault="00F352C4" w:rsidP="00F352C4">
      <w:pPr>
        <w:jc w:val="center"/>
        <w:rPr>
          <w:rFonts w:ascii="Calibri" w:hAnsi="Calibri" w:cs="Calibri"/>
          <w:b/>
          <w:sz w:val="36"/>
          <w:szCs w:val="36"/>
        </w:rPr>
      </w:pPr>
      <w:r w:rsidRPr="00D26163">
        <w:rPr>
          <w:rFonts w:ascii="Calibri" w:hAnsi="Calibri" w:cs="Calibri"/>
          <w:b/>
          <w:sz w:val="36"/>
          <w:szCs w:val="36"/>
        </w:rPr>
        <w:t>Tim Pallas MP</w:t>
      </w:r>
    </w:p>
    <w:p w14:paraId="7EF60344" w14:textId="77777777" w:rsidR="00F352C4" w:rsidRPr="00D26163" w:rsidRDefault="00F352C4" w:rsidP="00F352C4">
      <w:pPr>
        <w:jc w:val="center"/>
        <w:rPr>
          <w:rFonts w:ascii="Calibri" w:hAnsi="Calibri" w:cs="Calibri"/>
          <w:sz w:val="28"/>
          <w:szCs w:val="28"/>
        </w:rPr>
      </w:pPr>
      <w:r w:rsidRPr="00D26163">
        <w:rPr>
          <w:rFonts w:ascii="Calibri" w:hAnsi="Calibri" w:cs="Calibri"/>
          <w:sz w:val="28"/>
          <w:szCs w:val="28"/>
        </w:rPr>
        <w:t>Treasurer of the State of Victoria</w:t>
      </w:r>
    </w:p>
    <w:p w14:paraId="3EE84BCD" w14:textId="77777777" w:rsidR="00F352C4" w:rsidRDefault="00F352C4" w:rsidP="00F352C4">
      <w:pPr>
        <w:jc w:val="center"/>
        <w:rPr>
          <w:rFonts w:ascii="Calibri" w:hAnsi="Calibri"/>
          <w:sz w:val="30"/>
          <w:szCs w:val="30"/>
        </w:rPr>
      </w:pPr>
      <w:r w:rsidRPr="007B2462">
        <w:rPr>
          <w:rFonts w:ascii="Calibri" w:hAnsi="Calibri"/>
          <w:sz w:val="30"/>
          <w:szCs w:val="30"/>
        </w:rPr>
        <w:t>for the information of Honourable Members</w:t>
      </w:r>
    </w:p>
    <w:p w14:paraId="7A1CDA84" w14:textId="77777777" w:rsidR="00C92966" w:rsidRDefault="00C92966">
      <w:pPr>
        <w:keepLines w:val="0"/>
        <w:rPr>
          <w:rFonts w:ascii="Calibri" w:hAnsi="Calibri"/>
          <w:sz w:val="30"/>
          <w:szCs w:val="30"/>
        </w:rPr>
        <w:sectPr w:rsidR="00C92966">
          <w:pgSz w:w="9979" w:h="14175" w:code="9"/>
          <w:pgMar w:top="850" w:right="1134" w:bottom="850" w:left="1134" w:header="624" w:footer="567" w:gutter="0"/>
          <w:cols w:sep="1" w:space="567"/>
          <w:docGrid w:linePitch="360"/>
        </w:sectPr>
      </w:pPr>
    </w:p>
    <w:p w14:paraId="3BC720FD" w14:textId="77777777" w:rsidR="00C92966" w:rsidRPr="004807C2" w:rsidRDefault="00C92966" w:rsidP="00C92966">
      <w:pPr>
        <w:spacing w:before="0"/>
        <w:rPr>
          <w:rFonts w:asciiTheme="majorHAnsi" w:hAnsiTheme="majorHAnsi" w:cstheme="majorHAnsi"/>
          <w:b/>
          <w:sz w:val="24"/>
          <w:szCs w:val="24"/>
        </w:rPr>
      </w:pPr>
      <w:r w:rsidRPr="004807C2">
        <w:rPr>
          <w:rFonts w:asciiTheme="majorHAnsi" w:hAnsiTheme="majorHAnsi" w:cstheme="majorHAnsi"/>
          <w:b/>
          <w:sz w:val="24"/>
          <w:szCs w:val="24"/>
        </w:rPr>
        <w:t>ACKNOWLEDGEMENT OF COUNTRY</w:t>
      </w:r>
    </w:p>
    <w:p w14:paraId="614970B6" w14:textId="77777777" w:rsidR="00C92966" w:rsidRPr="004807C2" w:rsidRDefault="00C92966" w:rsidP="00264D7A">
      <w:pPr>
        <w:spacing w:before="180"/>
        <w:rPr>
          <w:rFonts w:asciiTheme="majorHAnsi" w:hAnsiTheme="majorHAnsi" w:cstheme="majorHAnsi"/>
          <w:sz w:val="20"/>
          <w:szCs w:val="20"/>
        </w:rPr>
      </w:pPr>
      <w:r w:rsidRPr="004807C2">
        <w:rPr>
          <w:rFonts w:asciiTheme="majorHAnsi" w:hAnsiTheme="majorHAnsi" w:cstheme="majorHAnsi"/>
          <w:sz w:val="20"/>
          <w:szCs w:val="20"/>
        </w:rPr>
        <w:t xml:space="preserve">The Victorian Department of Treasury and Finance acknowledges that Aboriginal and Torres Strait Islander peoples are the First Peoples and Traditional Custodians of Australia, and the oldest continuing culture in human history. We proudly acknowledge Victoria’s Aboriginal communities and recognise the value and ongoing contribution of Aboriginal people and communities to Victorian life. We pay our respect to Elders past and present and emerging. </w:t>
      </w:r>
    </w:p>
    <w:p w14:paraId="5975D80C" w14:textId="77777777" w:rsidR="00C92966" w:rsidRPr="004807C2" w:rsidRDefault="00C92966" w:rsidP="00C92966">
      <w:pPr>
        <w:spacing w:before="180"/>
        <w:rPr>
          <w:rFonts w:asciiTheme="majorHAnsi" w:hAnsiTheme="majorHAnsi" w:cstheme="majorHAnsi"/>
          <w:sz w:val="20"/>
          <w:szCs w:val="20"/>
        </w:rPr>
      </w:pPr>
      <w:r w:rsidRPr="004807C2">
        <w:rPr>
          <w:rFonts w:asciiTheme="majorHAnsi" w:hAnsiTheme="majorHAnsi" w:cstheme="majorHAnsi"/>
          <w:sz w:val="20"/>
          <w:szCs w:val="20"/>
        </w:rPr>
        <w:t>As we work to ensure Victorian Aboriginal communities continue to thrive, the Government acknowledges the invaluable contributions of generations that have come before us, who have fought tirelessly for the rights of their people and communities towards self-determination. We reflect on the continuing impact of government policies and practices and recognise our responsibility to work together with and for Aboriginal and Torres Strait Islander peoples towards improved cultural, social and economic outcomes.</w:t>
      </w:r>
    </w:p>
    <w:p w14:paraId="4D298492" w14:textId="77777777" w:rsidR="00C92966" w:rsidRPr="004807C2" w:rsidRDefault="00C92966" w:rsidP="00C92966">
      <w:pPr>
        <w:spacing w:before="180"/>
        <w:rPr>
          <w:rFonts w:asciiTheme="majorHAnsi" w:hAnsiTheme="majorHAnsi" w:cstheme="majorHAnsi"/>
          <w:sz w:val="20"/>
          <w:szCs w:val="20"/>
        </w:rPr>
      </w:pPr>
    </w:p>
    <w:p w14:paraId="4CCFA0B7" w14:textId="77777777" w:rsidR="00C92966" w:rsidRPr="004807C2" w:rsidRDefault="00C92966" w:rsidP="00C92966">
      <w:pPr>
        <w:spacing w:before="480"/>
        <w:jc w:val="center"/>
        <w:rPr>
          <w:rFonts w:asciiTheme="majorHAnsi" w:hAnsiTheme="majorHAnsi" w:cstheme="majorHAnsi"/>
          <w:sz w:val="20"/>
          <w:szCs w:val="20"/>
        </w:rPr>
      </w:pPr>
      <w:r w:rsidRPr="004807C2">
        <w:rPr>
          <w:rFonts w:asciiTheme="majorHAnsi" w:hAnsiTheme="majorHAnsi" w:cstheme="majorHAnsi"/>
          <w:sz w:val="20"/>
          <w:szCs w:val="20"/>
        </w:rPr>
        <w:br w:type="column"/>
      </w:r>
    </w:p>
    <w:p w14:paraId="545577DA" w14:textId="77777777" w:rsidR="00C92966" w:rsidRPr="004807C2" w:rsidRDefault="00464384" w:rsidP="00264D7A">
      <w:pPr>
        <w:spacing w:before="320"/>
        <w:jc w:val="center"/>
        <w:rPr>
          <w:rFonts w:asciiTheme="majorHAnsi" w:hAnsiTheme="majorHAnsi" w:cstheme="majorHAnsi"/>
          <w:sz w:val="20"/>
          <w:szCs w:val="20"/>
        </w:rPr>
      </w:pPr>
      <w:r w:rsidRPr="004807C2">
        <w:rPr>
          <w:rFonts w:asciiTheme="majorHAnsi" w:hAnsiTheme="majorHAnsi" w:cstheme="majorHAnsi"/>
          <w:sz w:val="18"/>
          <w:szCs w:val="18"/>
        </w:rPr>
        <w:drawing>
          <wp:inline distT="0" distB="0" distL="0" distR="0" wp14:anchorId="087F91DD" wp14:editId="210B78EB">
            <wp:extent cx="2235200" cy="2133109"/>
            <wp:effectExtent l="0" t="0" r="0" b="635"/>
            <wp:docPr id="943247294" name="Picture 1" descr="Aboriginal artwork ‘lim-ba nindee thana warn-ga-ilee’ (Preserve our Dreaming Lore) – Gunnai Langu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47294" name="Picture 1" descr="Aboriginal artwork ‘lim-ba nindee thana warn-ga-ilee’ (Preserve our Dreaming Lore) – Gunnai Language&#10;"/>
                    <pic:cNvPicPr/>
                  </pic:nvPicPr>
                  <pic:blipFill>
                    <a:blip r:embed="rId13"/>
                    <a:stretch>
                      <a:fillRect/>
                    </a:stretch>
                  </pic:blipFill>
                  <pic:spPr>
                    <a:xfrm>
                      <a:off x="0" y="0"/>
                      <a:ext cx="2247626" cy="2144968"/>
                    </a:xfrm>
                    <a:prstGeom prst="rect">
                      <a:avLst/>
                    </a:prstGeom>
                  </pic:spPr>
                </pic:pic>
              </a:graphicData>
            </a:graphic>
          </wp:inline>
        </w:drawing>
      </w:r>
    </w:p>
    <w:p w14:paraId="6DE3CB32" w14:textId="77777777" w:rsidR="00C92966" w:rsidRPr="004807C2" w:rsidRDefault="00C92966" w:rsidP="00C92966">
      <w:pPr>
        <w:spacing w:before="0"/>
        <w:rPr>
          <w:rFonts w:asciiTheme="majorHAnsi" w:hAnsiTheme="majorHAnsi" w:cstheme="majorHAnsi"/>
          <w:sz w:val="20"/>
          <w:szCs w:val="20"/>
        </w:rPr>
      </w:pPr>
    </w:p>
    <w:p w14:paraId="56F737AC" w14:textId="77777777" w:rsidR="00C92966" w:rsidRPr="004807C2" w:rsidRDefault="00C92966" w:rsidP="00C92966">
      <w:pPr>
        <w:ind w:left="-180" w:right="-98"/>
        <w:jc w:val="center"/>
        <w:rPr>
          <w:rFonts w:asciiTheme="majorHAnsi" w:hAnsiTheme="majorHAnsi" w:cstheme="majorHAnsi"/>
          <w:i/>
          <w:sz w:val="20"/>
          <w:szCs w:val="20"/>
        </w:rPr>
      </w:pPr>
      <w:r w:rsidRPr="004807C2">
        <w:rPr>
          <w:rFonts w:asciiTheme="majorHAnsi" w:hAnsiTheme="majorHAnsi" w:cstheme="majorHAnsi"/>
          <w:i/>
          <w:sz w:val="20"/>
          <w:szCs w:val="20"/>
        </w:rPr>
        <w:t xml:space="preserve">‘lim-ba nindee thana warn-ga-ilee’ </w:t>
      </w:r>
      <w:r w:rsidRPr="004807C2">
        <w:rPr>
          <w:rFonts w:asciiTheme="majorHAnsi" w:hAnsiTheme="majorHAnsi" w:cstheme="majorHAnsi"/>
          <w:i/>
          <w:sz w:val="20"/>
          <w:szCs w:val="20"/>
        </w:rPr>
        <w:br/>
        <w:t>(Preserve our Dreaming Lore) – Gunnai Language</w:t>
      </w:r>
    </w:p>
    <w:p w14:paraId="651F9AB9" w14:textId="77777777" w:rsidR="00C92966" w:rsidRDefault="00C92966" w:rsidP="00C92966">
      <w:pPr>
        <w:ind w:left="-180" w:right="-98"/>
        <w:jc w:val="center"/>
        <w:rPr>
          <w:rFonts w:asciiTheme="majorHAnsi" w:hAnsiTheme="majorHAnsi" w:cstheme="majorHAnsi"/>
          <w:i/>
          <w:sz w:val="20"/>
          <w:szCs w:val="20"/>
        </w:rPr>
      </w:pPr>
      <w:r w:rsidRPr="004807C2">
        <w:rPr>
          <w:rFonts w:asciiTheme="majorHAnsi" w:hAnsiTheme="majorHAnsi" w:cstheme="majorHAnsi"/>
          <w:i/>
          <w:sz w:val="20"/>
          <w:szCs w:val="20"/>
        </w:rPr>
        <w:t xml:space="preserve">Bitja (Dixon Patten Jnr) Yorta Yorta, Gunnai, </w:t>
      </w:r>
      <w:r w:rsidRPr="004807C2">
        <w:rPr>
          <w:rFonts w:asciiTheme="majorHAnsi" w:hAnsiTheme="majorHAnsi" w:cstheme="majorHAnsi"/>
          <w:i/>
          <w:sz w:val="20"/>
          <w:szCs w:val="20"/>
        </w:rPr>
        <w:br/>
        <w:t>Gunditjmara and Dhudhuroa of Bayila Creative</w:t>
      </w:r>
    </w:p>
    <w:p w14:paraId="4E282FB1" w14:textId="77777777" w:rsidR="00115020" w:rsidRPr="004807C2" w:rsidRDefault="00115020" w:rsidP="00464384">
      <w:pPr>
        <w:ind w:left="-180" w:right="-98"/>
        <w:jc w:val="center"/>
        <w:rPr>
          <w:rFonts w:asciiTheme="majorHAnsi" w:hAnsiTheme="majorHAnsi" w:cstheme="majorHAnsi"/>
          <w:i/>
          <w:iCs/>
          <w:sz w:val="20"/>
          <w:szCs w:val="20"/>
        </w:rPr>
      </w:pPr>
    </w:p>
    <w:p w14:paraId="2950F014" w14:textId="77777777" w:rsidR="00464384" w:rsidRPr="004807C2" w:rsidRDefault="00464384">
      <w:pPr>
        <w:keepLines w:val="0"/>
        <w:rPr>
          <w:rFonts w:ascii="Calibri" w:hAnsi="Calibri"/>
          <w:sz w:val="28"/>
          <w:szCs w:val="28"/>
        </w:rPr>
        <w:sectPr w:rsidR="00464384" w:rsidRPr="004807C2" w:rsidSect="007E5280">
          <w:pgSz w:w="9979" w:h="14175" w:code="9"/>
          <w:pgMar w:top="850" w:right="1134" w:bottom="850" w:left="1134" w:header="624" w:footer="567" w:gutter="0"/>
          <w:cols w:num="2" w:space="567"/>
          <w:docGrid w:linePitch="360"/>
        </w:sectPr>
      </w:pPr>
    </w:p>
    <w:p w14:paraId="4D15794B"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The Secretary</w:t>
      </w:r>
    </w:p>
    <w:p w14:paraId="4BDB160D"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Department of Treasury and Finance</w:t>
      </w:r>
    </w:p>
    <w:p w14:paraId="2EE9C877"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1 Treasury Place</w:t>
      </w:r>
    </w:p>
    <w:p w14:paraId="59BC4B9B"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Melbourne, Victoria, 3002</w:t>
      </w:r>
    </w:p>
    <w:p w14:paraId="27AD5300"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Australia</w:t>
      </w:r>
    </w:p>
    <w:p w14:paraId="3F55EABC"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Tel: (03) 9651 5111</w:t>
      </w:r>
    </w:p>
    <w:p w14:paraId="5E1B0FED"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Website: dtf.vic.gov.au</w:t>
      </w:r>
    </w:p>
    <w:p w14:paraId="4F3EEAF0" w14:textId="77777777" w:rsidR="007E5280" w:rsidRPr="004807C2" w:rsidRDefault="007E5280" w:rsidP="007E5280">
      <w:pPr>
        <w:rPr>
          <w:rFonts w:asciiTheme="majorHAnsi" w:hAnsiTheme="majorHAnsi" w:cstheme="majorHAnsi"/>
          <w:sz w:val="20"/>
          <w:szCs w:val="20"/>
        </w:rPr>
      </w:pPr>
      <w:r w:rsidRPr="004807C2">
        <w:rPr>
          <w:rFonts w:asciiTheme="majorHAnsi" w:hAnsiTheme="majorHAnsi" w:cstheme="majorHAnsi"/>
          <w:sz w:val="20"/>
          <w:szCs w:val="20"/>
        </w:rPr>
        <w:t>Authorised by the Victorian Government</w:t>
      </w:r>
    </w:p>
    <w:p w14:paraId="3BC7CBFC" w14:textId="77777777" w:rsidR="007E5280" w:rsidRPr="004807C2" w:rsidRDefault="007E5280" w:rsidP="007E5280">
      <w:pPr>
        <w:spacing w:before="0"/>
        <w:rPr>
          <w:rFonts w:asciiTheme="majorHAnsi" w:hAnsiTheme="majorHAnsi" w:cstheme="majorHAnsi"/>
          <w:sz w:val="20"/>
          <w:szCs w:val="20"/>
        </w:rPr>
      </w:pPr>
      <w:r w:rsidRPr="004807C2">
        <w:rPr>
          <w:rFonts w:asciiTheme="majorHAnsi" w:hAnsiTheme="majorHAnsi" w:cstheme="majorHAnsi"/>
          <w:sz w:val="20"/>
          <w:szCs w:val="20"/>
        </w:rPr>
        <w:t>1 Treasury Place, Melbourne, 3002</w:t>
      </w:r>
    </w:p>
    <w:p w14:paraId="7AE9515E" w14:textId="77777777" w:rsidR="007E5280" w:rsidRPr="004807C2" w:rsidRDefault="007E5280" w:rsidP="007E5280">
      <w:pPr>
        <w:rPr>
          <w:rFonts w:asciiTheme="majorHAnsi" w:hAnsiTheme="majorHAnsi" w:cstheme="majorHAnsi"/>
          <w:sz w:val="20"/>
          <w:szCs w:val="20"/>
        </w:rPr>
      </w:pPr>
      <w:r w:rsidRPr="004807C2">
        <w:rPr>
          <w:rFonts w:asciiTheme="majorHAnsi" w:hAnsiTheme="majorHAnsi" w:cstheme="majorHAnsi"/>
          <w:sz w:val="20"/>
          <w:szCs w:val="20"/>
        </w:rPr>
        <w:t>© State of Victoria 2024</w:t>
      </w:r>
    </w:p>
    <w:p w14:paraId="63E386A5" w14:textId="77777777" w:rsidR="007E5280" w:rsidRPr="004807C2" w:rsidRDefault="007E5280" w:rsidP="007E5280">
      <w:pPr>
        <w:rPr>
          <w:rFonts w:asciiTheme="majorHAnsi" w:hAnsiTheme="majorHAnsi" w:cstheme="majorHAnsi"/>
          <w:sz w:val="20"/>
          <w:szCs w:val="20"/>
        </w:rPr>
      </w:pPr>
      <w:r w:rsidRPr="004807C2">
        <w:rPr>
          <w:rFonts w:asciiTheme="majorHAnsi" w:hAnsiTheme="majorHAnsi" w:cstheme="majorHAnsi"/>
          <w:sz w:val="20"/>
          <w:szCs w:val="20"/>
        </w:rPr>
        <w:br w:type="column"/>
      </w:r>
      <w:r w:rsidRPr="004807C2">
        <w:rPr>
          <w:rFonts w:asciiTheme="majorHAnsi" w:hAnsiTheme="majorHAnsi" w:cstheme="majorHAnsi"/>
          <w:sz w:val="20"/>
          <w:szCs w:val="20"/>
        </w:rPr>
        <w:drawing>
          <wp:inline distT="0" distB="0" distL="0" distR="0" wp14:anchorId="04D5DE74" wp14:editId="1BC3C6A2">
            <wp:extent cx="1054100" cy="368300"/>
            <wp:effectExtent l="0" t="0" r="0" b="0"/>
            <wp:docPr id="8" name="Picture 8"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2AB15FC1" w14:textId="77777777" w:rsidR="007E5280" w:rsidRPr="004807C2" w:rsidRDefault="007E5280" w:rsidP="00F20F25">
      <w:pPr>
        <w:spacing w:before="80"/>
        <w:rPr>
          <w:rFonts w:asciiTheme="majorHAnsi" w:hAnsiTheme="majorHAnsi" w:cstheme="majorHAnsi"/>
          <w:sz w:val="20"/>
          <w:szCs w:val="20"/>
        </w:rPr>
      </w:pPr>
      <w:r w:rsidRPr="004807C2">
        <w:rPr>
          <w:rFonts w:asciiTheme="majorHAnsi" w:hAnsiTheme="majorHAnsi" w:cstheme="majorHAnsi"/>
          <w:sz w:val="20"/>
          <w:szCs w:val="20"/>
          <w:lang w:val="en-US"/>
        </w:rPr>
        <w:t>You are free to re-use this work under a Creative Commons Attribution 4.0 International licence, provided you credit the State of Victoria (Department of Treasury and Finance) as author, indicate if changes were made and comply with the other licence terms. The licence does not apply to any branding (including Government logos), images, and material from third parties. Permission may be required for any re-use of third-party material protected by copyright.</w:t>
      </w:r>
    </w:p>
    <w:p w14:paraId="71B33398" w14:textId="77777777" w:rsidR="007E5280" w:rsidRPr="004807C2" w:rsidRDefault="007E5280" w:rsidP="00F20F25">
      <w:pPr>
        <w:spacing w:before="80"/>
        <w:rPr>
          <w:rFonts w:asciiTheme="majorHAnsi" w:hAnsiTheme="majorHAnsi" w:cstheme="majorHAnsi"/>
          <w:sz w:val="20"/>
          <w:szCs w:val="20"/>
        </w:rPr>
      </w:pPr>
      <w:r w:rsidRPr="004807C2">
        <w:rPr>
          <w:rFonts w:asciiTheme="majorHAnsi" w:hAnsiTheme="majorHAnsi" w:cstheme="majorHAnsi"/>
          <w:sz w:val="20"/>
          <w:szCs w:val="20"/>
        </w:rPr>
        <w:t>Copyright queries may be directed to</w:t>
      </w:r>
      <w:r w:rsidRPr="004807C2">
        <w:rPr>
          <w:rFonts w:asciiTheme="majorHAnsi" w:hAnsiTheme="majorHAnsi" w:cstheme="majorHAnsi"/>
          <w:sz w:val="20"/>
          <w:szCs w:val="20"/>
        </w:rPr>
        <w:br/>
        <w:t>information@dtf.vic.gov.au</w:t>
      </w:r>
    </w:p>
    <w:p w14:paraId="038CA03E" w14:textId="77777777" w:rsidR="000218CD" w:rsidRPr="000218CD" w:rsidRDefault="007E5280" w:rsidP="000218CD">
      <w:pPr>
        <w:spacing w:before="80"/>
        <w:rPr>
          <w:rFonts w:asciiTheme="majorHAnsi" w:hAnsiTheme="majorHAnsi" w:cstheme="majorHAnsi"/>
          <w:sz w:val="20"/>
          <w:szCs w:val="20"/>
        </w:rPr>
      </w:pPr>
      <w:r w:rsidRPr="000218CD">
        <w:rPr>
          <w:rFonts w:asciiTheme="majorHAnsi" w:hAnsiTheme="majorHAnsi" w:cstheme="majorHAnsi"/>
          <w:sz w:val="20"/>
          <w:szCs w:val="20"/>
        </w:rPr>
        <w:t>ISSN 2204-</w:t>
      </w:r>
      <w:r w:rsidR="000218CD" w:rsidRPr="000218CD">
        <w:rPr>
          <w:rFonts w:asciiTheme="majorHAnsi" w:hAnsiTheme="majorHAnsi" w:cstheme="majorHAnsi"/>
          <w:sz w:val="20"/>
          <w:szCs w:val="20"/>
        </w:rPr>
        <w:t>7182 (print)</w:t>
      </w:r>
    </w:p>
    <w:p w14:paraId="02CF4F2D" w14:textId="44EC2485" w:rsidR="007E5280" w:rsidRPr="004807C2" w:rsidRDefault="000218CD" w:rsidP="000218CD">
      <w:pPr>
        <w:spacing w:before="80"/>
        <w:rPr>
          <w:rFonts w:asciiTheme="majorHAnsi" w:hAnsiTheme="majorHAnsi" w:cstheme="majorHAnsi"/>
          <w:sz w:val="20"/>
          <w:szCs w:val="20"/>
        </w:rPr>
      </w:pPr>
      <w:r w:rsidRPr="000218CD">
        <w:rPr>
          <w:rFonts w:asciiTheme="majorHAnsi" w:hAnsiTheme="majorHAnsi" w:cstheme="majorHAnsi"/>
          <w:sz w:val="20"/>
          <w:szCs w:val="20"/>
        </w:rPr>
        <w:t>ISSN 2204-4701</w:t>
      </w:r>
      <w:r w:rsidR="007E5280" w:rsidRPr="000218CD">
        <w:rPr>
          <w:rFonts w:asciiTheme="majorHAnsi" w:hAnsiTheme="majorHAnsi" w:cstheme="majorHAnsi"/>
          <w:sz w:val="20"/>
          <w:szCs w:val="20"/>
        </w:rPr>
        <w:t xml:space="preserve"> (online)</w:t>
      </w:r>
    </w:p>
    <w:p w14:paraId="4437A37B" w14:textId="2708EBF5" w:rsidR="00F352C4" w:rsidRPr="004807C2" w:rsidRDefault="007E5280" w:rsidP="00F20F25">
      <w:pPr>
        <w:spacing w:before="80"/>
        <w:rPr>
          <w:rFonts w:ascii="Calibri" w:hAnsi="Calibri"/>
          <w:sz w:val="28"/>
          <w:szCs w:val="28"/>
        </w:rPr>
      </w:pPr>
      <w:r w:rsidRPr="004807C2">
        <w:rPr>
          <w:rFonts w:asciiTheme="majorHAnsi" w:hAnsiTheme="majorHAnsi" w:cstheme="majorHAnsi"/>
          <w:sz w:val="20"/>
          <w:szCs w:val="20"/>
        </w:rPr>
        <w:t xml:space="preserve">Published </w:t>
      </w:r>
      <w:r w:rsidR="00B47AA6">
        <w:rPr>
          <w:rFonts w:asciiTheme="majorHAnsi" w:hAnsiTheme="majorHAnsi" w:cstheme="majorHAnsi"/>
          <w:sz w:val="20"/>
          <w:szCs w:val="20"/>
        </w:rPr>
        <w:t>December</w:t>
      </w:r>
      <w:r w:rsidRPr="004807C2">
        <w:rPr>
          <w:rFonts w:asciiTheme="majorHAnsi" w:hAnsiTheme="majorHAnsi" w:cstheme="majorHAnsi"/>
          <w:sz w:val="20"/>
          <w:szCs w:val="20"/>
        </w:rPr>
        <w:t xml:space="preserve"> 2024</w:t>
      </w:r>
    </w:p>
    <w:p w14:paraId="4BB3AC37" w14:textId="77777777" w:rsidR="00F352C4" w:rsidRPr="004807C2" w:rsidRDefault="00F352C4" w:rsidP="00F352C4">
      <w:pPr>
        <w:keepLines w:val="0"/>
        <w:rPr>
          <w:rFonts w:ascii="Calibri" w:hAnsi="Calibri"/>
          <w:sz w:val="28"/>
          <w:szCs w:val="28"/>
        </w:rPr>
        <w:sectPr w:rsidR="00F352C4" w:rsidRPr="004807C2" w:rsidSect="003D0D81">
          <w:type w:val="continuous"/>
          <w:pgSz w:w="9979" w:h="14175" w:code="9"/>
          <w:pgMar w:top="850" w:right="1134" w:bottom="850" w:left="1134" w:header="624" w:footer="567" w:gutter="0"/>
          <w:cols w:num="2" w:space="567" w:equalWidth="0">
            <w:col w:w="3345" w:space="567"/>
            <w:col w:w="3799"/>
          </w:cols>
          <w:docGrid w:linePitch="360"/>
        </w:sectPr>
      </w:pPr>
    </w:p>
    <w:p w14:paraId="7FD4ADC9" w14:textId="77777777" w:rsidR="00F352C4" w:rsidRPr="006F6363" w:rsidRDefault="00F352C4" w:rsidP="00F352C4">
      <w:pPr>
        <w:pageBreakBefore/>
        <w:pBdr>
          <w:bottom w:val="single" w:sz="6" w:space="1" w:color="auto"/>
        </w:pBdr>
        <w:spacing w:before="1440" w:after="240"/>
        <w:rPr>
          <w:rFonts w:ascii="Calibri" w:hAnsi="Calibri"/>
          <w:b/>
          <w:caps/>
          <w:sz w:val="36"/>
        </w:rPr>
      </w:pPr>
      <w:bookmarkStart w:id="0" w:name="_Toc481013395"/>
      <w:r w:rsidRPr="006F6363">
        <w:rPr>
          <w:rFonts w:ascii="Calibri" w:hAnsi="Calibri"/>
          <w:b/>
          <w:caps/>
          <w:sz w:val="36"/>
        </w:rPr>
        <w:t>TABLE OF CONTENTS</w:t>
      </w:r>
      <w:bookmarkEnd w:id="0"/>
    </w:p>
    <w:p w14:paraId="33EFFC91" w14:textId="7B9D0112" w:rsidR="00A13A45" w:rsidRDefault="00F352C4">
      <w:pPr>
        <w:pStyle w:val="TOC1"/>
        <w:rPr>
          <w:rFonts w:asciiTheme="minorHAnsi" w:eastAsiaTheme="minorEastAsia" w:hAnsiTheme="minorHAnsi"/>
          <w:b w:val="0"/>
          <w:noProof/>
          <w:kern w:val="2"/>
          <w:sz w:val="24"/>
          <w:szCs w:val="24"/>
          <w:lang w:eastAsia="en-AU"/>
          <w14:ligatures w14:val="standardContextual"/>
        </w:rPr>
      </w:pPr>
      <w:r>
        <w:rPr>
          <w:sz w:val="21"/>
        </w:rPr>
        <w:fldChar w:fldCharType="begin"/>
      </w:r>
      <w:r>
        <w:instrText xml:space="preserve"> TOC \h \z \t "Heading 1,2,Chapter Heading,1" </w:instrText>
      </w:r>
      <w:r>
        <w:rPr>
          <w:sz w:val="21"/>
        </w:rPr>
        <w:fldChar w:fldCharType="separate"/>
      </w:r>
      <w:hyperlink w:anchor="_Toc184299431" w:history="1">
        <w:r w:rsidR="00A13A45" w:rsidRPr="006A05E2">
          <w:rPr>
            <w:rStyle w:val="Hyperlink"/>
            <w:noProof/>
          </w:rPr>
          <w:t>Chapter 1 – Economic and fiscal overview</w:t>
        </w:r>
        <w:r w:rsidR="00A13A45">
          <w:rPr>
            <w:noProof/>
            <w:webHidden/>
          </w:rPr>
          <w:tab/>
        </w:r>
        <w:r w:rsidR="00A13A45">
          <w:rPr>
            <w:noProof/>
            <w:webHidden/>
          </w:rPr>
          <w:fldChar w:fldCharType="begin"/>
        </w:r>
        <w:r w:rsidR="00A13A45">
          <w:rPr>
            <w:noProof/>
            <w:webHidden/>
          </w:rPr>
          <w:instrText xml:space="preserve"> PAGEREF _Toc184299431 \h </w:instrText>
        </w:r>
        <w:r w:rsidR="00A13A45">
          <w:rPr>
            <w:noProof/>
            <w:webHidden/>
          </w:rPr>
        </w:r>
        <w:r w:rsidR="00A13A45">
          <w:rPr>
            <w:noProof/>
            <w:webHidden/>
          </w:rPr>
          <w:fldChar w:fldCharType="separate"/>
        </w:r>
        <w:r w:rsidR="00F33CFC">
          <w:rPr>
            <w:noProof/>
            <w:webHidden/>
          </w:rPr>
          <w:t>1</w:t>
        </w:r>
        <w:r w:rsidR="00A13A45">
          <w:rPr>
            <w:noProof/>
            <w:webHidden/>
          </w:rPr>
          <w:fldChar w:fldCharType="end"/>
        </w:r>
      </w:hyperlink>
    </w:p>
    <w:p w14:paraId="18B91DF8" w14:textId="27E30647"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32" w:history="1">
        <w:r w:rsidRPr="006A05E2">
          <w:rPr>
            <w:rStyle w:val="Hyperlink"/>
            <w:noProof/>
          </w:rPr>
          <w:t>Strong growth in jobs and investment</w:t>
        </w:r>
        <w:r>
          <w:rPr>
            <w:noProof/>
            <w:webHidden/>
          </w:rPr>
          <w:tab/>
        </w:r>
        <w:r>
          <w:rPr>
            <w:noProof/>
            <w:webHidden/>
          </w:rPr>
          <w:fldChar w:fldCharType="begin"/>
        </w:r>
        <w:r>
          <w:rPr>
            <w:noProof/>
            <w:webHidden/>
          </w:rPr>
          <w:instrText xml:space="preserve"> PAGEREF _Toc184299432 \h </w:instrText>
        </w:r>
        <w:r>
          <w:rPr>
            <w:noProof/>
            <w:webHidden/>
          </w:rPr>
        </w:r>
        <w:r>
          <w:rPr>
            <w:noProof/>
            <w:webHidden/>
          </w:rPr>
          <w:fldChar w:fldCharType="separate"/>
        </w:r>
        <w:r w:rsidR="00F33CFC">
          <w:rPr>
            <w:noProof/>
            <w:webHidden/>
          </w:rPr>
          <w:t>1</w:t>
        </w:r>
        <w:r>
          <w:rPr>
            <w:noProof/>
            <w:webHidden/>
          </w:rPr>
          <w:fldChar w:fldCharType="end"/>
        </w:r>
      </w:hyperlink>
    </w:p>
    <w:p w14:paraId="10BF7E06" w14:textId="540EECDC"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33" w:history="1">
        <w:r w:rsidRPr="006A05E2">
          <w:rPr>
            <w:rStyle w:val="Hyperlink"/>
            <w:noProof/>
          </w:rPr>
          <w:t>Strong financial management</w:t>
        </w:r>
        <w:r>
          <w:rPr>
            <w:noProof/>
            <w:webHidden/>
          </w:rPr>
          <w:tab/>
        </w:r>
        <w:r>
          <w:rPr>
            <w:noProof/>
            <w:webHidden/>
          </w:rPr>
          <w:fldChar w:fldCharType="begin"/>
        </w:r>
        <w:r>
          <w:rPr>
            <w:noProof/>
            <w:webHidden/>
          </w:rPr>
          <w:instrText xml:space="preserve"> PAGEREF _Toc184299433 \h </w:instrText>
        </w:r>
        <w:r>
          <w:rPr>
            <w:noProof/>
            <w:webHidden/>
          </w:rPr>
        </w:r>
        <w:r>
          <w:rPr>
            <w:noProof/>
            <w:webHidden/>
          </w:rPr>
          <w:fldChar w:fldCharType="separate"/>
        </w:r>
        <w:r w:rsidR="00F33CFC">
          <w:rPr>
            <w:noProof/>
            <w:webHidden/>
          </w:rPr>
          <w:t>3</w:t>
        </w:r>
        <w:r>
          <w:rPr>
            <w:noProof/>
            <w:webHidden/>
          </w:rPr>
          <w:fldChar w:fldCharType="end"/>
        </w:r>
      </w:hyperlink>
    </w:p>
    <w:p w14:paraId="1D52783C" w14:textId="63E1744E"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34" w:history="1">
        <w:r w:rsidRPr="006A05E2">
          <w:rPr>
            <w:rStyle w:val="Hyperlink"/>
            <w:noProof/>
          </w:rPr>
          <w:t>Chapter 2 – Economic context</w:t>
        </w:r>
        <w:r>
          <w:rPr>
            <w:noProof/>
            <w:webHidden/>
          </w:rPr>
          <w:tab/>
        </w:r>
        <w:r>
          <w:rPr>
            <w:noProof/>
            <w:webHidden/>
          </w:rPr>
          <w:fldChar w:fldCharType="begin"/>
        </w:r>
        <w:r>
          <w:rPr>
            <w:noProof/>
            <w:webHidden/>
          </w:rPr>
          <w:instrText xml:space="preserve"> PAGEREF _Toc184299434 \h </w:instrText>
        </w:r>
        <w:r>
          <w:rPr>
            <w:noProof/>
            <w:webHidden/>
          </w:rPr>
        </w:r>
        <w:r>
          <w:rPr>
            <w:noProof/>
            <w:webHidden/>
          </w:rPr>
          <w:fldChar w:fldCharType="separate"/>
        </w:r>
        <w:r w:rsidR="00F33CFC">
          <w:rPr>
            <w:noProof/>
            <w:webHidden/>
          </w:rPr>
          <w:t>7</w:t>
        </w:r>
        <w:r>
          <w:rPr>
            <w:noProof/>
            <w:webHidden/>
          </w:rPr>
          <w:fldChar w:fldCharType="end"/>
        </w:r>
      </w:hyperlink>
    </w:p>
    <w:p w14:paraId="7FDB5748" w14:textId="069CB26C"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35" w:history="1">
        <w:r w:rsidRPr="006A05E2">
          <w:rPr>
            <w:rStyle w:val="Hyperlink"/>
            <w:noProof/>
          </w:rPr>
          <w:t>Victorian economic conditions and outlook</w:t>
        </w:r>
        <w:r>
          <w:rPr>
            <w:noProof/>
            <w:webHidden/>
          </w:rPr>
          <w:tab/>
        </w:r>
        <w:r>
          <w:rPr>
            <w:noProof/>
            <w:webHidden/>
          </w:rPr>
          <w:fldChar w:fldCharType="begin"/>
        </w:r>
        <w:r>
          <w:rPr>
            <w:noProof/>
            <w:webHidden/>
          </w:rPr>
          <w:instrText xml:space="preserve"> PAGEREF _Toc184299435 \h </w:instrText>
        </w:r>
        <w:r>
          <w:rPr>
            <w:noProof/>
            <w:webHidden/>
          </w:rPr>
        </w:r>
        <w:r>
          <w:rPr>
            <w:noProof/>
            <w:webHidden/>
          </w:rPr>
          <w:fldChar w:fldCharType="separate"/>
        </w:r>
        <w:r w:rsidR="00F33CFC">
          <w:rPr>
            <w:noProof/>
            <w:webHidden/>
          </w:rPr>
          <w:t>7</w:t>
        </w:r>
        <w:r>
          <w:rPr>
            <w:noProof/>
            <w:webHidden/>
          </w:rPr>
          <w:fldChar w:fldCharType="end"/>
        </w:r>
      </w:hyperlink>
    </w:p>
    <w:p w14:paraId="1CB05BEC" w14:textId="6D5ECB61"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36" w:history="1">
        <w:r w:rsidRPr="006A05E2">
          <w:rPr>
            <w:rStyle w:val="Hyperlink"/>
            <w:noProof/>
          </w:rPr>
          <w:t>Australian economic conditions and outlook</w:t>
        </w:r>
        <w:r>
          <w:rPr>
            <w:noProof/>
            <w:webHidden/>
          </w:rPr>
          <w:tab/>
        </w:r>
        <w:r>
          <w:rPr>
            <w:noProof/>
            <w:webHidden/>
          </w:rPr>
          <w:fldChar w:fldCharType="begin"/>
        </w:r>
        <w:r>
          <w:rPr>
            <w:noProof/>
            <w:webHidden/>
          </w:rPr>
          <w:instrText xml:space="preserve"> PAGEREF _Toc184299436 \h </w:instrText>
        </w:r>
        <w:r>
          <w:rPr>
            <w:noProof/>
            <w:webHidden/>
          </w:rPr>
        </w:r>
        <w:r>
          <w:rPr>
            <w:noProof/>
            <w:webHidden/>
          </w:rPr>
          <w:fldChar w:fldCharType="separate"/>
        </w:r>
        <w:r w:rsidR="00F33CFC">
          <w:rPr>
            <w:noProof/>
            <w:webHidden/>
          </w:rPr>
          <w:t>13</w:t>
        </w:r>
        <w:r>
          <w:rPr>
            <w:noProof/>
            <w:webHidden/>
          </w:rPr>
          <w:fldChar w:fldCharType="end"/>
        </w:r>
      </w:hyperlink>
    </w:p>
    <w:p w14:paraId="34C31C77" w14:textId="5AC9887C"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37" w:history="1">
        <w:r w:rsidRPr="006A05E2">
          <w:rPr>
            <w:rStyle w:val="Hyperlink"/>
            <w:noProof/>
          </w:rPr>
          <w:t>International economic conditions and outlook</w:t>
        </w:r>
        <w:r>
          <w:rPr>
            <w:noProof/>
            <w:webHidden/>
          </w:rPr>
          <w:tab/>
        </w:r>
        <w:r>
          <w:rPr>
            <w:noProof/>
            <w:webHidden/>
          </w:rPr>
          <w:fldChar w:fldCharType="begin"/>
        </w:r>
        <w:r>
          <w:rPr>
            <w:noProof/>
            <w:webHidden/>
          </w:rPr>
          <w:instrText xml:space="preserve"> PAGEREF _Toc184299437 \h </w:instrText>
        </w:r>
        <w:r>
          <w:rPr>
            <w:noProof/>
            <w:webHidden/>
          </w:rPr>
        </w:r>
        <w:r>
          <w:rPr>
            <w:noProof/>
            <w:webHidden/>
          </w:rPr>
          <w:fldChar w:fldCharType="separate"/>
        </w:r>
        <w:r w:rsidR="00F33CFC">
          <w:rPr>
            <w:noProof/>
            <w:webHidden/>
          </w:rPr>
          <w:t>14</w:t>
        </w:r>
        <w:r>
          <w:rPr>
            <w:noProof/>
            <w:webHidden/>
          </w:rPr>
          <w:fldChar w:fldCharType="end"/>
        </w:r>
      </w:hyperlink>
    </w:p>
    <w:p w14:paraId="3C27CFC2" w14:textId="29BCB233"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38" w:history="1">
        <w:r w:rsidRPr="006A05E2">
          <w:rPr>
            <w:rStyle w:val="Hyperlink"/>
            <w:noProof/>
          </w:rPr>
          <w:t>Risks to the Victorian outlook</w:t>
        </w:r>
        <w:r>
          <w:rPr>
            <w:noProof/>
            <w:webHidden/>
          </w:rPr>
          <w:tab/>
        </w:r>
        <w:r>
          <w:rPr>
            <w:noProof/>
            <w:webHidden/>
          </w:rPr>
          <w:fldChar w:fldCharType="begin"/>
        </w:r>
        <w:r>
          <w:rPr>
            <w:noProof/>
            <w:webHidden/>
          </w:rPr>
          <w:instrText xml:space="preserve"> PAGEREF _Toc184299438 \h </w:instrText>
        </w:r>
        <w:r>
          <w:rPr>
            <w:noProof/>
            <w:webHidden/>
          </w:rPr>
        </w:r>
        <w:r>
          <w:rPr>
            <w:noProof/>
            <w:webHidden/>
          </w:rPr>
          <w:fldChar w:fldCharType="separate"/>
        </w:r>
        <w:r w:rsidR="00F33CFC">
          <w:rPr>
            <w:noProof/>
            <w:webHidden/>
          </w:rPr>
          <w:t>15</w:t>
        </w:r>
        <w:r>
          <w:rPr>
            <w:noProof/>
            <w:webHidden/>
          </w:rPr>
          <w:fldChar w:fldCharType="end"/>
        </w:r>
      </w:hyperlink>
    </w:p>
    <w:p w14:paraId="5E5A06BD" w14:textId="5B3D8493"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39" w:history="1">
        <w:r w:rsidRPr="006A05E2">
          <w:rPr>
            <w:rStyle w:val="Hyperlink"/>
            <w:noProof/>
          </w:rPr>
          <w:t>Chapter 3 – Budget position and outlook</w:t>
        </w:r>
        <w:r>
          <w:rPr>
            <w:noProof/>
            <w:webHidden/>
          </w:rPr>
          <w:tab/>
        </w:r>
        <w:r>
          <w:rPr>
            <w:noProof/>
            <w:webHidden/>
          </w:rPr>
          <w:fldChar w:fldCharType="begin"/>
        </w:r>
        <w:r>
          <w:rPr>
            <w:noProof/>
            <w:webHidden/>
          </w:rPr>
          <w:instrText xml:space="preserve"> PAGEREF _Toc184299439 \h </w:instrText>
        </w:r>
        <w:r>
          <w:rPr>
            <w:noProof/>
            <w:webHidden/>
          </w:rPr>
        </w:r>
        <w:r>
          <w:rPr>
            <w:noProof/>
            <w:webHidden/>
          </w:rPr>
          <w:fldChar w:fldCharType="separate"/>
        </w:r>
        <w:r w:rsidR="00F33CFC">
          <w:rPr>
            <w:noProof/>
            <w:webHidden/>
          </w:rPr>
          <w:t>17</w:t>
        </w:r>
        <w:r>
          <w:rPr>
            <w:noProof/>
            <w:webHidden/>
          </w:rPr>
          <w:fldChar w:fldCharType="end"/>
        </w:r>
      </w:hyperlink>
    </w:p>
    <w:p w14:paraId="3EC16284" w14:textId="319472E8"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40" w:history="1">
        <w:r w:rsidRPr="006A05E2">
          <w:rPr>
            <w:rStyle w:val="Hyperlink"/>
            <w:noProof/>
          </w:rPr>
          <w:t>General government sector</w:t>
        </w:r>
        <w:r>
          <w:rPr>
            <w:noProof/>
            <w:webHidden/>
          </w:rPr>
          <w:tab/>
        </w:r>
        <w:r>
          <w:rPr>
            <w:noProof/>
            <w:webHidden/>
          </w:rPr>
          <w:fldChar w:fldCharType="begin"/>
        </w:r>
        <w:r>
          <w:rPr>
            <w:noProof/>
            <w:webHidden/>
          </w:rPr>
          <w:instrText xml:space="preserve"> PAGEREF _Toc184299440 \h </w:instrText>
        </w:r>
        <w:r>
          <w:rPr>
            <w:noProof/>
            <w:webHidden/>
          </w:rPr>
        </w:r>
        <w:r>
          <w:rPr>
            <w:noProof/>
            <w:webHidden/>
          </w:rPr>
          <w:fldChar w:fldCharType="separate"/>
        </w:r>
        <w:r w:rsidR="00F33CFC">
          <w:rPr>
            <w:noProof/>
            <w:webHidden/>
          </w:rPr>
          <w:t>18</w:t>
        </w:r>
        <w:r>
          <w:rPr>
            <w:noProof/>
            <w:webHidden/>
          </w:rPr>
          <w:fldChar w:fldCharType="end"/>
        </w:r>
      </w:hyperlink>
    </w:p>
    <w:p w14:paraId="1BED4456" w14:textId="1FBD481E"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41" w:history="1">
        <w:r w:rsidRPr="006A05E2">
          <w:rPr>
            <w:rStyle w:val="Hyperlink"/>
            <w:noProof/>
          </w:rPr>
          <w:t>Budget and forward estimates outlook</w:t>
        </w:r>
        <w:r>
          <w:rPr>
            <w:noProof/>
            <w:webHidden/>
          </w:rPr>
          <w:tab/>
        </w:r>
        <w:r>
          <w:rPr>
            <w:noProof/>
            <w:webHidden/>
          </w:rPr>
          <w:fldChar w:fldCharType="begin"/>
        </w:r>
        <w:r>
          <w:rPr>
            <w:noProof/>
            <w:webHidden/>
          </w:rPr>
          <w:instrText xml:space="preserve"> PAGEREF _Toc184299441 \h </w:instrText>
        </w:r>
        <w:r>
          <w:rPr>
            <w:noProof/>
            <w:webHidden/>
          </w:rPr>
        </w:r>
        <w:r>
          <w:rPr>
            <w:noProof/>
            <w:webHidden/>
          </w:rPr>
          <w:fldChar w:fldCharType="separate"/>
        </w:r>
        <w:r w:rsidR="00F33CFC">
          <w:rPr>
            <w:noProof/>
            <w:webHidden/>
          </w:rPr>
          <w:t>19</w:t>
        </w:r>
        <w:r>
          <w:rPr>
            <w:noProof/>
            <w:webHidden/>
          </w:rPr>
          <w:fldChar w:fldCharType="end"/>
        </w:r>
      </w:hyperlink>
    </w:p>
    <w:p w14:paraId="78635DAC" w14:textId="63155DCF"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42" w:history="1">
        <w:r w:rsidRPr="006A05E2">
          <w:rPr>
            <w:rStyle w:val="Hyperlink"/>
            <w:noProof/>
          </w:rPr>
          <w:t>Fiscal risks</w:t>
        </w:r>
        <w:r>
          <w:rPr>
            <w:noProof/>
            <w:webHidden/>
          </w:rPr>
          <w:tab/>
        </w:r>
        <w:r>
          <w:rPr>
            <w:noProof/>
            <w:webHidden/>
          </w:rPr>
          <w:fldChar w:fldCharType="begin"/>
        </w:r>
        <w:r>
          <w:rPr>
            <w:noProof/>
            <w:webHidden/>
          </w:rPr>
          <w:instrText xml:space="preserve"> PAGEREF _Toc184299442 \h </w:instrText>
        </w:r>
        <w:r>
          <w:rPr>
            <w:noProof/>
            <w:webHidden/>
          </w:rPr>
        </w:r>
        <w:r>
          <w:rPr>
            <w:noProof/>
            <w:webHidden/>
          </w:rPr>
          <w:fldChar w:fldCharType="separate"/>
        </w:r>
        <w:r w:rsidR="00F33CFC">
          <w:rPr>
            <w:noProof/>
            <w:webHidden/>
          </w:rPr>
          <w:t>30</w:t>
        </w:r>
        <w:r>
          <w:rPr>
            <w:noProof/>
            <w:webHidden/>
          </w:rPr>
          <w:fldChar w:fldCharType="end"/>
        </w:r>
      </w:hyperlink>
    </w:p>
    <w:p w14:paraId="170D85CD" w14:textId="7264AF58"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43" w:history="1">
        <w:r w:rsidRPr="006A05E2">
          <w:rPr>
            <w:rStyle w:val="Hyperlink"/>
            <w:noProof/>
          </w:rPr>
          <w:t>Non-financial public sector</w:t>
        </w:r>
        <w:r>
          <w:rPr>
            <w:noProof/>
            <w:webHidden/>
          </w:rPr>
          <w:tab/>
        </w:r>
        <w:r>
          <w:rPr>
            <w:noProof/>
            <w:webHidden/>
          </w:rPr>
          <w:fldChar w:fldCharType="begin"/>
        </w:r>
        <w:r>
          <w:rPr>
            <w:noProof/>
            <w:webHidden/>
          </w:rPr>
          <w:instrText xml:space="preserve"> PAGEREF _Toc184299443 \h </w:instrText>
        </w:r>
        <w:r>
          <w:rPr>
            <w:noProof/>
            <w:webHidden/>
          </w:rPr>
        </w:r>
        <w:r>
          <w:rPr>
            <w:noProof/>
            <w:webHidden/>
          </w:rPr>
          <w:fldChar w:fldCharType="separate"/>
        </w:r>
        <w:r w:rsidR="00F33CFC">
          <w:rPr>
            <w:noProof/>
            <w:webHidden/>
          </w:rPr>
          <w:t>36</w:t>
        </w:r>
        <w:r>
          <w:rPr>
            <w:noProof/>
            <w:webHidden/>
          </w:rPr>
          <w:fldChar w:fldCharType="end"/>
        </w:r>
      </w:hyperlink>
    </w:p>
    <w:p w14:paraId="7CD2B5C0" w14:textId="0C567390"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44" w:history="1">
        <w:r w:rsidRPr="006A05E2">
          <w:rPr>
            <w:rStyle w:val="Hyperlink"/>
            <w:noProof/>
          </w:rPr>
          <w:t>Non</w:t>
        </w:r>
        <w:r w:rsidRPr="006A05E2">
          <w:rPr>
            <w:rStyle w:val="Hyperlink"/>
            <w:noProof/>
          </w:rPr>
          <w:noBreakHyphen/>
          <w:t>financial public sector net debt and net financial liabilities</w:t>
        </w:r>
        <w:r>
          <w:rPr>
            <w:noProof/>
            <w:webHidden/>
          </w:rPr>
          <w:tab/>
        </w:r>
        <w:r>
          <w:rPr>
            <w:noProof/>
            <w:webHidden/>
          </w:rPr>
          <w:fldChar w:fldCharType="begin"/>
        </w:r>
        <w:r>
          <w:rPr>
            <w:noProof/>
            <w:webHidden/>
          </w:rPr>
          <w:instrText xml:space="preserve"> PAGEREF _Toc184299444 \h </w:instrText>
        </w:r>
        <w:r>
          <w:rPr>
            <w:noProof/>
            <w:webHidden/>
          </w:rPr>
        </w:r>
        <w:r>
          <w:rPr>
            <w:noProof/>
            <w:webHidden/>
          </w:rPr>
          <w:fldChar w:fldCharType="separate"/>
        </w:r>
        <w:r w:rsidR="00F33CFC">
          <w:rPr>
            <w:noProof/>
            <w:webHidden/>
          </w:rPr>
          <w:t>38</w:t>
        </w:r>
        <w:r>
          <w:rPr>
            <w:noProof/>
            <w:webHidden/>
          </w:rPr>
          <w:fldChar w:fldCharType="end"/>
        </w:r>
      </w:hyperlink>
    </w:p>
    <w:p w14:paraId="3A93945D" w14:textId="5C85D1D7"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45" w:history="1">
        <w:r w:rsidRPr="006A05E2">
          <w:rPr>
            <w:rStyle w:val="Hyperlink"/>
            <w:noProof/>
          </w:rPr>
          <w:t>State of Victoria</w:t>
        </w:r>
        <w:r>
          <w:rPr>
            <w:noProof/>
            <w:webHidden/>
          </w:rPr>
          <w:tab/>
        </w:r>
        <w:r>
          <w:rPr>
            <w:noProof/>
            <w:webHidden/>
          </w:rPr>
          <w:fldChar w:fldCharType="begin"/>
        </w:r>
        <w:r>
          <w:rPr>
            <w:noProof/>
            <w:webHidden/>
          </w:rPr>
          <w:instrText xml:space="preserve"> PAGEREF _Toc184299445 \h </w:instrText>
        </w:r>
        <w:r>
          <w:rPr>
            <w:noProof/>
            <w:webHidden/>
          </w:rPr>
        </w:r>
        <w:r>
          <w:rPr>
            <w:noProof/>
            <w:webHidden/>
          </w:rPr>
          <w:fldChar w:fldCharType="separate"/>
        </w:r>
        <w:r w:rsidR="00F33CFC">
          <w:rPr>
            <w:noProof/>
            <w:webHidden/>
          </w:rPr>
          <w:t>40</w:t>
        </w:r>
        <w:r>
          <w:rPr>
            <w:noProof/>
            <w:webHidden/>
          </w:rPr>
          <w:fldChar w:fldCharType="end"/>
        </w:r>
      </w:hyperlink>
    </w:p>
    <w:p w14:paraId="4AAF9950" w14:textId="0A409DEB"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46" w:history="1">
        <w:r w:rsidRPr="006A05E2">
          <w:rPr>
            <w:rStyle w:val="Hyperlink"/>
            <w:noProof/>
          </w:rPr>
          <w:t>Chapter 4 – Estimated financial statements and notes</w:t>
        </w:r>
        <w:r>
          <w:rPr>
            <w:noProof/>
            <w:webHidden/>
          </w:rPr>
          <w:tab/>
        </w:r>
        <w:r>
          <w:rPr>
            <w:noProof/>
            <w:webHidden/>
          </w:rPr>
          <w:fldChar w:fldCharType="begin"/>
        </w:r>
        <w:r>
          <w:rPr>
            <w:noProof/>
            <w:webHidden/>
          </w:rPr>
          <w:instrText xml:space="preserve"> PAGEREF _Toc184299446 \h </w:instrText>
        </w:r>
        <w:r>
          <w:rPr>
            <w:noProof/>
            <w:webHidden/>
          </w:rPr>
        </w:r>
        <w:r>
          <w:rPr>
            <w:noProof/>
            <w:webHidden/>
          </w:rPr>
          <w:fldChar w:fldCharType="separate"/>
        </w:r>
        <w:r w:rsidR="00F33CFC">
          <w:rPr>
            <w:noProof/>
            <w:webHidden/>
          </w:rPr>
          <w:t>43</w:t>
        </w:r>
        <w:r>
          <w:rPr>
            <w:noProof/>
            <w:webHidden/>
          </w:rPr>
          <w:fldChar w:fldCharType="end"/>
        </w:r>
      </w:hyperlink>
    </w:p>
    <w:p w14:paraId="4D99709F" w14:textId="7B82A2AC" w:rsidR="00A13A45" w:rsidRPr="000B24EA" w:rsidRDefault="00A13A45">
      <w:pPr>
        <w:pStyle w:val="TOC2"/>
        <w:rPr>
          <w:rFonts w:asciiTheme="minorHAnsi" w:eastAsiaTheme="minorEastAsia" w:hAnsiTheme="minorHAnsi"/>
          <w:noProof/>
          <w:spacing w:val="-4"/>
          <w:kern w:val="2"/>
          <w:sz w:val="24"/>
          <w:szCs w:val="24"/>
          <w:lang w:eastAsia="en-AU"/>
          <w14:ligatures w14:val="standardContextual"/>
        </w:rPr>
      </w:pPr>
      <w:hyperlink w:anchor="_Toc184299447" w:history="1">
        <w:r w:rsidRPr="000B24EA">
          <w:rPr>
            <w:rStyle w:val="Hyperlink"/>
            <w:noProof/>
            <w:spacing w:val="-4"/>
          </w:rPr>
          <w:t xml:space="preserve">Estimated consolidated general government sector comprehensive </w:t>
        </w:r>
        <w:r w:rsidR="000B24EA">
          <w:rPr>
            <w:rStyle w:val="Hyperlink"/>
            <w:noProof/>
            <w:spacing w:val="-4"/>
          </w:rPr>
          <w:br/>
        </w:r>
        <w:r w:rsidRPr="000B24EA">
          <w:rPr>
            <w:rStyle w:val="Hyperlink"/>
            <w:noProof/>
            <w:spacing w:val="-4"/>
          </w:rPr>
          <w:t>operating statement</w:t>
        </w:r>
        <w:r w:rsidRPr="000B24EA">
          <w:rPr>
            <w:noProof/>
            <w:webHidden/>
            <w:spacing w:val="-4"/>
          </w:rPr>
          <w:tab/>
        </w:r>
        <w:r w:rsidRPr="000B24EA">
          <w:rPr>
            <w:noProof/>
            <w:webHidden/>
            <w:spacing w:val="-4"/>
          </w:rPr>
          <w:fldChar w:fldCharType="begin"/>
        </w:r>
        <w:r w:rsidRPr="000B24EA">
          <w:rPr>
            <w:noProof/>
            <w:webHidden/>
            <w:spacing w:val="-4"/>
          </w:rPr>
          <w:instrText xml:space="preserve"> PAGEREF _Toc184299447 \h </w:instrText>
        </w:r>
        <w:r w:rsidRPr="000B24EA">
          <w:rPr>
            <w:noProof/>
            <w:webHidden/>
            <w:spacing w:val="-4"/>
          </w:rPr>
        </w:r>
        <w:r w:rsidRPr="000B24EA">
          <w:rPr>
            <w:noProof/>
            <w:webHidden/>
            <w:spacing w:val="-4"/>
          </w:rPr>
          <w:fldChar w:fldCharType="separate"/>
        </w:r>
        <w:r w:rsidR="00F33CFC">
          <w:rPr>
            <w:noProof/>
            <w:webHidden/>
            <w:spacing w:val="-4"/>
          </w:rPr>
          <w:t>43</w:t>
        </w:r>
        <w:r w:rsidRPr="000B24EA">
          <w:rPr>
            <w:noProof/>
            <w:webHidden/>
            <w:spacing w:val="-4"/>
          </w:rPr>
          <w:fldChar w:fldCharType="end"/>
        </w:r>
      </w:hyperlink>
    </w:p>
    <w:p w14:paraId="12826672" w14:textId="0475BE8C" w:rsidR="00A13A45" w:rsidRPr="000B24EA" w:rsidRDefault="00A13A45">
      <w:pPr>
        <w:pStyle w:val="TOC2"/>
        <w:rPr>
          <w:rFonts w:asciiTheme="minorHAnsi" w:eastAsiaTheme="minorEastAsia" w:hAnsiTheme="minorHAnsi"/>
          <w:noProof/>
          <w:spacing w:val="-4"/>
          <w:kern w:val="2"/>
          <w:sz w:val="24"/>
          <w:szCs w:val="24"/>
          <w:lang w:eastAsia="en-AU"/>
          <w14:ligatures w14:val="standardContextual"/>
        </w:rPr>
      </w:pPr>
      <w:hyperlink w:anchor="_Toc184299448" w:history="1">
        <w:r w:rsidRPr="000B24EA">
          <w:rPr>
            <w:rStyle w:val="Hyperlink"/>
            <w:noProof/>
            <w:spacing w:val="-4"/>
          </w:rPr>
          <w:t>Estimated consolidated general government sector balance sheet</w:t>
        </w:r>
        <w:r w:rsidRPr="000B24EA">
          <w:rPr>
            <w:noProof/>
            <w:webHidden/>
            <w:spacing w:val="-4"/>
          </w:rPr>
          <w:tab/>
        </w:r>
        <w:r w:rsidRPr="000B24EA">
          <w:rPr>
            <w:noProof/>
            <w:webHidden/>
            <w:spacing w:val="-4"/>
          </w:rPr>
          <w:fldChar w:fldCharType="begin"/>
        </w:r>
        <w:r w:rsidRPr="000B24EA">
          <w:rPr>
            <w:noProof/>
            <w:webHidden/>
            <w:spacing w:val="-4"/>
          </w:rPr>
          <w:instrText xml:space="preserve"> PAGEREF _Toc184299448 \h </w:instrText>
        </w:r>
        <w:r w:rsidRPr="000B24EA">
          <w:rPr>
            <w:noProof/>
            <w:webHidden/>
            <w:spacing w:val="-4"/>
          </w:rPr>
        </w:r>
        <w:r w:rsidRPr="000B24EA">
          <w:rPr>
            <w:noProof/>
            <w:webHidden/>
            <w:spacing w:val="-4"/>
          </w:rPr>
          <w:fldChar w:fldCharType="separate"/>
        </w:r>
        <w:r w:rsidR="00F33CFC">
          <w:rPr>
            <w:noProof/>
            <w:webHidden/>
            <w:spacing w:val="-4"/>
          </w:rPr>
          <w:t>45</w:t>
        </w:r>
        <w:r w:rsidRPr="000B24EA">
          <w:rPr>
            <w:noProof/>
            <w:webHidden/>
            <w:spacing w:val="-4"/>
          </w:rPr>
          <w:fldChar w:fldCharType="end"/>
        </w:r>
      </w:hyperlink>
    </w:p>
    <w:p w14:paraId="2FA0DF5C" w14:textId="2771A6F1" w:rsidR="00A13A45" w:rsidRPr="000B24EA" w:rsidRDefault="00A13A45">
      <w:pPr>
        <w:pStyle w:val="TOC2"/>
        <w:rPr>
          <w:rFonts w:asciiTheme="minorHAnsi" w:eastAsiaTheme="minorEastAsia" w:hAnsiTheme="minorHAnsi"/>
          <w:noProof/>
          <w:spacing w:val="-4"/>
          <w:kern w:val="2"/>
          <w:sz w:val="24"/>
          <w:szCs w:val="24"/>
          <w:lang w:eastAsia="en-AU"/>
          <w14:ligatures w14:val="standardContextual"/>
        </w:rPr>
      </w:pPr>
      <w:hyperlink w:anchor="_Toc184299449" w:history="1">
        <w:r w:rsidRPr="000B24EA">
          <w:rPr>
            <w:rStyle w:val="Hyperlink"/>
            <w:noProof/>
            <w:spacing w:val="-4"/>
          </w:rPr>
          <w:t>Estimated consolidated general government sector cash flow statement</w:t>
        </w:r>
        <w:r w:rsidRPr="000B24EA">
          <w:rPr>
            <w:noProof/>
            <w:webHidden/>
            <w:spacing w:val="-4"/>
          </w:rPr>
          <w:tab/>
        </w:r>
        <w:r w:rsidRPr="000B24EA">
          <w:rPr>
            <w:noProof/>
            <w:webHidden/>
            <w:spacing w:val="-4"/>
          </w:rPr>
          <w:fldChar w:fldCharType="begin"/>
        </w:r>
        <w:r w:rsidRPr="000B24EA">
          <w:rPr>
            <w:noProof/>
            <w:webHidden/>
            <w:spacing w:val="-4"/>
          </w:rPr>
          <w:instrText xml:space="preserve"> PAGEREF _Toc184299449 \h </w:instrText>
        </w:r>
        <w:r w:rsidRPr="000B24EA">
          <w:rPr>
            <w:noProof/>
            <w:webHidden/>
            <w:spacing w:val="-4"/>
          </w:rPr>
        </w:r>
        <w:r w:rsidRPr="000B24EA">
          <w:rPr>
            <w:noProof/>
            <w:webHidden/>
            <w:spacing w:val="-4"/>
          </w:rPr>
          <w:fldChar w:fldCharType="separate"/>
        </w:r>
        <w:r w:rsidR="00F33CFC">
          <w:rPr>
            <w:noProof/>
            <w:webHidden/>
            <w:spacing w:val="-4"/>
          </w:rPr>
          <w:t>46</w:t>
        </w:r>
        <w:r w:rsidRPr="000B24EA">
          <w:rPr>
            <w:noProof/>
            <w:webHidden/>
            <w:spacing w:val="-4"/>
          </w:rPr>
          <w:fldChar w:fldCharType="end"/>
        </w:r>
      </w:hyperlink>
    </w:p>
    <w:p w14:paraId="49A58BE3" w14:textId="74EC7D76" w:rsidR="00A13A45" w:rsidRPr="000B24EA" w:rsidRDefault="00A13A45">
      <w:pPr>
        <w:pStyle w:val="TOC2"/>
        <w:rPr>
          <w:rFonts w:asciiTheme="minorHAnsi" w:eastAsiaTheme="minorEastAsia" w:hAnsiTheme="minorHAnsi"/>
          <w:noProof/>
          <w:spacing w:val="-4"/>
          <w:kern w:val="2"/>
          <w:sz w:val="24"/>
          <w:szCs w:val="24"/>
          <w:lang w:eastAsia="en-AU"/>
          <w14:ligatures w14:val="standardContextual"/>
        </w:rPr>
      </w:pPr>
      <w:hyperlink w:anchor="_Toc184299450" w:history="1">
        <w:r w:rsidRPr="000B24EA">
          <w:rPr>
            <w:rStyle w:val="Hyperlink"/>
            <w:noProof/>
            <w:spacing w:val="-4"/>
          </w:rPr>
          <w:t>Estimated consolidated general government sector statement of changes in equity</w:t>
        </w:r>
        <w:r w:rsidRPr="000B24EA">
          <w:rPr>
            <w:noProof/>
            <w:webHidden/>
            <w:spacing w:val="-4"/>
          </w:rPr>
          <w:tab/>
        </w:r>
        <w:r w:rsidRPr="000B24EA">
          <w:rPr>
            <w:noProof/>
            <w:webHidden/>
            <w:spacing w:val="-4"/>
          </w:rPr>
          <w:fldChar w:fldCharType="begin"/>
        </w:r>
        <w:r w:rsidRPr="000B24EA">
          <w:rPr>
            <w:noProof/>
            <w:webHidden/>
            <w:spacing w:val="-4"/>
          </w:rPr>
          <w:instrText xml:space="preserve"> PAGEREF _Toc184299450 \h </w:instrText>
        </w:r>
        <w:r w:rsidRPr="000B24EA">
          <w:rPr>
            <w:noProof/>
            <w:webHidden/>
            <w:spacing w:val="-4"/>
          </w:rPr>
        </w:r>
        <w:r w:rsidRPr="000B24EA">
          <w:rPr>
            <w:noProof/>
            <w:webHidden/>
            <w:spacing w:val="-4"/>
          </w:rPr>
          <w:fldChar w:fldCharType="separate"/>
        </w:r>
        <w:r w:rsidR="00F33CFC">
          <w:rPr>
            <w:noProof/>
            <w:webHidden/>
            <w:spacing w:val="-4"/>
          </w:rPr>
          <w:t>48</w:t>
        </w:r>
        <w:r w:rsidRPr="000B24EA">
          <w:rPr>
            <w:noProof/>
            <w:webHidden/>
            <w:spacing w:val="-4"/>
          </w:rPr>
          <w:fldChar w:fldCharType="end"/>
        </w:r>
      </w:hyperlink>
    </w:p>
    <w:p w14:paraId="6EF45788" w14:textId="2B6B64C5"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51" w:history="1">
        <w:r w:rsidRPr="006A05E2">
          <w:rPr>
            <w:rStyle w:val="Hyperlink"/>
            <w:noProof/>
          </w:rPr>
          <w:t>Chapter 5 – Supplementary uniform presentation framework tables</w:t>
        </w:r>
        <w:r>
          <w:rPr>
            <w:noProof/>
            <w:webHidden/>
          </w:rPr>
          <w:tab/>
        </w:r>
        <w:r>
          <w:rPr>
            <w:noProof/>
            <w:webHidden/>
          </w:rPr>
          <w:fldChar w:fldCharType="begin"/>
        </w:r>
        <w:r>
          <w:rPr>
            <w:noProof/>
            <w:webHidden/>
          </w:rPr>
          <w:instrText xml:space="preserve"> PAGEREF _Toc184299451 \h </w:instrText>
        </w:r>
        <w:r>
          <w:rPr>
            <w:noProof/>
            <w:webHidden/>
          </w:rPr>
        </w:r>
        <w:r>
          <w:rPr>
            <w:noProof/>
            <w:webHidden/>
          </w:rPr>
          <w:fldChar w:fldCharType="separate"/>
        </w:r>
        <w:r w:rsidR="00F33CFC">
          <w:rPr>
            <w:noProof/>
            <w:webHidden/>
          </w:rPr>
          <w:t>87</w:t>
        </w:r>
        <w:r>
          <w:rPr>
            <w:noProof/>
            <w:webHidden/>
          </w:rPr>
          <w:fldChar w:fldCharType="end"/>
        </w:r>
      </w:hyperlink>
    </w:p>
    <w:p w14:paraId="2ECEF4F8" w14:textId="3BEC3A8E"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52" w:history="1">
        <w:r w:rsidRPr="006A05E2">
          <w:rPr>
            <w:rStyle w:val="Hyperlink"/>
            <w:noProof/>
          </w:rPr>
          <w:t>Chapter 6 – Sensitivity analysis</w:t>
        </w:r>
        <w:r>
          <w:rPr>
            <w:noProof/>
            <w:webHidden/>
          </w:rPr>
          <w:tab/>
        </w:r>
        <w:r>
          <w:rPr>
            <w:noProof/>
            <w:webHidden/>
          </w:rPr>
          <w:fldChar w:fldCharType="begin"/>
        </w:r>
        <w:r>
          <w:rPr>
            <w:noProof/>
            <w:webHidden/>
          </w:rPr>
          <w:instrText xml:space="preserve"> PAGEREF _Toc184299452 \h </w:instrText>
        </w:r>
        <w:r>
          <w:rPr>
            <w:noProof/>
            <w:webHidden/>
          </w:rPr>
        </w:r>
        <w:r>
          <w:rPr>
            <w:noProof/>
            <w:webHidden/>
          </w:rPr>
          <w:fldChar w:fldCharType="separate"/>
        </w:r>
        <w:r w:rsidR="00F33CFC">
          <w:rPr>
            <w:noProof/>
            <w:webHidden/>
          </w:rPr>
          <w:t>111</w:t>
        </w:r>
        <w:r>
          <w:rPr>
            <w:noProof/>
            <w:webHidden/>
          </w:rPr>
          <w:fldChar w:fldCharType="end"/>
        </w:r>
      </w:hyperlink>
    </w:p>
    <w:p w14:paraId="54988B9C" w14:textId="3E84277D"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53" w:history="1">
        <w:r w:rsidRPr="006A05E2">
          <w:rPr>
            <w:rStyle w:val="Hyperlink"/>
            <w:noProof/>
          </w:rPr>
          <w:t>Fiscal effects of variations to the economic outlook</w:t>
        </w:r>
        <w:r>
          <w:rPr>
            <w:noProof/>
            <w:webHidden/>
          </w:rPr>
          <w:tab/>
        </w:r>
        <w:r>
          <w:rPr>
            <w:noProof/>
            <w:webHidden/>
          </w:rPr>
          <w:fldChar w:fldCharType="begin"/>
        </w:r>
        <w:r>
          <w:rPr>
            <w:noProof/>
            <w:webHidden/>
          </w:rPr>
          <w:instrText xml:space="preserve"> PAGEREF _Toc184299453 \h </w:instrText>
        </w:r>
        <w:r>
          <w:rPr>
            <w:noProof/>
            <w:webHidden/>
          </w:rPr>
        </w:r>
        <w:r>
          <w:rPr>
            <w:noProof/>
            <w:webHidden/>
          </w:rPr>
          <w:fldChar w:fldCharType="separate"/>
        </w:r>
        <w:r w:rsidR="00F33CFC">
          <w:rPr>
            <w:noProof/>
            <w:webHidden/>
          </w:rPr>
          <w:t>112</w:t>
        </w:r>
        <w:r>
          <w:rPr>
            <w:noProof/>
            <w:webHidden/>
          </w:rPr>
          <w:fldChar w:fldCharType="end"/>
        </w:r>
      </w:hyperlink>
    </w:p>
    <w:p w14:paraId="7B30BE61" w14:textId="64DF2D0F"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54" w:history="1">
        <w:r w:rsidRPr="006A05E2">
          <w:rPr>
            <w:rStyle w:val="Hyperlink"/>
            <w:noProof/>
          </w:rPr>
          <w:t>Sensitivity to independent variations in major economic parameters</w:t>
        </w:r>
        <w:r>
          <w:rPr>
            <w:noProof/>
            <w:webHidden/>
          </w:rPr>
          <w:tab/>
        </w:r>
        <w:r>
          <w:rPr>
            <w:noProof/>
            <w:webHidden/>
          </w:rPr>
          <w:fldChar w:fldCharType="begin"/>
        </w:r>
        <w:r>
          <w:rPr>
            <w:noProof/>
            <w:webHidden/>
          </w:rPr>
          <w:instrText xml:space="preserve"> PAGEREF _Toc184299454 \h </w:instrText>
        </w:r>
        <w:r>
          <w:rPr>
            <w:noProof/>
            <w:webHidden/>
          </w:rPr>
        </w:r>
        <w:r>
          <w:rPr>
            <w:noProof/>
            <w:webHidden/>
          </w:rPr>
          <w:fldChar w:fldCharType="separate"/>
        </w:r>
        <w:r w:rsidR="00F33CFC">
          <w:rPr>
            <w:noProof/>
            <w:webHidden/>
          </w:rPr>
          <w:t>119</w:t>
        </w:r>
        <w:r>
          <w:rPr>
            <w:noProof/>
            <w:webHidden/>
          </w:rPr>
          <w:fldChar w:fldCharType="end"/>
        </w:r>
      </w:hyperlink>
    </w:p>
    <w:p w14:paraId="18047FDC" w14:textId="3A35B61B"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55" w:history="1">
        <w:r w:rsidRPr="006A05E2">
          <w:rPr>
            <w:rStyle w:val="Hyperlink"/>
            <w:noProof/>
          </w:rPr>
          <w:t>Chapter 7 – Contingent assets and contingent liabilities</w:t>
        </w:r>
        <w:r>
          <w:rPr>
            <w:noProof/>
            <w:webHidden/>
          </w:rPr>
          <w:tab/>
        </w:r>
        <w:r>
          <w:rPr>
            <w:noProof/>
            <w:webHidden/>
          </w:rPr>
          <w:fldChar w:fldCharType="begin"/>
        </w:r>
        <w:r>
          <w:rPr>
            <w:noProof/>
            <w:webHidden/>
          </w:rPr>
          <w:instrText xml:space="preserve"> PAGEREF _Toc184299455 \h </w:instrText>
        </w:r>
        <w:r>
          <w:rPr>
            <w:noProof/>
            <w:webHidden/>
          </w:rPr>
        </w:r>
        <w:r>
          <w:rPr>
            <w:noProof/>
            <w:webHidden/>
          </w:rPr>
          <w:fldChar w:fldCharType="separate"/>
        </w:r>
        <w:r w:rsidR="00F33CFC">
          <w:rPr>
            <w:noProof/>
            <w:webHidden/>
          </w:rPr>
          <w:t>121</w:t>
        </w:r>
        <w:r>
          <w:rPr>
            <w:noProof/>
            <w:webHidden/>
          </w:rPr>
          <w:fldChar w:fldCharType="end"/>
        </w:r>
      </w:hyperlink>
    </w:p>
    <w:p w14:paraId="7FA9CEB2" w14:textId="141C33A8"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56" w:history="1">
        <w:r w:rsidRPr="006A05E2">
          <w:rPr>
            <w:rStyle w:val="Hyperlink"/>
            <w:noProof/>
          </w:rPr>
          <w:t>Contingent assets</w:t>
        </w:r>
        <w:r>
          <w:rPr>
            <w:noProof/>
            <w:webHidden/>
          </w:rPr>
          <w:tab/>
        </w:r>
        <w:r>
          <w:rPr>
            <w:noProof/>
            <w:webHidden/>
          </w:rPr>
          <w:fldChar w:fldCharType="begin"/>
        </w:r>
        <w:r>
          <w:rPr>
            <w:noProof/>
            <w:webHidden/>
          </w:rPr>
          <w:instrText xml:space="preserve"> PAGEREF _Toc184299456 \h </w:instrText>
        </w:r>
        <w:r>
          <w:rPr>
            <w:noProof/>
            <w:webHidden/>
          </w:rPr>
        </w:r>
        <w:r>
          <w:rPr>
            <w:noProof/>
            <w:webHidden/>
          </w:rPr>
          <w:fldChar w:fldCharType="separate"/>
        </w:r>
        <w:r w:rsidR="00F33CFC">
          <w:rPr>
            <w:noProof/>
            <w:webHidden/>
          </w:rPr>
          <w:t>121</w:t>
        </w:r>
        <w:r>
          <w:rPr>
            <w:noProof/>
            <w:webHidden/>
          </w:rPr>
          <w:fldChar w:fldCharType="end"/>
        </w:r>
      </w:hyperlink>
    </w:p>
    <w:p w14:paraId="306B7036" w14:textId="42719AEE" w:rsidR="00A13A45" w:rsidRDefault="00A13A45">
      <w:pPr>
        <w:pStyle w:val="TOC2"/>
        <w:rPr>
          <w:rFonts w:asciiTheme="minorHAnsi" w:eastAsiaTheme="minorEastAsia" w:hAnsiTheme="minorHAnsi"/>
          <w:noProof/>
          <w:kern w:val="2"/>
          <w:sz w:val="24"/>
          <w:szCs w:val="24"/>
          <w:lang w:eastAsia="en-AU"/>
          <w14:ligatures w14:val="standardContextual"/>
        </w:rPr>
      </w:pPr>
      <w:hyperlink w:anchor="_Toc184299457" w:history="1">
        <w:r w:rsidRPr="006A05E2">
          <w:rPr>
            <w:rStyle w:val="Hyperlink"/>
            <w:noProof/>
          </w:rPr>
          <w:t>Contingent liabilities</w:t>
        </w:r>
        <w:r>
          <w:rPr>
            <w:noProof/>
            <w:webHidden/>
          </w:rPr>
          <w:tab/>
        </w:r>
        <w:r>
          <w:rPr>
            <w:noProof/>
            <w:webHidden/>
          </w:rPr>
          <w:fldChar w:fldCharType="begin"/>
        </w:r>
        <w:r>
          <w:rPr>
            <w:noProof/>
            <w:webHidden/>
          </w:rPr>
          <w:instrText xml:space="preserve"> PAGEREF _Toc184299457 \h </w:instrText>
        </w:r>
        <w:r>
          <w:rPr>
            <w:noProof/>
            <w:webHidden/>
          </w:rPr>
        </w:r>
        <w:r>
          <w:rPr>
            <w:noProof/>
            <w:webHidden/>
          </w:rPr>
          <w:fldChar w:fldCharType="separate"/>
        </w:r>
        <w:r w:rsidR="00F33CFC">
          <w:rPr>
            <w:noProof/>
            <w:webHidden/>
          </w:rPr>
          <w:t>122</w:t>
        </w:r>
        <w:r>
          <w:rPr>
            <w:noProof/>
            <w:webHidden/>
          </w:rPr>
          <w:fldChar w:fldCharType="end"/>
        </w:r>
      </w:hyperlink>
    </w:p>
    <w:p w14:paraId="176B7C30" w14:textId="77777777" w:rsidR="009E6506" w:rsidRDefault="009E6506">
      <w:pPr>
        <w:keepLines w:val="0"/>
        <w:rPr>
          <w:noProof/>
        </w:rPr>
      </w:pPr>
      <w:r w:rsidRPr="009E6506">
        <w:rPr>
          <w:noProof/>
        </w:rPr>
        <w:br w:type="page"/>
      </w:r>
    </w:p>
    <w:p w14:paraId="29A4B67D" w14:textId="77777777" w:rsidR="009E6506" w:rsidRPr="009E6506" w:rsidRDefault="009E6506">
      <w:pPr>
        <w:keepLines w:val="0"/>
        <w:rPr>
          <w:noProof/>
        </w:rPr>
      </w:pPr>
    </w:p>
    <w:p w14:paraId="24BC90AD" w14:textId="1EC6FE90" w:rsidR="00A13A45" w:rsidRDefault="00A13A45" w:rsidP="006D5988">
      <w:pPr>
        <w:pStyle w:val="TOC1"/>
        <w:spacing w:before="720"/>
        <w:rPr>
          <w:rFonts w:asciiTheme="minorHAnsi" w:eastAsiaTheme="minorEastAsia" w:hAnsiTheme="minorHAnsi"/>
          <w:b w:val="0"/>
          <w:noProof/>
          <w:kern w:val="2"/>
          <w:sz w:val="24"/>
          <w:szCs w:val="24"/>
          <w:lang w:eastAsia="en-AU"/>
          <w14:ligatures w14:val="standardContextual"/>
        </w:rPr>
      </w:pPr>
      <w:hyperlink w:anchor="_Toc184299458" w:history="1">
        <w:r w:rsidRPr="006A05E2">
          <w:rPr>
            <w:rStyle w:val="Hyperlink"/>
            <w:noProof/>
          </w:rPr>
          <w:t>Appendix A – Specific policy initiatives affecting the budget position</w:t>
        </w:r>
        <w:r>
          <w:rPr>
            <w:noProof/>
            <w:webHidden/>
          </w:rPr>
          <w:tab/>
        </w:r>
        <w:r>
          <w:rPr>
            <w:noProof/>
            <w:webHidden/>
          </w:rPr>
          <w:fldChar w:fldCharType="begin"/>
        </w:r>
        <w:r>
          <w:rPr>
            <w:noProof/>
            <w:webHidden/>
          </w:rPr>
          <w:instrText xml:space="preserve"> PAGEREF _Toc184299458 \h </w:instrText>
        </w:r>
        <w:r>
          <w:rPr>
            <w:noProof/>
            <w:webHidden/>
          </w:rPr>
        </w:r>
        <w:r>
          <w:rPr>
            <w:noProof/>
            <w:webHidden/>
          </w:rPr>
          <w:fldChar w:fldCharType="separate"/>
        </w:r>
        <w:r w:rsidR="00F33CFC">
          <w:rPr>
            <w:noProof/>
            <w:webHidden/>
          </w:rPr>
          <w:t>129</w:t>
        </w:r>
        <w:r>
          <w:rPr>
            <w:noProof/>
            <w:webHidden/>
          </w:rPr>
          <w:fldChar w:fldCharType="end"/>
        </w:r>
      </w:hyperlink>
    </w:p>
    <w:p w14:paraId="4D0E05AC" w14:textId="2353CB67"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69" w:history="1">
        <w:r w:rsidRPr="006A05E2">
          <w:rPr>
            <w:rStyle w:val="Hyperlink"/>
            <w:noProof/>
          </w:rPr>
          <w:t>Appendix B – Amendments to the 2024-25 output performance measures</w:t>
        </w:r>
        <w:r>
          <w:rPr>
            <w:noProof/>
            <w:webHidden/>
          </w:rPr>
          <w:tab/>
        </w:r>
        <w:r>
          <w:rPr>
            <w:noProof/>
            <w:webHidden/>
          </w:rPr>
          <w:fldChar w:fldCharType="begin"/>
        </w:r>
        <w:r>
          <w:rPr>
            <w:noProof/>
            <w:webHidden/>
          </w:rPr>
          <w:instrText xml:space="preserve"> PAGEREF _Toc184299469 \h </w:instrText>
        </w:r>
        <w:r>
          <w:rPr>
            <w:noProof/>
            <w:webHidden/>
          </w:rPr>
        </w:r>
        <w:r>
          <w:rPr>
            <w:noProof/>
            <w:webHidden/>
          </w:rPr>
          <w:fldChar w:fldCharType="separate"/>
        </w:r>
        <w:r w:rsidR="00F33CFC">
          <w:rPr>
            <w:noProof/>
            <w:webHidden/>
          </w:rPr>
          <w:t>145</w:t>
        </w:r>
        <w:r>
          <w:rPr>
            <w:noProof/>
            <w:webHidden/>
          </w:rPr>
          <w:fldChar w:fldCharType="end"/>
        </w:r>
      </w:hyperlink>
    </w:p>
    <w:p w14:paraId="2DFC791E" w14:textId="30CF17D9"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70" w:history="1">
        <w:r w:rsidRPr="006A05E2">
          <w:rPr>
            <w:rStyle w:val="Hyperlink"/>
            <w:noProof/>
          </w:rPr>
          <w:t>Appendix C – Tax expenditures and concessions</w:t>
        </w:r>
        <w:r>
          <w:rPr>
            <w:noProof/>
            <w:webHidden/>
          </w:rPr>
          <w:tab/>
        </w:r>
        <w:r>
          <w:rPr>
            <w:noProof/>
            <w:webHidden/>
          </w:rPr>
          <w:fldChar w:fldCharType="begin"/>
        </w:r>
        <w:r>
          <w:rPr>
            <w:noProof/>
            <w:webHidden/>
          </w:rPr>
          <w:instrText xml:space="preserve"> PAGEREF _Toc184299470 \h </w:instrText>
        </w:r>
        <w:r>
          <w:rPr>
            <w:noProof/>
            <w:webHidden/>
          </w:rPr>
        </w:r>
        <w:r>
          <w:rPr>
            <w:noProof/>
            <w:webHidden/>
          </w:rPr>
          <w:fldChar w:fldCharType="separate"/>
        </w:r>
        <w:r w:rsidR="00F33CFC">
          <w:rPr>
            <w:noProof/>
            <w:webHidden/>
          </w:rPr>
          <w:t>147</w:t>
        </w:r>
        <w:r>
          <w:rPr>
            <w:noProof/>
            <w:webHidden/>
          </w:rPr>
          <w:fldChar w:fldCharType="end"/>
        </w:r>
      </w:hyperlink>
    </w:p>
    <w:p w14:paraId="170DDF50" w14:textId="124CF9A6"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73" w:history="1">
        <w:r w:rsidRPr="006A05E2">
          <w:rPr>
            <w:rStyle w:val="Hyperlink"/>
            <w:noProof/>
          </w:rPr>
          <w:t xml:space="preserve">Appendix D – Requirements of the </w:t>
        </w:r>
        <w:r w:rsidRPr="006D5988">
          <w:rPr>
            <w:rStyle w:val="Hyperlink"/>
            <w:i/>
            <w:noProof/>
          </w:rPr>
          <w:t>Financial Management Act 1994</w:t>
        </w:r>
        <w:r>
          <w:rPr>
            <w:noProof/>
            <w:webHidden/>
          </w:rPr>
          <w:tab/>
        </w:r>
        <w:r>
          <w:rPr>
            <w:noProof/>
            <w:webHidden/>
          </w:rPr>
          <w:fldChar w:fldCharType="begin"/>
        </w:r>
        <w:r>
          <w:rPr>
            <w:noProof/>
            <w:webHidden/>
          </w:rPr>
          <w:instrText xml:space="preserve"> PAGEREF _Toc184299473 \h </w:instrText>
        </w:r>
        <w:r>
          <w:rPr>
            <w:noProof/>
            <w:webHidden/>
          </w:rPr>
        </w:r>
        <w:r>
          <w:rPr>
            <w:noProof/>
            <w:webHidden/>
          </w:rPr>
          <w:fldChar w:fldCharType="separate"/>
        </w:r>
        <w:r w:rsidR="00F33CFC">
          <w:rPr>
            <w:noProof/>
            <w:webHidden/>
          </w:rPr>
          <w:t>151</w:t>
        </w:r>
        <w:r>
          <w:rPr>
            <w:noProof/>
            <w:webHidden/>
          </w:rPr>
          <w:fldChar w:fldCharType="end"/>
        </w:r>
      </w:hyperlink>
    </w:p>
    <w:p w14:paraId="0A3CB6D7" w14:textId="04917636" w:rsidR="00A13A45" w:rsidRDefault="00A13A45">
      <w:pPr>
        <w:pStyle w:val="TOC1"/>
        <w:rPr>
          <w:rFonts w:asciiTheme="minorHAnsi" w:eastAsiaTheme="minorEastAsia" w:hAnsiTheme="minorHAnsi"/>
          <w:b w:val="0"/>
          <w:noProof/>
          <w:kern w:val="2"/>
          <w:sz w:val="24"/>
          <w:szCs w:val="24"/>
          <w:lang w:eastAsia="en-AU"/>
          <w14:ligatures w14:val="standardContextual"/>
        </w:rPr>
      </w:pPr>
      <w:hyperlink w:anchor="_Toc184299474" w:history="1">
        <w:r w:rsidRPr="006A05E2">
          <w:rPr>
            <w:rStyle w:val="Hyperlink"/>
            <w:noProof/>
          </w:rPr>
          <w:t>Style conventions</w:t>
        </w:r>
        <w:r>
          <w:rPr>
            <w:noProof/>
            <w:webHidden/>
          </w:rPr>
          <w:tab/>
        </w:r>
        <w:r>
          <w:rPr>
            <w:noProof/>
            <w:webHidden/>
          </w:rPr>
          <w:fldChar w:fldCharType="begin"/>
        </w:r>
        <w:r>
          <w:rPr>
            <w:noProof/>
            <w:webHidden/>
          </w:rPr>
          <w:instrText xml:space="preserve"> PAGEREF _Toc184299474 \h </w:instrText>
        </w:r>
        <w:r>
          <w:rPr>
            <w:noProof/>
            <w:webHidden/>
          </w:rPr>
        </w:r>
        <w:r>
          <w:rPr>
            <w:noProof/>
            <w:webHidden/>
          </w:rPr>
          <w:fldChar w:fldCharType="separate"/>
        </w:r>
        <w:r w:rsidR="00F33CFC">
          <w:rPr>
            <w:noProof/>
            <w:webHidden/>
          </w:rPr>
          <w:t>153</w:t>
        </w:r>
        <w:r>
          <w:rPr>
            <w:noProof/>
            <w:webHidden/>
          </w:rPr>
          <w:fldChar w:fldCharType="end"/>
        </w:r>
      </w:hyperlink>
    </w:p>
    <w:p w14:paraId="21603386" w14:textId="563F011D" w:rsidR="00F352C4" w:rsidRDefault="00F352C4" w:rsidP="00F352C4">
      <w:pPr>
        <w:sectPr w:rsidR="00F352C4" w:rsidSect="00570639">
          <w:footerReference w:type="even" r:id="rId15"/>
          <w:footerReference w:type="default" r:id="rId16"/>
          <w:pgSz w:w="9979" w:h="14175" w:code="34"/>
          <w:pgMar w:top="1134" w:right="1134" w:bottom="1134" w:left="1134" w:header="624" w:footer="567" w:gutter="0"/>
          <w:cols w:space="708"/>
          <w:docGrid w:linePitch="360"/>
        </w:sectPr>
      </w:pPr>
      <w:r>
        <w:fldChar w:fldCharType="end"/>
      </w:r>
    </w:p>
    <w:p w14:paraId="6F363921" w14:textId="481E152F" w:rsidR="001C6628" w:rsidRDefault="001C6628" w:rsidP="001C6628">
      <w:pPr>
        <w:pStyle w:val="ChapterHeading"/>
      </w:pPr>
      <w:bookmarkStart w:id="1" w:name="_Toc184299431"/>
      <w:r>
        <w:t xml:space="preserve">Chapter 1 – Economic and </w:t>
      </w:r>
      <w:r w:rsidR="00A713BA">
        <w:t>f</w:t>
      </w:r>
      <w:r>
        <w:t xml:space="preserve">iscal </w:t>
      </w:r>
      <w:r w:rsidR="00A713BA">
        <w:t>o</w:t>
      </w:r>
      <w:r>
        <w:t>verview</w:t>
      </w:r>
      <w:bookmarkEnd w:id="1"/>
    </w:p>
    <w:p w14:paraId="636D8010" w14:textId="77777777" w:rsidR="00BD7D6D" w:rsidRPr="005A62E3" w:rsidRDefault="00BD7D6D" w:rsidP="00BD7D6D">
      <w:pPr>
        <w:pStyle w:val="Heading10"/>
      </w:pPr>
      <w:bookmarkStart w:id="2" w:name="_Toc184198759"/>
      <w:bookmarkStart w:id="3" w:name="_Toc184299432"/>
      <w:r>
        <w:t>Strong growth in jobs and investment</w:t>
      </w:r>
      <w:bookmarkEnd w:id="2"/>
      <w:bookmarkEnd w:id="3"/>
    </w:p>
    <w:p w14:paraId="7AD6C711" w14:textId="77777777" w:rsidR="00BD7D6D" w:rsidRDefault="00BD7D6D" w:rsidP="006D5988">
      <w:pPr>
        <w:ind w:right="-2"/>
      </w:pPr>
      <w:r>
        <w:t xml:space="preserve">The Victorian economy continues to grow and the labour market is strong. The number of Victorians with a job reached a record level in September 2024, and the unemployment rate remains historically low at </w:t>
      </w:r>
      <w:r w:rsidRPr="006A6C50">
        <w:t>4.5</w:t>
      </w:r>
      <w:r>
        <w:t xml:space="preserve"> per cent. Over</w:t>
      </w:r>
      <w:r w:rsidRPr="003A69F3">
        <w:t xml:space="preserve"> </w:t>
      </w:r>
      <w:r w:rsidRPr="00DE44C4">
        <w:t>280</w:t>
      </w:r>
      <w:r w:rsidRPr="003A69F3">
        <w:t xml:space="preserve"> 000 more Victorians gained work over the past </w:t>
      </w:r>
      <w:r>
        <w:t xml:space="preserve">two </w:t>
      </w:r>
      <w:r w:rsidRPr="003A69F3">
        <w:t>year</w:t>
      </w:r>
      <w:r>
        <w:t>s</w:t>
      </w:r>
      <w:r w:rsidRPr="003A69F3">
        <w:t xml:space="preserve"> – the fastest jobs growth of any state or territory over this period </w:t>
      </w:r>
      <w:r>
        <w:t>(see Chart 1.1), a</w:t>
      </w:r>
      <w:r w:rsidRPr="003A69F3">
        <w:t xml:space="preserve">nd there are well over 600 000 more Victorians in work than </w:t>
      </w:r>
      <w:r>
        <w:t xml:space="preserve">during </w:t>
      </w:r>
      <w:r w:rsidRPr="003A69F3">
        <w:t>the pandemic</w:t>
      </w:r>
      <w:r>
        <w:noBreakHyphen/>
      </w:r>
      <w:r w:rsidRPr="003A69F3">
        <w:t xml:space="preserve">related trough in Victorian employment in September 2020. </w:t>
      </w:r>
      <w:r>
        <w:t>T</w:t>
      </w:r>
      <w:r w:rsidRPr="007B0F3C">
        <w:t>he share of working</w:t>
      </w:r>
      <w:r>
        <w:noBreakHyphen/>
      </w:r>
      <w:r w:rsidRPr="007B0F3C">
        <w:t xml:space="preserve">age Victorians in employment and the participation rate are both </w:t>
      </w:r>
      <w:r>
        <w:t>near</w:t>
      </w:r>
      <w:r w:rsidRPr="007B0F3C">
        <w:t xml:space="preserve"> </w:t>
      </w:r>
      <w:r w:rsidRPr="006A6C50">
        <w:t xml:space="preserve">record highs </w:t>
      </w:r>
      <w:r>
        <w:t xml:space="preserve">and </w:t>
      </w:r>
      <w:r w:rsidRPr="006A6C50">
        <w:t>above the national average</w:t>
      </w:r>
      <w:r w:rsidRPr="00F87F24">
        <w:t xml:space="preserve">. </w:t>
      </w:r>
    </w:p>
    <w:p w14:paraId="1C9FCE8A" w14:textId="77777777" w:rsidR="00BD7D6D" w:rsidRDefault="00BD7D6D" w:rsidP="00BD7D6D">
      <w:pPr>
        <w:rPr>
          <w:i/>
          <w:iCs/>
        </w:rPr>
      </w:pPr>
      <w:r>
        <w:t xml:space="preserve">Real gross state product (GSP) grew by </w:t>
      </w:r>
      <w:r w:rsidRPr="00186ABB">
        <w:t>1.</w:t>
      </w:r>
      <w:r>
        <w:t xml:space="preserve">5 per cent in 2023-24, amid the global and national challenges of high inflation and elevated interest rates. Victoria’s economy is now </w:t>
      </w:r>
      <w:r w:rsidRPr="009F7AA4">
        <w:t>11</w:t>
      </w:r>
      <w:r w:rsidRPr="00BF4A83">
        <w:t>.5</w:t>
      </w:r>
      <w:r>
        <w:t xml:space="preserve"> per cent larger than it was in 2018-19, prior to the COVID-19 pandemic, and is </w:t>
      </w:r>
      <w:r w:rsidRPr="00186ABB">
        <w:t>4</w:t>
      </w:r>
      <w:r w:rsidRPr="00BF4A83">
        <w:t>.6</w:t>
      </w:r>
      <w:r>
        <w:t xml:space="preserve"> per cent larger in per capita </w:t>
      </w:r>
      <w:r w:rsidRPr="00605E74">
        <w:t>terms</w:t>
      </w:r>
      <w:r w:rsidRPr="00BF4A83">
        <w:t>.</w:t>
      </w:r>
    </w:p>
    <w:p w14:paraId="39C3453F" w14:textId="77777777" w:rsidR="00BD7D6D" w:rsidRPr="00CB6E2E" w:rsidRDefault="00BD7D6D" w:rsidP="00BD7D6D">
      <w:pPr>
        <w:rPr>
          <w:lang w:val="en-US"/>
        </w:rPr>
      </w:pPr>
      <w:r>
        <w:t>Hi</w:t>
      </w:r>
      <w:r w:rsidRPr="007D72A7">
        <w:t>gh</w:t>
      </w:r>
      <w:r>
        <w:t xml:space="preserve"> inflation and elevated interest rates have slowed growth, as has been the case nationally and in many advanced economies. However, the Victorian economy has remained resilient. </w:t>
      </w:r>
      <w:r w:rsidRPr="00290EEB">
        <w:rPr>
          <w:lang w:val="en-US"/>
        </w:rPr>
        <w:t>Business investment</w:t>
      </w:r>
      <w:r>
        <w:rPr>
          <w:lang w:val="en-US"/>
        </w:rPr>
        <w:t xml:space="preserve"> has been particularly strong – rising by </w:t>
      </w:r>
      <w:r w:rsidRPr="00186ABB">
        <w:rPr>
          <w:lang w:val="en-US"/>
        </w:rPr>
        <w:t>6</w:t>
      </w:r>
      <w:r w:rsidRPr="00BF4A83">
        <w:rPr>
          <w:lang w:val="en-US"/>
        </w:rPr>
        <w:t>.6</w:t>
      </w:r>
      <w:r w:rsidRPr="00605E74">
        <w:rPr>
          <w:lang w:val="en-US"/>
        </w:rPr>
        <w:t xml:space="preserve"> per</w:t>
      </w:r>
      <w:r>
        <w:rPr>
          <w:lang w:val="en-US"/>
        </w:rPr>
        <w:t xml:space="preserve"> cent in 2023-24, the second highest of any state, and by </w:t>
      </w:r>
      <w:r w:rsidRPr="00186ABB">
        <w:rPr>
          <w:lang w:val="en-US"/>
        </w:rPr>
        <w:t>31</w:t>
      </w:r>
      <w:r>
        <w:rPr>
          <w:lang w:val="en-US"/>
        </w:rPr>
        <w:t xml:space="preserve"> per cent over the three years to 2023-24 – to reach its highest share of overall economic activity on record (see Chart 1.2). </w:t>
      </w:r>
      <w:r w:rsidRPr="00751A0E">
        <w:rPr>
          <w:lang w:val="en-US"/>
        </w:rPr>
        <w:t>Other data shows more than 100</w:t>
      </w:r>
      <w:r>
        <w:rPr>
          <w:lang w:val="en-US"/>
        </w:rPr>
        <w:t> </w:t>
      </w:r>
      <w:r w:rsidRPr="00751A0E">
        <w:rPr>
          <w:lang w:val="en-US"/>
        </w:rPr>
        <w:t xml:space="preserve">000 </w:t>
      </w:r>
      <w:r>
        <w:rPr>
          <w:lang w:val="en-US"/>
        </w:rPr>
        <w:t xml:space="preserve">new </w:t>
      </w:r>
      <w:r w:rsidRPr="00751A0E">
        <w:rPr>
          <w:lang w:val="en-US"/>
        </w:rPr>
        <w:t xml:space="preserve">businesses </w:t>
      </w:r>
      <w:r>
        <w:rPr>
          <w:lang w:val="en-US"/>
        </w:rPr>
        <w:t>have been created in Victoria</w:t>
      </w:r>
      <w:r w:rsidRPr="00751A0E">
        <w:rPr>
          <w:lang w:val="en-US"/>
        </w:rPr>
        <w:t xml:space="preserve"> since June 2020 – an increase of almost 17 per cent, the largest percentage growth of any state.</w:t>
      </w:r>
    </w:p>
    <w:p w14:paraId="134455CF" w14:textId="77777777" w:rsidR="00BD7D6D" w:rsidRDefault="00BD7D6D" w:rsidP="00BD7D6D">
      <w:pPr>
        <w:pStyle w:val="TableHeading"/>
        <w:rPr>
          <w:bCs/>
        </w:rPr>
      </w:pPr>
      <w:r w:rsidRPr="009F581E">
        <w:t>Chart 1.1:</w:t>
      </w:r>
      <w:r w:rsidRPr="00CE6F7A">
        <w:t xml:space="preserve"> </w:t>
      </w:r>
      <w:r>
        <w:tab/>
      </w:r>
      <w:r w:rsidRPr="00CE6F7A">
        <w:t xml:space="preserve">Growth in employment over the </w:t>
      </w:r>
      <w:r>
        <w:t xml:space="preserve">two </w:t>
      </w:r>
      <w:r w:rsidRPr="00CE6F7A">
        <w:t>year</w:t>
      </w:r>
      <w:r>
        <w:t>s</w:t>
      </w:r>
      <w:r w:rsidRPr="00CE6F7A">
        <w:t xml:space="preserve"> to October 2024, seasonally adjusted</w:t>
      </w:r>
    </w:p>
    <w:p w14:paraId="3F9CAA76" w14:textId="77777777" w:rsidR="00BD7D6D" w:rsidRPr="00CE6F7A" w:rsidRDefault="00BD7D6D" w:rsidP="00BD7D6D">
      <w:pPr>
        <w:rPr>
          <w:rFonts w:asciiTheme="majorHAnsi" w:hAnsiTheme="majorHAnsi" w:cstheme="majorBidi"/>
          <w:b/>
          <w:sz w:val="20"/>
          <w:szCs w:val="20"/>
        </w:rPr>
      </w:pPr>
      <w:r>
        <w:rPr>
          <w:noProof/>
        </w:rPr>
        <w:drawing>
          <wp:inline distT="0" distB="0" distL="0" distR="0" wp14:anchorId="4DD3106C" wp14:editId="36576B3E">
            <wp:extent cx="4812406" cy="2163445"/>
            <wp:effectExtent l="0" t="0" r="7620" b="8255"/>
            <wp:docPr id="1005270428" name="Chart 1">
              <a:extLst xmlns:a="http://schemas.openxmlformats.org/drawingml/2006/main">
                <a:ext uri="{FF2B5EF4-FFF2-40B4-BE49-F238E27FC236}">
                  <a16:creationId xmlns:a16="http://schemas.microsoft.com/office/drawing/2014/main" id="{EBEA2F70-0D9C-38F0-10C5-0D0EEE734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ED9636" w14:textId="77777777" w:rsidR="00BD7D6D" w:rsidRDefault="00BD7D6D" w:rsidP="00BD7D6D">
      <w:pPr>
        <w:pStyle w:val="TableHeading"/>
        <w:rPr>
          <w:rFonts w:cstheme="majorHAnsi"/>
          <w:szCs w:val="20"/>
        </w:rPr>
      </w:pPr>
      <w:r w:rsidRPr="001D394D">
        <w:rPr>
          <w:noProof/>
        </w:rPr>
        <w:drawing>
          <wp:anchor distT="0" distB="0" distL="114300" distR="114300" simplePos="0" relativeHeight="251658240" behindDoc="0" locked="0" layoutInCell="1" allowOverlap="1" wp14:anchorId="1FB35403" wp14:editId="52B9EF6E">
            <wp:simplePos x="0" y="0"/>
            <wp:positionH relativeFrom="column">
              <wp:posOffset>-152400</wp:posOffset>
            </wp:positionH>
            <wp:positionV relativeFrom="paragraph">
              <wp:posOffset>258445</wp:posOffset>
            </wp:positionV>
            <wp:extent cx="2506980" cy="2196465"/>
            <wp:effectExtent l="0" t="0" r="7620" b="0"/>
            <wp:wrapSquare wrapText="bothSides"/>
            <wp:docPr id="1178540968" name="Chart 2">
              <a:extLst xmlns:a="http://schemas.openxmlformats.org/drawingml/2006/main">
                <a:ext uri="{FF2B5EF4-FFF2-40B4-BE49-F238E27FC236}">
                  <a16:creationId xmlns:a16="http://schemas.microsoft.com/office/drawing/2014/main" id="{0019BBC9-2E6C-47EC-AEBA-05EC49265B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Pr="001D394D">
        <w:rPr>
          <w:noProof/>
        </w:rPr>
        <w:drawing>
          <wp:anchor distT="0" distB="0" distL="114300" distR="114300" simplePos="0" relativeHeight="251658241" behindDoc="0" locked="0" layoutInCell="1" allowOverlap="1" wp14:anchorId="5724D0EF" wp14:editId="42233ADC">
            <wp:simplePos x="0" y="0"/>
            <wp:positionH relativeFrom="column">
              <wp:posOffset>2289175</wp:posOffset>
            </wp:positionH>
            <wp:positionV relativeFrom="paragraph">
              <wp:posOffset>248565</wp:posOffset>
            </wp:positionV>
            <wp:extent cx="2514600" cy="2059305"/>
            <wp:effectExtent l="0" t="0" r="0" b="0"/>
            <wp:wrapSquare wrapText="bothSides"/>
            <wp:docPr id="1846796722" name="Chart 1">
              <a:extLst xmlns:a="http://schemas.openxmlformats.org/drawingml/2006/main">
                <a:ext uri="{FF2B5EF4-FFF2-40B4-BE49-F238E27FC236}">
                  <a16:creationId xmlns:a16="http://schemas.microsoft.com/office/drawing/2014/main" id="{251D326A-8A18-4CFC-9E34-0A50399331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Pr="001D394D">
        <w:t>Chart 1.2:</w:t>
      </w:r>
      <w:r w:rsidRPr="001D394D">
        <w:tab/>
        <w:t>Real business investment</w:t>
      </w:r>
    </w:p>
    <w:p w14:paraId="14A8917A" w14:textId="77777777" w:rsidR="00BD7D6D" w:rsidRDefault="00BD7D6D" w:rsidP="00BD7D6D">
      <w:pPr>
        <w:pStyle w:val="Note"/>
        <w:keepNext/>
        <w:ind w:left="0" w:firstLine="0"/>
      </w:pPr>
      <w:r w:rsidRPr="00BA02D9">
        <w:rPr>
          <w:noProof/>
        </w:rPr>
        <w:t xml:space="preserve"> </w:t>
      </w:r>
    </w:p>
    <w:p w14:paraId="21E1B28A" w14:textId="77777777" w:rsidR="00BD7D6D" w:rsidRDefault="00BD7D6D" w:rsidP="00BD7D6D">
      <w:pPr>
        <w:pStyle w:val="Note"/>
        <w:keepNext/>
        <w:ind w:left="0" w:firstLine="0"/>
      </w:pPr>
    </w:p>
    <w:p w14:paraId="6A8B1AF7" w14:textId="77777777" w:rsidR="00BD7D6D" w:rsidRPr="00256977" w:rsidRDefault="00BD7D6D" w:rsidP="00BD7D6D">
      <w:pPr>
        <w:pStyle w:val="Note"/>
        <w:keepNext/>
        <w:ind w:left="0" w:firstLine="0"/>
      </w:pPr>
      <w:r>
        <w:t>S</w:t>
      </w:r>
      <w:r w:rsidRPr="00256977">
        <w:t>ource: Australian Bureau of Statistics</w:t>
      </w:r>
    </w:p>
    <w:p w14:paraId="759676D4" w14:textId="77777777" w:rsidR="00BD7D6D" w:rsidRPr="00256977" w:rsidRDefault="00BD7D6D" w:rsidP="00BD7D6D">
      <w:pPr>
        <w:pStyle w:val="Note"/>
        <w:keepNext/>
        <w:ind w:left="0" w:firstLine="0"/>
      </w:pPr>
    </w:p>
    <w:p w14:paraId="2859A1F2" w14:textId="5E3FC9FA" w:rsidR="00BD7D6D" w:rsidRDefault="00BD7D6D" w:rsidP="00BD7D6D">
      <w:pPr>
        <w:ind w:right="198"/>
      </w:pPr>
      <w:r w:rsidRPr="0074387E">
        <w:t xml:space="preserve">Real GSP is forecast to grow by a solid 2.50 </w:t>
      </w:r>
      <w:r w:rsidRPr="00E56DE7">
        <w:t>per cent in both 2024-25 and 2025-26</w:t>
      </w:r>
      <w:r w:rsidRPr="00E56DE7">
        <w:rPr>
          <w:vertAlign w:val="subscript"/>
        </w:rPr>
        <w:t>,</w:t>
      </w:r>
      <w:r w:rsidRPr="00E56DE7">
        <w:t xml:space="preserve"> and</w:t>
      </w:r>
      <w:r>
        <w:t> </w:t>
      </w:r>
      <w:r w:rsidRPr="00E56DE7">
        <w:t xml:space="preserve">real GSP per capita </w:t>
      </w:r>
      <w:r>
        <w:t xml:space="preserve">– a key measure of living standards – is </w:t>
      </w:r>
      <w:r w:rsidRPr="00E56DE7">
        <w:t>forecast to grow in each year of the forward estimates. Most major components of GSP are expected to add to growth in 2024</w:t>
      </w:r>
      <w:r>
        <w:noBreakHyphen/>
      </w:r>
      <w:r w:rsidRPr="00E56DE7">
        <w:t xml:space="preserve">25, with household consumption being a major contributor. </w:t>
      </w:r>
      <w:r>
        <w:t>D</w:t>
      </w:r>
      <w:r w:rsidRPr="00E56DE7">
        <w:t>eclin</w:t>
      </w:r>
      <w:r>
        <w:t>ing</w:t>
      </w:r>
      <w:r w:rsidRPr="00E56DE7">
        <w:t xml:space="preserve"> inflation, </w:t>
      </w:r>
      <w:r>
        <w:t xml:space="preserve">personal </w:t>
      </w:r>
      <w:r w:rsidRPr="00E56DE7">
        <w:t xml:space="preserve">income tax cuts and </w:t>
      </w:r>
      <w:r>
        <w:t>firm</w:t>
      </w:r>
      <w:r w:rsidRPr="00E56DE7">
        <w:t xml:space="preserve"> wages growth will </w:t>
      </w:r>
      <w:r>
        <w:t xml:space="preserve">each </w:t>
      </w:r>
      <w:r w:rsidRPr="00E56DE7">
        <w:t xml:space="preserve">help lift </w:t>
      </w:r>
      <w:r>
        <w:t xml:space="preserve">real </w:t>
      </w:r>
      <w:r w:rsidRPr="00E56DE7">
        <w:t xml:space="preserve">household incomes, </w:t>
      </w:r>
      <w:r>
        <w:t xml:space="preserve">and this </w:t>
      </w:r>
      <w:r w:rsidRPr="00E56DE7">
        <w:t xml:space="preserve">is expected to boost consumer spending. Meanwhile, </w:t>
      </w:r>
      <w:r>
        <w:t>the level of</w:t>
      </w:r>
      <w:r w:rsidRPr="00E56DE7">
        <w:t xml:space="preserve"> business investment is forecast to remain </w:t>
      </w:r>
      <w:r>
        <w:t>high</w:t>
      </w:r>
      <w:r w:rsidRPr="00E56DE7">
        <w:t>, supported by a large pipeline of construction projects</w:t>
      </w:r>
      <w:r>
        <w:t xml:space="preserve"> (</w:t>
      </w:r>
      <w:r w:rsidRPr="00E56DE7">
        <w:t>including infrastructure work</w:t>
      </w:r>
      <w:r>
        <w:t>)</w:t>
      </w:r>
      <w:r w:rsidRPr="00E56DE7">
        <w:t xml:space="preserve">, </w:t>
      </w:r>
      <w:r>
        <w:t xml:space="preserve">as well as continued high private sector expenditure in </w:t>
      </w:r>
      <w:r w:rsidRPr="00E56DE7">
        <w:t>digitisation projects and</w:t>
      </w:r>
      <w:r w:rsidRPr="00E56DE7" w:rsidDel="00CD6462">
        <w:t xml:space="preserve"> </w:t>
      </w:r>
      <w:r w:rsidRPr="00E56DE7">
        <w:t>renewable energy transition</w:t>
      </w:r>
      <w:r>
        <w:t xml:space="preserve"> projects</w:t>
      </w:r>
      <w:r w:rsidRPr="00E56DE7">
        <w:t>.</w:t>
      </w:r>
    </w:p>
    <w:p w14:paraId="11A68F5E" w14:textId="77777777" w:rsidR="00BD7D6D" w:rsidRDefault="00BD7D6D" w:rsidP="00BD7D6D">
      <w:r w:rsidRPr="00FB00F8">
        <w:t xml:space="preserve">The </w:t>
      </w:r>
      <w:r>
        <w:t xml:space="preserve">high level of economic activity </w:t>
      </w:r>
      <w:r w:rsidRPr="00FB00F8">
        <w:t xml:space="preserve">has </w:t>
      </w:r>
      <w:r>
        <w:t>meant th</w:t>
      </w:r>
      <w:r w:rsidRPr="00C41428">
        <w:t xml:space="preserve">at </w:t>
      </w:r>
      <w:r>
        <w:t>the number of</w:t>
      </w:r>
      <w:r w:rsidRPr="007C24D0">
        <w:t xml:space="preserve"> Victorians</w:t>
      </w:r>
      <w:r w:rsidDel="00323BB5">
        <w:t xml:space="preserve"> </w:t>
      </w:r>
      <w:r w:rsidRPr="007C24D0">
        <w:t>in work</w:t>
      </w:r>
      <w:r>
        <w:t xml:space="preserve"> is near a record high. </w:t>
      </w:r>
      <w:r w:rsidRPr="00574CCD">
        <w:t>The strong labour market has supported all groups of working Victorians</w:t>
      </w:r>
      <w:r>
        <w:t>, with the shares of women, men and young people in work all above pre</w:t>
      </w:r>
      <w:r>
        <w:noBreakHyphen/>
        <w:t>pandemic levels. Unemployment rema</w:t>
      </w:r>
      <w:r w:rsidRPr="0017032E">
        <w:t>ins historically low at 4.5 per cent, while the regional unemployment rate is even lower at 3.8 per cent.</w:t>
      </w:r>
    </w:p>
    <w:p w14:paraId="3DD6C371" w14:textId="77777777" w:rsidR="00BD7D6D" w:rsidRPr="00F71D2F" w:rsidRDefault="00BD7D6D" w:rsidP="00BD7D6D">
      <w:r>
        <w:t xml:space="preserve">After growing by a strong 3.5 per cent in 2023-24, employment is forecast to grow by a further 2.50 per cent in 2024-25. </w:t>
      </w:r>
      <w:r w:rsidRPr="007B0F3C">
        <w:t xml:space="preserve">Unemployment is forecast to </w:t>
      </w:r>
      <w:r>
        <w:t xml:space="preserve">remain around its current level of </w:t>
      </w:r>
      <w:r w:rsidRPr="007C7B48">
        <w:t>4.50 per cent in 2024</w:t>
      </w:r>
      <w:r w:rsidRPr="007C7B48">
        <w:noBreakHyphen/>
        <w:t xml:space="preserve">25, </w:t>
      </w:r>
      <w:r>
        <w:t>which</w:t>
      </w:r>
      <w:r w:rsidRPr="007C7B48">
        <w:t xml:space="preserve"> remains low by historical standards. </w:t>
      </w:r>
    </w:p>
    <w:p w14:paraId="7314AC07" w14:textId="77777777" w:rsidR="00BD7D6D" w:rsidRDefault="00BD7D6D" w:rsidP="00BD7D6D">
      <w:r w:rsidRPr="007C24D0">
        <w:t xml:space="preserve">The healthy labour market has underpinned higher wages, which grew by 3.6 per cent in 2023-24, the fastest rate of nominal wages growth in over a decade. </w:t>
      </w:r>
      <w:r>
        <w:t xml:space="preserve">Wages are forecast to grow by a further 3.50 per cent in 2024-25 as labour market conditions remain positive. Notably, wage growth is forecast to exceed inflation in 2024-25, as inflation pressures continue to gradually </w:t>
      </w:r>
      <w:r w:rsidRPr="00121476">
        <w:t xml:space="preserve">ease. </w:t>
      </w:r>
    </w:p>
    <w:p w14:paraId="7B186A8C" w14:textId="77777777" w:rsidR="00BD7D6D" w:rsidRDefault="00BD7D6D" w:rsidP="00BD7D6D"/>
    <w:p w14:paraId="72BC6D2D" w14:textId="77777777" w:rsidR="00BD7D6D" w:rsidRDefault="00BD7D6D" w:rsidP="00BD7D6D">
      <w:pPr>
        <w:pStyle w:val="Heading10"/>
      </w:pPr>
      <w:bookmarkStart w:id="4" w:name="_Toc184198760"/>
      <w:bookmarkStart w:id="5" w:name="_Toc184299433"/>
      <w:r>
        <w:t>Strong financial management</w:t>
      </w:r>
      <w:bookmarkEnd w:id="4"/>
      <w:bookmarkEnd w:id="5"/>
    </w:p>
    <w:p w14:paraId="41B53BFA" w14:textId="3725B100" w:rsidR="00BD7D6D" w:rsidRDefault="00BD7D6D" w:rsidP="00BD7D6D">
      <w:r>
        <w:t xml:space="preserve">In response to the COVID-19 pandemic, the Government developed in the </w:t>
      </w:r>
      <w:r w:rsidRPr="00FC1458">
        <w:rPr>
          <w:i/>
        </w:rPr>
        <w:t xml:space="preserve">2020-21 </w:t>
      </w:r>
      <w:r>
        <w:rPr>
          <w:i/>
          <w:iCs/>
        </w:rPr>
        <w:t>B</w:t>
      </w:r>
      <w:r w:rsidRPr="00FC1458">
        <w:rPr>
          <w:i/>
        </w:rPr>
        <w:t xml:space="preserve">udget </w:t>
      </w:r>
      <w:r>
        <w:t xml:space="preserve">a comprehensive fiscal strategy to protect Victorian households and businesses and provide a strong foundation for recovery. This initially involved a four-step plan to support Victorians, grow the economy and </w:t>
      </w:r>
      <w:r w:rsidR="00EB19F8">
        <w:t>return to surpluses</w:t>
      </w:r>
      <w:r>
        <w:t xml:space="preserve"> over the medium term.</w:t>
      </w:r>
    </w:p>
    <w:p w14:paraId="60CABD8F" w14:textId="77777777" w:rsidR="00BD7D6D" w:rsidRDefault="00BD7D6D" w:rsidP="00BD7D6D">
      <w:r>
        <w:t xml:space="preserve">The Government has consistently reported on its progress over the last four years, and recently updated the plan in the </w:t>
      </w:r>
      <w:r>
        <w:rPr>
          <w:i/>
          <w:iCs/>
        </w:rPr>
        <w:t xml:space="preserve">2024-25 Budget </w:t>
      </w:r>
      <w:r>
        <w:t>to introduce a new fifth step. This plan provides a clear framework:</w:t>
      </w:r>
    </w:p>
    <w:p w14:paraId="5CD70BB0" w14:textId="77777777" w:rsidR="00BD7D6D" w:rsidRDefault="00BD7D6D" w:rsidP="00BD7D6D">
      <w:pPr>
        <w:pStyle w:val="ListBullet"/>
      </w:pPr>
      <w:r w:rsidRPr="00D8303C">
        <w:rPr>
          <w:b/>
        </w:rPr>
        <w:t>Step 1:</w:t>
      </w:r>
      <w:r>
        <w:t xml:space="preserve"> creating jobs, reducing unemployment and restoring economic growth</w:t>
      </w:r>
    </w:p>
    <w:p w14:paraId="40E838A0" w14:textId="77777777" w:rsidR="00BD7D6D" w:rsidRDefault="00BD7D6D" w:rsidP="00BD7D6D">
      <w:pPr>
        <w:pStyle w:val="ListBullet"/>
      </w:pPr>
      <w:r w:rsidRPr="00D8303C">
        <w:rPr>
          <w:b/>
        </w:rPr>
        <w:t>Step 2:</w:t>
      </w:r>
      <w:r>
        <w:t xml:space="preserve"> returning to an operating cash surplus</w:t>
      </w:r>
    </w:p>
    <w:p w14:paraId="27D13C3A" w14:textId="77777777" w:rsidR="00BD7D6D" w:rsidRPr="00D8303C" w:rsidRDefault="00BD7D6D" w:rsidP="00BD7D6D">
      <w:pPr>
        <w:pStyle w:val="ListBullet"/>
        <w:rPr>
          <w:b/>
        </w:rPr>
      </w:pPr>
      <w:r w:rsidRPr="00D8303C">
        <w:rPr>
          <w:b/>
        </w:rPr>
        <w:t>Step 3:</w:t>
      </w:r>
      <w:r>
        <w:rPr>
          <w:b/>
          <w:bCs/>
        </w:rPr>
        <w:t xml:space="preserve"> </w:t>
      </w:r>
      <w:r>
        <w:t>returning to operating surpluses</w:t>
      </w:r>
      <w:r w:rsidRPr="00D8303C">
        <w:rPr>
          <w:b/>
        </w:rPr>
        <w:t xml:space="preserve"> </w:t>
      </w:r>
    </w:p>
    <w:p w14:paraId="21003857" w14:textId="77777777" w:rsidR="00BD7D6D" w:rsidRPr="006C134F" w:rsidRDefault="00BD7D6D" w:rsidP="00BD7D6D">
      <w:pPr>
        <w:pStyle w:val="ListBullet"/>
        <w:rPr>
          <w:b/>
        </w:rPr>
      </w:pPr>
      <w:r w:rsidRPr="006C134F">
        <w:rPr>
          <w:b/>
        </w:rPr>
        <w:t>Step 4:</w:t>
      </w:r>
      <w:r w:rsidRPr="006C134F">
        <w:rPr>
          <w:b/>
          <w:bCs/>
        </w:rPr>
        <w:t xml:space="preserve"> </w:t>
      </w:r>
      <w:r w:rsidRPr="006C134F">
        <w:t xml:space="preserve">stabilising net debt levels as a proportion of GSP </w:t>
      </w:r>
    </w:p>
    <w:p w14:paraId="207E2F15" w14:textId="77777777" w:rsidR="00BD7D6D" w:rsidRPr="00496498" w:rsidRDefault="00BD7D6D" w:rsidP="00BD7D6D">
      <w:pPr>
        <w:pStyle w:val="ListBullet"/>
      </w:pPr>
      <w:r w:rsidRPr="00D8303C">
        <w:rPr>
          <w:b/>
        </w:rPr>
        <w:t>Step 5:</w:t>
      </w:r>
      <w:r>
        <w:t xml:space="preserve"> reducing net debt as a proportion of GSP.</w:t>
      </w:r>
    </w:p>
    <w:p w14:paraId="23E10B6D" w14:textId="77777777" w:rsidR="00BD7D6D" w:rsidRDefault="00BD7D6D" w:rsidP="00BD7D6D">
      <w:pPr>
        <w:pStyle w:val="Heading20"/>
      </w:pPr>
      <w:r>
        <w:t>Progress towards achieving the Government’s fiscal strategy</w:t>
      </w:r>
    </w:p>
    <w:p w14:paraId="0B80236D" w14:textId="77777777" w:rsidR="00BD7D6D" w:rsidRDefault="00BD7D6D" w:rsidP="00BD7D6D">
      <w:r>
        <w:t>The first step – creating jobs, reducing unemployment and restoring economic growth – has been achieved, with strong employment outcomes and robust economic growth.</w:t>
      </w:r>
    </w:p>
    <w:p w14:paraId="4DDBC35F" w14:textId="30811213" w:rsidR="00BD7D6D" w:rsidRDefault="00BD7D6D" w:rsidP="00BD7D6D">
      <w:r w:rsidRPr="009D7E31">
        <w:t xml:space="preserve">The second step in the Government’s fiscal strategy – returning to an operating cash surplus – means the State is generating sufficient cash inflows to exceed its cash outflows on operating activities, a key pillar of fiscal sustainability. The Government achieved an operating cash surplus </w:t>
      </w:r>
      <w:r>
        <w:t xml:space="preserve">for the past two years including an operating cash surplus </w:t>
      </w:r>
      <w:r w:rsidRPr="009D7E31">
        <w:t>of $2.6</w:t>
      </w:r>
      <w:r>
        <w:t> </w:t>
      </w:r>
      <w:r w:rsidRPr="009D7E31">
        <w:t>billion in 2023</w:t>
      </w:r>
      <w:r>
        <w:noBreakHyphen/>
      </w:r>
      <w:r w:rsidRPr="009D7E31">
        <w:t xml:space="preserve">24 and continues to forecast operating cash surpluses across the forward estimates, </w:t>
      </w:r>
      <w:r>
        <w:t>reaching</w:t>
      </w:r>
      <w:r w:rsidRPr="009D7E31">
        <w:t xml:space="preserve"> $6.4</w:t>
      </w:r>
      <w:r>
        <w:t> </w:t>
      </w:r>
      <w:r w:rsidRPr="009D7E31">
        <w:t>billion in 2027</w:t>
      </w:r>
      <w:r>
        <w:noBreakHyphen/>
      </w:r>
      <w:r w:rsidRPr="009D7E31">
        <w:t>28.</w:t>
      </w:r>
    </w:p>
    <w:p w14:paraId="02E2E4E3" w14:textId="66363296" w:rsidR="00BD7D6D" w:rsidRDefault="00BD7D6D" w:rsidP="00BD7D6D">
      <w:r>
        <w:t xml:space="preserve">The third step – returning to an operating surplus – is important as this is where the Government generates sufficient revenues to cover its cash expenditure </w:t>
      </w:r>
      <w:r w:rsidR="00B72201">
        <w:t>and</w:t>
      </w:r>
      <w:r w:rsidDel="00B72201">
        <w:t xml:space="preserve"> </w:t>
      </w:r>
      <w:r>
        <w:t xml:space="preserve">support the ongoing replacement of existing assets. </w:t>
      </w:r>
      <w:r w:rsidRPr="002469B3">
        <w:t>The Government is forecasting operating surpluses of $1.6 billion in 2025</w:t>
      </w:r>
      <w:r>
        <w:noBreakHyphen/>
      </w:r>
      <w:r w:rsidRPr="002469B3">
        <w:t>26, $1.7 billion in 2026-27 and $2.0 billion in 2027-28</w:t>
      </w:r>
      <w:r>
        <w:t xml:space="preserve">. </w:t>
      </w:r>
    </w:p>
    <w:p w14:paraId="557395FB" w14:textId="601CEA15" w:rsidR="00BD7D6D" w:rsidRDefault="00BD7D6D" w:rsidP="00BD7D6D">
      <w:r w:rsidRPr="00E01421">
        <w:t>The fourth step – stabilising net debt as a percentage of GSP – involves progressively improving operating cash flow surpluses while growing the economy. These surpluses will fund a higher proportion of capital expenditure, reducing the reliance on borrowings. The</w:t>
      </w:r>
      <w:r w:rsidR="006D5988">
        <w:t> </w:t>
      </w:r>
      <w:r w:rsidRPr="00DC4C76">
        <w:rPr>
          <w:i/>
          <w:iCs/>
        </w:rPr>
        <w:t>2024</w:t>
      </w:r>
      <w:r w:rsidRPr="00DC4C76">
        <w:rPr>
          <w:i/>
          <w:iCs/>
        </w:rPr>
        <w:noBreakHyphen/>
        <w:t>25 Budget Update</w:t>
      </w:r>
      <w:r w:rsidRPr="00E01421">
        <w:t xml:space="preserve"> continues to forecast the achievement of this step </w:t>
      </w:r>
      <w:r w:rsidRPr="003F7F3A">
        <w:t>by the end of the forward estimates</w:t>
      </w:r>
      <w:r>
        <w:t>.</w:t>
      </w:r>
    </w:p>
    <w:p w14:paraId="0DDCD0DF" w14:textId="60C3E1FC" w:rsidR="00A2375D" w:rsidRDefault="00A2375D" w:rsidP="0087547F">
      <w:pPr>
        <w:ind w:right="198"/>
      </w:pPr>
      <w:r w:rsidRPr="00A2375D">
        <w:t xml:space="preserve">In the </w:t>
      </w:r>
      <w:r w:rsidRPr="00E40A3E">
        <w:rPr>
          <w:i/>
        </w:rPr>
        <w:t>2020-21 Budget</w:t>
      </w:r>
      <w:r w:rsidRPr="00A2375D">
        <w:t xml:space="preserve">, net debt in 2023-24 was projected to be 28.9 per cent of the economy, compared to the 21.9 per cent result published in the </w:t>
      </w:r>
      <w:r w:rsidRPr="00E40A3E">
        <w:rPr>
          <w:i/>
        </w:rPr>
        <w:t>2023-24 Financial Report</w:t>
      </w:r>
      <w:r w:rsidRPr="00A2375D">
        <w:t>. Net debt is $21.</w:t>
      </w:r>
      <w:r>
        <w:t>5</w:t>
      </w:r>
      <w:r w:rsidRPr="00A2375D">
        <w:t xml:space="preserve"> billion lower than originally forecast for 2023-24 in the </w:t>
      </w:r>
      <w:r w:rsidRPr="00E40A3E">
        <w:rPr>
          <w:i/>
        </w:rPr>
        <w:t>2020-21 Budget</w:t>
      </w:r>
      <w:r w:rsidRPr="00A2375D">
        <w:t>.</w:t>
      </w:r>
    </w:p>
    <w:p w14:paraId="0DAAF911" w14:textId="43B8E45E" w:rsidR="0087547F" w:rsidRDefault="0087547F" w:rsidP="0087547F">
      <w:pPr>
        <w:ind w:right="198"/>
      </w:pPr>
      <w:r w:rsidRPr="001F4988">
        <w:t xml:space="preserve">The fifth step – introduced in the </w:t>
      </w:r>
      <w:r w:rsidRPr="001F4988">
        <w:rPr>
          <w:i/>
          <w:iCs/>
        </w:rPr>
        <w:t>2024-25 Budget</w:t>
      </w:r>
      <w:r w:rsidRPr="001F4988">
        <w:t xml:space="preserve"> – involves reducing net debt as a percentage of GSP. The net debt to GSP ratio is a measure of the size of net debt relative to the size of the economy, providing an indication of the Government’s ability to service its debt. Net debt to GSP is forecast to decline from 25.2 per cent in 2026</w:t>
      </w:r>
      <w:r w:rsidRPr="001F4988">
        <w:noBreakHyphen/>
        <w:t>27 to 25.0 per cent in 2027</w:t>
      </w:r>
      <w:r w:rsidRPr="001F4988">
        <w:noBreakHyphen/>
        <w:t xml:space="preserve">28 and is forecast to be lower in the budget year and each year of the forward estimates when compared to the </w:t>
      </w:r>
      <w:r w:rsidRPr="001F4988">
        <w:rPr>
          <w:i/>
        </w:rPr>
        <w:t>2024</w:t>
      </w:r>
      <w:r w:rsidRPr="001F4988">
        <w:rPr>
          <w:i/>
        </w:rPr>
        <w:noBreakHyphen/>
        <w:t>25 Budget</w:t>
      </w:r>
      <w:r w:rsidRPr="001F4988">
        <w:t>.</w:t>
      </w:r>
    </w:p>
    <w:p w14:paraId="1288DE74" w14:textId="77777777" w:rsidR="00BD7D6D" w:rsidRPr="006217AA" w:rsidRDefault="00BD7D6D" w:rsidP="00BD7D6D">
      <w:pPr>
        <w:pStyle w:val="Heading20"/>
      </w:pPr>
      <w:r w:rsidRPr="006217AA">
        <w:t>Financial position</w:t>
      </w:r>
    </w:p>
    <w:p w14:paraId="27CAB2C7" w14:textId="77777777" w:rsidR="00BD7D6D" w:rsidRDefault="00BD7D6D" w:rsidP="00BD7D6D">
      <w:r>
        <w:t>N</w:t>
      </w:r>
      <w:r w:rsidRPr="00AE2DC3">
        <w:t xml:space="preserve">et cash flows from operating activities for the general government sector </w:t>
      </w:r>
      <w:r>
        <w:t>are</w:t>
      </w:r>
      <w:r w:rsidRPr="00AE2DC3">
        <w:t xml:space="preserve"> forecast to be in surplus </w:t>
      </w:r>
      <w:r>
        <w:t>by</w:t>
      </w:r>
      <w:r w:rsidRPr="00AE2DC3">
        <w:t xml:space="preserve"> $</w:t>
      </w:r>
      <w:r>
        <w:t>0.4 billion</w:t>
      </w:r>
      <w:r w:rsidRPr="00AE2700">
        <w:t xml:space="preserve"> in </w:t>
      </w:r>
      <w:r w:rsidRPr="00AE2DC3">
        <w:t>202</w:t>
      </w:r>
      <w:r>
        <w:t>4-25 and remain in surplus over the forward estimates,</w:t>
      </w:r>
      <w:r w:rsidRPr="00AE2700">
        <w:t xml:space="preserve"> </w:t>
      </w:r>
      <w:r>
        <w:t>reaching</w:t>
      </w:r>
      <w:r w:rsidRPr="00AE2700">
        <w:t xml:space="preserve"> $6.</w:t>
      </w:r>
      <w:r>
        <w:t>4 billion</w:t>
      </w:r>
      <w:r w:rsidRPr="00AE2700">
        <w:t xml:space="preserve"> in </w:t>
      </w:r>
      <w:r>
        <w:t>2027-28.</w:t>
      </w:r>
    </w:p>
    <w:p w14:paraId="26393D55" w14:textId="77777777" w:rsidR="00BD7D6D" w:rsidRDefault="00BD7D6D" w:rsidP="00BD7D6D">
      <w:r>
        <w:t xml:space="preserve">The net result from transactions </w:t>
      </w:r>
      <w:r w:rsidRPr="00AE2700">
        <w:t>for the general government sector is forecast to be in deficit by $</w:t>
      </w:r>
      <w:r>
        <w:t>3.6 billion</w:t>
      </w:r>
      <w:r w:rsidRPr="00AE2700">
        <w:t xml:space="preserve"> in 202</w:t>
      </w:r>
      <w:r>
        <w:t>4</w:t>
      </w:r>
      <w:r w:rsidRPr="00AE2700">
        <w:t>-2</w:t>
      </w:r>
      <w:r>
        <w:t>5.</w:t>
      </w:r>
      <w:r w:rsidRPr="00AE2700">
        <w:t xml:space="preserve"> </w:t>
      </w:r>
      <w:r>
        <w:t>The Government continues to forecast a return to an operating surplus in 2025-26</w:t>
      </w:r>
      <w:r w:rsidRPr="004646F4">
        <w:t xml:space="preserve"> </w:t>
      </w:r>
      <w:r>
        <w:t xml:space="preserve">of </w:t>
      </w:r>
      <w:r>
        <w:rPr>
          <w:color w:val="000000" w:themeColor="text1"/>
        </w:rPr>
        <w:t>$1.6 billion</w:t>
      </w:r>
      <w:r>
        <w:t xml:space="preserve">, increasing to </w:t>
      </w:r>
      <w:r>
        <w:rPr>
          <w:color w:val="000000" w:themeColor="text1"/>
        </w:rPr>
        <w:t xml:space="preserve">$1.7 billion in 2026-27 and </w:t>
      </w:r>
      <w:r>
        <w:t xml:space="preserve">$2.0 billion in 2027-28. The </w:t>
      </w:r>
      <w:r w:rsidRPr="00B46C83">
        <w:rPr>
          <w:i/>
          <w:iCs/>
        </w:rPr>
        <w:t>2024-25</w:t>
      </w:r>
      <w:r>
        <w:t xml:space="preserve"> </w:t>
      </w:r>
      <w:r w:rsidRPr="00B46C83">
        <w:rPr>
          <w:i/>
          <w:iCs/>
        </w:rPr>
        <w:t>Budget Update</w:t>
      </w:r>
      <w:r>
        <w:t xml:space="preserve"> forecasts higher operating surpluses across the forward estimates when compared to the </w:t>
      </w:r>
      <w:r w:rsidRPr="00B46C83">
        <w:rPr>
          <w:i/>
          <w:iCs/>
        </w:rPr>
        <w:t>2024-25 Budget</w:t>
      </w:r>
      <w:r>
        <w:t>.</w:t>
      </w:r>
    </w:p>
    <w:p w14:paraId="7CF2B2D4" w14:textId="77777777" w:rsidR="00BD7D6D" w:rsidRDefault="00BD7D6D" w:rsidP="00BD7D6D">
      <w:pPr>
        <w:pStyle w:val="TableHeading"/>
      </w:pPr>
      <w:r>
        <w:t xml:space="preserve">Table 1.1: </w:t>
      </w:r>
      <w:r>
        <w:tab/>
        <w:t>General government fiscal aggregates</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GG_FiscalAggregates|MergedHeadingRow:1|TableGroup:Chapter 3"/>
      </w:tblPr>
      <w:tblGrid>
        <w:gridCol w:w="3261"/>
        <w:gridCol w:w="992"/>
        <w:gridCol w:w="864"/>
        <w:gridCol w:w="864"/>
        <w:gridCol w:w="864"/>
        <w:gridCol w:w="865"/>
      </w:tblGrid>
      <w:tr w:rsidR="00BD7D6D" w14:paraId="7948068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05C35DC3" w14:textId="77777777" w:rsidR="00BD7D6D" w:rsidRDefault="00BD7D6D" w:rsidP="008670FF">
            <w:pPr>
              <w:keepNext/>
            </w:pPr>
          </w:p>
        </w:tc>
        <w:tc>
          <w:tcPr>
            <w:tcW w:w="992" w:type="dxa"/>
          </w:tcPr>
          <w:p w14:paraId="32F0C74D" w14:textId="77777777" w:rsidR="00BD7D6D" w:rsidRDefault="00BD7D6D" w:rsidP="008670FF">
            <w:pPr>
              <w:keepNext/>
              <w:jc w:val="center"/>
              <w:cnfStyle w:val="100000000000" w:firstRow="1" w:lastRow="0" w:firstColumn="0" w:lastColumn="0" w:oddVBand="0" w:evenVBand="0" w:oddHBand="0" w:evenHBand="0" w:firstRowFirstColumn="0" w:firstRowLastColumn="0" w:lastRowFirstColumn="0" w:lastRowLastColumn="0"/>
            </w:pPr>
            <w:r>
              <w:t>Unit of</w:t>
            </w:r>
            <w:r>
              <w:br/>
              <w:t>measure</w:t>
            </w:r>
          </w:p>
        </w:tc>
        <w:tc>
          <w:tcPr>
            <w:tcW w:w="864" w:type="dxa"/>
          </w:tcPr>
          <w:p w14:paraId="5A1A970F" w14:textId="77777777" w:rsidR="00BD7D6D" w:rsidRDefault="00BD7D6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64" w:type="dxa"/>
          </w:tcPr>
          <w:p w14:paraId="4921FC3B" w14:textId="77777777" w:rsidR="00BD7D6D" w:rsidRDefault="00BD7D6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64" w:type="dxa"/>
          </w:tcPr>
          <w:p w14:paraId="37D63ED9" w14:textId="77777777" w:rsidR="00BD7D6D" w:rsidRDefault="00BD7D6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65" w:type="dxa"/>
          </w:tcPr>
          <w:p w14:paraId="3135D563" w14:textId="77777777" w:rsidR="00BD7D6D" w:rsidRDefault="00BD7D6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BD7D6D" w14:paraId="0C0BD8C0"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5B2FB239" w14:textId="77777777" w:rsidR="00BD7D6D" w:rsidRDefault="00BD7D6D" w:rsidP="008670FF">
            <w:r>
              <w:t>Net result from transactions</w:t>
            </w:r>
          </w:p>
        </w:tc>
        <w:tc>
          <w:tcPr>
            <w:tcW w:w="992" w:type="dxa"/>
          </w:tcPr>
          <w:p w14:paraId="4FD529AB" w14:textId="77777777" w:rsidR="00BD7D6D" w:rsidRDefault="00BD7D6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3FAC73B7"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(3.6)</w:t>
            </w:r>
          </w:p>
        </w:tc>
        <w:tc>
          <w:tcPr>
            <w:tcW w:w="864" w:type="dxa"/>
          </w:tcPr>
          <w:p w14:paraId="55E01137"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1.6</w:t>
            </w:r>
          </w:p>
        </w:tc>
        <w:tc>
          <w:tcPr>
            <w:tcW w:w="864" w:type="dxa"/>
          </w:tcPr>
          <w:p w14:paraId="10014DBD"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1.7</w:t>
            </w:r>
          </w:p>
        </w:tc>
        <w:tc>
          <w:tcPr>
            <w:tcW w:w="865" w:type="dxa"/>
          </w:tcPr>
          <w:p w14:paraId="1D100E93"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2.0</w:t>
            </w:r>
          </w:p>
        </w:tc>
      </w:tr>
      <w:tr w:rsidR="00BD7D6D" w14:paraId="4297FC11"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3D86EBD5" w14:textId="77777777" w:rsidR="00BD7D6D" w:rsidRDefault="00BD7D6D" w:rsidP="008670FF">
            <w:r>
              <w:t>Net cash flows from operating activities</w:t>
            </w:r>
          </w:p>
        </w:tc>
        <w:tc>
          <w:tcPr>
            <w:tcW w:w="992" w:type="dxa"/>
          </w:tcPr>
          <w:p w14:paraId="7C12190D" w14:textId="77777777" w:rsidR="00BD7D6D" w:rsidRDefault="00BD7D6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5D57FD49"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0.4</w:t>
            </w:r>
          </w:p>
        </w:tc>
        <w:tc>
          <w:tcPr>
            <w:tcW w:w="864" w:type="dxa"/>
          </w:tcPr>
          <w:p w14:paraId="139CB336"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7.2</w:t>
            </w:r>
          </w:p>
        </w:tc>
        <w:tc>
          <w:tcPr>
            <w:tcW w:w="864" w:type="dxa"/>
          </w:tcPr>
          <w:p w14:paraId="7D93E259"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7.1</w:t>
            </w:r>
          </w:p>
        </w:tc>
        <w:tc>
          <w:tcPr>
            <w:tcW w:w="865" w:type="dxa"/>
          </w:tcPr>
          <w:p w14:paraId="2D5F7854"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6.4</w:t>
            </w:r>
          </w:p>
        </w:tc>
      </w:tr>
      <w:tr w:rsidR="00BD7D6D" w14:paraId="53B8945F"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5BADF1F0" w14:textId="77777777" w:rsidR="00BD7D6D" w:rsidRDefault="00BD7D6D" w:rsidP="008670FF">
            <w:r>
              <w:t xml:space="preserve">Government infrastructure investment </w:t>
            </w:r>
            <w:r>
              <w:rPr>
                <w:vertAlign w:val="superscript"/>
              </w:rPr>
              <w:t>(a)(b)</w:t>
            </w:r>
          </w:p>
        </w:tc>
        <w:tc>
          <w:tcPr>
            <w:tcW w:w="992" w:type="dxa"/>
          </w:tcPr>
          <w:p w14:paraId="3B277541" w14:textId="77777777" w:rsidR="00BD7D6D" w:rsidRDefault="00BD7D6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73CA1C1F"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23.5</w:t>
            </w:r>
          </w:p>
        </w:tc>
        <w:tc>
          <w:tcPr>
            <w:tcW w:w="864" w:type="dxa"/>
          </w:tcPr>
          <w:p w14:paraId="2BA5C57A"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21.7</w:t>
            </w:r>
          </w:p>
        </w:tc>
        <w:tc>
          <w:tcPr>
            <w:tcW w:w="864" w:type="dxa"/>
          </w:tcPr>
          <w:p w14:paraId="1195A8AC"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18.7</w:t>
            </w:r>
          </w:p>
        </w:tc>
        <w:tc>
          <w:tcPr>
            <w:tcW w:w="865" w:type="dxa"/>
          </w:tcPr>
          <w:p w14:paraId="35748FAC"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15.6</w:t>
            </w:r>
          </w:p>
        </w:tc>
      </w:tr>
      <w:tr w:rsidR="00BD7D6D" w14:paraId="438A0C61"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6B20E703" w14:textId="77777777" w:rsidR="00BD7D6D" w:rsidRDefault="00BD7D6D" w:rsidP="008670FF">
            <w:r>
              <w:t>Net debt</w:t>
            </w:r>
          </w:p>
        </w:tc>
        <w:tc>
          <w:tcPr>
            <w:tcW w:w="992" w:type="dxa"/>
          </w:tcPr>
          <w:p w14:paraId="684B4A82" w14:textId="77777777" w:rsidR="00BD7D6D" w:rsidRDefault="00BD7D6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2B765723"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155.2</w:t>
            </w:r>
          </w:p>
        </w:tc>
        <w:tc>
          <w:tcPr>
            <w:tcW w:w="864" w:type="dxa"/>
          </w:tcPr>
          <w:p w14:paraId="75F9A17E"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168.5</w:t>
            </w:r>
          </w:p>
        </w:tc>
        <w:tc>
          <w:tcPr>
            <w:tcW w:w="864" w:type="dxa"/>
          </w:tcPr>
          <w:p w14:paraId="04B55F6E"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179.0</w:t>
            </w:r>
          </w:p>
        </w:tc>
        <w:tc>
          <w:tcPr>
            <w:tcW w:w="865" w:type="dxa"/>
          </w:tcPr>
          <w:p w14:paraId="3D1AADCB"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187.3</w:t>
            </w:r>
          </w:p>
        </w:tc>
      </w:tr>
      <w:tr w:rsidR="00BD7D6D" w14:paraId="14D3D58D" w14:textId="77777777" w:rsidTr="008670FF">
        <w:tc>
          <w:tcPr>
            <w:cnfStyle w:val="001000000000" w:firstRow="0" w:lastRow="0" w:firstColumn="1" w:lastColumn="0" w:oddVBand="0" w:evenVBand="0" w:oddHBand="0" w:evenHBand="0" w:firstRowFirstColumn="0" w:firstRowLastColumn="0" w:lastRowFirstColumn="0" w:lastRowLastColumn="0"/>
            <w:tcW w:w="3261" w:type="dxa"/>
            <w:tcBorders>
              <w:bottom w:val="single" w:sz="12" w:space="0" w:color="auto"/>
            </w:tcBorders>
          </w:tcPr>
          <w:p w14:paraId="2209B198" w14:textId="77777777" w:rsidR="00BD7D6D" w:rsidRDefault="00BD7D6D" w:rsidP="008670FF">
            <w:r>
              <w:t xml:space="preserve">Net debt to GSP </w:t>
            </w:r>
            <w:r>
              <w:rPr>
                <w:vertAlign w:val="superscript"/>
              </w:rPr>
              <w:t>(c)</w:t>
            </w:r>
          </w:p>
        </w:tc>
        <w:tc>
          <w:tcPr>
            <w:tcW w:w="992" w:type="dxa"/>
            <w:tcBorders>
              <w:bottom w:val="single" w:sz="12" w:space="0" w:color="auto"/>
            </w:tcBorders>
          </w:tcPr>
          <w:p w14:paraId="68EECB37" w14:textId="77777777" w:rsidR="00BD7D6D" w:rsidRDefault="00BD7D6D" w:rsidP="008670FF">
            <w:pPr>
              <w:jc w:val="center"/>
              <w:cnfStyle w:val="000000000000" w:firstRow="0" w:lastRow="0" w:firstColumn="0" w:lastColumn="0" w:oddVBand="0" w:evenVBand="0" w:oddHBand="0" w:evenHBand="0" w:firstRowFirstColumn="0" w:firstRowLastColumn="0" w:lastRowFirstColumn="0" w:lastRowLastColumn="0"/>
            </w:pPr>
            <w:r>
              <w:t>per cent</w:t>
            </w:r>
          </w:p>
        </w:tc>
        <w:tc>
          <w:tcPr>
            <w:tcW w:w="864" w:type="dxa"/>
            <w:tcBorders>
              <w:bottom w:val="single" w:sz="12" w:space="0" w:color="auto"/>
            </w:tcBorders>
          </w:tcPr>
          <w:p w14:paraId="2BF6E342"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24.2</w:t>
            </w:r>
          </w:p>
        </w:tc>
        <w:tc>
          <w:tcPr>
            <w:tcW w:w="864" w:type="dxa"/>
            <w:tcBorders>
              <w:bottom w:val="single" w:sz="12" w:space="0" w:color="auto"/>
            </w:tcBorders>
          </w:tcPr>
          <w:p w14:paraId="3979327E"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25.0</w:t>
            </w:r>
          </w:p>
        </w:tc>
        <w:tc>
          <w:tcPr>
            <w:tcW w:w="864" w:type="dxa"/>
            <w:tcBorders>
              <w:bottom w:val="single" w:sz="12" w:space="0" w:color="auto"/>
            </w:tcBorders>
          </w:tcPr>
          <w:p w14:paraId="7992EB9B"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25.2</w:t>
            </w:r>
          </w:p>
        </w:tc>
        <w:tc>
          <w:tcPr>
            <w:tcW w:w="865" w:type="dxa"/>
            <w:tcBorders>
              <w:bottom w:val="single" w:sz="12" w:space="0" w:color="auto"/>
            </w:tcBorders>
          </w:tcPr>
          <w:p w14:paraId="14657F5D" w14:textId="77777777" w:rsidR="00BD7D6D" w:rsidRDefault="00BD7D6D" w:rsidP="008670FF">
            <w:pPr>
              <w:cnfStyle w:val="000000000000" w:firstRow="0" w:lastRow="0" w:firstColumn="0" w:lastColumn="0" w:oddVBand="0" w:evenVBand="0" w:oddHBand="0" w:evenHBand="0" w:firstRowFirstColumn="0" w:firstRowLastColumn="0" w:lastRowFirstColumn="0" w:lastRowLastColumn="0"/>
            </w:pPr>
            <w:r>
              <w:t>25.0</w:t>
            </w:r>
          </w:p>
        </w:tc>
      </w:tr>
    </w:tbl>
    <w:p w14:paraId="1DB42FA2" w14:textId="77777777" w:rsidR="00BD7D6D" w:rsidRDefault="00BD7D6D" w:rsidP="00BD7D6D">
      <w:pPr>
        <w:pStyle w:val="Note"/>
      </w:pPr>
      <w:r>
        <w:t>Notes:</w:t>
      </w:r>
    </w:p>
    <w:p w14:paraId="2494102D" w14:textId="77777777" w:rsidR="00BD7D6D" w:rsidRDefault="00BD7D6D" w:rsidP="00BD7D6D">
      <w:pPr>
        <w:pStyle w:val="Note"/>
      </w:pPr>
      <w:r>
        <w:t>(a)</w:t>
      </w:r>
      <w:r>
        <w:tab/>
        <w:t>Includes general government net infrastructure investment and estimated construction costs of public private partnership projects.</w:t>
      </w:r>
    </w:p>
    <w:p w14:paraId="5F3D5C46" w14:textId="77777777" w:rsidR="00BD7D6D" w:rsidRDefault="00BD7D6D" w:rsidP="00BD7D6D">
      <w:pPr>
        <w:pStyle w:val="Note"/>
      </w:pPr>
      <w:r>
        <w:t>(b)</w:t>
      </w:r>
      <w:r>
        <w:tab/>
        <w:t>Includes the estimated private sector construction-related expenditure associated with the North East Link held in the public non</w:t>
      </w:r>
      <w:r>
        <w:noBreakHyphen/>
        <w:t>financial corporations (PNFC) sector.</w:t>
      </w:r>
    </w:p>
    <w:p w14:paraId="5009BFAC" w14:textId="77777777" w:rsidR="00BD7D6D" w:rsidRDefault="00BD7D6D" w:rsidP="00BD7D6D">
      <w:pPr>
        <w:pStyle w:val="Note"/>
      </w:pPr>
      <w:r>
        <w:t>(c)</w:t>
      </w:r>
      <w:r>
        <w:tab/>
        <w:t>The ratios to GSP may vary from publications year to year due to revisions to the Australian Bureau of Statistics GSP data.</w:t>
      </w:r>
    </w:p>
    <w:p w14:paraId="210B05F3" w14:textId="77777777" w:rsidR="00BD7D6D" w:rsidRDefault="00BD7D6D" w:rsidP="00BD7D6D"/>
    <w:p w14:paraId="3EEFF44C" w14:textId="77777777" w:rsidR="00BD7D6D" w:rsidRDefault="00BD7D6D" w:rsidP="00BD7D6D">
      <w:r w:rsidRPr="00517283">
        <w:t>Total revenue for the general government sector is expected to be $98.1 billion in 2024</w:t>
      </w:r>
      <w:r>
        <w:noBreakHyphen/>
      </w:r>
      <w:r w:rsidRPr="00517283">
        <w:t>25</w:t>
      </w:r>
      <w:r>
        <w:t xml:space="preserve"> and</w:t>
      </w:r>
      <w:r w:rsidRPr="00517283">
        <w:t xml:space="preserve"> is expected </w:t>
      </w:r>
      <w:r>
        <w:t>to grow by an</w:t>
      </w:r>
      <w:r w:rsidRPr="00517283">
        <w:t xml:space="preserve"> average </w:t>
      </w:r>
      <w:r>
        <w:t>of</w:t>
      </w:r>
      <w:r w:rsidRPr="00517283">
        <w:t xml:space="preserve"> 4.0 per cent a year over the forward estimates, reaching $110.4</w:t>
      </w:r>
      <w:r>
        <w:t> </w:t>
      </w:r>
      <w:r w:rsidRPr="00517283">
        <w:t>billion in 2027</w:t>
      </w:r>
      <w:r>
        <w:noBreakHyphen/>
      </w:r>
      <w:r w:rsidRPr="00517283">
        <w:t>28</w:t>
      </w:r>
      <w:r>
        <w:t>.</w:t>
      </w:r>
    </w:p>
    <w:p w14:paraId="167BEA38" w14:textId="77777777" w:rsidR="00BD7D6D" w:rsidRDefault="00BD7D6D" w:rsidP="00BD7D6D">
      <w:r w:rsidRPr="004420B7">
        <w:t xml:space="preserve">Total expenses </w:t>
      </w:r>
      <w:r>
        <w:t>are</w:t>
      </w:r>
      <w:r w:rsidRPr="004420B7">
        <w:t xml:space="preserve"> expected to be $101.7 billion in 2024</w:t>
      </w:r>
      <w:r>
        <w:noBreakHyphen/>
      </w:r>
      <w:r w:rsidRPr="004420B7">
        <w:t xml:space="preserve">25 and </w:t>
      </w:r>
      <w:r>
        <w:t>are</w:t>
      </w:r>
      <w:r w:rsidRPr="004420B7">
        <w:t xml:space="preserve"> expected to grow by an average of 2.2 per cent over the forward estimates, reaching $108.4 billion in 2027</w:t>
      </w:r>
      <w:r>
        <w:noBreakHyphen/>
      </w:r>
      <w:r w:rsidRPr="004420B7">
        <w:t>28</w:t>
      </w:r>
      <w:r>
        <w:t>.</w:t>
      </w:r>
    </w:p>
    <w:p w14:paraId="2AD51B52" w14:textId="540A2F8C" w:rsidR="00BD7D6D" w:rsidRDefault="00BD7D6D" w:rsidP="00BD7D6D">
      <w:r w:rsidRPr="004A0715">
        <w:t xml:space="preserve">Government infrastructure investment (GII) is expected to </w:t>
      </w:r>
      <w:r>
        <w:t xml:space="preserve">have peaked in 2023-24 and </w:t>
      </w:r>
      <w:r w:rsidR="009B65AA">
        <w:t xml:space="preserve">will </w:t>
      </w:r>
      <w:r>
        <w:t xml:space="preserve">reduce to $15.6 billion by the end of the forward estimates, </w:t>
      </w:r>
      <w:r w:rsidRPr="004A0715">
        <w:t>ensuring a sustainable infrastructure pipeline.</w:t>
      </w:r>
      <w:r w:rsidRPr="00606369">
        <w:t xml:space="preserve"> </w:t>
      </w:r>
      <w:r>
        <w:t xml:space="preserve">GII averages $19.9 billion a year over the budget and forward estimates period which is marginally higher than at </w:t>
      </w:r>
      <w:r w:rsidRPr="004A0715">
        <w:t xml:space="preserve">the </w:t>
      </w:r>
      <w:r w:rsidRPr="00474530">
        <w:rPr>
          <w:i/>
        </w:rPr>
        <w:t>2024-25 Budget</w:t>
      </w:r>
      <w:r>
        <w:rPr>
          <w:i/>
        </w:rPr>
        <w:t xml:space="preserve">, </w:t>
      </w:r>
      <w:r w:rsidRPr="00444845">
        <w:t>primarily</w:t>
      </w:r>
      <w:r>
        <w:rPr>
          <w:i/>
        </w:rPr>
        <w:t xml:space="preserve"> </w:t>
      </w:r>
      <w:r>
        <w:rPr>
          <w:iCs/>
        </w:rPr>
        <w:t>reflecting</w:t>
      </w:r>
      <w:r w:rsidRPr="004A0715">
        <w:t xml:space="preserve"> additional </w:t>
      </w:r>
      <w:r>
        <w:rPr>
          <w:iCs/>
        </w:rPr>
        <w:t xml:space="preserve">investment by the </w:t>
      </w:r>
      <w:r w:rsidRPr="004A0715">
        <w:t xml:space="preserve">Commonwealth </w:t>
      </w:r>
      <w:r>
        <w:rPr>
          <w:iCs/>
        </w:rPr>
        <w:t>in the joint infrastructure</w:t>
      </w:r>
      <w:r w:rsidRPr="004A0715">
        <w:t xml:space="preserve"> program </w:t>
      </w:r>
      <w:r>
        <w:rPr>
          <w:iCs/>
        </w:rPr>
        <w:t xml:space="preserve">included in the </w:t>
      </w:r>
      <w:r w:rsidRPr="00FB10D6">
        <w:rPr>
          <w:i/>
        </w:rPr>
        <w:t>2024-25 Commonwealth Budget</w:t>
      </w:r>
      <w:r w:rsidRPr="004A0715">
        <w:t>.</w:t>
      </w:r>
    </w:p>
    <w:p w14:paraId="4C85DC60" w14:textId="77777777" w:rsidR="00BD7D6D" w:rsidRDefault="00BD7D6D" w:rsidP="00BD7D6D">
      <w:r w:rsidRPr="0045211F">
        <w:t xml:space="preserve">The Government </w:t>
      </w:r>
      <w:r>
        <w:t>continues to return</w:t>
      </w:r>
      <w:r w:rsidRPr="0045211F">
        <w:t xml:space="preserve"> its capital program towards pre</w:t>
      </w:r>
      <w:r w:rsidRPr="0045211F" w:rsidDel="00973615">
        <w:t>-</w:t>
      </w:r>
      <w:r w:rsidRPr="0045211F">
        <w:t xml:space="preserve">COVID levels by the end of the forward estimates to take account of the strength of the Victorian economy as well as </w:t>
      </w:r>
      <w:r>
        <w:t>industry capacity</w:t>
      </w:r>
      <w:r w:rsidRPr="0045211F">
        <w:t xml:space="preserve"> in the construction sector.</w:t>
      </w:r>
    </w:p>
    <w:p w14:paraId="1D6409AC" w14:textId="3E51891E" w:rsidR="00B60B66" w:rsidRPr="00931EAF" w:rsidRDefault="00B60B66" w:rsidP="00B60B66">
      <w:r w:rsidRPr="006C22FB">
        <w:t xml:space="preserve">Net debt is expected to be $155.2 billion at </w:t>
      </w:r>
      <w:r>
        <w:t xml:space="preserve">30 </w:t>
      </w:r>
      <w:r w:rsidRPr="006C22FB">
        <w:t xml:space="preserve">June 2025 and increase to $187.3 billion by </w:t>
      </w:r>
      <w:r>
        <w:t xml:space="preserve">30 </w:t>
      </w:r>
      <w:r w:rsidRPr="006C22FB">
        <w:t xml:space="preserve">June 2028. </w:t>
      </w:r>
      <w:r>
        <w:t xml:space="preserve">This is an improvement in the budget year and each year of the forward estimates, including an improvement of $0.5 billion to 2027-28 when compared with the </w:t>
      </w:r>
      <w:r w:rsidRPr="00733B40">
        <w:rPr>
          <w:i/>
          <w:iCs/>
        </w:rPr>
        <w:t>2024-25 Budget</w:t>
      </w:r>
      <w:r>
        <w:t xml:space="preserve">. </w:t>
      </w:r>
      <w:r w:rsidRPr="006C22FB">
        <w:t>As a proportion of GSP, net debt is projected to be 24.</w:t>
      </w:r>
      <w:r>
        <w:t>2</w:t>
      </w:r>
      <w:r w:rsidRPr="006C22FB">
        <w:t xml:space="preserve"> per cent at </w:t>
      </w:r>
      <w:r>
        <w:t>30 </w:t>
      </w:r>
      <w:r w:rsidRPr="006C22FB">
        <w:t>June</w:t>
      </w:r>
      <w:r>
        <w:t> </w:t>
      </w:r>
      <w:r w:rsidRPr="006C22FB">
        <w:t>2025 before reaching 25.</w:t>
      </w:r>
      <w:r>
        <w:t>2</w:t>
      </w:r>
      <w:r w:rsidRPr="006C22FB">
        <w:t xml:space="preserve"> per cent in 2026-27 and then declining to 2</w:t>
      </w:r>
      <w:r>
        <w:t>5.0</w:t>
      </w:r>
      <w:r w:rsidRPr="006C22FB">
        <w:t xml:space="preserve"> per cent in 2027-</w:t>
      </w:r>
      <w:r>
        <w:softHyphen/>
      </w:r>
      <w:r w:rsidRPr="006C22FB">
        <w:t>28</w:t>
      </w:r>
      <w:r>
        <w:t xml:space="preserve">. Net debt to GSP is forecast to be lower in the budget year and each year of the forward estimates when compared with the </w:t>
      </w:r>
      <w:r w:rsidRPr="00B46C83">
        <w:rPr>
          <w:i/>
          <w:iCs/>
        </w:rPr>
        <w:t>2024-25 Budget</w:t>
      </w:r>
      <w:r>
        <w:t xml:space="preserve">.  </w:t>
      </w:r>
    </w:p>
    <w:p w14:paraId="0A8F10C3" w14:textId="77777777" w:rsidR="00BD7D6D" w:rsidRDefault="00BD7D6D" w:rsidP="00BD7D6D">
      <w:pPr>
        <w:pStyle w:val="Heading20"/>
      </w:pPr>
      <w:r>
        <w:t>Long-term objectives and targets</w:t>
      </w:r>
    </w:p>
    <w:p w14:paraId="2D82B486" w14:textId="77777777" w:rsidR="00BD7D6D" w:rsidRDefault="00BD7D6D" w:rsidP="00BD7D6D">
      <w:r>
        <w:t xml:space="preserve">The Government’s long-term financial management objectives as set out in Table 1.2 remain unchanged from the </w:t>
      </w:r>
      <w:r w:rsidRPr="009F2471">
        <w:rPr>
          <w:i/>
          <w:iCs/>
        </w:rPr>
        <w:t>202</w:t>
      </w:r>
      <w:r>
        <w:rPr>
          <w:i/>
          <w:iCs/>
        </w:rPr>
        <w:t>4</w:t>
      </w:r>
      <w:r w:rsidRPr="009F2471">
        <w:rPr>
          <w:i/>
          <w:iCs/>
        </w:rPr>
        <w:noBreakHyphen/>
        <w:t>2</w:t>
      </w:r>
      <w:r>
        <w:rPr>
          <w:i/>
          <w:iCs/>
        </w:rPr>
        <w:t>5</w:t>
      </w:r>
      <w:r w:rsidRPr="009F2471">
        <w:rPr>
          <w:i/>
          <w:iCs/>
        </w:rPr>
        <w:t xml:space="preserve"> Budget</w:t>
      </w:r>
      <w:r>
        <w:t>.</w:t>
      </w:r>
    </w:p>
    <w:p w14:paraId="0A544E8D" w14:textId="77777777" w:rsidR="00BD7D6D" w:rsidRDefault="00BD7D6D" w:rsidP="00BD7D6D">
      <w:pPr>
        <w:pStyle w:val="TableHeading"/>
      </w:pPr>
      <w:r>
        <w:t xml:space="preserve">Table 1.2: </w:t>
      </w:r>
      <w:r>
        <w:tab/>
        <w:t>Long-term financial management objectives</w:t>
      </w:r>
    </w:p>
    <w:tbl>
      <w:tblPr>
        <w:tblStyle w:val="DTFTableText"/>
        <w:tblW w:w="0" w:type="auto"/>
        <w:tblLook w:val="0620" w:firstRow="1" w:lastRow="0" w:firstColumn="0" w:lastColumn="0" w:noHBand="1" w:noVBand="1"/>
      </w:tblPr>
      <w:tblGrid>
        <w:gridCol w:w="2694"/>
        <w:gridCol w:w="5007"/>
      </w:tblGrid>
      <w:tr w:rsidR="00BD7D6D" w:rsidRPr="002C699B" w14:paraId="7B1D2573" w14:textId="77777777" w:rsidTr="00BD7D6D">
        <w:trPr>
          <w:cnfStyle w:val="100000000000" w:firstRow="1" w:lastRow="0" w:firstColumn="0" w:lastColumn="0" w:oddVBand="0" w:evenVBand="0" w:oddHBand="0" w:evenHBand="0" w:firstRowFirstColumn="0" w:firstRowLastColumn="0" w:lastRowFirstColumn="0" w:lastRowLastColumn="0"/>
        </w:trPr>
        <w:tc>
          <w:tcPr>
            <w:tcW w:w="2694" w:type="dxa"/>
          </w:tcPr>
          <w:p w14:paraId="5F5630D7" w14:textId="77777777" w:rsidR="00BD7D6D" w:rsidRPr="002C699B" w:rsidRDefault="00BD7D6D" w:rsidP="008670FF">
            <w:r w:rsidRPr="002C699B">
              <w:t>Priority</w:t>
            </w:r>
          </w:p>
        </w:tc>
        <w:tc>
          <w:tcPr>
            <w:tcW w:w="5007" w:type="dxa"/>
          </w:tcPr>
          <w:p w14:paraId="089C9C19" w14:textId="77777777" w:rsidR="00BD7D6D" w:rsidRPr="002C699B" w:rsidRDefault="00BD7D6D" w:rsidP="008670FF">
            <w:r w:rsidRPr="002C699B">
              <w:t>Objective</w:t>
            </w:r>
          </w:p>
        </w:tc>
      </w:tr>
      <w:tr w:rsidR="00BD7D6D" w:rsidRPr="002C699B" w14:paraId="10EE1ECB" w14:textId="77777777" w:rsidTr="00BD7D6D">
        <w:tc>
          <w:tcPr>
            <w:tcW w:w="2694" w:type="dxa"/>
            <w:tcBorders>
              <w:bottom w:val="single" w:sz="6" w:space="0" w:color="808080" w:themeColor="background1" w:themeShade="80"/>
            </w:tcBorders>
          </w:tcPr>
          <w:p w14:paraId="283299BA" w14:textId="62A853C0" w:rsidR="00BD7D6D" w:rsidRPr="00BD7D6D" w:rsidRDefault="00BD7D6D" w:rsidP="00BD7D6D">
            <w:pPr>
              <w:rPr>
                <w:b/>
                <w:bCs/>
              </w:rPr>
            </w:pPr>
            <w:r w:rsidRPr="00BD7D6D">
              <w:rPr>
                <w:b/>
                <w:bCs/>
              </w:rPr>
              <w:t xml:space="preserve">Sound financial </w:t>
            </w:r>
            <w:r>
              <w:rPr>
                <w:b/>
                <w:bCs/>
              </w:rPr>
              <w:br/>
            </w:r>
            <w:r w:rsidRPr="00BD7D6D">
              <w:rPr>
                <w:b/>
                <w:bCs/>
              </w:rPr>
              <w:t>management</w:t>
            </w:r>
          </w:p>
        </w:tc>
        <w:tc>
          <w:tcPr>
            <w:tcW w:w="5007" w:type="dxa"/>
            <w:tcBorders>
              <w:bottom w:val="single" w:sz="6" w:space="0" w:color="808080" w:themeColor="background1" w:themeShade="80"/>
            </w:tcBorders>
          </w:tcPr>
          <w:p w14:paraId="38402C3E" w14:textId="77777777" w:rsidR="00BD7D6D" w:rsidRPr="002C699B" w:rsidRDefault="00BD7D6D" w:rsidP="00BD7D6D">
            <w:r w:rsidRPr="002C699B">
              <w:t>Victoria’s finances will be managed in a responsible manner to provide capacity to fund services and infrastructure and support households and businesses at levels consistent with sound financial management.</w:t>
            </w:r>
          </w:p>
        </w:tc>
      </w:tr>
      <w:tr w:rsidR="00BD7D6D" w:rsidRPr="002C699B" w14:paraId="7780F128" w14:textId="77777777" w:rsidTr="00BD7D6D">
        <w:tc>
          <w:tcPr>
            <w:tcW w:w="2694" w:type="dxa"/>
            <w:tcBorders>
              <w:top w:val="single" w:sz="6" w:space="0" w:color="808080" w:themeColor="background1" w:themeShade="80"/>
              <w:bottom w:val="single" w:sz="6" w:space="0" w:color="808080" w:themeColor="background1" w:themeShade="80"/>
            </w:tcBorders>
          </w:tcPr>
          <w:p w14:paraId="1A20042D" w14:textId="77777777" w:rsidR="00BD7D6D" w:rsidRPr="00BD7D6D" w:rsidRDefault="00BD7D6D" w:rsidP="00BD7D6D">
            <w:pPr>
              <w:rPr>
                <w:b/>
                <w:bCs/>
              </w:rPr>
            </w:pPr>
            <w:r w:rsidRPr="00BD7D6D">
              <w:rPr>
                <w:b/>
                <w:bCs/>
              </w:rPr>
              <w:t>Improved services</w:t>
            </w:r>
          </w:p>
        </w:tc>
        <w:tc>
          <w:tcPr>
            <w:tcW w:w="5007" w:type="dxa"/>
            <w:tcBorders>
              <w:top w:val="single" w:sz="6" w:space="0" w:color="808080" w:themeColor="background1" w:themeShade="80"/>
              <w:bottom w:val="single" w:sz="6" w:space="0" w:color="808080" w:themeColor="background1" w:themeShade="80"/>
            </w:tcBorders>
          </w:tcPr>
          <w:p w14:paraId="594CEF30" w14:textId="77777777" w:rsidR="00BD7D6D" w:rsidRPr="002C699B" w:rsidRDefault="00BD7D6D" w:rsidP="00BD7D6D">
            <w:r>
              <w:t>Public services will improve over time.</w:t>
            </w:r>
          </w:p>
        </w:tc>
      </w:tr>
      <w:tr w:rsidR="00BD7D6D" w:rsidRPr="002C699B" w14:paraId="2102BDD4" w14:textId="77777777" w:rsidTr="00BD7D6D">
        <w:tc>
          <w:tcPr>
            <w:tcW w:w="2694" w:type="dxa"/>
            <w:tcBorders>
              <w:top w:val="single" w:sz="6" w:space="0" w:color="808080" w:themeColor="background1" w:themeShade="80"/>
              <w:bottom w:val="single" w:sz="6" w:space="0" w:color="808080" w:themeColor="background1" w:themeShade="80"/>
            </w:tcBorders>
          </w:tcPr>
          <w:p w14:paraId="28B07AE0" w14:textId="77777777" w:rsidR="00BD7D6D" w:rsidRPr="00BD7D6D" w:rsidRDefault="00BD7D6D" w:rsidP="00BD7D6D">
            <w:pPr>
              <w:rPr>
                <w:b/>
                <w:bCs/>
              </w:rPr>
            </w:pPr>
            <w:r w:rsidRPr="00BD7D6D">
              <w:rPr>
                <w:b/>
                <w:bCs/>
              </w:rPr>
              <w:t>Building infrastructure</w:t>
            </w:r>
          </w:p>
        </w:tc>
        <w:tc>
          <w:tcPr>
            <w:tcW w:w="5007" w:type="dxa"/>
            <w:tcBorders>
              <w:top w:val="single" w:sz="6" w:space="0" w:color="808080" w:themeColor="background1" w:themeShade="80"/>
              <w:bottom w:val="single" w:sz="6" w:space="0" w:color="808080" w:themeColor="background1" w:themeShade="80"/>
            </w:tcBorders>
          </w:tcPr>
          <w:p w14:paraId="1566BA38" w14:textId="77777777" w:rsidR="00BD7D6D" w:rsidRPr="002C699B" w:rsidRDefault="00BD7D6D" w:rsidP="00BD7D6D">
            <w:r w:rsidRPr="002C699B">
              <w:t>Public infrastructure will grow steadily over time to meet the needs of a growing population.</w:t>
            </w:r>
          </w:p>
        </w:tc>
      </w:tr>
      <w:tr w:rsidR="00BD7D6D" w:rsidRPr="002C699B" w14:paraId="509442D7" w14:textId="77777777" w:rsidTr="004D7F50">
        <w:tc>
          <w:tcPr>
            <w:tcW w:w="2694" w:type="dxa"/>
            <w:tcBorders>
              <w:top w:val="single" w:sz="6" w:space="0" w:color="808080" w:themeColor="background1" w:themeShade="80"/>
              <w:bottom w:val="single" w:sz="6" w:space="0" w:color="808080" w:themeColor="background1" w:themeShade="80"/>
            </w:tcBorders>
          </w:tcPr>
          <w:p w14:paraId="01392C6F" w14:textId="4D8AA780" w:rsidR="00BD7D6D" w:rsidRPr="00BD7D6D" w:rsidRDefault="00BD7D6D" w:rsidP="00BD7D6D">
            <w:pPr>
              <w:rPr>
                <w:b/>
                <w:bCs/>
              </w:rPr>
            </w:pPr>
            <w:r w:rsidRPr="00BD7D6D">
              <w:rPr>
                <w:b/>
                <w:bCs/>
              </w:rPr>
              <w:t xml:space="preserve">Efficient use of public </w:t>
            </w:r>
            <w:r>
              <w:rPr>
                <w:b/>
                <w:bCs/>
              </w:rPr>
              <w:br/>
            </w:r>
            <w:r w:rsidRPr="00BD7D6D">
              <w:rPr>
                <w:b/>
                <w:bCs/>
              </w:rPr>
              <w:t>resources</w:t>
            </w:r>
          </w:p>
        </w:tc>
        <w:tc>
          <w:tcPr>
            <w:tcW w:w="5007" w:type="dxa"/>
            <w:tcBorders>
              <w:top w:val="single" w:sz="6" w:space="0" w:color="808080" w:themeColor="background1" w:themeShade="80"/>
              <w:bottom w:val="single" w:sz="6" w:space="0" w:color="808080" w:themeColor="background1" w:themeShade="80"/>
            </w:tcBorders>
          </w:tcPr>
          <w:p w14:paraId="096A5D91" w14:textId="77777777" w:rsidR="00BD7D6D" w:rsidRPr="002C699B" w:rsidRDefault="00BD7D6D" w:rsidP="00BD7D6D">
            <w:r w:rsidRPr="002C699B">
              <w:t>Public sector resources will be invested in services and infrastructure to maximise the economic, social and environmental benefits.</w:t>
            </w:r>
          </w:p>
        </w:tc>
      </w:tr>
      <w:tr w:rsidR="00BD7D6D" w:rsidRPr="002C699B" w14:paraId="1F05B547" w14:textId="77777777" w:rsidTr="004D7F50">
        <w:tc>
          <w:tcPr>
            <w:tcW w:w="2694" w:type="dxa"/>
            <w:tcBorders>
              <w:top w:val="single" w:sz="6" w:space="0" w:color="808080" w:themeColor="background1" w:themeShade="80"/>
              <w:bottom w:val="single" w:sz="12" w:space="0" w:color="auto"/>
            </w:tcBorders>
          </w:tcPr>
          <w:p w14:paraId="62D51C2A" w14:textId="77777777" w:rsidR="00BD7D6D" w:rsidRPr="00BD7D6D" w:rsidRDefault="00BD7D6D" w:rsidP="00BD7D6D">
            <w:pPr>
              <w:rPr>
                <w:b/>
                <w:bCs/>
              </w:rPr>
            </w:pPr>
            <w:r w:rsidRPr="00BD7D6D">
              <w:rPr>
                <w:b/>
                <w:bCs/>
              </w:rPr>
              <w:t>A resilient economy</w:t>
            </w:r>
          </w:p>
        </w:tc>
        <w:tc>
          <w:tcPr>
            <w:tcW w:w="5007" w:type="dxa"/>
            <w:tcBorders>
              <w:top w:val="single" w:sz="6" w:space="0" w:color="808080" w:themeColor="background1" w:themeShade="80"/>
              <w:bottom w:val="single" w:sz="12" w:space="0" w:color="auto"/>
            </w:tcBorders>
          </w:tcPr>
          <w:p w14:paraId="24A6688D" w14:textId="77777777" w:rsidR="00BD7D6D" w:rsidRPr="002C699B" w:rsidRDefault="00BD7D6D" w:rsidP="00BD7D6D">
            <w:r w:rsidRPr="002C699B">
              <w:t>Increase economic resilience by supporting an innovative and diversified economy that will unlock employment growth, long</w:t>
            </w:r>
            <w:r>
              <w:noBreakHyphen/>
            </w:r>
            <w:r w:rsidRPr="002C699B">
              <w:t>term economic growth and productivity in Victoria.</w:t>
            </w:r>
          </w:p>
        </w:tc>
      </w:tr>
    </w:tbl>
    <w:p w14:paraId="39082648" w14:textId="77777777" w:rsidR="00BD7D6D" w:rsidRDefault="00BD7D6D" w:rsidP="00BD7D6D"/>
    <w:p w14:paraId="08B1688F" w14:textId="77777777" w:rsidR="00BD7D6D" w:rsidRDefault="00BD7D6D" w:rsidP="00BD7D6D">
      <w:r>
        <w:t xml:space="preserve">Progress towards these financial management objectives is supported by the measures and targets in Table 1.3. These measures and targets are also unchanged from the </w:t>
      </w:r>
      <w:r w:rsidRPr="009F2471">
        <w:rPr>
          <w:i/>
          <w:iCs/>
        </w:rPr>
        <w:t>202</w:t>
      </w:r>
      <w:r>
        <w:rPr>
          <w:i/>
          <w:iCs/>
        </w:rPr>
        <w:t>4</w:t>
      </w:r>
      <w:r w:rsidRPr="009F2471">
        <w:rPr>
          <w:i/>
          <w:iCs/>
        </w:rPr>
        <w:noBreakHyphen/>
        <w:t>2</w:t>
      </w:r>
      <w:r>
        <w:rPr>
          <w:i/>
          <w:iCs/>
        </w:rPr>
        <w:t>5</w:t>
      </w:r>
      <w:r w:rsidRPr="009F2471">
        <w:rPr>
          <w:i/>
          <w:iCs/>
        </w:rPr>
        <w:t> Budget</w:t>
      </w:r>
      <w:r>
        <w:t>.</w:t>
      </w:r>
    </w:p>
    <w:p w14:paraId="50017312" w14:textId="77777777" w:rsidR="00BD7D6D" w:rsidRDefault="00BD7D6D" w:rsidP="00BD7D6D"/>
    <w:p w14:paraId="1904E59B" w14:textId="77777777" w:rsidR="00BD7D6D" w:rsidRDefault="00BD7D6D" w:rsidP="00BD7D6D">
      <w:pPr>
        <w:pStyle w:val="TableHeading"/>
      </w:pPr>
      <w:r>
        <w:t xml:space="preserve">Table 1.3: </w:t>
      </w:r>
      <w:r>
        <w:tab/>
        <w:t>Financial measures and targets</w:t>
      </w:r>
    </w:p>
    <w:tbl>
      <w:tblPr>
        <w:tblStyle w:val="DTFTableText"/>
        <w:tblW w:w="0" w:type="auto"/>
        <w:tblLook w:val="0620" w:firstRow="1" w:lastRow="0" w:firstColumn="0" w:lastColumn="0" w:noHBand="1" w:noVBand="1"/>
      </w:tblPr>
      <w:tblGrid>
        <w:gridCol w:w="2694"/>
        <w:gridCol w:w="5007"/>
      </w:tblGrid>
      <w:tr w:rsidR="00BD7D6D" w:rsidRPr="009F2471" w14:paraId="0245F88B" w14:textId="77777777" w:rsidTr="00BD7D6D">
        <w:trPr>
          <w:cnfStyle w:val="100000000000" w:firstRow="1" w:lastRow="0" w:firstColumn="0" w:lastColumn="0" w:oddVBand="0" w:evenVBand="0" w:oddHBand="0" w:evenHBand="0" w:firstRowFirstColumn="0" w:firstRowLastColumn="0" w:lastRowFirstColumn="0" w:lastRowLastColumn="0"/>
        </w:trPr>
        <w:tc>
          <w:tcPr>
            <w:tcW w:w="2694" w:type="dxa"/>
          </w:tcPr>
          <w:p w14:paraId="6BE932DD" w14:textId="77777777" w:rsidR="00BD7D6D" w:rsidRPr="009F2471" w:rsidRDefault="00BD7D6D" w:rsidP="008670FF">
            <w:r w:rsidRPr="009F2471">
              <w:t>Financial measures</w:t>
            </w:r>
          </w:p>
        </w:tc>
        <w:tc>
          <w:tcPr>
            <w:tcW w:w="5007" w:type="dxa"/>
          </w:tcPr>
          <w:p w14:paraId="6C513408" w14:textId="77777777" w:rsidR="00BD7D6D" w:rsidRPr="009F2471" w:rsidRDefault="00BD7D6D" w:rsidP="008670FF">
            <w:r w:rsidRPr="009F2471">
              <w:t>Target</w:t>
            </w:r>
          </w:p>
        </w:tc>
      </w:tr>
      <w:tr w:rsidR="00BD7D6D" w:rsidRPr="009F2471" w14:paraId="2C543D50" w14:textId="77777777" w:rsidTr="00BD7D6D">
        <w:tc>
          <w:tcPr>
            <w:tcW w:w="2694" w:type="dxa"/>
            <w:tcBorders>
              <w:bottom w:val="single" w:sz="6" w:space="0" w:color="808080" w:themeColor="background1" w:themeShade="80"/>
            </w:tcBorders>
          </w:tcPr>
          <w:p w14:paraId="515C93AF" w14:textId="77777777" w:rsidR="00BD7D6D" w:rsidRPr="00BD7D6D" w:rsidRDefault="00BD7D6D" w:rsidP="00BD7D6D">
            <w:pPr>
              <w:rPr>
                <w:b/>
                <w:bCs/>
              </w:rPr>
            </w:pPr>
            <w:r w:rsidRPr="00BD7D6D">
              <w:rPr>
                <w:b/>
                <w:bCs/>
              </w:rPr>
              <w:t>Net debt to GSP</w:t>
            </w:r>
          </w:p>
        </w:tc>
        <w:tc>
          <w:tcPr>
            <w:tcW w:w="5007" w:type="dxa"/>
            <w:tcBorders>
              <w:bottom w:val="single" w:sz="6" w:space="0" w:color="808080" w:themeColor="background1" w:themeShade="80"/>
            </w:tcBorders>
          </w:tcPr>
          <w:p w14:paraId="679A7A57" w14:textId="77777777" w:rsidR="00BD7D6D" w:rsidRPr="009F2471" w:rsidRDefault="00BD7D6D" w:rsidP="00BD7D6D">
            <w:r w:rsidRPr="009F2471">
              <w:t xml:space="preserve">General government net debt as a percentage of GSP to stabilise </w:t>
            </w:r>
            <w:r>
              <w:t xml:space="preserve">and reduce </w:t>
            </w:r>
            <w:r w:rsidRPr="009F2471">
              <w:t>in the medium term.</w:t>
            </w:r>
          </w:p>
        </w:tc>
      </w:tr>
      <w:tr w:rsidR="00BD7D6D" w:rsidRPr="009F2471" w14:paraId="3CD63C1E" w14:textId="77777777" w:rsidTr="00BD7D6D">
        <w:tc>
          <w:tcPr>
            <w:tcW w:w="2694" w:type="dxa"/>
            <w:tcBorders>
              <w:top w:val="single" w:sz="6" w:space="0" w:color="808080" w:themeColor="background1" w:themeShade="80"/>
              <w:bottom w:val="single" w:sz="6" w:space="0" w:color="808080" w:themeColor="background1" w:themeShade="80"/>
            </w:tcBorders>
          </w:tcPr>
          <w:p w14:paraId="36C0FA82" w14:textId="77777777" w:rsidR="00BD7D6D" w:rsidRPr="00BD7D6D" w:rsidRDefault="00BD7D6D" w:rsidP="00BD7D6D">
            <w:pPr>
              <w:rPr>
                <w:b/>
                <w:bCs/>
              </w:rPr>
            </w:pPr>
            <w:r w:rsidRPr="00BD7D6D">
              <w:rPr>
                <w:b/>
                <w:bCs/>
              </w:rPr>
              <w:t>Interest expense to revenue</w:t>
            </w:r>
          </w:p>
        </w:tc>
        <w:tc>
          <w:tcPr>
            <w:tcW w:w="5007" w:type="dxa"/>
            <w:tcBorders>
              <w:top w:val="single" w:sz="6" w:space="0" w:color="808080" w:themeColor="background1" w:themeShade="80"/>
              <w:bottom w:val="single" w:sz="6" w:space="0" w:color="808080" w:themeColor="background1" w:themeShade="80"/>
            </w:tcBorders>
          </w:tcPr>
          <w:p w14:paraId="24571BE7" w14:textId="77777777" w:rsidR="00BD7D6D" w:rsidRPr="009F2471" w:rsidRDefault="00BD7D6D" w:rsidP="00BD7D6D">
            <w:r w:rsidRPr="009F2471">
              <w:t>General government interest expense as a percentage of revenue to stabilise in the medium term.</w:t>
            </w:r>
          </w:p>
        </w:tc>
      </w:tr>
      <w:tr w:rsidR="00BD7D6D" w:rsidRPr="009F2471" w14:paraId="0335B09A" w14:textId="77777777" w:rsidTr="004D7F50">
        <w:tc>
          <w:tcPr>
            <w:tcW w:w="2694" w:type="dxa"/>
            <w:tcBorders>
              <w:top w:val="single" w:sz="6" w:space="0" w:color="808080" w:themeColor="background1" w:themeShade="80"/>
              <w:bottom w:val="single" w:sz="6" w:space="0" w:color="808080" w:themeColor="background1" w:themeShade="80"/>
            </w:tcBorders>
          </w:tcPr>
          <w:p w14:paraId="01CD2484" w14:textId="77777777" w:rsidR="00BD7D6D" w:rsidRPr="00BD7D6D" w:rsidRDefault="00BD7D6D" w:rsidP="00BD7D6D">
            <w:pPr>
              <w:rPr>
                <w:b/>
                <w:bCs/>
              </w:rPr>
            </w:pPr>
            <w:r w:rsidRPr="00BD7D6D">
              <w:rPr>
                <w:b/>
                <w:bCs/>
              </w:rPr>
              <w:t>Superannuation liabilities</w:t>
            </w:r>
          </w:p>
        </w:tc>
        <w:tc>
          <w:tcPr>
            <w:tcW w:w="5007" w:type="dxa"/>
            <w:tcBorders>
              <w:top w:val="single" w:sz="6" w:space="0" w:color="808080" w:themeColor="background1" w:themeShade="80"/>
              <w:bottom w:val="single" w:sz="6" w:space="0" w:color="808080" w:themeColor="background1" w:themeShade="80"/>
            </w:tcBorders>
          </w:tcPr>
          <w:p w14:paraId="35FE98B9" w14:textId="77777777" w:rsidR="00BD7D6D" w:rsidRPr="009F2471" w:rsidRDefault="00BD7D6D" w:rsidP="00BD7D6D">
            <w:r w:rsidRPr="009F2471">
              <w:t>Fully fund the unfunded superannuation liability by 2035.</w:t>
            </w:r>
          </w:p>
        </w:tc>
      </w:tr>
      <w:tr w:rsidR="00BD7D6D" w:rsidRPr="009F2471" w14:paraId="09F60EB3" w14:textId="77777777" w:rsidTr="004D7F50">
        <w:tc>
          <w:tcPr>
            <w:tcW w:w="2694" w:type="dxa"/>
            <w:tcBorders>
              <w:top w:val="single" w:sz="6" w:space="0" w:color="808080" w:themeColor="background1" w:themeShade="80"/>
              <w:bottom w:val="single" w:sz="12" w:space="0" w:color="auto"/>
            </w:tcBorders>
          </w:tcPr>
          <w:p w14:paraId="3DC4C1B0" w14:textId="77777777" w:rsidR="00BD7D6D" w:rsidRPr="00BD7D6D" w:rsidRDefault="00BD7D6D" w:rsidP="00BD7D6D">
            <w:pPr>
              <w:rPr>
                <w:b/>
                <w:bCs/>
              </w:rPr>
            </w:pPr>
            <w:r w:rsidRPr="00BD7D6D">
              <w:rPr>
                <w:b/>
                <w:bCs/>
              </w:rPr>
              <w:t>Operating cash surplus</w:t>
            </w:r>
          </w:p>
        </w:tc>
        <w:tc>
          <w:tcPr>
            <w:tcW w:w="5007" w:type="dxa"/>
            <w:tcBorders>
              <w:top w:val="single" w:sz="6" w:space="0" w:color="808080" w:themeColor="background1" w:themeShade="80"/>
              <w:bottom w:val="single" w:sz="12" w:space="0" w:color="auto"/>
            </w:tcBorders>
          </w:tcPr>
          <w:p w14:paraId="40474A31" w14:textId="77777777" w:rsidR="00BD7D6D" w:rsidRPr="009F2471" w:rsidRDefault="00BD7D6D" w:rsidP="00BD7D6D">
            <w:r w:rsidRPr="009F2471">
              <w:t>A net operating cash surplus consistent with maintaining general government net debt at a sustainable level.</w:t>
            </w:r>
          </w:p>
        </w:tc>
      </w:tr>
    </w:tbl>
    <w:p w14:paraId="3F9E94C9" w14:textId="77777777" w:rsidR="00BD7D6D" w:rsidRDefault="00BD7D6D" w:rsidP="00BD7D6D"/>
    <w:p w14:paraId="447D1B25" w14:textId="41BEBFDB" w:rsidR="004E6E24" w:rsidRPr="004E6E24" w:rsidRDefault="00BD7D6D" w:rsidP="00BD7D6D">
      <w:r>
        <w:t xml:space="preserve">The Government will review and publish its financial objectives and measures, consistent with requirements under the </w:t>
      </w:r>
      <w:r w:rsidRPr="00BE60AF">
        <w:rPr>
          <w:i/>
          <w:iCs/>
        </w:rPr>
        <w:t>Financial Management Act 1994</w:t>
      </w:r>
      <w:r>
        <w:t>, as part of the forthcoming 2025-26 budget.</w:t>
      </w:r>
    </w:p>
    <w:p w14:paraId="0E87351C" w14:textId="7FE00394" w:rsidR="005F294E" w:rsidRDefault="005F294E">
      <w:pPr>
        <w:keepLines w:val="0"/>
      </w:pPr>
      <w:r>
        <w:br w:type="page"/>
      </w:r>
    </w:p>
    <w:p w14:paraId="4FF6548D" w14:textId="77777777" w:rsidR="00454E93" w:rsidRPr="00454E93" w:rsidRDefault="00454E93" w:rsidP="00454E93"/>
    <w:p w14:paraId="62FD2A4B" w14:textId="77777777" w:rsidR="005242B1" w:rsidRDefault="005242B1" w:rsidP="00E43802"/>
    <w:p w14:paraId="7A8284DF" w14:textId="32147A59" w:rsidR="00F21FD1" w:rsidRDefault="00F21FD1" w:rsidP="00E43802">
      <w:pPr>
        <w:sectPr w:rsidR="00F21FD1" w:rsidSect="00F352C4">
          <w:footerReference w:type="even" r:id="rId20"/>
          <w:footerReference w:type="default" r:id="rId21"/>
          <w:type w:val="oddPage"/>
          <w:pgSz w:w="9979" w:h="14175" w:code="34"/>
          <w:pgMar w:top="1134" w:right="1134" w:bottom="1134" w:left="1134" w:header="624" w:footer="567" w:gutter="0"/>
          <w:pgNumType w:start="1"/>
          <w:cols w:space="708"/>
          <w:docGrid w:linePitch="360"/>
        </w:sectPr>
      </w:pPr>
    </w:p>
    <w:p w14:paraId="7C9E7542" w14:textId="77777777" w:rsidR="00AB205D" w:rsidRDefault="00471A3B">
      <w:pPr>
        <w:pStyle w:val="ChapterHeading"/>
      </w:pPr>
      <w:bookmarkStart w:id="6" w:name="_Toc184299434"/>
      <w:r>
        <w:t>Chapter 2 – Economic context</w:t>
      </w:r>
      <w:bookmarkEnd w:id="6"/>
    </w:p>
    <w:p w14:paraId="148885A1" w14:textId="77777777" w:rsidR="00BD7D6D" w:rsidRDefault="00BD7D6D" w:rsidP="00BD7D6D">
      <w:pPr>
        <w:pStyle w:val="ShadedBoxBullet"/>
      </w:pPr>
      <w:r>
        <w:t xml:space="preserve">The Victorian economy continues to grow and the labour market is strong, despite the ongoing challenges of high inflation and elevated interest rates. </w:t>
      </w:r>
    </w:p>
    <w:p w14:paraId="547B40D6" w14:textId="77777777" w:rsidR="00BD7D6D" w:rsidRDefault="00BD7D6D" w:rsidP="00BD7D6D">
      <w:pPr>
        <w:pStyle w:val="ShadedBoxBullet"/>
      </w:pPr>
      <w:r>
        <w:t>Victoria’s unemployment rate averaged a low 4.0 per cent in 2023-24, while the share of the working-age population in employment is near a record high.</w:t>
      </w:r>
    </w:p>
    <w:p w14:paraId="1773394C" w14:textId="77777777" w:rsidR="00BD7D6D" w:rsidRDefault="00BD7D6D" w:rsidP="00BD7D6D">
      <w:pPr>
        <w:pStyle w:val="ShadedBoxBullet"/>
      </w:pPr>
      <w:r>
        <w:t>The economy grew by 1.5 per cent in 2023</w:t>
      </w:r>
      <w:r>
        <w:noBreakHyphen/>
        <w:t>24, and real gross state product is well above pre-pandemic levels. The rate of economic growth is forecast to increase in 2024</w:t>
      </w:r>
      <w:r>
        <w:noBreakHyphen/>
        <w:t xml:space="preserve">25, to 2.50 per cent. </w:t>
      </w:r>
      <w:r w:rsidRPr="000C3BAA">
        <w:t xml:space="preserve">Growth is expected to be supported by higher real </w:t>
      </w:r>
      <w:r>
        <w:t xml:space="preserve">household </w:t>
      </w:r>
      <w:r w:rsidRPr="000C3BAA">
        <w:t xml:space="preserve">incomes as inflation declines and wage growth remains </w:t>
      </w:r>
      <w:r>
        <w:t xml:space="preserve">firm. </w:t>
      </w:r>
    </w:p>
    <w:p w14:paraId="3A69CD23" w14:textId="0FB63D5F" w:rsidR="00BD7D6D" w:rsidRDefault="00BD7D6D" w:rsidP="00BD7D6D">
      <w:pPr>
        <w:pStyle w:val="ShadedBoxBullet"/>
      </w:pPr>
      <w:r>
        <w:t>The labour market is strong and employment is forecast to grow by a further 2.</w:t>
      </w:r>
      <w:r w:rsidDel="009C75D3">
        <w:t>50</w:t>
      </w:r>
      <w:r>
        <w:t> per cent in 2024-25.</w:t>
      </w:r>
    </w:p>
    <w:p w14:paraId="07EF77DB" w14:textId="77777777" w:rsidR="00BD7D6D" w:rsidRDefault="00BD7D6D" w:rsidP="00BD7D6D">
      <w:pPr>
        <w:pStyle w:val="ShadedBoxBullet"/>
      </w:pPr>
      <w:r>
        <w:t>Inflation has eased over the past year but remains relatively high, as it does nationally and in many other advanced economies. In response, the Reserve Bank of Australia has held interest rates at an elevated level, which is restraining activity in some sectors of the economy. Inflation is expected to continue to moderate over the remainder of 2024</w:t>
      </w:r>
      <w:r w:rsidDel="006A0D60">
        <w:noBreakHyphen/>
      </w:r>
      <w:r>
        <w:t>25.</w:t>
      </w:r>
    </w:p>
    <w:p w14:paraId="08D5D29F" w14:textId="77777777" w:rsidR="00BD7D6D" w:rsidRDefault="00BD7D6D" w:rsidP="00BD7D6D">
      <w:pPr>
        <w:pStyle w:val="ShadedBoxBullet"/>
      </w:pPr>
      <w:r>
        <w:t>R</w:t>
      </w:r>
      <w:r w:rsidRPr="002B28CD">
        <w:t xml:space="preserve">isks to Victoria’s economy include uncertainty around the outlook for household consumption, </w:t>
      </w:r>
      <w:r>
        <w:t>potential changes to US trade and fiscal policies and their impacts on the global economy</w:t>
      </w:r>
      <w:r w:rsidRPr="002B28CD">
        <w:t xml:space="preserve">, </w:t>
      </w:r>
      <w:r>
        <w:t>slower growth in China, and</w:t>
      </w:r>
      <w:r w:rsidRPr="002B28CD">
        <w:t xml:space="preserve"> geopolitical conditions.</w:t>
      </w:r>
    </w:p>
    <w:p w14:paraId="0DFDCADF" w14:textId="77777777" w:rsidR="00BD7D6D" w:rsidRDefault="00BD7D6D" w:rsidP="00BD7D6D">
      <w:pPr>
        <w:pStyle w:val="Heading10"/>
      </w:pPr>
      <w:bookmarkStart w:id="7" w:name="_Toc184198762"/>
      <w:bookmarkStart w:id="8" w:name="_Toc184299435"/>
      <w:r w:rsidRPr="004A3666">
        <w:t>Victorian economic conditions and outlook</w:t>
      </w:r>
      <w:bookmarkEnd w:id="7"/>
      <w:bookmarkEnd w:id="8"/>
    </w:p>
    <w:p w14:paraId="5C5C8DD3" w14:textId="77777777" w:rsidR="00BD7D6D" w:rsidRDefault="00BD7D6D" w:rsidP="00BD7D6D">
      <w:pPr>
        <w:ind w:right="-86"/>
      </w:pPr>
      <w:r>
        <w:t xml:space="preserve">The Victorian economy has continued to grow amid ongoing global challenges of high inflation and elevated interest rates. In 2023-24, growth in Victoria’s real gross state product (GSP) was </w:t>
      </w:r>
      <w:r w:rsidRPr="00E02E94">
        <w:t>1.5 per cent, which was slightly</w:t>
      </w:r>
      <w:r>
        <w:t xml:space="preserve"> above national gross domestic product (GDP) growth of 1.4 per cent. Real GSP is now 11.5 per cent larger than it was in 2018</w:t>
      </w:r>
      <w:r>
        <w:noBreakHyphen/>
        <w:t>19, before the COVID</w:t>
      </w:r>
      <w:r>
        <w:noBreakHyphen/>
        <w:t xml:space="preserve">19 pandemic, and </w:t>
      </w:r>
      <w:r w:rsidRPr="00E02E94">
        <w:t>4.6 per</w:t>
      </w:r>
      <w:r>
        <w:t xml:space="preserve"> cent larger in per capita terms. </w:t>
      </w:r>
    </w:p>
    <w:p w14:paraId="65B9B60F" w14:textId="77777777" w:rsidR="00BD7D6D" w:rsidRDefault="00BD7D6D" w:rsidP="00BD7D6D">
      <w:pPr>
        <w:ind w:right="-86"/>
      </w:pPr>
      <w:r>
        <w:t xml:space="preserve">The high level of economic activity has supported a healthy labour market. Employment rose by a strong 3.5 per cent in 2023-24 and the share of Victoria’s working-age population in employment is near a record high. </w:t>
      </w:r>
      <w:r w:rsidRPr="006C2B5A">
        <w:t>Unemployment also remain</w:t>
      </w:r>
      <w:r>
        <w:t>s historically</w:t>
      </w:r>
      <w:r w:rsidRPr="006C2B5A">
        <w:t xml:space="preserve"> low at 4.</w:t>
      </w:r>
      <w:r>
        <w:t>5 </w:t>
      </w:r>
      <w:r w:rsidRPr="006C2B5A">
        <w:t xml:space="preserve">per </w:t>
      </w:r>
      <w:bookmarkStart w:id="9" w:name="_Hlk178857629"/>
      <w:r w:rsidRPr="006C2B5A">
        <w:t>cent.</w:t>
      </w:r>
      <w:r>
        <w:t xml:space="preserve"> </w:t>
      </w:r>
    </w:p>
    <w:p w14:paraId="208A588F" w14:textId="77777777" w:rsidR="00BD7D6D" w:rsidRPr="006E6260" w:rsidRDefault="00BD7D6D" w:rsidP="00BD7D6D">
      <w:pPr>
        <w:ind w:right="-86"/>
      </w:pPr>
      <w:r>
        <w:t xml:space="preserve">Inflation has eased over the past year, although it remains relatively high, and </w:t>
      </w:r>
      <w:r w:rsidRPr="006E6260">
        <w:t>the Reserve Bank of Australia (RBA) has held the cash rate at a 12-year high</w:t>
      </w:r>
      <w:r>
        <w:t xml:space="preserve"> to bring inflation down</w:t>
      </w:r>
      <w:r w:rsidRPr="006E6260">
        <w:t xml:space="preserve">. </w:t>
      </w:r>
      <w:r>
        <w:t>C</w:t>
      </w:r>
      <w:r w:rsidRPr="006E6260">
        <w:t>ost-of-living pressures ha</w:t>
      </w:r>
      <w:r>
        <w:t>ve</w:t>
      </w:r>
      <w:r w:rsidRPr="006E6260">
        <w:t xml:space="preserve"> weighed on household budgets and led to a slowdown in household spending. Per capita consumption has declined and household saving buffers have returned to </w:t>
      </w:r>
      <w:r>
        <w:t xml:space="preserve">around </w:t>
      </w:r>
      <w:r w:rsidRPr="006E6260">
        <w:t xml:space="preserve">pre-pandemic levels, where they have stabilised, after rising through the pandemic period. </w:t>
      </w:r>
    </w:p>
    <w:p w14:paraId="76742A22" w14:textId="77777777" w:rsidR="00BD7D6D" w:rsidRDefault="00BD7D6D" w:rsidP="00BD7D6D">
      <w:pPr>
        <w:ind w:right="-86"/>
      </w:pPr>
      <w:r w:rsidRPr="006E6260">
        <w:t>The Victorian economy is forecast to grow by 2.50 per cent in 2024</w:t>
      </w:r>
      <w:r w:rsidRPr="006E6260">
        <w:noBreakHyphen/>
        <w:t xml:space="preserve">25. This growth is expected </w:t>
      </w:r>
      <w:r>
        <w:t>to</w:t>
      </w:r>
      <w:r w:rsidRPr="006E6260">
        <w:t xml:space="preserve"> be driven by stronger household consumption</w:t>
      </w:r>
      <w:r>
        <w:t>,</w:t>
      </w:r>
      <w:r w:rsidRPr="006E6260">
        <w:t xml:space="preserve"> as inflation eases and employment and wage growth remain </w:t>
      </w:r>
      <w:r>
        <w:t>firm, supporting real household incomes</w:t>
      </w:r>
      <w:r w:rsidRPr="006E6260">
        <w:t>. GSP grow</w:t>
      </w:r>
      <w:r>
        <w:t>th is</w:t>
      </w:r>
      <w:r w:rsidRPr="006E6260">
        <w:t xml:space="preserve"> also </w:t>
      </w:r>
      <w:r>
        <w:t xml:space="preserve">expected to be </w:t>
      </w:r>
      <w:r w:rsidRPr="006E6260">
        <w:t>supported by increased public demand from expanded</w:t>
      </w:r>
      <w:r w:rsidRPr="006E6260" w:rsidDel="00B243F8">
        <w:t xml:space="preserve"> </w:t>
      </w:r>
      <w:r>
        <w:t xml:space="preserve">Commonwealth </w:t>
      </w:r>
      <w:r w:rsidRPr="006E6260" w:rsidDel="00B243F8">
        <w:t>social benefits programs and</w:t>
      </w:r>
      <w:r w:rsidRPr="006E6260">
        <w:t xml:space="preserve"> </w:t>
      </w:r>
      <w:r w:rsidRPr="006E6260" w:rsidDel="00B243F8">
        <w:t xml:space="preserve">infrastructure </w:t>
      </w:r>
      <w:r w:rsidRPr="006E6260">
        <w:t>spending.</w:t>
      </w:r>
      <w:r>
        <w:t xml:space="preserve"> Business investment is forecast to remain at elevated levels. </w:t>
      </w:r>
    </w:p>
    <w:bookmarkEnd w:id="9"/>
    <w:p w14:paraId="61813F6E" w14:textId="77777777" w:rsidR="00BD7D6D" w:rsidRDefault="00BD7D6D" w:rsidP="00BD7D6D">
      <w:pPr>
        <w:ind w:right="-86"/>
      </w:pPr>
      <w:r>
        <w:t>Victorian employment is forecast to grow a further 2.50 per cent in 2024-25, following very strong growth of 3.5 per cent in 2023</w:t>
      </w:r>
      <w:r>
        <w:noBreakHyphen/>
        <w:t>24. The unemployment rate is expected to remain around its current level of 4.50 per cent</w:t>
      </w:r>
      <w:r w:rsidRPr="00B964B7" w:rsidDel="009E6866">
        <w:t>.</w:t>
      </w:r>
      <w:r w:rsidDel="009E6866">
        <w:t xml:space="preserve"> While higher than the 4.00 per cent average in 2023-24 due to strong growth in Victoria’s workforce</w:t>
      </w:r>
      <w:r>
        <w:t xml:space="preserve">, the </w:t>
      </w:r>
      <w:r w:rsidRPr="00596010" w:rsidDel="009E6866">
        <w:t xml:space="preserve">unemployment rate </w:t>
      </w:r>
      <w:r>
        <w:t>remains</w:t>
      </w:r>
      <w:r w:rsidRPr="00596010">
        <w:t xml:space="preserve"> low by</w:t>
      </w:r>
      <w:r>
        <w:t xml:space="preserve"> </w:t>
      </w:r>
      <w:r w:rsidRPr="00596010">
        <w:t xml:space="preserve">historical standards, and </w:t>
      </w:r>
      <w:r>
        <w:t>is</w:t>
      </w:r>
      <w:r w:rsidRPr="00596010">
        <w:t xml:space="preserve"> lower than th</w:t>
      </w:r>
      <w:r>
        <w:t>e average in the decade</w:t>
      </w:r>
      <w:r w:rsidRPr="00596010">
        <w:t xml:space="preserve"> before the COVID-19 pandemic.</w:t>
      </w:r>
      <w:r>
        <w:t xml:space="preserve"> </w:t>
      </w:r>
    </w:p>
    <w:p w14:paraId="366B3A26" w14:textId="77777777" w:rsidR="00BD7D6D" w:rsidRPr="0040215D" w:rsidRDefault="00BD7D6D" w:rsidP="00BD7D6D">
      <w:pPr>
        <w:ind w:right="-86"/>
      </w:pPr>
      <w:r>
        <w:t xml:space="preserve">Table 2.1 sets out the latest economic forecasts, with the </w:t>
      </w:r>
      <w:r w:rsidRPr="00DB2C8E">
        <w:rPr>
          <w:i/>
          <w:iCs/>
        </w:rPr>
        <w:t>202</w:t>
      </w:r>
      <w:r>
        <w:rPr>
          <w:i/>
          <w:iCs/>
        </w:rPr>
        <w:t>4</w:t>
      </w:r>
      <w:r>
        <w:rPr>
          <w:i/>
          <w:iCs/>
        </w:rPr>
        <w:noBreakHyphen/>
      </w:r>
      <w:r w:rsidRPr="00DB2C8E">
        <w:rPr>
          <w:i/>
          <w:iCs/>
        </w:rPr>
        <w:t>2</w:t>
      </w:r>
      <w:r>
        <w:rPr>
          <w:i/>
          <w:iCs/>
        </w:rPr>
        <w:t>5</w:t>
      </w:r>
      <w:r w:rsidRPr="00DB2C8E">
        <w:rPr>
          <w:i/>
          <w:iCs/>
        </w:rPr>
        <w:t xml:space="preserve"> Budget</w:t>
      </w:r>
      <w:r>
        <w:t xml:space="preserve"> forecasts in italics where different.</w:t>
      </w:r>
    </w:p>
    <w:p w14:paraId="4AA29FD1" w14:textId="77777777" w:rsidR="00BD7D6D" w:rsidRPr="00C8544A" w:rsidRDefault="00BD7D6D" w:rsidP="00BD7D6D">
      <w:pPr>
        <w:pStyle w:val="TableHeading"/>
      </w:pPr>
      <w:r w:rsidRPr="004A3666">
        <w:t>Table 2.1:</w:t>
      </w:r>
      <w:r w:rsidRPr="004A3666">
        <w:tab/>
        <w:t xml:space="preserve">Victorian economic forecasts </w:t>
      </w:r>
      <w:r w:rsidRPr="004A3666">
        <w:rPr>
          <w:vertAlign w:val="superscript"/>
        </w:rPr>
        <w:t>(a)</w:t>
      </w:r>
      <w:r>
        <w:tab/>
        <w:t xml:space="preserve"> </w:t>
      </w:r>
      <w:r w:rsidRPr="004A3666">
        <w:t>(per cent)</w:t>
      </w:r>
    </w:p>
    <w:tbl>
      <w:tblPr>
        <w:tblW w:w="7793" w:type="dxa"/>
        <w:tblInd w:w="-30" w:type="dxa"/>
        <w:tblLayout w:type="fixed"/>
        <w:tblLook w:val="0000" w:firstRow="0" w:lastRow="0" w:firstColumn="0" w:lastColumn="0" w:noHBand="0" w:noVBand="0"/>
      </w:tblPr>
      <w:tblGrid>
        <w:gridCol w:w="2582"/>
        <w:gridCol w:w="1042"/>
        <w:gridCol w:w="116"/>
        <w:gridCol w:w="926"/>
        <w:gridCol w:w="1042"/>
        <w:gridCol w:w="1042"/>
        <w:gridCol w:w="1043"/>
      </w:tblGrid>
      <w:tr w:rsidR="00A57587" w:rsidRPr="00014B9E" w14:paraId="68339DB5" w14:textId="77777777" w:rsidTr="008670FF">
        <w:tc>
          <w:tcPr>
            <w:tcW w:w="2582" w:type="dxa"/>
            <w:tcBorders>
              <w:top w:val="nil"/>
              <w:left w:val="nil"/>
              <w:bottom w:val="nil"/>
              <w:right w:val="nil"/>
            </w:tcBorders>
            <w:shd w:val="solid" w:color="000000" w:fill="auto"/>
          </w:tcPr>
          <w:p w14:paraId="5BD9F0DD" w14:textId="77777777" w:rsidR="00BD7D6D" w:rsidRPr="00014B9E" w:rsidRDefault="00BD7D6D" w:rsidP="008670FF">
            <w:pPr>
              <w:autoSpaceDE w:val="0"/>
              <w:autoSpaceDN w:val="0"/>
              <w:adjustRightInd w:val="0"/>
              <w:spacing w:before="20" w:after="20"/>
              <w:rPr>
                <w:rFonts w:asciiTheme="majorHAnsi" w:eastAsiaTheme="minorEastAsia" w:hAnsiTheme="majorHAnsi" w:cstheme="majorHAnsi"/>
                <w:color w:val="FFFFFF"/>
                <w:sz w:val="17"/>
                <w:szCs w:val="17"/>
                <w:lang w:eastAsia="en-AU"/>
              </w:rPr>
            </w:pPr>
            <w:r w:rsidRPr="00014B9E">
              <w:rPr>
                <w:rFonts w:asciiTheme="majorHAnsi" w:eastAsiaTheme="minorEastAsia" w:hAnsiTheme="majorHAnsi" w:cstheme="majorHAnsi"/>
                <w:color w:val="FFFFFF"/>
                <w:sz w:val="17"/>
                <w:szCs w:val="17"/>
                <w:lang w:eastAsia="en-AU"/>
              </w:rPr>
              <w:t xml:space="preserve"> </w:t>
            </w:r>
          </w:p>
        </w:tc>
        <w:tc>
          <w:tcPr>
            <w:tcW w:w="1042" w:type="dxa"/>
            <w:tcBorders>
              <w:top w:val="nil"/>
              <w:left w:val="nil"/>
              <w:bottom w:val="nil"/>
              <w:right w:val="nil"/>
            </w:tcBorders>
            <w:shd w:val="solid" w:color="000000" w:fill="auto"/>
          </w:tcPr>
          <w:p w14:paraId="52FA2341"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i/>
                <w:iCs/>
                <w:color w:val="FFFFFF"/>
                <w:sz w:val="17"/>
                <w:szCs w:val="17"/>
                <w:lang w:eastAsia="en-AU"/>
              </w:rPr>
            </w:pPr>
            <w:r w:rsidRPr="00014B9E">
              <w:rPr>
                <w:rFonts w:asciiTheme="majorHAnsi" w:eastAsiaTheme="minorEastAsia" w:hAnsiTheme="majorHAnsi" w:cstheme="majorHAnsi"/>
                <w:i/>
                <w:iCs/>
                <w:color w:val="FFFFFF"/>
                <w:sz w:val="17"/>
                <w:szCs w:val="17"/>
                <w:lang w:eastAsia="en-AU"/>
              </w:rPr>
              <w:t>2023</w:t>
            </w:r>
            <w:r w:rsidRPr="00014B9E">
              <w:rPr>
                <w:rFonts w:asciiTheme="majorHAnsi" w:eastAsiaTheme="minorEastAsia" w:hAnsiTheme="majorHAnsi" w:cstheme="majorHAnsi"/>
                <w:i/>
                <w:iCs/>
                <w:color w:val="FFFFFF"/>
                <w:sz w:val="17"/>
                <w:szCs w:val="17"/>
                <w:lang w:eastAsia="en-AU"/>
              </w:rPr>
              <w:noBreakHyphen/>
              <w:t>24 actual</w:t>
            </w:r>
          </w:p>
        </w:tc>
        <w:tc>
          <w:tcPr>
            <w:tcW w:w="1042" w:type="dxa"/>
            <w:gridSpan w:val="2"/>
            <w:tcBorders>
              <w:top w:val="nil"/>
              <w:left w:val="nil"/>
              <w:bottom w:val="nil"/>
              <w:right w:val="nil"/>
            </w:tcBorders>
            <w:shd w:val="solid" w:color="000000" w:fill="auto"/>
          </w:tcPr>
          <w:p w14:paraId="61274DB4"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i/>
                <w:iCs/>
                <w:color w:val="FFFFFF"/>
                <w:sz w:val="17"/>
                <w:szCs w:val="17"/>
                <w:lang w:eastAsia="en-AU"/>
              </w:rPr>
            </w:pPr>
            <w:r w:rsidRPr="00014B9E">
              <w:rPr>
                <w:rFonts w:asciiTheme="majorHAnsi" w:eastAsiaTheme="minorEastAsia" w:hAnsiTheme="majorHAnsi" w:cstheme="majorHAnsi"/>
                <w:i/>
                <w:iCs/>
                <w:color w:val="FFFFFF"/>
                <w:sz w:val="17"/>
                <w:szCs w:val="17"/>
                <w:lang w:eastAsia="en-AU"/>
              </w:rPr>
              <w:t>2024-25 forecast</w:t>
            </w:r>
          </w:p>
        </w:tc>
        <w:tc>
          <w:tcPr>
            <w:tcW w:w="1042" w:type="dxa"/>
            <w:tcBorders>
              <w:top w:val="nil"/>
              <w:left w:val="nil"/>
              <w:bottom w:val="nil"/>
              <w:right w:val="nil"/>
            </w:tcBorders>
            <w:shd w:val="solid" w:color="000000" w:fill="auto"/>
          </w:tcPr>
          <w:p w14:paraId="3BDCCB1B"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i/>
                <w:iCs/>
                <w:color w:val="FFFFFF"/>
                <w:sz w:val="17"/>
                <w:szCs w:val="17"/>
                <w:lang w:eastAsia="en-AU"/>
              </w:rPr>
            </w:pPr>
            <w:r w:rsidRPr="00014B9E">
              <w:rPr>
                <w:rFonts w:asciiTheme="majorHAnsi" w:eastAsiaTheme="minorEastAsia" w:hAnsiTheme="majorHAnsi" w:cstheme="majorHAnsi"/>
                <w:i/>
                <w:iCs/>
                <w:color w:val="FFFFFF"/>
                <w:sz w:val="17"/>
                <w:szCs w:val="17"/>
                <w:lang w:eastAsia="en-AU"/>
              </w:rPr>
              <w:t>2025-26 forecast</w:t>
            </w:r>
          </w:p>
        </w:tc>
        <w:tc>
          <w:tcPr>
            <w:tcW w:w="1042" w:type="dxa"/>
            <w:tcBorders>
              <w:top w:val="nil"/>
              <w:left w:val="nil"/>
              <w:bottom w:val="nil"/>
              <w:right w:val="nil"/>
            </w:tcBorders>
            <w:shd w:val="solid" w:color="000000" w:fill="auto"/>
          </w:tcPr>
          <w:p w14:paraId="2068A70C"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i/>
                <w:iCs/>
                <w:color w:val="FFFFFF"/>
                <w:sz w:val="17"/>
                <w:szCs w:val="17"/>
                <w:lang w:eastAsia="en-AU"/>
              </w:rPr>
            </w:pPr>
            <w:r w:rsidRPr="00014B9E">
              <w:rPr>
                <w:rFonts w:asciiTheme="majorHAnsi" w:eastAsiaTheme="minorEastAsia" w:hAnsiTheme="majorHAnsi" w:cstheme="majorHAnsi"/>
                <w:i/>
                <w:iCs/>
                <w:color w:val="FFFFFF"/>
                <w:sz w:val="17"/>
                <w:szCs w:val="17"/>
                <w:lang w:eastAsia="en-AU"/>
              </w:rPr>
              <w:t>2026-27 projection</w:t>
            </w:r>
          </w:p>
        </w:tc>
        <w:tc>
          <w:tcPr>
            <w:tcW w:w="1043" w:type="dxa"/>
            <w:tcBorders>
              <w:top w:val="nil"/>
              <w:left w:val="nil"/>
              <w:bottom w:val="nil"/>
              <w:right w:val="nil"/>
            </w:tcBorders>
            <w:shd w:val="solid" w:color="000000" w:fill="auto"/>
          </w:tcPr>
          <w:p w14:paraId="69DD41D6"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i/>
                <w:iCs/>
                <w:color w:val="FFFFFF"/>
                <w:sz w:val="17"/>
                <w:szCs w:val="17"/>
                <w:lang w:eastAsia="en-AU"/>
              </w:rPr>
            </w:pPr>
            <w:r w:rsidRPr="00014B9E">
              <w:rPr>
                <w:rFonts w:asciiTheme="majorHAnsi" w:eastAsiaTheme="minorEastAsia" w:hAnsiTheme="majorHAnsi" w:cstheme="majorHAnsi"/>
                <w:i/>
                <w:iCs/>
                <w:color w:val="FFFFFF"/>
                <w:sz w:val="17"/>
                <w:szCs w:val="17"/>
                <w:lang w:eastAsia="en-AU"/>
              </w:rPr>
              <w:t>2027-2</w:t>
            </w:r>
            <w:r>
              <w:rPr>
                <w:rFonts w:asciiTheme="majorHAnsi" w:eastAsiaTheme="minorEastAsia" w:hAnsiTheme="majorHAnsi" w:cstheme="majorHAnsi"/>
                <w:i/>
                <w:iCs/>
                <w:color w:val="FFFFFF"/>
                <w:sz w:val="17"/>
                <w:szCs w:val="17"/>
                <w:lang w:eastAsia="en-AU"/>
              </w:rPr>
              <w:t>8</w:t>
            </w:r>
            <w:r w:rsidRPr="00014B9E">
              <w:rPr>
                <w:rFonts w:asciiTheme="majorHAnsi" w:eastAsiaTheme="minorEastAsia" w:hAnsiTheme="majorHAnsi" w:cstheme="majorHAnsi"/>
                <w:i/>
                <w:iCs/>
                <w:color w:val="FFFFFF"/>
                <w:sz w:val="17"/>
                <w:szCs w:val="17"/>
                <w:lang w:eastAsia="en-AU"/>
              </w:rPr>
              <w:t xml:space="preserve"> projection</w:t>
            </w:r>
          </w:p>
        </w:tc>
      </w:tr>
      <w:tr w:rsidR="00BD7D6D" w:rsidRPr="00014B9E" w14:paraId="2AAD795A" w14:textId="77777777" w:rsidTr="008670FF">
        <w:tc>
          <w:tcPr>
            <w:tcW w:w="2582" w:type="dxa"/>
            <w:tcBorders>
              <w:top w:val="nil"/>
              <w:left w:val="nil"/>
              <w:bottom w:val="nil"/>
              <w:right w:val="nil"/>
            </w:tcBorders>
          </w:tcPr>
          <w:p w14:paraId="1F362955" w14:textId="77777777" w:rsidR="00BD7D6D" w:rsidRPr="00014B9E" w:rsidRDefault="00BD7D6D" w:rsidP="008670FF">
            <w:pPr>
              <w:keepLines w:val="0"/>
              <w:autoSpaceDE w:val="0"/>
              <w:autoSpaceDN w:val="0"/>
              <w:adjustRightInd w:val="0"/>
              <w:spacing w:before="20" w:after="20"/>
              <w:rPr>
                <w:rFonts w:asciiTheme="majorHAnsi" w:eastAsiaTheme="minorEastAsia" w:hAnsiTheme="majorHAnsi" w:cstheme="majorHAnsi"/>
                <w:color w:val="000000"/>
                <w:sz w:val="17"/>
                <w:szCs w:val="17"/>
                <w:lang w:eastAsia="en-AU"/>
              </w:rPr>
            </w:pPr>
            <w:r w:rsidRPr="00014B9E">
              <w:rPr>
                <w:rFonts w:asciiTheme="majorHAnsi" w:eastAsiaTheme="minorEastAsia" w:hAnsiTheme="majorHAnsi" w:cstheme="majorHAnsi"/>
                <w:color w:val="000000"/>
                <w:sz w:val="17"/>
                <w:szCs w:val="17"/>
                <w:lang w:eastAsia="en-AU"/>
              </w:rPr>
              <w:t>Real gross state product</w:t>
            </w:r>
          </w:p>
        </w:tc>
        <w:tc>
          <w:tcPr>
            <w:tcW w:w="1042" w:type="dxa"/>
            <w:tcBorders>
              <w:top w:val="nil"/>
              <w:left w:val="nil"/>
              <w:bottom w:val="nil"/>
              <w:right w:val="nil"/>
            </w:tcBorders>
          </w:tcPr>
          <w:p w14:paraId="7BDC7007" w14:textId="2C7446A5" w:rsidR="00BD7D6D" w:rsidRPr="00DE5B82"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DE5B82">
              <w:rPr>
                <w:rFonts w:asciiTheme="majorHAnsi" w:hAnsiTheme="majorHAnsi" w:cstheme="majorHAnsi"/>
                <w:sz w:val="17"/>
                <w:szCs w:val="17"/>
                <w:lang w:eastAsia="en-AU"/>
              </w:rPr>
              <w:t>1.5</w:t>
            </w:r>
            <w:r w:rsidR="005E5928">
              <w:rPr>
                <w:rFonts w:asciiTheme="majorHAnsi" w:hAnsiTheme="majorHAnsi" w:cstheme="majorHAnsi"/>
                <w:sz w:val="17"/>
                <w:szCs w:val="17"/>
                <w:lang w:eastAsia="en-AU"/>
              </w:rPr>
              <w:t>0</w:t>
            </w:r>
          </w:p>
        </w:tc>
        <w:tc>
          <w:tcPr>
            <w:tcW w:w="1042" w:type="dxa"/>
            <w:gridSpan w:val="2"/>
            <w:tcBorders>
              <w:top w:val="nil"/>
              <w:left w:val="nil"/>
              <w:bottom w:val="nil"/>
              <w:right w:val="nil"/>
            </w:tcBorders>
          </w:tcPr>
          <w:p w14:paraId="52C2A7B1" w14:textId="77777777" w:rsidR="00BD7D6D" w:rsidRPr="00DE5B82"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DE5B82">
              <w:rPr>
                <w:rFonts w:asciiTheme="majorHAnsi" w:hAnsiTheme="majorHAnsi" w:cstheme="majorHAnsi"/>
                <w:sz w:val="17"/>
                <w:szCs w:val="17"/>
                <w:lang w:eastAsia="en-AU"/>
              </w:rPr>
              <w:t>2.50</w:t>
            </w:r>
          </w:p>
        </w:tc>
        <w:tc>
          <w:tcPr>
            <w:tcW w:w="1042" w:type="dxa"/>
            <w:tcBorders>
              <w:top w:val="nil"/>
              <w:left w:val="nil"/>
              <w:bottom w:val="nil"/>
              <w:right w:val="nil"/>
            </w:tcBorders>
          </w:tcPr>
          <w:p w14:paraId="10A8018D"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2.50</w:t>
            </w:r>
          </w:p>
        </w:tc>
        <w:tc>
          <w:tcPr>
            <w:tcW w:w="1042" w:type="dxa"/>
            <w:tcBorders>
              <w:top w:val="nil"/>
              <w:left w:val="nil"/>
              <w:bottom w:val="nil"/>
              <w:right w:val="nil"/>
            </w:tcBorders>
          </w:tcPr>
          <w:p w14:paraId="1850464E"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2.75</w:t>
            </w:r>
          </w:p>
        </w:tc>
        <w:tc>
          <w:tcPr>
            <w:tcW w:w="1043" w:type="dxa"/>
            <w:tcBorders>
              <w:top w:val="nil"/>
              <w:left w:val="nil"/>
              <w:bottom w:val="nil"/>
              <w:right w:val="nil"/>
            </w:tcBorders>
          </w:tcPr>
          <w:p w14:paraId="5AA5EE22"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2.75</w:t>
            </w:r>
          </w:p>
        </w:tc>
      </w:tr>
      <w:tr w:rsidR="00BD7D6D" w:rsidRPr="00014B9E" w14:paraId="73D687D0" w14:textId="77777777" w:rsidTr="008670FF">
        <w:tc>
          <w:tcPr>
            <w:tcW w:w="2582" w:type="dxa"/>
            <w:tcBorders>
              <w:top w:val="nil"/>
              <w:left w:val="nil"/>
              <w:bottom w:val="nil"/>
              <w:right w:val="nil"/>
            </w:tcBorders>
          </w:tcPr>
          <w:p w14:paraId="5C1533DB"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color w:val="000000"/>
                <w:sz w:val="17"/>
                <w:szCs w:val="17"/>
                <w:lang w:eastAsia="en-AU"/>
              </w:rPr>
            </w:pPr>
          </w:p>
        </w:tc>
        <w:tc>
          <w:tcPr>
            <w:tcW w:w="1042" w:type="dxa"/>
            <w:tcBorders>
              <w:top w:val="nil"/>
              <w:left w:val="nil"/>
              <w:bottom w:val="nil"/>
              <w:right w:val="nil"/>
            </w:tcBorders>
          </w:tcPr>
          <w:p w14:paraId="3473414F"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p>
        </w:tc>
        <w:tc>
          <w:tcPr>
            <w:tcW w:w="1042" w:type="dxa"/>
            <w:gridSpan w:val="2"/>
            <w:tcBorders>
              <w:top w:val="nil"/>
              <w:left w:val="nil"/>
              <w:bottom w:val="nil"/>
              <w:right w:val="nil"/>
            </w:tcBorders>
          </w:tcPr>
          <w:p w14:paraId="449D4AFE"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2" w:type="dxa"/>
            <w:tcBorders>
              <w:top w:val="nil"/>
              <w:left w:val="nil"/>
              <w:bottom w:val="nil"/>
              <w:right w:val="nil"/>
            </w:tcBorders>
          </w:tcPr>
          <w:p w14:paraId="6152BD33"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2.75</w:t>
            </w:r>
          </w:p>
        </w:tc>
        <w:tc>
          <w:tcPr>
            <w:tcW w:w="1042" w:type="dxa"/>
            <w:tcBorders>
              <w:top w:val="nil"/>
              <w:left w:val="nil"/>
              <w:bottom w:val="nil"/>
              <w:right w:val="nil"/>
            </w:tcBorders>
          </w:tcPr>
          <w:p w14:paraId="3E313FF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3" w:type="dxa"/>
            <w:tcBorders>
              <w:top w:val="nil"/>
              <w:left w:val="nil"/>
              <w:bottom w:val="nil"/>
              <w:right w:val="nil"/>
            </w:tcBorders>
          </w:tcPr>
          <w:p w14:paraId="026EE868"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r>
      <w:tr w:rsidR="00BD7D6D" w:rsidRPr="00014B9E" w14:paraId="5BF54295" w14:textId="77777777" w:rsidTr="008670FF">
        <w:tc>
          <w:tcPr>
            <w:tcW w:w="2582" w:type="dxa"/>
            <w:tcBorders>
              <w:top w:val="nil"/>
              <w:left w:val="nil"/>
              <w:bottom w:val="nil"/>
              <w:right w:val="nil"/>
            </w:tcBorders>
          </w:tcPr>
          <w:p w14:paraId="082532F3" w14:textId="77777777" w:rsidR="00BD7D6D" w:rsidRPr="00014B9E" w:rsidRDefault="00BD7D6D" w:rsidP="008670FF">
            <w:pPr>
              <w:keepLines w:val="0"/>
              <w:autoSpaceDE w:val="0"/>
              <w:autoSpaceDN w:val="0"/>
              <w:adjustRightInd w:val="0"/>
              <w:spacing w:before="20" w:after="20"/>
              <w:rPr>
                <w:rFonts w:asciiTheme="majorHAnsi" w:eastAsiaTheme="minorEastAsia" w:hAnsiTheme="majorHAnsi" w:cstheme="majorHAnsi"/>
                <w:color w:val="000000"/>
                <w:sz w:val="17"/>
                <w:szCs w:val="17"/>
                <w:lang w:eastAsia="en-AU"/>
              </w:rPr>
            </w:pPr>
            <w:r w:rsidRPr="00014B9E">
              <w:rPr>
                <w:rFonts w:asciiTheme="majorHAnsi" w:eastAsiaTheme="minorEastAsia" w:hAnsiTheme="majorHAnsi" w:cstheme="majorHAnsi"/>
                <w:color w:val="000000"/>
                <w:sz w:val="17"/>
                <w:szCs w:val="17"/>
                <w:lang w:eastAsia="en-AU"/>
              </w:rPr>
              <w:t>Employment</w:t>
            </w:r>
          </w:p>
        </w:tc>
        <w:tc>
          <w:tcPr>
            <w:tcW w:w="1042" w:type="dxa"/>
            <w:tcBorders>
              <w:top w:val="nil"/>
              <w:left w:val="nil"/>
              <w:bottom w:val="nil"/>
              <w:right w:val="nil"/>
            </w:tcBorders>
          </w:tcPr>
          <w:p w14:paraId="16204C8D" w14:textId="3E1A414D"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3.5</w:t>
            </w:r>
            <w:r w:rsidR="005E5928">
              <w:rPr>
                <w:rFonts w:asciiTheme="majorHAnsi" w:hAnsiTheme="majorHAnsi" w:cstheme="majorHAnsi"/>
                <w:sz w:val="17"/>
                <w:szCs w:val="17"/>
                <w:lang w:eastAsia="en-AU"/>
              </w:rPr>
              <w:t>0</w:t>
            </w:r>
          </w:p>
        </w:tc>
        <w:tc>
          <w:tcPr>
            <w:tcW w:w="1042" w:type="dxa"/>
            <w:gridSpan w:val="2"/>
            <w:tcBorders>
              <w:top w:val="nil"/>
              <w:left w:val="nil"/>
              <w:bottom w:val="nil"/>
              <w:right w:val="nil"/>
            </w:tcBorders>
          </w:tcPr>
          <w:p w14:paraId="7025808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2.50</w:t>
            </w:r>
          </w:p>
        </w:tc>
        <w:tc>
          <w:tcPr>
            <w:tcW w:w="1042" w:type="dxa"/>
            <w:tcBorders>
              <w:top w:val="nil"/>
              <w:left w:val="nil"/>
              <w:bottom w:val="nil"/>
              <w:right w:val="nil"/>
            </w:tcBorders>
          </w:tcPr>
          <w:p w14:paraId="69BFD969"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0.75</w:t>
            </w:r>
          </w:p>
        </w:tc>
        <w:tc>
          <w:tcPr>
            <w:tcW w:w="1042" w:type="dxa"/>
            <w:tcBorders>
              <w:top w:val="nil"/>
              <w:left w:val="nil"/>
              <w:bottom w:val="nil"/>
              <w:right w:val="nil"/>
            </w:tcBorders>
          </w:tcPr>
          <w:p w14:paraId="0004776D"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1.75</w:t>
            </w:r>
          </w:p>
        </w:tc>
        <w:tc>
          <w:tcPr>
            <w:tcW w:w="1043" w:type="dxa"/>
            <w:tcBorders>
              <w:top w:val="nil"/>
              <w:left w:val="nil"/>
              <w:bottom w:val="nil"/>
              <w:right w:val="nil"/>
            </w:tcBorders>
          </w:tcPr>
          <w:p w14:paraId="466641C0"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1.75</w:t>
            </w:r>
          </w:p>
        </w:tc>
      </w:tr>
      <w:tr w:rsidR="00BD7D6D" w:rsidRPr="00014B9E" w14:paraId="5DF427BC" w14:textId="77777777" w:rsidTr="008670FF">
        <w:tc>
          <w:tcPr>
            <w:tcW w:w="2582" w:type="dxa"/>
            <w:tcBorders>
              <w:top w:val="nil"/>
              <w:left w:val="nil"/>
              <w:bottom w:val="nil"/>
              <w:right w:val="nil"/>
            </w:tcBorders>
          </w:tcPr>
          <w:p w14:paraId="6B08420A"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color w:val="000000"/>
                <w:sz w:val="17"/>
                <w:szCs w:val="17"/>
                <w:lang w:eastAsia="en-AU"/>
              </w:rPr>
            </w:pPr>
          </w:p>
        </w:tc>
        <w:tc>
          <w:tcPr>
            <w:tcW w:w="1042" w:type="dxa"/>
            <w:tcBorders>
              <w:top w:val="nil"/>
              <w:left w:val="nil"/>
              <w:bottom w:val="nil"/>
              <w:right w:val="nil"/>
            </w:tcBorders>
          </w:tcPr>
          <w:p w14:paraId="36DA79C3"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p>
        </w:tc>
        <w:tc>
          <w:tcPr>
            <w:tcW w:w="1042" w:type="dxa"/>
            <w:gridSpan w:val="2"/>
            <w:tcBorders>
              <w:top w:val="nil"/>
              <w:left w:val="nil"/>
              <w:bottom w:val="nil"/>
              <w:right w:val="nil"/>
            </w:tcBorders>
          </w:tcPr>
          <w:p w14:paraId="767DF8B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1.00</w:t>
            </w:r>
          </w:p>
        </w:tc>
        <w:tc>
          <w:tcPr>
            <w:tcW w:w="1042" w:type="dxa"/>
            <w:tcBorders>
              <w:top w:val="nil"/>
              <w:left w:val="nil"/>
              <w:bottom w:val="nil"/>
              <w:right w:val="nil"/>
            </w:tcBorders>
          </w:tcPr>
          <w:p w14:paraId="59BA89BF"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1.75</w:t>
            </w:r>
          </w:p>
        </w:tc>
        <w:tc>
          <w:tcPr>
            <w:tcW w:w="1042" w:type="dxa"/>
            <w:tcBorders>
              <w:top w:val="nil"/>
              <w:left w:val="nil"/>
              <w:bottom w:val="nil"/>
              <w:right w:val="nil"/>
            </w:tcBorders>
          </w:tcPr>
          <w:p w14:paraId="64435082"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3" w:type="dxa"/>
            <w:tcBorders>
              <w:top w:val="nil"/>
              <w:left w:val="nil"/>
              <w:bottom w:val="nil"/>
              <w:right w:val="nil"/>
            </w:tcBorders>
          </w:tcPr>
          <w:p w14:paraId="0574693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r>
      <w:tr w:rsidR="00BD7D6D" w:rsidRPr="00014B9E" w14:paraId="0606C23D" w14:textId="77777777" w:rsidTr="008670FF">
        <w:tc>
          <w:tcPr>
            <w:tcW w:w="2582" w:type="dxa"/>
            <w:tcBorders>
              <w:top w:val="nil"/>
              <w:left w:val="nil"/>
              <w:bottom w:val="nil"/>
              <w:right w:val="nil"/>
            </w:tcBorders>
          </w:tcPr>
          <w:p w14:paraId="7AA53434" w14:textId="77777777" w:rsidR="00BD7D6D" w:rsidRPr="00014B9E" w:rsidRDefault="00BD7D6D" w:rsidP="008670FF">
            <w:pPr>
              <w:keepLines w:val="0"/>
              <w:autoSpaceDE w:val="0"/>
              <w:autoSpaceDN w:val="0"/>
              <w:adjustRightInd w:val="0"/>
              <w:spacing w:before="20" w:after="20"/>
              <w:rPr>
                <w:rFonts w:asciiTheme="majorHAnsi" w:eastAsiaTheme="minorEastAsia" w:hAnsiTheme="majorHAnsi" w:cstheme="majorHAnsi"/>
                <w:color w:val="000000"/>
                <w:sz w:val="17"/>
                <w:szCs w:val="17"/>
                <w:vertAlign w:val="superscript"/>
                <w:lang w:eastAsia="en-AU"/>
              </w:rPr>
            </w:pPr>
            <w:r w:rsidRPr="00014B9E">
              <w:rPr>
                <w:rFonts w:asciiTheme="majorHAnsi" w:eastAsiaTheme="minorEastAsia" w:hAnsiTheme="majorHAnsi" w:cstheme="majorHAnsi"/>
                <w:color w:val="000000"/>
                <w:sz w:val="17"/>
                <w:szCs w:val="17"/>
                <w:lang w:eastAsia="en-AU"/>
              </w:rPr>
              <w:t xml:space="preserve">Unemployment rate </w:t>
            </w:r>
            <w:r w:rsidRPr="00014B9E">
              <w:rPr>
                <w:rFonts w:asciiTheme="majorHAnsi" w:eastAsiaTheme="minorEastAsia" w:hAnsiTheme="majorHAnsi" w:cstheme="majorHAnsi"/>
                <w:color w:val="000000"/>
                <w:sz w:val="17"/>
                <w:szCs w:val="17"/>
                <w:vertAlign w:val="superscript"/>
                <w:lang w:eastAsia="en-AU"/>
              </w:rPr>
              <w:t>(b)</w:t>
            </w:r>
          </w:p>
        </w:tc>
        <w:tc>
          <w:tcPr>
            <w:tcW w:w="1042" w:type="dxa"/>
            <w:tcBorders>
              <w:top w:val="nil"/>
              <w:left w:val="nil"/>
              <w:bottom w:val="nil"/>
              <w:right w:val="nil"/>
            </w:tcBorders>
          </w:tcPr>
          <w:p w14:paraId="2ED0B816" w14:textId="7B0ABE56"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4.0</w:t>
            </w:r>
            <w:r w:rsidR="005E5928">
              <w:rPr>
                <w:rFonts w:asciiTheme="majorHAnsi" w:hAnsiTheme="majorHAnsi" w:cstheme="majorHAnsi"/>
                <w:sz w:val="17"/>
                <w:szCs w:val="17"/>
                <w:lang w:eastAsia="en-AU"/>
              </w:rPr>
              <w:t>0</w:t>
            </w:r>
          </w:p>
        </w:tc>
        <w:tc>
          <w:tcPr>
            <w:tcW w:w="1042" w:type="dxa"/>
            <w:gridSpan w:val="2"/>
            <w:tcBorders>
              <w:top w:val="nil"/>
              <w:left w:val="nil"/>
              <w:bottom w:val="nil"/>
              <w:right w:val="nil"/>
            </w:tcBorders>
          </w:tcPr>
          <w:p w14:paraId="1832EDF3"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4.50</w:t>
            </w:r>
          </w:p>
        </w:tc>
        <w:tc>
          <w:tcPr>
            <w:tcW w:w="1042" w:type="dxa"/>
            <w:tcBorders>
              <w:top w:val="nil"/>
              <w:left w:val="nil"/>
              <w:bottom w:val="nil"/>
              <w:right w:val="nil"/>
            </w:tcBorders>
          </w:tcPr>
          <w:p w14:paraId="74DF4177"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4.75</w:t>
            </w:r>
          </w:p>
        </w:tc>
        <w:tc>
          <w:tcPr>
            <w:tcW w:w="1042" w:type="dxa"/>
            <w:tcBorders>
              <w:top w:val="nil"/>
              <w:left w:val="nil"/>
              <w:bottom w:val="nil"/>
              <w:right w:val="nil"/>
            </w:tcBorders>
          </w:tcPr>
          <w:p w14:paraId="33DF694B"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4.75</w:t>
            </w:r>
          </w:p>
        </w:tc>
        <w:tc>
          <w:tcPr>
            <w:tcW w:w="1043" w:type="dxa"/>
            <w:tcBorders>
              <w:top w:val="nil"/>
              <w:left w:val="nil"/>
              <w:bottom w:val="nil"/>
              <w:right w:val="nil"/>
            </w:tcBorders>
          </w:tcPr>
          <w:p w14:paraId="1CD72DDA"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4.75</w:t>
            </w:r>
          </w:p>
        </w:tc>
      </w:tr>
      <w:tr w:rsidR="00BD7D6D" w:rsidRPr="00014B9E" w14:paraId="24CD90AD" w14:textId="77777777" w:rsidTr="008670FF">
        <w:tc>
          <w:tcPr>
            <w:tcW w:w="2582" w:type="dxa"/>
            <w:tcBorders>
              <w:top w:val="nil"/>
              <w:left w:val="nil"/>
              <w:bottom w:val="nil"/>
              <w:right w:val="nil"/>
            </w:tcBorders>
          </w:tcPr>
          <w:p w14:paraId="4C5660EC"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color w:val="000000"/>
                <w:sz w:val="17"/>
                <w:szCs w:val="17"/>
                <w:lang w:eastAsia="en-AU"/>
              </w:rPr>
            </w:pPr>
          </w:p>
        </w:tc>
        <w:tc>
          <w:tcPr>
            <w:tcW w:w="1042" w:type="dxa"/>
            <w:tcBorders>
              <w:top w:val="nil"/>
              <w:left w:val="nil"/>
              <w:bottom w:val="nil"/>
              <w:right w:val="nil"/>
            </w:tcBorders>
          </w:tcPr>
          <w:p w14:paraId="28D11182"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2" w:type="dxa"/>
            <w:gridSpan w:val="2"/>
            <w:tcBorders>
              <w:top w:val="nil"/>
              <w:left w:val="nil"/>
              <w:bottom w:val="nil"/>
              <w:right w:val="nil"/>
            </w:tcBorders>
          </w:tcPr>
          <w:p w14:paraId="77995E8C"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4.25</w:t>
            </w:r>
          </w:p>
        </w:tc>
        <w:tc>
          <w:tcPr>
            <w:tcW w:w="1042" w:type="dxa"/>
            <w:tcBorders>
              <w:top w:val="nil"/>
              <w:left w:val="nil"/>
              <w:bottom w:val="nil"/>
              <w:right w:val="nil"/>
            </w:tcBorders>
          </w:tcPr>
          <w:p w14:paraId="51CD1526"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4.50</w:t>
            </w:r>
          </w:p>
        </w:tc>
        <w:tc>
          <w:tcPr>
            <w:tcW w:w="1042" w:type="dxa"/>
            <w:tcBorders>
              <w:top w:val="nil"/>
              <w:left w:val="nil"/>
              <w:bottom w:val="nil"/>
              <w:right w:val="nil"/>
            </w:tcBorders>
          </w:tcPr>
          <w:p w14:paraId="43B1290C"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3" w:type="dxa"/>
            <w:tcBorders>
              <w:top w:val="nil"/>
              <w:left w:val="nil"/>
              <w:bottom w:val="nil"/>
              <w:right w:val="nil"/>
            </w:tcBorders>
          </w:tcPr>
          <w:p w14:paraId="7E808DD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r>
      <w:tr w:rsidR="00BD7D6D" w:rsidRPr="00014B9E" w14:paraId="53D88293" w14:textId="77777777" w:rsidTr="008670FF">
        <w:tc>
          <w:tcPr>
            <w:tcW w:w="2582" w:type="dxa"/>
            <w:tcBorders>
              <w:top w:val="nil"/>
              <w:left w:val="nil"/>
              <w:bottom w:val="nil"/>
              <w:right w:val="nil"/>
            </w:tcBorders>
          </w:tcPr>
          <w:p w14:paraId="7D33F929" w14:textId="77777777" w:rsidR="00BD7D6D" w:rsidRPr="00014B9E" w:rsidRDefault="00BD7D6D" w:rsidP="008670FF">
            <w:pPr>
              <w:keepLines w:val="0"/>
              <w:autoSpaceDE w:val="0"/>
              <w:autoSpaceDN w:val="0"/>
              <w:adjustRightInd w:val="0"/>
              <w:spacing w:before="20" w:after="20"/>
              <w:rPr>
                <w:rFonts w:asciiTheme="majorHAnsi" w:eastAsiaTheme="minorEastAsia" w:hAnsiTheme="majorHAnsi" w:cstheme="majorHAnsi"/>
                <w:color w:val="000000"/>
                <w:sz w:val="17"/>
                <w:szCs w:val="17"/>
                <w:vertAlign w:val="superscript"/>
                <w:lang w:eastAsia="en-AU"/>
              </w:rPr>
            </w:pPr>
            <w:r w:rsidRPr="00014B9E">
              <w:rPr>
                <w:rFonts w:asciiTheme="majorHAnsi" w:eastAsiaTheme="minorEastAsia" w:hAnsiTheme="majorHAnsi" w:cstheme="majorHAnsi"/>
                <w:color w:val="000000"/>
                <w:sz w:val="17"/>
                <w:szCs w:val="17"/>
                <w:lang w:eastAsia="en-AU"/>
              </w:rPr>
              <w:t xml:space="preserve">Consumer price index </w:t>
            </w:r>
            <w:r w:rsidRPr="00014B9E">
              <w:rPr>
                <w:rFonts w:asciiTheme="majorHAnsi" w:eastAsiaTheme="minorEastAsia" w:hAnsiTheme="majorHAnsi" w:cstheme="majorHAnsi"/>
                <w:color w:val="000000"/>
                <w:sz w:val="17"/>
                <w:szCs w:val="17"/>
                <w:vertAlign w:val="superscript"/>
                <w:lang w:eastAsia="en-AU"/>
              </w:rPr>
              <w:t>(c)</w:t>
            </w:r>
          </w:p>
        </w:tc>
        <w:tc>
          <w:tcPr>
            <w:tcW w:w="1042" w:type="dxa"/>
            <w:tcBorders>
              <w:top w:val="nil"/>
              <w:left w:val="nil"/>
              <w:bottom w:val="nil"/>
              <w:right w:val="nil"/>
            </w:tcBorders>
          </w:tcPr>
          <w:p w14:paraId="4DEAA290" w14:textId="202D6231"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4.0</w:t>
            </w:r>
            <w:r w:rsidR="005E5928">
              <w:rPr>
                <w:rFonts w:asciiTheme="majorHAnsi" w:hAnsiTheme="majorHAnsi" w:cstheme="majorHAnsi"/>
                <w:sz w:val="17"/>
                <w:szCs w:val="17"/>
                <w:lang w:eastAsia="en-AU"/>
              </w:rPr>
              <w:t>0</w:t>
            </w:r>
          </w:p>
        </w:tc>
        <w:tc>
          <w:tcPr>
            <w:tcW w:w="1042" w:type="dxa"/>
            <w:gridSpan w:val="2"/>
            <w:tcBorders>
              <w:top w:val="nil"/>
              <w:left w:val="nil"/>
              <w:bottom w:val="nil"/>
              <w:right w:val="nil"/>
            </w:tcBorders>
          </w:tcPr>
          <w:p w14:paraId="3D6B5424" w14:textId="77777777" w:rsidR="00BD7D6D" w:rsidRPr="00645A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645A9E">
              <w:rPr>
                <w:rFonts w:asciiTheme="majorHAnsi" w:hAnsiTheme="majorHAnsi" w:cstheme="majorHAnsi"/>
                <w:sz w:val="17"/>
                <w:szCs w:val="17"/>
                <w:lang w:eastAsia="en-AU"/>
              </w:rPr>
              <w:t>2.50</w:t>
            </w:r>
          </w:p>
        </w:tc>
        <w:tc>
          <w:tcPr>
            <w:tcW w:w="1042" w:type="dxa"/>
            <w:tcBorders>
              <w:top w:val="nil"/>
              <w:left w:val="nil"/>
              <w:bottom w:val="nil"/>
              <w:right w:val="nil"/>
            </w:tcBorders>
          </w:tcPr>
          <w:p w14:paraId="5987BD25" w14:textId="77777777" w:rsidR="00BD7D6D" w:rsidRPr="00645A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645A9E">
              <w:rPr>
                <w:rFonts w:asciiTheme="majorHAnsi" w:hAnsiTheme="majorHAnsi" w:cstheme="majorHAnsi"/>
                <w:sz w:val="17"/>
                <w:szCs w:val="17"/>
                <w:lang w:eastAsia="en-AU"/>
              </w:rPr>
              <w:t>3.00</w:t>
            </w:r>
          </w:p>
        </w:tc>
        <w:tc>
          <w:tcPr>
            <w:tcW w:w="1042" w:type="dxa"/>
            <w:tcBorders>
              <w:top w:val="nil"/>
              <w:left w:val="nil"/>
              <w:bottom w:val="nil"/>
              <w:right w:val="nil"/>
            </w:tcBorders>
            <w:shd w:val="clear" w:color="auto" w:fill="auto"/>
          </w:tcPr>
          <w:p w14:paraId="47702D00" w14:textId="77777777" w:rsidR="00BD7D6D" w:rsidRPr="006C72CD"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6C72CD">
              <w:rPr>
                <w:rFonts w:asciiTheme="majorHAnsi" w:hAnsiTheme="majorHAnsi" w:cstheme="majorHAnsi"/>
                <w:sz w:val="17"/>
                <w:szCs w:val="17"/>
                <w:lang w:eastAsia="en-AU"/>
              </w:rPr>
              <w:t>2.50</w:t>
            </w:r>
          </w:p>
        </w:tc>
        <w:tc>
          <w:tcPr>
            <w:tcW w:w="1043" w:type="dxa"/>
            <w:tcBorders>
              <w:top w:val="nil"/>
              <w:left w:val="nil"/>
              <w:bottom w:val="nil"/>
              <w:right w:val="nil"/>
            </w:tcBorders>
            <w:shd w:val="clear" w:color="auto" w:fill="auto"/>
          </w:tcPr>
          <w:p w14:paraId="357B3CCE" w14:textId="77777777" w:rsidR="00BD7D6D" w:rsidRPr="006C72CD"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6C72CD">
              <w:rPr>
                <w:rFonts w:asciiTheme="majorHAnsi" w:hAnsiTheme="majorHAnsi" w:cstheme="majorHAnsi"/>
                <w:sz w:val="17"/>
                <w:szCs w:val="17"/>
                <w:lang w:eastAsia="en-AU"/>
              </w:rPr>
              <w:t>2.50</w:t>
            </w:r>
          </w:p>
        </w:tc>
      </w:tr>
      <w:tr w:rsidR="00BD7D6D" w:rsidRPr="00014B9E" w14:paraId="616D88C0" w14:textId="77777777" w:rsidTr="008670FF">
        <w:tc>
          <w:tcPr>
            <w:tcW w:w="2582" w:type="dxa"/>
            <w:tcBorders>
              <w:top w:val="nil"/>
              <w:left w:val="nil"/>
              <w:bottom w:val="nil"/>
              <w:right w:val="nil"/>
            </w:tcBorders>
          </w:tcPr>
          <w:p w14:paraId="34163624"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color w:val="000000"/>
                <w:sz w:val="17"/>
                <w:szCs w:val="17"/>
                <w:lang w:eastAsia="en-AU"/>
              </w:rPr>
            </w:pPr>
          </w:p>
        </w:tc>
        <w:tc>
          <w:tcPr>
            <w:tcW w:w="1042" w:type="dxa"/>
            <w:tcBorders>
              <w:top w:val="nil"/>
              <w:left w:val="nil"/>
              <w:bottom w:val="nil"/>
              <w:right w:val="nil"/>
            </w:tcBorders>
          </w:tcPr>
          <w:p w14:paraId="5327DCC4"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2" w:type="dxa"/>
            <w:gridSpan w:val="2"/>
            <w:tcBorders>
              <w:top w:val="nil"/>
              <w:left w:val="nil"/>
              <w:bottom w:val="nil"/>
              <w:right w:val="nil"/>
            </w:tcBorders>
          </w:tcPr>
          <w:p w14:paraId="3B4D354D"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2.75</w:t>
            </w:r>
          </w:p>
        </w:tc>
        <w:tc>
          <w:tcPr>
            <w:tcW w:w="1042" w:type="dxa"/>
            <w:tcBorders>
              <w:top w:val="nil"/>
              <w:left w:val="nil"/>
              <w:bottom w:val="nil"/>
              <w:right w:val="nil"/>
            </w:tcBorders>
          </w:tcPr>
          <w:p w14:paraId="1C02AC9B"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2.50</w:t>
            </w:r>
          </w:p>
        </w:tc>
        <w:tc>
          <w:tcPr>
            <w:tcW w:w="1042" w:type="dxa"/>
            <w:tcBorders>
              <w:top w:val="nil"/>
              <w:left w:val="nil"/>
              <w:bottom w:val="nil"/>
              <w:right w:val="nil"/>
            </w:tcBorders>
          </w:tcPr>
          <w:p w14:paraId="2DA483C9"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3" w:type="dxa"/>
            <w:tcBorders>
              <w:top w:val="nil"/>
              <w:left w:val="nil"/>
              <w:bottom w:val="nil"/>
              <w:right w:val="nil"/>
            </w:tcBorders>
          </w:tcPr>
          <w:p w14:paraId="1B6088D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r>
      <w:tr w:rsidR="00BD7D6D" w:rsidRPr="00014B9E" w14:paraId="461936E2" w14:textId="77777777" w:rsidTr="008670FF">
        <w:tc>
          <w:tcPr>
            <w:tcW w:w="2582" w:type="dxa"/>
            <w:tcBorders>
              <w:top w:val="nil"/>
              <w:left w:val="nil"/>
              <w:bottom w:val="nil"/>
              <w:right w:val="nil"/>
            </w:tcBorders>
          </w:tcPr>
          <w:p w14:paraId="42240AE3" w14:textId="77777777" w:rsidR="00BD7D6D" w:rsidRPr="00014B9E" w:rsidRDefault="00BD7D6D" w:rsidP="008670FF">
            <w:pPr>
              <w:keepLines w:val="0"/>
              <w:autoSpaceDE w:val="0"/>
              <w:autoSpaceDN w:val="0"/>
              <w:adjustRightInd w:val="0"/>
              <w:spacing w:before="20" w:after="20"/>
              <w:rPr>
                <w:rFonts w:asciiTheme="majorHAnsi" w:eastAsiaTheme="minorEastAsia" w:hAnsiTheme="majorHAnsi" w:cstheme="majorHAnsi"/>
                <w:color w:val="000000"/>
                <w:sz w:val="17"/>
                <w:szCs w:val="17"/>
                <w:vertAlign w:val="superscript"/>
                <w:lang w:eastAsia="en-AU"/>
              </w:rPr>
            </w:pPr>
            <w:r w:rsidRPr="00014B9E">
              <w:rPr>
                <w:rFonts w:asciiTheme="majorHAnsi" w:eastAsiaTheme="minorEastAsia" w:hAnsiTheme="majorHAnsi" w:cstheme="majorHAnsi"/>
                <w:color w:val="000000"/>
                <w:sz w:val="17"/>
                <w:szCs w:val="17"/>
                <w:lang w:eastAsia="en-AU"/>
              </w:rPr>
              <w:t xml:space="preserve">Wage price index </w:t>
            </w:r>
            <w:r w:rsidRPr="00014B9E">
              <w:rPr>
                <w:rFonts w:asciiTheme="majorHAnsi" w:eastAsiaTheme="minorEastAsia" w:hAnsiTheme="majorHAnsi" w:cstheme="majorHAnsi"/>
                <w:color w:val="000000"/>
                <w:sz w:val="17"/>
                <w:szCs w:val="17"/>
                <w:vertAlign w:val="superscript"/>
                <w:lang w:eastAsia="en-AU"/>
              </w:rPr>
              <w:t>(d)</w:t>
            </w:r>
          </w:p>
        </w:tc>
        <w:tc>
          <w:tcPr>
            <w:tcW w:w="1042" w:type="dxa"/>
            <w:tcBorders>
              <w:top w:val="nil"/>
              <w:left w:val="nil"/>
              <w:bottom w:val="nil"/>
              <w:right w:val="nil"/>
            </w:tcBorders>
          </w:tcPr>
          <w:p w14:paraId="7BC277D5" w14:textId="0A084E2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Pr>
                <w:rFonts w:asciiTheme="majorHAnsi" w:hAnsiTheme="majorHAnsi" w:cstheme="majorHAnsi"/>
                <w:sz w:val="17"/>
                <w:szCs w:val="17"/>
                <w:lang w:eastAsia="en-AU"/>
              </w:rPr>
              <w:t>3.6</w:t>
            </w:r>
            <w:r w:rsidR="005E5928">
              <w:rPr>
                <w:rFonts w:asciiTheme="majorHAnsi" w:hAnsiTheme="majorHAnsi" w:cstheme="majorHAnsi"/>
                <w:sz w:val="17"/>
                <w:szCs w:val="17"/>
                <w:lang w:eastAsia="en-AU"/>
              </w:rPr>
              <w:t>0</w:t>
            </w:r>
          </w:p>
        </w:tc>
        <w:tc>
          <w:tcPr>
            <w:tcW w:w="1042" w:type="dxa"/>
            <w:gridSpan w:val="2"/>
            <w:tcBorders>
              <w:top w:val="nil"/>
              <w:left w:val="nil"/>
              <w:bottom w:val="nil"/>
              <w:right w:val="nil"/>
            </w:tcBorders>
          </w:tcPr>
          <w:p w14:paraId="6E7C309E"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Pr>
                <w:rFonts w:asciiTheme="majorHAnsi" w:hAnsiTheme="majorHAnsi" w:cstheme="majorHAnsi"/>
                <w:sz w:val="17"/>
                <w:szCs w:val="17"/>
                <w:lang w:eastAsia="en-AU"/>
              </w:rPr>
              <w:t>3.50</w:t>
            </w:r>
          </w:p>
        </w:tc>
        <w:tc>
          <w:tcPr>
            <w:tcW w:w="1042" w:type="dxa"/>
            <w:tcBorders>
              <w:top w:val="nil"/>
              <w:left w:val="nil"/>
              <w:bottom w:val="nil"/>
              <w:right w:val="nil"/>
            </w:tcBorders>
          </w:tcPr>
          <w:p w14:paraId="2D62228C"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3.25</w:t>
            </w:r>
          </w:p>
        </w:tc>
        <w:tc>
          <w:tcPr>
            <w:tcW w:w="1042" w:type="dxa"/>
            <w:tcBorders>
              <w:top w:val="nil"/>
              <w:left w:val="nil"/>
              <w:bottom w:val="nil"/>
              <w:right w:val="nil"/>
            </w:tcBorders>
          </w:tcPr>
          <w:p w14:paraId="28D42629"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3.25</w:t>
            </w:r>
          </w:p>
        </w:tc>
        <w:tc>
          <w:tcPr>
            <w:tcW w:w="1043" w:type="dxa"/>
            <w:tcBorders>
              <w:top w:val="nil"/>
              <w:left w:val="nil"/>
              <w:bottom w:val="nil"/>
              <w:right w:val="nil"/>
            </w:tcBorders>
          </w:tcPr>
          <w:p w14:paraId="6DC8A971"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3.25</w:t>
            </w:r>
          </w:p>
        </w:tc>
      </w:tr>
      <w:tr w:rsidR="00BD7D6D" w:rsidRPr="00014B9E" w14:paraId="7F981C08" w14:textId="77777777" w:rsidTr="008670FF">
        <w:tc>
          <w:tcPr>
            <w:tcW w:w="2582" w:type="dxa"/>
            <w:tcBorders>
              <w:top w:val="nil"/>
              <w:left w:val="nil"/>
              <w:bottom w:val="nil"/>
              <w:right w:val="nil"/>
            </w:tcBorders>
          </w:tcPr>
          <w:p w14:paraId="505B460E"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color w:val="000000"/>
                <w:sz w:val="17"/>
                <w:szCs w:val="17"/>
                <w:lang w:eastAsia="en-AU"/>
              </w:rPr>
            </w:pPr>
          </w:p>
        </w:tc>
        <w:tc>
          <w:tcPr>
            <w:tcW w:w="1042" w:type="dxa"/>
            <w:tcBorders>
              <w:top w:val="nil"/>
              <w:left w:val="nil"/>
              <w:bottom w:val="nil"/>
              <w:right w:val="nil"/>
            </w:tcBorders>
          </w:tcPr>
          <w:p w14:paraId="589B6BA3"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p>
        </w:tc>
        <w:tc>
          <w:tcPr>
            <w:tcW w:w="1042" w:type="dxa"/>
            <w:gridSpan w:val="2"/>
            <w:tcBorders>
              <w:top w:val="nil"/>
              <w:left w:val="nil"/>
              <w:bottom w:val="nil"/>
              <w:right w:val="nil"/>
            </w:tcBorders>
          </w:tcPr>
          <w:p w14:paraId="5D7D4346"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r w:rsidRPr="00014B9E">
              <w:rPr>
                <w:rFonts w:asciiTheme="majorHAnsi" w:hAnsiTheme="majorHAnsi" w:cstheme="majorHAnsi"/>
                <w:i/>
                <w:iCs/>
                <w:sz w:val="17"/>
                <w:szCs w:val="17"/>
                <w:lang w:eastAsia="en-AU"/>
              </w:rPr>
              <w:t>3.75</w:t>
            </w:r>
          </w:p>
        </w:tc>
        <w:tc>
          <w:tcPr>
            <w:tcW w:w="1042" w:type="dxa"/>
            <w:tcBorders>
              <w:top w:val="nil"/>
              <w:left w:val="nil"/>
              <w:bottom w:val="nil"/>
              <w:right w:val="nil"/>
            </w:tcBorders>
          </w:tcPr>
          <w:p w14:paraId="298AC653"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2" w:type="dxa"/>
            <w:tcBorders>
              <w:top w:val="nil"/>
              <w:left w:val="nil"/>
              <w:bottom w:val="nil"/>
              <w:right w:val="nil"/>
            </w:tcBorders>
          </w:tcPr>
          <w:p w14:paraId="4BE71539"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3" w:type="dxa"/>
            <w:tcBorders>
              <w:top w:val="nil"/>
              <w:left w:val="nil"/>
              <w:bottom w:val="nil"/>
              <w:right w:val="nil"/>
            </w:tcBorders>
          </w:tcPr>
          <w:p w14:paraId="7B2618F3"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r>
      <w:tr w:rsidR="00BD7D6D" w:rsidRPr="00014B9E" w14:paraId="40C5E22C" w14:textId="77777777" w:rsidTr="00BD7D6D">
        <w:tc>
          <w:tcPr>
            <w:tcW w:w="2582" w:type="dxa"/>
            <w:tcBorders>
              <w:top w:val="nil"/>
              <w:left w:val="nil"/>
              <w:bottom w:val="nil"/>
              <w:right w:val="nil"/>
            </w:tcBorders>
          </w:tcPr>
          <w:p w14:paraId="0978658E" w14:textId="77777777" w:rsidR="00BD7D6D" w:rsidRPr="00014B9E" w:rsidRDefault="00BD7D6D" w:rsidP="008670FF">
            <w:pPr>
              <w:keepLines w:val="0"/>
              <w:autoSpaceDE w:val="0"/>
              <w:autoSpaceDN w:val="0"/>
              <w:adjustRightInd w:val="0"/>
              <w:spacing w:before="20" w:after="20"/>
              <w:rPr>
                <w:rFonts w:asciiTheme="majorHAnsi" w:eastAsiaTheme="minorEastAsia" w:hAnsiTheme="majorHAnsi" w:cstheme="majorHAnsi"/>
                <w:color w:val="000000"/>
                <w:sz w:val="17"/>
                <w:szCs w:val="17"/>
                <w:vertAlign w:val="superscript"/>
                <w:lang w:eastAsia="en-AU"/>
              </w:rPr>
            </w:pPr>
            <w:r w:rsidRPr="00014B9E">
              <w:rPr>
                <w:rFonts w:asciiTheme="majorHAnsi" w:eastAsiaTheme="minorEastAsia" w:hAnsiTheme="majorHAnsi" w:cstheme="majorHAnsi"/>
                <w:color w:val="000000"/>
                <w:sz w:val="17"/>
                <w:szCs w:val="17"/>
                <w:lang w:eastAsia="en-AU"/>
              </w:rPr>
              <w:t xml:space="preserve">Population </w:t>
            </w:r>
            <w:r w:rsidRPr="00014B9E">
              <w:rPr>
                <w:rFonts w:asciiTheme="majorHAnsi" w:eastAsiaTheme="minorEastAsia" w:hAnsiTheme="majorHAnsi" w:cstheme="majorHAnsi"/>
                <w:color w:val="000000"/>
                <w:sz w:val="17"/>
                <w:szCs w:val="17"/>
                <w:vertAlign w:val="superscript"/>
                <w:lang w:eastAsia="en-AU"/>
              </w:rPr>
              <w:t>(e)</w:t>
            </w:r>
          </w:p>
        </w:tc>
        <w:tc>
          <w:tcPr>
            <w:tcW w:w="1158" w:type="dxa"/>
            <w:gridSpan w:val="2"/>
            <w:tcBorders>
              <w:top w:val="nil"/>
              <w:left w:val="nil"/>
              <w:bottom w:val="nil"/>
              <w:right w:val="nil"/>
            </w:tcBorders>
          </w:tcPr>
          <w:p w14:paraId="6ADCBBCB"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Pr>
                <w:rFonts w:asciiTheme="majorHAnsi" w:hAnsiTheme="majorHAnsi" w:cstheme="majorHAnsi"/>
                <w:sz w:val="17"/>
                <w:szCs w:val="17"/>
                <w:lang w:eastAsia="en-AU"/>
              </w:rPr>
              <w:t>2.60</w:t>
            </w:r>
            <w:r w:rsidRPr="00014B9E">
              <w:rPr>
                <w:rFonts w:asciiTheme="majorHAnsi" w:hAnsiTheme="majorHAnsi" w:cstheme="majorHAnsi"/>
                <w:sz w:val="17"/>
                <w:szCs w:val="17"/>
                <w:vertAlign w:val="superscript"/>
                <w:lang w:eastAsia="en-AU"/>
              </w:rPr>
              <w:t>(</w:t>
            </w:r>
            <w:r>
              <w:rPr>
                <w:rFonts w:asciiTheme="majorHAnsi" w:hAnsiTheme="majorHAnsi" w:cstheme="majorHAnsi"/>
                <w:sz w:val="17"/>
                <w:szCs w:val="17"/>
                <w:vertAlign w:val="superscript"/>
                <w:lang w:eastAsia="en-AU"/>
              </w:rPr>
              <w:t>f)</w:t>
            </w:r>
          </w:p>
        </w:tc>
        <w:tc>
          <w:tcPr>
            <w:tcW w:w="926" w:type="dxa"/>
            <w:tcBorders>
              <w:top w:val="nil"/>
              <w:left w:val="nil"/>
              <w:bottom w:val="nil"/>
              <w:right w:val="nil"/>
            </w:tcBorders>
          </w:tcPr>
          <w:p w14:paraId="311D5854"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1.80</w:t>
            </w:r>
          </w:p>
        </w:tc>
        <w:tc>
          <w:tcPr>
            <w:tcW w:w="1042" w:type="dxa"/>
            <w:tcBorders>
              <w:top w:val="nil"/>
              <w:left w:val="nil"/>
              <w:bottom w:val="nil"/>
              <w:right w:val="nil"/>
            </w:tcBorders>
          </w:tcPr>
          <w:p w14:paraId="4DD2527A"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1.70</w:t>
            </w:r>
          </w:p>
        </w:tc>
        <w:tc>
          <w:tcPr>
            <w:tcW w:w="1042" w:type="dxa"/>
            <w:tcBorders>
              <w:top w:val="nil"/>
              <w:left w:val="nil"/>
              <w:bottom w:val="nil"/>
              <w:right w:val="nil"/>
            </w:tcBorders>
          </w:tcPr>
          <w:p w14:paraId="18B2E27F"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1.70</w:t>
            </w:r>
          </w:p>
        </w:tc>
        <w:tc>
          <w:tcPr>
            <w:tcW w:w="1043" w:type="dxa"/>
            <w:tcBorders>
              <w:top w:val="nil"/>
              <w:left w:val="nil"/>
              <w:bottom w:val="nil"/>
              <w:right w:val="nil"/>
            </w:tcBorders>
          </w:tcPr>
          <w:p w14:paraId="21A7E340"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r w:rsidRPr="00014B9E">
              <w:rPr>
                <w:rFonts w:asciiTheme="majorHAnsi" w:hAnsiTheme="majorHAnsi" w:cstheme="majorHAnsi"/>
                <w:sz w:val="17"/>
                <w:szCs w:val="17"/>
                <w:lang w:eastAsia="en-AU"/>
              </w:rPr>
              <w:t>1.70</w:t>
            </w:r>
          </w:p>
        </w:tc>
      </w:tr>
      <w:tr w:rsidR="00BD7D6D" w:rsidRPr="00014B9E" w14:paraId="41F921B1" w14:textId="77777777" w:rsidTr="008670FF">
        <w:tc>
          <w:tcPr>
            <w:tcW w:w="2582" w:type="dxa"/>
            <w:tcBorders>
              <w:top w:val="nil"/>
              <w:left w:val="nil"/>
              <w:bottom w:val="single" w:sz="12" w:space="0" w:color="auto"/>
              <w:right w:val="nil"/>
            </w:tcBorders>
          </w:tcPr>
          <w:p w14:paraId="02827640" w14:textId="77777777" w:rsidR="00BD7D6D" w:rsidRPr="00014B9E" w:rsidRDefault="00BD7D6D" w:rsidP="008670FF">
            <w:pPr>
              <w:keepLines w:val="0"/>
              <w:autoSpaceDE w:val="0"/>
              <w:autoSpaceDN w:val="0"/>
              <w:adjustRightInd w:val="0"/>
              <w:spacing w:before="20" w:after="20"/>
              <w:jc w:val="right"/>
              <w:rPr>
                <w:rFonts w:asciiTheme="majorHAnsi" w:eastAsiaTheme="minorEastAsia" w:hAnsiTheme="majorHAnsi" w:cstheme="majorHAnsi"/>
                <w:color w:val="000000"/>
                <w:sz w:val="17"/>
                <w:szCs w:val="17"/>
                <w:lang w:eastAsia="en-AU"/>
              </w:rPr>
            </w:pPr>
          </w:p>
        </w:tc>
        <w:tc>
          <w:tcPr>
            <w:tcW w:w="1042" w:type="dxa"/>
            <w:tcBorders>
              <w:top w:val="nil"/>
              <w:left w:val="nil"/>
              <w:bottom w:val="single" w:sz="12" w:space="0" w:color="auto"/>
              <w:right w:val="nil"/>
            </w:tcBorders>
          </w:tcPr>
          <w:p w14:paraId="61FF1491" w14:textId="77777777" w:rsidR="00BD7D6D" w:rsidRPr="00973D2A" w:rsidRDefault="00BD7D6D" w:rsidP="008670FF">
            <w:pPr>
              <w:keepLines w:val="0"/>
              <w:autoSpaceDE w:val="0"/>
              <w:autoSpaceDN w:val="0"/>
              <w:adjustRightInd w:val="0"/>
              <w:spacing w:before="20" w:after="20"/>
              <w:jc w:val="right"/>
              <w:rPr>
                <w:rFonts w:asciiTheme="majorHAnsi" w:hAnsiTheme="majorHAnsi" w:cstheme="majorHAnsi"/>
                <w:i/>
                <w:iCs/>
                <w:sz w:val="17"/>
                <w:szCs w:val="17"/>
                <w:vertAlign w:val="superscript"/>
                <w:lang w:eastAsia="en-AU"/>
              </w:rPr>
            </w:pPr>
            <w:r w:rsidRPr="00973D2A">
              <w:rPr>
                <w:rFonts w:asciiTheme="majorHAnsi" w:hAnsiTheme="majorHAnsi" w:cstheme="majorHAnsi"/>
                <w:i/>
                <w:iCs/>
                <w:sz w:val="17"/>
                <w:szCs w:val="17"/>
                <w:lang w:eastAsia="en-AU"/>
              </w:rPr>
              <w:t>2.30</w:t>
            </w:r>
          </w:p>
        </w:tc>
        <w:tc>
          <w:tcPr>
            <w:tcW w:w="1042" w:type="dxa"/>
            <w:gridSpan w:val="2"/>
            <w:tcBorders>
              <w:top w:val="nil"/>
              <w:left w:val="nil"/>
              <w:bottom w:val="single" w:sz="12" w:space="0" w:color="auto"/>
              <w:right w:val="nil"/>
            </w:tcBorders>
          </w:tcPr>
          <w:p w14:paraId="11C4FC09" w14:textId="77777777" w:rsidR="00BD7D6D" w:rsidRPr="00973D2A" w:rsidRDefault="00BD7D6D" w:rsidP="008670FF">
            <w:pPr>
              <w:keepLines w:val="0"/>
              <w:autoSpaceDE w:val="0"/>
              <w:autoSpaceDN w:val="0"/>
              <w:adjustRightInd w:val="0"/>
              <w:spacing w:before="20" w:after="20"/>
              <w:jc w:val="right"/>
              <w:rPr>
                <w:rFonts w:asciiTheme="majorHAnsi" w:hAnsiTheme="majorHAnsi" w:cstheme="majorHAnsi"/>
                <w:i/>
                <w:iCs/>
                <w:sz w:val="17"/>
                <w:szCs w:val="17"/>
                <w:lang w:eastAsia="en-AU"/>
              </w:rPr>
            </w:pPr>
          </w:p>
        </w:tc>
        <w:tc>
          <w:tcPr>
            <w:tcW w:w="1042" w:type="dxa"/>
            <w:tcBorders>
              <w:top w:val="nil"/>
              <w:left w:val="nil"/>
              <w:bottom w:val="single" w:sz="12" w:space="0" w:color="auto"/>
              <w:right w:val="nil"/>
            </w:tcBorders>
          </w:tcPr>
          <w:p w14:paraId="4D05AB54"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2" w:type="dxa"/>
            <w:tcBorders>
              <w:top w:val="nil"/>
              <w:left w:val="nil"/>
              <w:bottom w:val="single" w:sz="12" w:space="0" w:color="auto"/>
              <w:right w:val="nil"/>
            </w:tcBorders>
          </w:tcPr>
          <w:p w14:paraId="6D8A88FC"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c>
          <w:tcPr>
            <w:tcW w:w="1043" w:type="dxa"/>
            <w:tcBorders>
              <w:top w:val="nil"/>
              <w:left w:val="nil"/>
              <w:bottom w:val="single" w:sz="12" w:space="0" w:color="auto"/>
              <w:right w:val="nil"/>
            </w:tcBorders>
          </w:tcPr>
          <w:p w14:paraId="76B612B8" w14:textId="77777777" w:rsidR="00BD7D6D" w:rsidRPr="00014B9E" w:rsidRDefault="00BD7D6D" w:rsidP="008670FF">
            <w:pPr>
              <w:keepLines w:val="0"/>
              <w:autoSpaceDE w:val="0"/>
              <w:autoSpaceDN w:val="0"/>
              <w:adjustRightInd w:val="0"/>
              <w:spacing w:before="20" w:after="20"/>
              <w:jc w:val="right"/>
              <w:rPr>
                <w:rFonts w:asciiTheme="majorHAnsi" w:hAnsiTheme="majorHAnsi" w:cstheme="majorHAnsi"/>
                <w:sz w:val="17"/>
                <w:szCs w:val="17"/>
                <w:lang w:eastAsia="en-AU"/>
              </w:rPr>
            </w:pPr>
          </w:p>
        </w:tc>
      </w:tr>
    </w:tbl>
    <w:p w14:paraId="0D8E5F17" w14:textId="77777777" w:rsidR="00BD7D6D" w:rsidRPr="00256977" w:rsidRDefault="00BD7D6D" w:rsidP="00BD7D6D">
      <w:pPr>
        <w:pStyle w:val="Source"/>
      </w:pPr>
      <w:r w:rsidRPr="00256977">
        <w:t>Sources: Australian Bureau of Statistics; Department of Treasury and Finance</w:t>
      </w:r>
    </w:p>
    <w:p w14:paraId="29E2BC64" w14:textId="77777777" w:rsidR="00BD7D6D" w:rsidRPr="00256977" w:rsidRDefault="00BD7D6D" w:rsidP="00BD7D6D">
      <w:pPr>
        <w:pStyle w:val="Note"/>
        <w:keepNext/>
      </w:pPr>
      <w:r w:rsidRPr="00256977">
        <w:t xml:space="preserve">Notes: </w:t>
      </w:r>
    </w:p>
    <w:p w14:paraId="7A62034B" w14:textId="77777777" w:rsidR="00BD7D6D" w:rsidRPr="00256977" w:rsidRDefault="00BD7D6D" w:rsidP="00BD7D6D">
      <w:pPr>
        <w:pStyle w:val="Note"/>
      </w:pPr>
      <w:r w:rsidRPr="00256977">
        <w:t>(a)</w:t>
      </w:r>
      <w:r w:rsidRPr="00256977">
        <w:tab/>
        <w:t xml:space="preserve">Percentage change in year average terms compared with the previous year, except for the unemployment rate (see note </w:t>
      </w:r>
      <w:r>
        <w:t>(b)</w:t>
      </w:r>
      <w:r w:rsidRPr="00256977">
        <w:t xml:space="preserve">) and population (see note </w:t>
      </w:r>
      <w:r>
        <w:t>(e)</w:t>
      </w:r>
      <w:r w:rsidRPr="00256977">
        <w:t xml:space="preserve">). Forecasts are rounded to the nearest 0.25 percentage points, except for population (see note </w:t>
      </w:r>
      <w:r>
        <w:t>(e)</w:t>
      </w:r>
      <w:r w:rsidRPr="00256977">
        <w:t>).</w:t>
      </w:r>
    </w:p>
    <w:p w14:paraId="1D255294" w14:textId="77777777" w:rsidR="00BD7D6D" w:rsidRPr="00256977" w:rsidRDefault="00BD7D6D" w:rsidP="00BD7D6D">
      <w:pPr>
        <w:pStyle w:val="Note"/>
      </w:pPr>
      <w:r w:rsidRPr="00256977">
        <w:tab/>
        <w:t>The key assumptions underlying the economic forecasts include interest rates that broadly follow market economists</w:t>
      </w:r>
      <w:r>
        <w:t>’</w:t>
      </w:r>
      <w:r w:rsidRPr="00256977">
        <w:t xml:space="preserve"> expectations; an Australian dollar trade</w:t>
      </w:r>
      <w:r w:rsidRPr="00256977">
        <w:noBreakHyphen/>
        <w:t xml:space="preserve">weighted index of </w:t>
      </w:r>
      <w:r>
        <w:t>62.3</w:t>
      </w:r>
      <w:r w:rsidRPr="00256977">
        <w:t>; and oil prices that follow the path suggested by oil futures.</w:t>
      </w:r>
    </w:p>
    <w:p w14:paraId="3BDDB4D5" w14:textId="77777777" w:rsidR="00BD7D6D" w:rsidRPr="00256977" w:rsidRDefault="00BD7D6D" w:rsidP="00BD7D6D">
      <w:pPr>
        <w:pStyle w:val="Note"/>
      </w:pPr>
      <w:r w:rsidRPr="00256977">
        <w:t>(</w:t>
      </w:r>
      <w:r>
        <w:t>b</w:t>
      </w:r>
      <w:r w:rsidRPr="00256977">
        <w:t>)</w:t>
      </w:r>
      <w:r w:rsidRPr="00256977">
        <w:tab/>
        <w:t xml:space="preserve">Year average. </w:t>
      </w:r>
    </w:p>
    <w:p w14:paraId="436F2AA4" w14:textId="77777777" w:rsidR="00BD7D6D" w:rsidRPr="00256977" w:rsidRDefault="00BD7D6D" w:rsidP="00BD7D6D">
      <w:pPr>
        <w:pStyle w:val="Note"/>
      </w:pPr>
      <w:r w:rsidRPr="00256977">
        <w:t>(</w:t>
      </w:r>
      <w:r>
        <w:t>c</w:t>
      </w:r>
      <w:r w:rsidRPr="00256977">
        <w:t>)</w:t>
      </w:r>
      <w:r w:rsidRPr="00256977">
        <w:tab/>
        <w:t>Melbourne consumer price index</w:t>
      </w:r>
      <w:r w:rsidRPr="00FA7C16">
        <w:t>.</w:t>
      </w:r>
    </w:p>
    <w:p w14:paraId="1AC3B890" w14:textId="77777777" w:rsidR="00BD7D6D" w:rsidRPr="00256977" w:rsidRDefault="00BD7D6D" w:rsidP="00BD7D6D">
      <w:pPr>
        <w:pStyle w:val="Note"/>
      </w:pPr>
      <w:r w:rsidRPr="00256977">
        <w:t>(</w:t>
      </w:r>
      <w:r>
        <w:t>d</w:t>
      </w:r>
      <w:r w:rsidRPr="00256977">
        <w:t>)</w:t>
      </w:r>
      <w:r w:rsidRPr="00256977">
        <w:tab/>
        <w:t>Wage price index, Victoria (based on total hourly rates of pay, excluding bonuses).</w:t>
      </w:r>
    </w:p>
    <w:p w14:paraId="618C1DC3" w14:textId="77777777" w:rsidR="00BD7D6D" w:rsidRDefault="00BD7D6D" w:rsidP="00BD7D6D">
      <w:pPr>
        <w:pStyle w:val="Note"/>
      </w:pPr>
      <w:r w:rsidRPr="00256977">
        <w:t>(</w:t>
      </w:r>
      <w:r>
        <w:t>e</w:t>
      </w:r>
      <w:r w:rsidRPr="00256977">
        <w:t>)</w:t>
      </w:r>
      <w:r w:rsidRPr="00256977">
        <w:tab/>
        <w:t>Percentage change over the year to 30 June. Forecasts are rounded to the nearest 0.1 percentage point.</w:t>
      </w:r>
    </w:p>
    <w:p w14:paraId="575EBD8C" w14:textId="77777777" w:rsidR="00BD7D6D" w:rsidRDefault="00BD7D6D" w:rsidP="00BD7D6D">
      <w:pPr>
        <w:pStyle w:val="Note"/>
      </w:pPr>
      <w:r>
        <w:t>(f)</w:t>
      </w:r>
      <w:r>
        <w:tab/>
        <w:t xml:space="preserve">Estimate, actual not yet available. </w:t>
      </w:r>
    </w:p>
    <w:p w14:paraId="689A796D" w14:textId="77777777" w:rsidR="00BD7D6D" w:rsidRDefault="00BD7D6D" w:rsidP="00BD7D6D">
      <w:pPr>
        <w:pStyle w:val="Heading20"/>
        <w:pageBreakBefore/>
      </w:pPr>
      <w:r w:rsidRPr="004A3666">
        <w:t>Gross state product</w:t>
      </w:r>
    </w:p>
    <w:p w14:paraId="09313513" w14:textId="13D83B70" w:rsidR="00BD7D6D" w:rsidRDefault="00BD7D6D" w:rsidP="00BD7D6D">
      <w:pPr>
        <w:ind w:right="-100"/>
      </w:pPr>
      <w:r>
        <w:t>Victoria’s economy grew by 1.5 per cent in 2023-24 and is forecast to grow by 2.</w:t>
      </w:r>
      <w:r w:rsidDel="00AC7126">
        <w:t>50</w:t>
      </w:r>
      <w:r>
        <w:t> per cent in 2024-25. Growth in 2023-24 was underpinned by strong growth in business investment and</w:t>
      </w:r>
      <w:r w:rsidRPr="009308BE">
        <w:t xml:space="preserve"> </w:t>
      </w:r>
      <w:r>
        <w:t xml:space="preserve">an increase in government consumption driven largely by Commonwealth spending. Household consumption is expected to be a major contributor to GSP growth in 2024-25, alongside continued strength in public demand driven by the Commonwealth </w:t>
      </w:r>
      <w:r w:rsidR="002F4D64">
        <w:t>G</w:t>
      </w:r>
      <w:r>
        <w:t>overnment. Most major components of GSP are forecast to contribute positively to growth in 2024-25.</w:t>
      </w:r>
    </w:p>
    <w:p w14:paraId="3FCDD1A6" w14:textId="77777777" w:rsidR="00BD7D6D" w:rsidRDefault="00BD7D6D" w:rsidP="00BD7D6D">
      <w:pPr>
        <w:ind w:right="-86"/>
      </w:pPr>
      <w:r>
        <w:t>Household consumption was subdued in 2023-24, growing by 0.6 per cent. Household budgets have been constrained by ongoing cost-of-living pressures</w:t>
      </w:r>
      <w:r w:rsidRPr="00220800">
        <w:t xml:space="preserve"> </w:t>
      </w:r>
      <w:r>
        <w:t xml:space="preserve">due to high inflation and elevated interest rates, and discretionary spending fell over the past year (see Chart 2.1). </w:t>
      </w:r>
      <w:bookmarkStart w:id="10" w:name="_Hlk67051871"/>
      <w:bookmarkStart w:id="11" w:name="_Hlk56066914"/>
      <w:r>
        <w:t xml:space="preserve">In 2024-25, household consumption growth is forecast to pick up, supported by a rise in real household disposable income. Wage growth is expected to remain firm, alongside low unemployment, while recent income tax cuts and a further decline in inflation will also support growth in real incomes. While stronger household income growth should support aggregate spending, some households will continue to face challenging financial conditions.  </w:t>
      </w:r>
    </w:p>
    <w:p w14:paraId="55F0AC8A" w14:textId="2DCD1A8F" w:rsidR="00BD7D6D" w:rsidRDefault="00BD7D6D" w:rsidP="00BD7D6D">
      <w:pPr>
        <w:pStyle w:val="TableHeading"/>
      </w:pPr>
      <w:r w:rsidRPr="00CD2054">
        <w:t>Chart 2.</w:t>
      </w:r>
      <w:r>
        <w:t>1</w:t>
      </w:r>
      <w:r w:rsidRPr="00CE4AEB">
        <w:t>:</w:t>
      </w:r>
      <w:r w:rsidRPr="00CE4AEB">
        <w:tab/>
        <w:t xml:space="preserve">Victorian household </w:t>
      </w:r>
      <w:r w:rsidRPr="00CE4AEB" w:rsidDel="00EF2215">
        <w:t>consumption</w:t>
      </w:r>
      <w:r>
        <w:t xml:space="preserve"> </w:t>
      </w:r>
      <w:r w:rsidRPr="00E173D3">
        <w:rPr>
          <w:vertAlign w:val="superscript"/>
        </w:rPr>
        <w:t>(</w:t>
      </w:r>
      <w:r>
        <w:rPr>
          <w:vertAlign w:val="superscript"/>
        </w:rPr>
        <w:t>a)(b)</w:t>
      </w:r>
      <w:r w:rsidRPr="00CD3D92">
        <w:rPr>
          <w:noProof/>
        </w:rPr>
        <w:t xml:space="preserve"> </w:t>
      </w:r>
    </w:p>
    <w:p w14:paraId="0D17FECE" w14:textId="77777777" w:rsidR="00BD7D6D" w:rsidRDefault="00BD7D6D" w:rsidP="00BD7D6D">
      <w:pPr>
        <w:ind w:right="-86"/>
        <w:rPr>
          <w:rFonts w:asciiTheme="majorHAnsi" w:hAnsiTheme="majorHAnsi"/>
          <w:b/>
          <w:sz w:val="20"/>
          <w:szCs w:val="20"/>
        </w:rPr>
      </w:pPr>
      <w:r>
        <w:rPr>
          <w:noProof/>
        </w:rPr>
        <w:drawing>
          <wp:inline distT="0" distB="0" distL="0" distR="0" wp14:anchorId="37B5669F" wp14:editId="5C95D2FA">
            <wp:extent cx="4934310" cy="2780030"/>
            <wp:effectExtent l="0" t="0" r="0" b="1270"/>
            <wp:docPr id="1426234149" name="Chart 1">
              <a:extLst xmlns:a="http://schemas.openxmlformats.org/drawingml/2006/main">
                <a:ext uri="{FF2B5EF4-FFF2-40B4-BE49-F238E27FC236}">
                  <a16:creationId xmlns:a16="http://schemas.microsoft.com/office/drawing/2014/main" id="{23725AFF-784D-4F76-9B8D-FFED9CE04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0A531B" w14:textId="77777777" w:rsidR="00BD7D6D" w:rsidRDefault="00BD7D6D" w:rsidP="00BD7D6D">
      <w:pPr>
        <w:pStyle w:val="Source"/>
      </w:pPr>
      <w:r>
        <w:t>S</w:t>
      </w:r>
      <w:r w:rsidRPr="00256977">
        <w:t>ource: Australian Bureau of Statistics</w:t>
      </w:r>
      <w:r>
        <w:t xml:space="preserve">, Victorian Department of Treasury and Finance </w:t>
      </w:r>
    </w:p>
    <w:p w14:paraId="6C96E20D" w14:textId="54EF6534" w:rsidR="00BD7D6D" w:rsidRDefault="00BD7D6D" w:rsidP="00BD7D6D">
      <w:pPr>
        <w:pStyle w:val="Note"/>
        <w:keepNext/>
        <w:ind w:left="0" w:firstLine="0"/>
      </w:pPr>
      <w:r w:rsidRPr="00256977">
        <w:t>Note</w:t>
      </w:r>
      <w:r>
        <w:t>s</w:t>
      </w:r>
      <w:r w:rsidRPr="00256977">
        <w:t xml:space="preserve">: </w:t>
      </w:r>
    </w:p>
    <w:p w14:paraId="736AF5EB" w14:textId="77777777" w:rsidR="00BD7D6D" w:rsidRDefault="00BD7D6D" w:rsidP="00BD7D6D">
      <w:pPr>
        <w:pStyle w:val="Note"/>
        <w:keepNext/>
        <w:ind w:left="0" w:firstLine="0"/>
      </w:pPr>
      <w:r w:rsidRPr="00256977">
        <w:t>(a)</w:t>
      </w:r>
      <w:r w:rsidRPr="00256977">
        <w:tab/>
      </w:r>
      <w:r>
        <w:t xml:space="preserve">‘Essential’ spending accounts for about two-thirds of total consumer spending. </w:t>
      </w:r>
    </w:p>
    <w:p w14:paraId="69693978" w14:textId="77777777" w:rsidR="00BD7D6D" w:rsidRDefault="00BD7D6D" w:rsidP="00BD7D6D">
      <w:pPr>
        <w:pStyle w:val="Note"/>
        <w:keepNext/>
      </w:pPr>
      <w:r w:rsidRPr="00256977">
        <w:t>(</w:t>
      </w:r>
      <w:r>
        <w:t>b</w:t>
      </w:r>
      <w:r w:rsidRPr="00256977">
        <w:t>)</w:t>
      </w:r>
      <w:r w:rsidRPr="00256977">
        <w:tab/>
      </w:r>
      <w:r>
        <w:t>‘Transport services’ and ‘net expenditure interstate’ are excluded from the discretionary and essential categories, due to difficulties attributing them between categories.</w:t>
      </w:r>
    </w:p>
    <w:p w14:paraId="04CEAF9A" w14:textId="77777777" w:rsidR="00BD7D6D" w:rsidRPr="00256977" w:rsidRDefault="00BD7D6D" w:rsidP="00BD7D6D">
      <w:pPr>
        <w:pStyle w:val="Source"/>
      </w:pPr>
    </w:p>
    <w:p w14:paraId="083355DB" w14:textId="77777777" w:rsidR="00BD7D6D" w:rsidRPr="00DA2DC8" w:rsidRDefault="00BD7D6D" w:rsidP="00BD7D6D">
      <w:bookmarkStart w:id="12" w:name="_Hlk179891332"/>
      <w:r w:rsidRPr="00DA2DC8">
        <w:t>Dwelling investment declined in 2023-24 due to ongoing supply constraints in the residential construction industry</w:t>
      </w:r>
      <w:r>
        <w:t>, notwithstanding Victoria having the most housing approvals, commencements and completions of any state or territory</w:t>
      </w:r>
      <w:r w:rsidRPr="00DA2DC8">
        <w:t>. Firms continued to report labour shortages, especially for finishing trades like tilers</w:t>
      </w:r>
      <w:r>
        <w:t>, plasterers</w:t>
      </w:r>
      <w:r w:rsidRPr="00DA2DC8">
        <w:t xml:space="preserve"> and </w:t>
      </w:r>
      <w:r>
        <w:t>glaziers</w:t>
      </w:r>
      <w:r w:rsidRPr="00DA2DC8">
        <w:t xml:space="preserve">. This limited the amount of construction work </w:t>
      </w:r>
      <w:r>
        <w:t xml:space="preserve">that </w:t>
      </w:r>
      <w:r w:rsidRPr="00DA2DC8">
        <w:t xml:space="preserve">firms were able to complete, although dwelling completions picked up </w:t>
      </w:r>
      <w:r>
        <w:t>in the final months of 2023-24</w:t>
      </w:r>
      <w:r w:rsidRPr="00DA2DC8">
        <w:t xml:space="preserve">. </w:t>
      </w:r>
    </w:p>
    <w:p w14:paraId="34715ACC" w14:textId="77777777" w:rsidR="00BD7D6D" w:rsidRDefault="00BD7D6D" w:rsidP="00BD7D6D">
      <w:r>
        <w:t>D</w:t>
      </w:r>
      <w:r w:rsidRPr="00DA2DC8">
        <w:t>welling investment is forecast to increase modestly in 2024-25</w:t>
      </w:r>
      <w:r>
        <w:t>,</w:t>
      </w:r>
      <w:r w:rsidRPr="00DA2DC8">
        <w:t xml:space="preserve"> alongside a further gradual easing in capacity constraints. </w:t>
      </w:r>
      <w:r>
        <w:t>E</w:t>
      </w:r>
      <w:r w:rsidRPr="00DA2DC8">
        <w:t>levated interest rates</w:t>
      </w:r>
      <w:r>
        <w:t>,</w:t>
      </w:r>
      <w:r w:rsidRPr="00DA2DC8">
        <w:t xml:space="preserve"> construction costs</w:t>
      </w:r>
      <w:r>
        <w:t xml:space="preserve"> and market conditions are subduing d</w:t>
      </w:r>
      <w:r w:rsidRPr="00DA2DC8">
        <w:t xml:space="preserve">emand </w:t>
      </w:r>
      <w:r>
        <w:t>for residential construction</w:t>
      </w:r>
      <w:r w:rsidRPr="00DA2DC8">
        <w:t>. However, there remains a large backlog of residential construction work in the pipeline, which is expected to support activity in the near term (see Chart 2.2).</w:t>
      </w:r>
      <w:r w:rsidRPr="00DA2DC8" w:rsidDel="008F71E5">
        <w:t xml:space="preserve"> </w:t>
      </w:r>
    </w:p>
    <w:bookmarkEnd w:id="12"/>
    <w:p w14:paraId="7BB50C56" w14:textId="77777777" w:rsidR="00BD7D6D" w:rsidRPr="002223BC" w:rsidRDefault="00BD7D6D" w:rsidP="00BD7D6D">
      <w:r>
        <w:t>Business investment grew strongly in 2023-24. Growth was broad-based, with increases in intellectual property investment, machinery and equipment investment and non</w:t>
      </w:r>
      <w:r>
        <w:noBreakHyphen/>
        <w:t>dwelling construction. Following strong growth over the past three years, which has brought business investment to its highest share of overall economic activity on record, investment growth is forecast to moderate in 2024</w:t>
      </w:r>
      <w:r>
        <w:noBreakHyphen/>
        <w:t>25. Surveyed business conditions have eased in 2024. Firms’ utilisation of their available productive capacity has also eased, though it remains above the long-run average. Nonetheless, investment intentions as reported by surveyed firms point to ongoing growth in 2024</w:t>
      </w:r>
      <w:r>
        <w:noBreakHyphen/>
        <w:t>25. The investment outlook is also supported by a large pipeline of non-residential and engineering projects (including infrastructure work), as well as continued high private sector expenditure on digitisation projects, and</w:t>
      </w:r>
      <w:r w:rsidDel="008B6463">
        <w:t xml:space="preserve"> </w:t>
      </w:r>
      <w:r>
        <w:t xml:space="preserve">renewable energy transition projects (see </w:t>
      </w:r>
      <w:r w:rsidDel="000F5AE2">
        <w:t>Chart</w:t>
      </w:r>
      <w:r>
        <w:t> 2.2).</w:t>
      </w:r>
    </w:p>
    <w:p w14:paraId="6BA74357" w14:textId="77777777" w:rsidR="00BD7D6D" w:rsidRDefault="00BD7D6D" w:rsidP="00BD7D6D">
      <w:r w:rsidRPr="00AE7B5B">
        <w:t>Public demand a</w:t>
      </w:r>
      <w:r>
        <w:t xml:space="preserve">lso </w:t>
      </w:r>
      <w:r w:rsidRPr="00AE7B5B">
        <w:t>contribut</w:t>
      </w:r>
      <w:r>
        <w:t>ed</w:t>
      </w:r>
      <w:r w:rsidRPr="00AE7B5B">
        <w:t xml:space="preserve"> to Victoria’s GSP growth in 2023-24</w:t>
      </w:r>
      <w:r>
        <w:t>.</w:t>
      </w:r>
      <w:r w:rsidRPr="00AE7B5B">
        <w:t xml:space="preserve"> </w:t>
      </w:r>
      <w:bookmarkStart w:id="13" w:name="_Hlk179298381"/>
      <w:r>
        <w:t xml:space="preserve">Growth was </w:t>
      </w:r>
      <w:r w:rsidRPr="00AE7B5B">
        <w:t xml:space="preserve">driven by </w:t>
      </w:r>
      <w:r>
        <w:t>increased Commonwealth spending</w:t>
      </w:r>
      <w:r w:rsidRPr="00AE7B5B">
        <w:t xml:space="preserve"> across many </w:t>
      </w:r>
      <w:r>
        <w:t xml:space="preserve">national </w:t>
      </w:r>
      <w:r w:rsidRPr="00AE7B5B">
        <w:t>social benefits programs and</w:t>
      </w:r>
      <w:r w:rsidRPr="00AE7B5B" w:rsidDel="007E2D48">
        <w:t xml:space="preserve"> </w:t>
      </w:r>
      <w:r w:rsidRPr="00AE7B5B">
        <w:t>infrastructure projects</w:t>
      </w:r>
      <w:bookmarkEnd w:id="13"/>
      <w:r w:rsidRPr="00AE7B5B">
        <w:t xml:space="preserve">. Public demand is expected to </w:t>
      </w:r>
      <w:r>
        <w:t>add to growth again</w:t>
      </w:r>
      <w:r w:rsidRPr="00AE7B5B">
        <w:t xml:space="preserve"> in 2024-25</w:t>
      </w:r>
      <w:r>
        <w:t>, led</w:t>
      </w:r>
      <w:r w:rsidRPr="00AE7B5B">
        <w:t xml:space="preserve"> by large increases in </w:t>
      </w:r>
      <w:r>
        <w:t>Commonwealth</w:t>
      </w:r>
      <w:r w:rsidRPr="00AE7B5B">
        <w:t xml:space="preserve"> </w:t>
      </w:r>
      <w:r>
        <w:t xml:space="preserve">consumption expenditure, including </w:t>
      </w:r>
      <w:r w:rsidRPr="00AE7B5B">
        <w:t>assistance to households, and infrastructure spending.</w:t>
      </w:r>
      <w:r w:rsidRPr="00AE7B5B" w:rsidDel="000B6546">
        <w:t xml:space="preserve"> </w:t>
      </w:r>
      <w:r>
        <w:t xml:space="preserve">Victorian Government </w:t>
      </w:r>
      <w:r w:rsidRPr="00AE7B5B">
        <w:t xml:space="preserve">public demand </w:t>
      </w:r>
      <w:r>
        <w:t xml:space="preserve">growth </w:t>
      </w:r>
      <w:r w:rsidRPr="00AE7B5B">
        <w:t xml:space="preserve">is expected to </w:t>
      </w:r>
      <w:r>
        <w:t>be subdued</w:t>
      </w:r>
      <w:r w:rsidRPr="00AE7B5B">
        <w:t xml:space="preserve"> </w:t>
      </w:r>
      <w:r>
        <w:t>in 2024-25,</w:t>
      </w:r>
      <w:r w:rsidRPr="00AE7B5B">
        <w:t xml:space="preserve"> consistent with </w:t>
      </w:r>
      <w:r>
        <w:t>the</w:t>
      </w:r>
      <w:r w:rsidRPr="00AE7B5B">
        <w:t xml:space="preserve"> </w:t>
      </w:r>
      <w:r>
        <w:t xml:space="preserve">Government’s </w:t>
      </w:r>
      <w:r w:rsidRPr="00AE7B5B">
        <w:t xml:space="preserve">economic and fiscal strategy outlined </w:t>
      </w:r>
      <w:r>
        <w:t xml:space="preserve">in the </w:t>
      </w:r>
      <w:r w:rsidRPr="00AA0057">
        <w:rPr>
          <w:i/>
          <w:iCs/>
        </w:rPr>
        <w:t>2024-25 Budget</w:t>
      </w:r>
      <w:r w:rsidRPr="00AE7B5B">
        <w:t>.</w:t>
      </w:r>
    </w:p>
    <w:p w14:paraId="0ACF4371" w14:textId="77777777" w:rsidR="00BD7D6D" w:rsidRDefault="00BD7D6D" w:rsidP="00BD7D6D">
      <w:r>
        <w:t xml:space="preserve">Net international trade detracted slightly from GSP growth in 2023-24. The continued return of international students and tourists drove strong growth in services exports, which </w:t>
      </w:r>
      <w:r w:rsidDel="00371A7F">
        <w:t xml:space="preserve">are </w:t>
      </w:r>
      <w:r>
        <w:t>now above pre-COVID levels, although spending by Victorians travelling overseas also grew strongly. G</w:t>
      </w:r>
      <w:r w:rsidRPr="00E37C5C">
        <w:t>oods</w:t>
      </w:r>
      <w:r>
        <w:t xml:space="preserve"> imports and</w:t>
      </w:r>
      <w:r w:rsidRPr="00E37C5C">
        <w:t xml:space="preserve"> </w:t>
      </w:r>
      <w:r>
        <w:t xml:space="preserve">exports both increased, supported by strong growth in business investment and agricultural production, respectively. </w:t>
      </w:r>
    </w:p>
    <w:p w14:paraId="4C5AE9A4" w14:textId="77777777" w:rsidR="00BD7D6D" w:rsidRDefault="00BD7D6D" w:rsidP="00BD7D6D">
      <w:r>
        <w:t>In 2024-25, ne</w:t>
      </w:r>
      <w:r w:rsidRPr="007D096D">
        <w:t>t trade</w:t>
      </w:r>
      <w:r w:rsidRPr="008C5A8C">
        <w:rPr>
          <w:b/>
          <w:bCs/>
        </w:rPr>
        <w:t xml:space="preserve"> </w:t>
      </w:r>
      <w:r w:rsidRPr="008C5A8C">
        <w:t xml:space="preserve">is forecast to make a </w:t>
      </w:r>
      <w:r w:rsidRPr="00BA23F2">
        <w:t>small contribution</w:t>
      </w:r>
      <w:r>
        <w:t xml:space="preserve"> to</w:t>
      </w:r>
      <w:r w:rsidRPr="008C5A8C">
        <w:t xml:space="preserve"> </w:t>
      </w:r>
      <w:r>
        <w:t>growth</w:t>
      </w:r>
      <w:r w:rsidRPr="008C5A8C">
        <w:t>.</w:t>
      </w:r>
      <w:r>
        <w:t xml:space="preserve"> International education is expected to remain Victoria’s largest export. The number of international students is expected to increase more slowly due to stricter Commonwealth Government visa </w:t>
      </w:r>
      <w:r w:rsidRPr="00A31897">
        <w:t>requirements</w:t>
      </w:r>
      <w:r>
        <w:t>, while growth in services imports is expected to moderate after strong growth in the previous three years. Goods exports growth is expected to slow, following the strong outcome in 2023-24, while goods imports growth is also expected to moderate in line with more subdued growth in business investment.</w:t>
      </w:r>
    </w:p>
    <w:p w14:paraId="56C21D21" w14:textId="77777777" w:rsidR="00BD7D6D" w:rsidRDefault="00BD7D6D" w:rsidP="00BD7D6D">
      <w:pPr>
        <w:pStyle w:val="TableHeading"/>
        <w:ind w:left="0" w:firstLine="0"/>
        <w:rPr>
          <w:b w:val="0"/>
        </w:rPr>
      </w:pPr>
      <w:r w:rsidRPr="00CF2A8D">
        <w:t>Chart 2.</w:t>
      </w:r>
      <w:r w:rsidRPr="00B7041A">
        <w:t>2</w:t>
      </w:r>
      <w:r w:rsidRPr="00CF2A8D">
        <w:rPr>
          <w:b w:val="0"/>
        </w:rPr>
        <w:t>:</w:t>
      </w:r>
      <w:r>
        <w:rPr>
          <w:b w:val="0"/>
        </w:rPr>
        <w:tab/>
      </w:r>
      <w:r w:rsidRPr="00E5605B">
        <w:t>Total Victorian construction pipeline</w:t>
      </w:r>
    </w:p>
    <w:p w14:paraId="6FE4720C" w14:textId="77777777" w:rsidR="00BD7D6D" w:rsidRDefault="00BD7D6D" w:rsidP="00BD7D6D">
      <w:pPr>
        <w:pStyle w:val="Source"/>
      </w:pPr>
      <w:r>
        <w:rPr>
          <w:noProof/>
        </w:rPr>
        <w:drawing>
          <wp:inline distT="0" distB="0" distL="0" distR="0" wp14:anchorId="2C2ABCC4" wp14:editId="7ACB9E7A">
            <wp:extent cx="4896485" cy="2802255"/>
            <wp:effectExtent l="0" t="0" r="0" b="0"/>
            <wp:docPr id="483557142" name="Chart 1">
              <a:extLst xmlns:a="http://schemas.openxmlformats.org/drawingml/2006/main">
                <a:ext uri="{FF2B5EF4-FFF2-40B4-BE49-F238E27FC236}">
                  <a16:creationId xmlns:a16="http://schemas.microsoft.com/office/drawing/2014/main" id="{4C15E4CD-A01B-3712-C361-203DF9667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F82841" w14:textId="77777777" w:rsidR="00BD7D6D" w:rsidRPr="00256977" w:rsidRDefault="00BD7D6D" w:rsidP="00BD7D6D">
      <w:pPr>
        <w:pStyle w:val="Source"/>
      </w:pPr>
      <w:r w:rsidRPr="00256977">
        <w:t xml:space="preserve">Source: </w:t>
      </w:r>
      <w:r>
        <w:t>Australian Bureau of Statistics</w:t>
      </w:r>
    </w:p>
    <w:bookmarkEnd w:id="10"/>
    <w:bookmarkEnd w:id="11"/>
    <w:p w14:paraId="11C51B55" w14:textId="77777777" w:rsidR="004D7F50" w:rsidRDefault="004D7F50" w:rsidP="00BD7D6D">
      <w:pPr>
        <w:pStyle w:val="Heading20"/>
      </w:pPr>
    </w:p>
    <w:p w14:paraId="302CFCB0" w14:textId="25A3A386" w:rsidR="00BD7D6D" w:rsidRDefault="00BD7D6D" w:rsidP="00BD7D6D">
      <w:pPr>
        <w:pStyle w:val="Heading20"/>
      </w:pPr>
      <w:r w:rsidRPr="004A3666">
        <w:t>The labour market</w:t>
      </w:r>
    </w:p>
    <w:p w14:paraId="48E6B2D2" w14:textId="77777777" w:rsidR="00BD7D6D" w:rsidRDefault="00BD7D6D" w:rsidP="00E17784">
      <w:pPr>
        <w:ind w:right="376"/>
      </w:pPr>
      <w:r w:rsidRPr="00564FDA">
        <w:t xml:space="preserve">The Victorian labour market remains </w:t>
      </w:r>
      <w:r>
        <w:t>healthy</w:t>
      </w:r>
      <w:r w:rsidRPr="00564FDA">
        <w:t xml:space="preserve">. Employment growth was </w:t>
      </w:r>
      <w:r>
        <w:t xml:space="preserve">strong at </w:t>
      </w:r>
      <w:r w:rsidRPr="00564FDA">
        <w:t>3.</w:t>
      </w:r>
      <w:r w:rsidRPr="00564FDA" w:rsidDel="007B7200">
        <w:t>5</w:t>
      </w:r>
      <w:r>
        <w:t> </w:t>
      </w:r>
      <w:r w:rsidRPr="00564FDA" w:rsidDel="007B7200">
        <w:t>per</w:t>
      </w:r>
      <w:r>
        <w:t> </w:t>
      </w:r>
      <w:r w:rsidRPr="00564FDA">
        <w:t>cent in 2023-24</w:t>
      </w:r>
      <w:r>
        <w:t>.</w:t>
      </w:r>
      <w:r w:rsidRPr="00DD52F1">
        <w:t xml:space="preserve"> </w:t>
      </w:r>
      <w:r>
        <w:t>This reflected elevated demand for workers, along with strong growth in the labour force due to both strong population growth and a rise in workforce participation to record levels</w:t>
      </w:r>
      <w:r w:rsidRPr="00DD52F1">
        <w:t xml:space="preserve">. </w:t>
      </w:r>
      <w:r>
        <w:t>As a result, the share of working</w:t>
      </w:r>
      <w:r>
        <w:noBreakHyphen/>
        <w:t xml:space="preserve">age Victorians in employment reached a record high </w:t>
      </w:r>
      <w:r w:rsidRPr="00FF0E43">
        <w:t>(Chart 2.3)</w:t>
      </w:r>
      <w:r>
        <w:t>. Employment growth is expected to ease in 2024-25 but remain elevated at 2.50 per cent.</w:t>
      </w:r>
    </w:p>
    <w:p w14:paraId="5566F5AF" w14:textId="77777777" w:rsidR="00BD7D6D" w:rsidRDefault="00BD7D6D" w:rsidP="00E17784">
      <w:pPr>
        <w:ind w:right="194"/>
      </w:pPr>
      <w:r w:rsidRPr="00DD52F1">
        <w:t xml:space="preserve">The unemployment </w:t>
      </w:r>
      <w:r w:rsidRPr="00E4233D">
        <w:t xml:space="preserve">rate </w:t>
      </w:r>
      <w:r>
        <w:t>averaged</w:t>
      </w:r>
      <w:r w:rsidRPr="00E4233D">
        <w:t xml:space="preserve"> 4.0 per cent in 2023-24, which is very low by historical standards</w:t>
      </w:r>
      <w:r>
        <w:t>, although it</w:t>
      </w:r>
      <w:r w:rsidRPr="00FF0E43">
        <w:t xml:space="preserve"> has risen </w:t>
      </w:r>
      <w:r>
        <w:t>moderately</w:t>
      </w:r>
      <w:r w:rsidRPr="00FF0E43">
        <w:t xml:space="preserve"> over the past year. This </w:t>
      </w:r>
      <w:r>
        <w:t xml:space="preserve">increase </w:t>
      </w:r>
      <w:r w:rsidRPr="00FF0E43">
        <w:t xml:space="preserve">has been driven by </w:t>
      </w:r>
      <w:r>
        <w:t xml:space="preserve">the </w:t>
      </w:r>
      <w:r w:rsidRPr="00FF0E43">
        <w:t xml:space="preserve">large increase in the number of people entering the labour force, which has </w:t>
      </w:r>
      <w:r>
        <w:t>exceeded the strong growth in employment. The unemployment rate has been around 4.5 per cent in recent months – which remains historically low and below</w:t>
      </w:r>
      <w:r w:rsidRPr="00DD12F4">
        <w:t xml:space="preserve"> the average in the decade before the COVID-19 pandemic </w:t>
      </w:r>
      <w:r>
        <w:t>– and is expected to remain around this level for the rest of 2024-25.</w:t>
      </w:r>
    </w:p>
    <w:p w14:paraId="69EC1AC8" w14:textId="77777777" w:rsidR="00BD7D6D" w:rsidRPr="00532CD9" w:rsidRDefault="00BD7D6D" w:rsidP="00BD7D6D">
      <w:pPr>
        <w:pStyle w:val="TableHeading"/>
      </w:pPr>
      <w:r w:rsidRPr="00D06C92">
        <w:t xml:space="preserve">Chart </w:t>
      </w:r>
      <w:r>
        <w:t>2.3</w:t>
      </w:r>
      <w:r w:rsidRPr="00D06C92">
        <w:t xml:space="preserve">: </w:t>
      </w:r>
      <w:r w:rsidRPr="00D06C92">
        <w:tab/>
      </w:r>
      <w:r>
        <w:t>Unemployment rate, participation rate and employment to population ratio</w:t>
      </w:r>
      <w:r w:rsidRPr="00D06C92">
        <w:t xml:space="preserve"> </w:t>
      </w:r>
    </w:p>
    <w:p w14:paraId="21CC4D30" w14:textId="77777777" w:rsidR="00BD7D6D" w:rsidRDefault="00BD7D6D" w:rsidP="00BD7D6D">
      <w:r>
        <w:rPr>
          <w:noProof/>
        </w:rPr>
        <w:drawing>
          <wp:inline distT="0" distB="0" distL="0" distR="0" wp14:anchorId="3ACD78D6" wp14:editId="0F666EF5">
            <wp:extent cx="2367059" cy="2867660"/>
            <wp:effectExtent l="0" t="0" r="0" b="8890"/>
            <wp:docPr id="289409959" name="Chart 1">
              <a:extLst xmlns:a="http://schemas.openxmlformats.org/drawingml/2006/main">
                <a:ext uri="{FF2B5EF4-FFF2-40B4-BE49-F238E27FC236}">
                  <a16:creationId xmlns:a16="http://schemas.microsoft.com/office/drawing/2014/main" id="{D8606B15-FCB3-449E-BB3E-8B1CB0B26E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06E92358" wp14:editId="7E897424">
            <wp:extent cx="2489117" cy="2861945"/>
            <wp:effectExtent l="0" t="0" r="6985" b="0"/>
            <wp:docPr id="1834286429" name="Chart 1">
              <a:extLst xmlns:a="http://schemas.openxmlformats.org/drawingml/2006/main">
                <a:ext uri="{FF2B5EF4-FFF2-40B4-BE49-F238E27FC236}">
                  <a16:creationId xmlns:a16="http://schemas.microsoft.com/office/drawing/2014/main" id="{C2A969A8-E562-4C1A-811E-AC8687F19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B9FECF" w14:textId="77777777" w:rsidR="00BD7D6D" w:rsidRDefault="00BD7D6D" w:rsidP="00BD7D6D">
      <w:pPr>
        <w:pStyle w:val="Source"/>
      </w:pPr>
      <w:r>
        <w:t>Source: Australian Bureau of Statistics</w:t>
      </w:r>
    </w:p>
    <w:p w14:paraId="3B7112E8" w14:textId="77777777" w:rsidR="00BD7D6D" w:rsidRDefault="00BD7D6D" w:rsidP="00BD7D6D">
      <w:pPr>
        <w:pStyle w:val="Heading20"/>
      </w:pPr>
      <w:r w:rsidRPr="004A3666">
        <w:t>Prices and wages</w:t>
      </w:r>
    </w:p>
    <w:p w14:paraId="7BEF2199" w14:textId="77777777" w:rsidR="00BD7D6D" w:rsidRDefault="00BD7D6D" w:rsidP="00E17784">
      <w:pPr>
        <w:ind w:right="362"/>
      </w:pPr>
      <w:r w:rsidRPr="008C6801">
        <w:t xml:space="preserve">Inflation has eased further over the past year but remains relatively high, as it does nationally and in many </w:t>
      </w:r>
      <w:r>
        <w:t xml:space="preserve">other advanced </w:t>
      </w:r>
      <w:r w:rsidRPr="008C6801">
        <w:t>economies. In year</w:t>
      </w:r>
      <w:r w:rsidRPr="008C6801">
        <w:noBreakHyphen/>
        <w:t>ended terms, inflation reached a peak of 8.0 per cent in December 2022, and by September 2024 had eased to 3.0 per cent.</w:t>
      </w:r>
      <w:r w:rsidRPr="00A163B3">
        <w:t xml:space="preserve"> </w:t>
      </w:r>
    </w:p>
    <w:p w14:paraId="1FE8EA30" w14:textId="77777777" w:rsidR="00BD7D6D" w:rsidRDefault="00BD7D6D" w:rsidP="00BD7D6D">
      <w:r>
        <w:t xml:space="preserve">The easing of inflationary pressure has been driven by slower growth in prices for goods, as global supply chain disruptions have eased and demand has moderated. Services price growth, though, has been more persistent, partly due to higher wages growth coupled with a lack of productivity growth. Rents and the cost of insurance have also increased across Australia over the past year, adding to services inflation. </w:t>
      </w:r>
    </w:p>
    <w:p w14:paraId="456CF3CD" w14:textId="77777777" w:rsidR="00BD7D6D" w:rsidRDefault="00BD7D6D" w:rsidP="00BD7D6D">
      <w:r w:rsidRPr="00F65BE4">
        <w:t>In year</w:t>
      </w:r>
      <w:r w:rsidRPr="00F65BE4">
        <w:noBreakHyphen/>
        <w:t>average terms, headline Melbourne inflation is forecast to decline to 2.</w:t>
      </w:r>
      <w:r w:rsidRPr="00C72BE9">
        <w:t>50</w:t>
      </w:r>
      <w:r>
        <w:t> </w:t>
      </w:r>
      <w:r w:rsidRPr="00F65BE4">
        <w:t xml:space="preserve">per cent in 2024-25, from 4.0 per cent in 2023-24. </w:t>
      </w:r>
      <w:r>
        <w:t>However, s</w:t>
      </w:r>
      <w:r w:rsidRPr="00F65BE4">
        <w:t>ome of this decline</w:t>
      </w:r>
      <w:r>
        <w:t xml:space="preserve"> </w:t>
      </w:r>
      <w:r w:rsidRPr="00F65BE4">
        <w:t>reflects the full</w:t>
      </w:r>
      <w:r>
        <w:noBreakHyphen/>
      </w:r>
      <w:r w:rsidRPr="00F65BE4">
        <w:t>year impact of Commonwealth energy rebates</w:t>
      </w:r>
      <w:r>
        <w:t>, which commenced in July 2024. When these rebates unwind in 2025-26, headline inflation is forecast to temporarily increase again, to 3.</w:t>
      </w:r>
      <w:r w:rsidRPr="00C72BE9">
        <w:t>00</w:t>
      </w:r>
      <w:r>
        <w:t xml:space="preserve"> per cent. </w:t>
      </w:r>
    </w:p>
    <w:p w14:paraId="7FD1DA6F" w14:textId="77777777" w:rsidR="00BD7D6D" w:rsidRDefault="00BD7D6D" w:rsidP="00BD7D6D">
      <w:r w:rsidRPr="00F9068F">
        <w:t>Victorian wages grew by 3.6 per cent in 2023-24</w:t>
      </w:r>
      <w:r>
        <w:t>, the</w:t>
      </w:r>
      <w:r w:rsidRPr="00F9068F">
        <w:t xml:space="preserve"> fastest rate of</w:t>
      </w:r>
      <w:r>
        <w:t xml:space="preserve"> nominal wages</w:t>
      </w:r>
      <w:r w:rsidRPr="00F9068F">
        <w:t xml:space="preserve"> growth since 2011.</w:t>
      </w:r>
      <w:r>
        <w:t xml:space="preserve"> W</w:t>
      </w:r>
      <w:r w:rsidRPr="00F9068F">
        <w:t>age</w:t>
      </w:r>
      <w:r>
        <w:t xml:space="preserve"> growth was nonetheless below the national rate, especially for the </w:t>
      </w:r>
      <w:r w:rsidRPr="00F9068F">
        <w:t xml:space="preserve">public sector </w:t>
      </w:r>
      <w:r>
        <w:t xml:space="preserve">due to the timing of </w:t>
      </w:r>
      <w:r w:rsidRPr="00F9068F">
        <w:t>negotiati</w:t>
      </w:r>
      <w:r>
        <w:t>ng replacement of Victorian Public-Sector</w:t>
      </w:r>
      <w:r w:rsidRPr="00F9068F">
        <w:t xml:space="preserve"> Enterprise Bargaining </w:t>
      </w:r>
      <w:r>
        <w:t>Agreements (EBAs) as they progressively reach their nominal expiry date</w:t>
      </w:r>
      <w:r w:rsidRPr="00F9068F">
        <w:t>.</w:t>
      </w:r>
    </w:p>
    <w:p w14:paraId="30B5C1CC" w14:textId="77777777" w:rsidR="00BD7D6D" w:rsidRDefault="00BD7D6D" w:rsidP="00BD7D6D">
      <w:pPr>
        <w:rPr>
          <w:b/>
        </w:rPr>
      </w:pPr>
      <w:r w:rsidRPr="00544BBB">
        <w:t xml:space="preserve">Wages are expected to grow solidly in 2024-25, </w:t>
      </w:r>
      <w:r>
        <w:t xml:space="preserve">at </w:t>
      </w:r>
      <w:r w:rsidRPr="00544BBB">
        <w:t>3.50</w:t>
      </w:r>
      <w:r>
        <w:t> </w:t>
      </w:r>
      <w:r w:rsidRPr="00544BBB">
        <w:t xml:space="preserve">per cent. This is faster than the expected increase in </w:t>
      </w:r>
      <w:r>
        <w:t>consumer prices</w:t>
      </w:r>
      <w:r w:rsidRPr="00544BBB">
        <w:t xml:space="preserve">, resulting in a rise in real wages. </w:t>
      </w:r>
      <w:r>
        <w:t>Growth in</w:t>
      </w:r>
      <w:r w:rsidRPr="00544BBB">
        <w:t xml:space="preserve"> private</w:t>
      </w:r>
      <w:r>
        <w:t xml:space="preserve"> </w:t>
      </w:r>
      <w:r w:rsidRPr="00544BBB">
        <w:t xml:space="preserve">sector </w:t>
      </w:r>
      <w:r>
        <w:t>wages is expected to remain firm,</w:t>
      </w:r>
      <w:r w:rsidRPr="00544BBB">
        <w:t xml:space="preserve"> </w:t>
      </w:r>
      <w:r>
        <w:t xml:space="preserve">although growth is </w:t>
      </w:r>
      <w:r w:rsidRPr="00544BBB">
        <w:t xml:space="preserve">expected to continue easing from </w:t>
      </w:r>
      <w:r>
        <w:t>its</w:t>
      </w:r>
      <w:r w:rsidRPr="00544BBB">
        <w:t xml:space="preserve"> recent peak</w:t>
      </w:r>
      <w:r>
        <w:t xml:space="preserve"> due to labour market conditions that are less tight than in 2023</w:t>
      </w:r>
      <w:r>
        <w:noBreakHyphen/>
        <w:t>24. A</w:t>
      </w:r>
      <w:r w:rsidRPr="00544BBB">
        <w:t xml:space="preserve">ggregate wages growth should be supported by the </w:t>
      </w:r>
      <w:r>
        <w:t>progressive</w:t>
      </w:r>
      <w:r w:rsidRPr="00544BBB">
        <w:t xml:space="preserve"> finalisation of </w:t>
      </w:r>
      <w:r>
        <w:t>the replacement of</w:t>
      </w:r>
      <w:r w:rsidRPr="00544BBB" w:rsidDel="00EE02EA">
        <w:t xml:space="preserve"> </w:t>
      </w:r>
      <w:r w:rsidRPr="00544BBB">
        <w:t>Victorian public</w:t>
      </w:r>
      <w:r>
        <w:t xml:space="preserve"> </w:t>
      </w:r>
      <w:r w:rsidRPr="00544BBB">
        <w:t>sector EBAs. Rises in minimum and award wages will also contribute to overall wages growth. The Fair Work Commission raised the national minimum wage and modern awards by 3.75</w:t>
      </w:r>
      <w:r>
        <w:t> </w:t>
      </w:r>
      <w:r w:rsidRPr="00544BBB">
        <w:t>per cent (</w:t>
      </w:r>
      <w:r>
        <w:t xml:space="preserve">which </w:t>
      </w:r>
      <w:r w:rsidRPr="00544BBB">
        <w:t>applie</w:t>
      </w:r>
      <w:r>
        <w:t>d</w:t>
      </w:r>
      <w:r w:rsidRPr="00544BBB">
        <w:t xml:space="preserve"> from 1 July 2024) which was lower than the increase</w:t>
      </w:r>
      <w:r>
        <w:t>s</w:t>
      </w:r>
      <w:r w:rsidRPr="00544BBB">
        <w:t xml:space="preserve"> in the </w:t>
      </w:r>
      <w:r>
        <w:t>previous</w:t>
      </w:r>
      <w:r w:rsidRPr="00544BBB">
        <w:t xml:space="preserve"> two years</w:t>
      </w:r>
      <w:r>
        <w:t xml:space="preserve"> (of </w:t>
      </w:r>
      <w:r w:rsidRPr="00ED0C24">
        <w:t>between 4.</w:t>
      </w:r>
      <w:r>
        <w:t>6</w:t>
      </w:r>
      <w:r w:rsidRPr="00ED0C24">
        <w:t xml:space="preserve"> and 5.2</w:t>
      </w:r>
      <w:r>
        <w:t xml:space="preserve"> per cent in 2022 and </w:t>
      </w:r>
      <w:r w:rsidRPr="009B512C">
        <w:t>5.75</w:t>
      </w:r>
      <w:r>
        <w:t xml:space="preserve"> per cent in 2023)</w:t>
      </w:r>
      <w:r w:rsidRPr="00544BBB">
        <w:t>.</w:t>
      </w:r>
    </w:p>
    <w:p w14:paraId="47D8711F" w14:textId="77777777" w:rsidR="00BD7D6D" w:rsidRPr="00C36636" w:rsidRDefault="00BD7D6D" w:rsidP="00BD7D6D">
      <w:pPr>
        <w:pStyle w:val="Heading20"/>
      </w:pPr>
      <w:r w:rsidRPr="004A3666">
        <w:t>Population</w:t>
      </w:r>
    </w:p>
    <w:p w14:paraId="55788D13" w14:textId="3ABFD279" w:rsidR="00BD7D6D" w:rsidRDefault="00BD7D6D" w:rsidP="00BD7D6D">
      <w:r>
        <w:t xml:space="preserve">Victoria’s population growth has remained strong, growing by </w:t>
      </w:r>
      <w:r w:rsidRPr="00B96EF5">
        <w:t>2.7</w:t>
      </w:r>
      <w:r>
        <w:t xml:space="preserve"> per cent over the year to March 2024. Strong population growth over the past two years has been driven by overseas arrivals, particularly international students, following temporary disruptions to international student arrivals during the COVID-19 pandemic.</w:t>
      </w:r>
    </w:p>
    <w:p w14:paraId="0CC8F170" w14:textId="77777777" w:rsidR="00BD7D6D" w:rsidRDefault="00BD7D6D" w:rsidP="00E17784">
      <w:pPr>
        <w:ind w:right="-226"/>
      </w:pPr>
      <w:r>
        <w:t xml:space="preserve">Departures of many of these temporary migrants are expected to commence over the coming year. Student arrivals are also expected to decline. </w:t>
      </w:r>
      <w:r w:rsidRPr="00A31897">
        <w:t xml:space="preserve">Policies outlined in the Commonwealth’s </w:t>
      </w:r>
      <w:r w:rsidRPr="00A31897">
        <w:rPr>
          <w:i/>
          <w:iCs/>
        </w:rPr>
        <w:t>Migration Strategy</w:t>
      </w:r>
      <w:r w:rsidRPr="00A31897">
        <w:t>, including strengthened requirements for international students, have already resulted in a reduction in student visa grants</w:t>
      </w:r>
      <w:r>
        <w:t xml:space="preserve">. These factors are expected to lead to a smaller contribution to population growth from net overseas migration. </w:t>
      </w:r>
    </w:p>
    <w:p w14:paraId="13E31FDF" w14:textId="77777777" w:rsidR="00BD7D6D" w:rsidRPr="009B5F84" w:rsidRDefault="00BD7D6D" w:rsidP="00BD7D6D">
      <w:r>
        <w:t>Overall, population growth is expected to slow sharply in 2024-25 to 1.8 per cent, in line with the Commonwealth Government’</w:t>
      </w:r>
      <w:r w:rsidRPr="009668BF">
        <w:t>s forecasts for V</w:t>
      </w:r>
      <w:r>
        <w:t xml:space="preserve">ictorian population. </w:t>
      </w:r>
    </w:p>
    <w:p w14:paraId="0B4A5ABF" w14:textId="77777777" w:rsidR="00BD7D6D" w:rsidRDefault="00BD7D6D" w:rsidP="00BD7D6D">
      <w:pPr>
        <w:pStyle w:val="Heading10"/>
      </w:pPr>
      <w:bookmarkStart w:id="14" w:name="_Toc184198763"/>
      <w:bookmarkStart w:id="15" w:name="_Toc184299436"/>
      <w:bookmarkStart w:id="16" w:name="_Hlk149804356"/>
      <w:r w:rsidRPr="004A3666">
        <w:t>Australian economic conditions and outlook</w:t>
      </w:r>
      <w:bookmarkEnd w:id="14"/>
      <w:bookmarkEnd w:id="15"/>
    </w:p>
    <w:p w14:paraId="3E8815B9" w14:textId="77777777" w:rsidR="00BD7D6D" w:rsidRPr="00831FBC" w:rsidRDefault="00BD7D6D" w:rsidP="00BD7D6D">
      <w:r w:rsidRPr="00831FBC">
        <w:t xml:space="preserve">The Australian economy grew by 1.4 per cent in 2023-24, as elevated interest rates and high inflation weighed on activity. Growth was constrained by </w:t>
      </w:r>
      <w:r>
        <w:t>subdued</w:t>
      </w:r>
      <w:r w:rsidRPr="00831FBC">
        <w:t xml:space="preserve"> household consumption and a decline in dwelling investment. However, the labour market was resilient: employment growth was strong, and the unemployment rate remained low. </w:t>
      </w:r>
    </w:p>
    <w:p w14:paraId="05B626DD" w14:textId="77777777" w:rsidR="00BD7D6D" w:rsidRPr="00831FBC" w:rsidRDefault="00BD7D6D" w:rsidP="00BD7D6D">
      <w:pPr>
        <w:tabs>
          <w:tab w:val="left" w:pos="3002"/>
        </w:tabs>
      </w:pPr>
      <w:r>
        <w:t xml:space="preserve">In its </w:t>
      </w:r>
      <w:r w:rsidRPr="00831FBC">
        <w:t xml:space="preserve">November 2024 </w:t>
      </w:r>
      <w:r w:rsidRPr="00831FBC">
        <w:rPr>
          <w:i/>
          <w:iCs/>
        </w:rPr>
        <w:t>Statement on Monetary Policy</w:t>
      </w:r>
      <w:r>
        <w:rPr>
          <w:i/>
          <w:iCs/>
        </w:rPr>
        <w:t xml:space="preserve"> </w:t>
      </w:r>
      <w:r w:rsidRPr="00F30C5C">
        <w:t>the RBA for</w:t>
      </w:r>
      <w:r w:rsidRPr="00831FBC">
        <w:t xml:space="preserve">ecast the Australian economy to grow by </w:t>
      </w:r>
      <w:r>
        <w:t>1.7</w:t>
      </w:r>
      <w:r w:rsidRPr="00831FBC">
        <w:rPr>
          <w:i/>
          <w:iCs/>
        </w:rPr>
        <w:t xml:space="preserve"> </w:t>
      </w:r>
      <w:r w:rsidRPr="00831FBC">
        <w:t>per cent in 2024-25</w:t>
      </w:r>
      <w:r>
        <w:t xml:space="preserve">, which is a little below </w:t>
      </w:r>
      <w:r w:rsidRPr="00831FBC">
        <w:t xml:space="preserve">the RBA’s </w:t>
      </w:r>
      <w:r>
        <w:t xml:space="preserve">February </w:t>
      </w:r>
      <w:r w:rsidRPr="00831FBC">
        <w:t>forecast</w:t>
      </w:r>
      <w:r>
        <w:t xml:space="preserve"> of 1.9 per cent.</w:t>
      </w:r>
      <w:r w:rsidRPr="00831FBC">
        <w:t xml:space="preserve"> </w:t>
      </w:r>
      <w:r>
        <w:t xml:space="preserve">Growth is expected to be driven by </w:t>
      </w:r>
      <w:r w:rsidRPr="00831FBC">
        <w:t xml:space="preserve">household consumption and public demand. The RBA </w:t>
      </w:r>
      <w:bookmarkStart w:id="17" w:name="_Hlk179298645"/>
      <w:r w:rsidRPr="00831FBC">
        <w:t>expects household consumption to increase alongside real income growth</w:t>
      </w:r>
      <w:bookmarkEnd w:id="17"/>
      <w:r w:rsidRPr="00831FBC">
        <w:t xml:space="preserve"> </w:t>
      </w:r>
      <w:r>
        <w:t>supported by</w:t>
      </w:r>
      <w:r w:rsidRPr="00831FBC">
        <w:t xml:space="preserve"> the </w:t>
      </w:r>
      <w:bookmarkStart w:id="18" w:name="_Hlk179298773"/>
      <w:r>
        <w:t xml:space="preserve">Commonwealth’s income </w:t>
      </w:r>
      <w:r w:rsidRPr="00831FBC">
        <w:t>tax cuts</w:t>
      </w:r>
      <w:r>
        <w:t xml:space="preserve"> and</w:t>
      </w:r>
      <w:r w:rsidRPr="00831FBC">
        <w:t xml:space="preserve"> declining inflation</w:t>
      </w:r>
      <w:r>
        <w:t>, as well as rising household</w:t>
      </w:r>
      <w:r w:rsidRPr="00831FBC">
        <w:t xml:space="preserve"> wealth</w:t>
      </w:r>
      <w:bookmarkEnd w:id="18"/>
      <w:r w:rsidRPr="00831FBC">
        <w:t xml:space="preserve">. Strength in public demand is expected </w:t>
      </w:r>
      <w:r>
        <w:t xml:space="preserve">to be driven by increased Commonwealth spending on the provision of government services to households. </w:t>
      </w:r>
    </w:p>
    <w:p w14:paraId="37FD98CB" w14:textId="5F2EAD05" w:rsidR="00BD7D6D" w:rsidRPr="00831FBC" w:rsidRDefault="00BD7D6D" w:rsidP="00BD7D6D">
      <w:r>
        <w:t>T</w:t>
      </w:r>
      <w:r w:rsidRPr="00831FBC">
        <w:t xml:space="preserve">he </w:t>
      </w:r>
      <w:r>
        <w:t>national</w:t>
      </w:r>
      <w:r w:rsidRPr="00831FBC">
        <w:t xml:space="preserve"> labour market is expected to moderate in 2024-25. The RBA forecast</w:t>
      </w:r>
      <w:r>
        <w:t>s</w:t>
      </w:r>
      <w:r w:rsidRPr="00831FBC">
        <w:t xml:space="preserve"> employment to grow by 2.2 per cent over the year to the June quarter 2025 and the unemployment </w:t>
      </w:r>
      <w:r>
        <w:t xml:space="preserve">rate to </w:t>
      </w:r>
      <w:r w:rsidRPr="00831FBC">
        <w:t>ris</w:t>
      </w:r>
      <w:r>
        <w:t>e modestly</w:t>
      </w:r>
      <w:r w:rsidRPr="00831FBC">
        <w:t xml:space="preserve"> to </w:t>
      </w:r>
      <w:r w:rsidRPr="00F46922">
        <w:t>4.4</w:t>
      </w:r>
      <w:r w:rsidRPr="00831FBC">
        <w:t xml:space="preserve"> per cent</w:t>
      </w:r>
      <w:r>
        <w:t xml:space="preserve">, although this remains below </w:t>
      </w:r>
      <w:r>
        <w:br/>
        <w:t>pre-pandemic levels</w:t>
      </w:r>
      <w:r w:rsidRPr="00831FBC">
        <w:t xml:space="preserve">. Growth in nominal wages </w:t>
      </w:r>
      <w:r>
        <w:t xml:space="preserve">is </w:t>
      </w:r>
      <w:r w:rsidRPr="00831FBC">
        <w:t>expected to ease</w:t>
      </w:r>
      <w:r>
        <w:t xml:space="preserve">, with the </w:t>
      </w:r>
      <w:r w:rsidRPr="00831FBC">
        <w:t>RBA forecast</w:t>
      </w:r>
      <w:r>
        <w:t>ing</w:t>
      </w:r>
      <w:r w:rsidRPr="00831FBC">
        <w:t xml:space="preserve"> Australian wages to grow by </w:t>
      </w:r>
      <w:r w:rsidRPr="00F46922">
        <w:t>3.4</w:t>
      </w:r>
      <w:r w:rsidRPr="00831FBC">
        <w:t> per cent over the year to June 2025</w:t>
      </w:r>
      <w:r>
        <w:t>, down</w:t>
      </w:r>
      <w:r w:rsidR="00E17784">
        <w:t> </w:t>
      </w:r>
      <w:r>
        <w:t xml:space="preserve">from </w:t>
      </w:r>
      <w:r w:rsidRPr="00AE0CFF">
        <w:t>4.</w:t>
      </w:r>
      <w:r w:rsidRPr="00AE0CFF" w:rsidDel="00E14543">
        <w:t>1</w:t>
      </w:r>
      <w:r>
        <w:t> </w:t>
      </w:r>
      <w:r w:rsidDel="00E14543">
        <w:t>per</w:t>
      </w:r>
      <w:r>
        <w:t> cent over the year to June 2024</w:t>
      </w:r>
      <w:r w:rsidRPr="00831FBC">
        <w:t xml:space="preserve">. </w:t>
      </w:r>
    </w:p>
    <w:p w14:paraId="16DB798B" w14:textId="77777777" w:rsidR="00BD7D6D" w:rsidRDefault="00BD7D6D" w:rsidP="00BD7D6D">
      <w:pPr>
        <w:tabs>
          <w:tab w:val="left" w:pos="3002"/>
        </w:tabs>
      </w:pPr>
      <w:r>
        <w:t>Australian i</w:t>
      </w:r>
      <w:r w:rsidRPr="00831FBC">
        <w:t xml:space="preserve">nflation </w:t>
      </w:r>
      <w:r>
        <w:t xml:space="preserve">has </w:t>
      </w:r>
      <w:r w:rsidRPr="00831FBC">
        <w:t xml:space="preserve">moderated </w:t>
      </w:r>
      <w:r>
        <w:t xml:space="preserve">and is expected to ease further. The headline annual inflation rate was </w:t>
      </w:r>
      <w:r w:rsidRPr="00831FBC">
        <w:t xml:space="preserve">2.8 per cent in </w:t>
      </w:r>
      <w:r>
        <w:t xml:space="preserve">the </w:t>
      </w:r>
      <w:r w:rsidRPr="00831FBC">
        <w:t xml:space="preserve">September </w:t>
      </w:r>
      <w:r>
        <w:t xml:space="preserve">quarter </w:t>
      </w:r>
      <w:r w:rsidRPr="00831FBC">
        <w:t>2024</w:t>
      </w:r>
      <w:r>
        <w:t>, down</w:t>
      </w:r>
      <w:r w:rsidRPr="00831FBC">
        <w:t xml:space="preserve"> from its peak in December 2022 </w:t>
      </w:r>
      <w:r>
        <w:t>of</w:t>
      </w:r>
      <w:r w:rsidRPr="00831FBC">
        <w:t xml:space="preserve"> 7.8 per cent. The RBA forecast</w:t>
      </w:r>
      <w:r>
        <w:t>s</w:t>
      </w:r>
      <w:r w:rsidRPr="00831FBC">
        <w:t xml:space="preserve"> inflation to decline to </w:t>
      </w:r>
      <w:r w:rsidRPr="00F46922">
        <w:t>2.</w:t>
      </w:r>
      <w:r w:rsidRPr="00831FBC">
        <w:t>5 per cent in year-ended terms by June 2025</w:t>
      </w:r>
      <w:r>
        <w:t>,</w:t>
      </w:r>
      <w:r w:rsidRPr="00831FBC">
        <w:t xml:space="preserve"> as state and Commonwealth </w:t>
      </w:r>
      <w:r>
        <w:t>g</w:t>
      </w:r>
      <w:r w:rsidRPr="00831FBC">
        <w:t xml:space="preserve">overnment cost-of-living measures bring down average price growth – particularly electricity rebates and rent assistance. </w:t>
      </w:r>
      <w:r>
        <w:t>Inflation</w:t>
      </w:r>
      <w:r w:rsidRPr="00831FBC">
        <w:t xml:space="preserve"> is </w:t>
      </w:r>
      <w:r>
        <w:t xml:space="preserve">then </w:t>
      </w:r>
      <w:r w:rsidRPr="00831FBC">
        <w:t xml:space="preserve">expected to rise </w:t>
      </w:r>
      <w:r>
        <w:t xml:space="preserve">temporarily </w:t>
      </w:r>
      <w:r w:rsidRPr="00831FBC">
        <w:t xml:space="preserve">as </w:t>
      </w:r>
      <w:r>
        <w:t>the electricity rebate</w:t>
      </w:r>
      <w:r w:rsidRPr="00831FBC">
        <w:t xml:space="preserve"> unwinds. Underlying inflation is forecast to</w:t>
      </w:r>
      <w:r>
        <w:t xml:space="preserve"> continue to</w:t>
      </w:r>
      <w:r w:rsidRPr="00831FBC">
        <w:t xml:space="preserve"> decline gradually</w:t>
      </w:r>
      <w:r>
        <w:t xml:space="preserve"> and return to the RBA’s 2 to 3 per cent inflation target range in mid-to-late 2025 and to the midpoint of the target in late 2026</w:t>
      </w:r>
      <w:r w:rsidRPr="00831FBC">
        <w:t>.</w:t>
      </w:r>
      <w:r>
        <w:t xml:space="preserve"> </w:t>
      </w:r>
    </w:p>
    <w:p w14:paraId="7CD27C25" w14:textId="77777777" w:rsidR="00BD7D6D" w:rsidRDefault="00BD7D6D" w:rsidP="00BD7D6D">
      <w:pPr>
        <w:pStyle w:val="Heading10"/>
      </w:pPr>
      <w:bookmarkStart w:id="19" w:name="_Toc184198764"/>
      <w:bookmarkStart w:id="20" w:name="_Toc184299437"/>
      <w:r w:rsidRPr="004A3666">
        <w:t>International economic conditions and outlook</w:t>
      </w:r>
      <w:bookmarkEnd w:id="19"/>
      <w:bookmarkEnd w:id="20"/>
    </w:p>
    <w:p w14:paraId="31F18F8D" w14:textId="77777777" w:rsidR="00BD7D6D" w:rsidRDefault="00BD7D6D" w:rsidP="00BD7D6D">
      <w:r>
        <w:t xml:space="preserve">The global economy has remained fairly resilient amid the challenges of high inflation and elevated interest rates. Demand has been constrained and activity has slowed, but </w:t>
      </w:r>
      <w:r w:rsidRPr="00390476">
        <w:t xml:space="preserve">global </w:t>
      </w:r>
      <w:r>
        <w:t xml:space="preserve">growth has been more resilient than earlier expected. Inflation has eased since its peak in 2022, and central banks in several advanced economies have begun lowering interest rates. </w:t>
      </w:r>
    </w:p>
    <w:p w14:paraId="1B1CF4A8" w14:textId="77777777" w:rsidR="00BD7D6D" w:rsidRDefault="00BD7D6D" w:rsidP="00BD7D6D">
      <w:r>
        <w:t xml:space="preserve">In its October 2024 </w:t>
      </w:r>
      <w:r w:rsidRPr="00F46922">
        <w:rPr>
          <w:i/>
          <w:iCs/>
        </w:rPr>
        <w:t>World Economic Outlook</w:t>
      </w:r>
      <w:r>
        <w:t xml:space="preserve">, the International Monetary Fund (IMF) forecast the global economy to grow by 3.2 per cent in 2024 and 2025, similar to the 3.3 per cent recorded in 2023. However, this is below the 3.8 per cent annual average recorded over the two decades to 2019. These world forecasts are unchanged since the </w:t>
      </w:r>
      <w:r w:rsidRPr="00F46922">
        <w:rPr>
          <w:i/>
          <w:iCs/>
        </w:rPr>
        <w:t>2024-25</w:t>
      </w:r>
      <w:r>
        <w:rPr>
          <w:i/>
          <w:iCs/>
        </w:rPr>
        <w:t> </w:t>
      </w:r>
      <w:r w:rsidRPr="00F46922">
        <w:rPr>
          <w:i/>
          <w:iCs/>
        </w:rPr>
        <w:t>Budget</w:t>
      </w:r>
      <w:r>
        <w:t xml:space="preserve">. </w:t>
      </w:r>
    </w:p>
    <w:p w14:paraId="40E2A21B" w14:textId="77777777" w:rsidR="00BD7D6D" w:rsidRPr="0097282F" w:rsidRDefault="00BD7D6D" w:rsidP="00BD7D6D">
      <w:r>
        <w:t xml:space="preserve">Inflation has eased globally, particularly in advanced economies, though price pressures persist in some countries. Higher interest rates have constrained demand, which has reduced price pressure. Easing supply chain disruptions, an increase in the labour supply, and lower oil prices have also contributed to lower headline inflation in many economies. The IMF forecasts global inflation to be 5.8 per cent in 2024 and 4.3 per cent in 2025, slightly lower than at </w:t>
      </w:r>
      <w:r w:rsidRPr="00F46922">
        <w:rPr>
          <w:i/>
          <w:iCs/>
        </w:rPr>
        <w:t>2024-25 Budget</w:t>
      </w:r>
      <w:r>
        <w:t xml:space="preserve">. By 2026, the IMF expects global inflation will fall below its average level of 3.6 per cent recorded in the 20 years prior to the pandemic. </w:t>
      </w:r>
    </w:p>
    <w:p w14:paraId="5171ADD0" w14:textId="77777777" w:rsidR="00BD7D6D" w:rsidRDefault="00BD7D6D" w:rsidP="00BD7D6D">
      <w:pPr>
        <w:keepLines w:val="0"/>
        <w:rPr>
          <w:rFonts w:asciiTheme="majorHAnsi" w:eastAsiaTheme="majorEastAsia" w:hAnsiTheme="majorHAnsi" w:cstheme="majorBidi"/>
          <w:b/>
          <w:caps/>
          <w:sz w:val="27"/>
          <w:szCs w:val="40"/>
        </w:rPr>
      </w:pPr>
      <w:r>
        <w:br w:type="page"/>
      </w:r>
    </w:p>
    <w:p w14:paraId="1125F3C2" w14:textId="77777777" w:rsidR="00BD7D6D" w:rsidRPr="004A3666" w:rsidRDefault="00BD7D6D" w:rsidP="00BD7D6D">
      <w:pPr>
        <w:pStyle w:val="Heading10"/>
      </w:pPr>
      <w:bookmarkStart w:id="21" w:name="_Toc184198765"/>
      <w:bookmarkStart w:id="22" w:name="_Toc184299438"/>
      <w:r w:rsidRPr="004A3666">
        <w:t>Risks to the Victorian outlook</w:t>
      </w:r>
      <w:bookmarkEnd w:id="21"/>
      <w:bookmarkEnd w:id="22"/>
    </w:p>
    <w:bookmarkEnd w:id="16"/>
    <w:p w14:paraId="7805223B" w14:textId="77777777" w:rsidR="00BD7D6D" w:rsidRDefault="00BD7D6D" w:rsidP="00BD7D6D">
      <w:pPr>
        <w:keepLines w:val="0"/>
      </w:pPr>
      <w:r>
        <w:t xml:space="preserve">The outlook for consumer spending remains a key source of uncertainty for the Victorian economy, both to the upside and the downside. With household incomes expected to improve due to income tax cuts, ongoing firm wage growth and easing inflation, households may feel more confident about their financial position and hence spending growth could be stronger than forecast. Alternatively, uncertainty around the labour market outlook could lead some households to increase precautionary savings and moderate spending. </w:t>
      </w:r>
    </w:p>
    <w:p w14:paraId="77FF1995" w14:textId="77777777" w:rsidR="00BD7D6D" w:rsidRDefault="00BD7D6D" w:rsidP="00BD7D6D">
      <w:pPr>
        <w:keepLines w:val="0"/>
      </w:pPr>
      <w:r>
        <w:t xml:space="preserve">The path of inflation nationally, and hence the outlook for interest rates, is also uncertain. Though inflation is easing, services inflation remains high, partly driven by higher labour costs. Persistence in services inflation could mean overall price growth remains elevated for some time. Should this occur, the RBA could keep interest rates elevated for longer than expected. </w:t>
      </w:r>
    </w:p>
    <w:p w14:paraId="1085558E" w14:textId="77777777" w:rsidR="00BD7D6D" w:rsidRDefault="00BD7D6D" w:rsidP="00E17784">
      <w:pPr>
        <w:keepLines w:val="0"/>
        <w:ind w:right="222"/>
      </w:pPr>
      <w:r>
        <w:t>The pace at which labour cost growth and services inflation eases will be related to how soon unemployment returns to around its trend rate (or the rate at which labour market tightness is not adding to inflationary pressure). The trend rate of unemployment is an important forecasting assumption but cannot be observed, creating uncertainty about its true level. The trend unemployment rate may be lower than currently estimated, possibly due in part to the current cyclical strength in the labour market. A lower trend unemployment rate would lead to higher employment and GSP growth, without generating unsustainable pressures on labour cost growth or inflation.</w:t>
      </w:r>
    </w:p>
    <w:p w14:paraId="662FD5C4" w14:textId="696CF61A" w:rsidR="00BD7D6D" w:rsidRDefault="00BD7D6D" w:rsidP="00BD7D6D">
      <w:pPr>
        <w:keepLines w:val="0"/>
      </w:pPr>
      <w:r>
        <w:t>Meanwhile, the outlook for the global economy is a further uncertainty. One source of uncertainty stems from possible changes to US fiscal and trade policies following the recent US election, which could affect US and global inflation and economic growth, although the scale and timing are uncertain. Another risk to the outlook stems from heightened geopolitical tensions; for example, any escalation in the conflict in the Middle</w:t>
      </w:r>
      <w:r w:rsidR="00ED7E24">
        <w:t> </w:t>
      </w:r>
      <w:r>
        <w:t xml:space="preserve">East or Russia’s invasion of Ukraine may add to global inflation, with disruptions to energy markets. Economic growth in China could also ease more than expected, which would weigh on the global economy and likely lead to a decline in demand for Victorian exports. </w:t>
      </w:r>
    </w:p>
    <w:p w14:paraId="5428AE59" w14:textId="77777777" w:rsidR="00BD7D6D" w:rsidRPr="005E5332" w:rsidRDefault="00BD7D6D" w:rsidP="00BD7D6D">
      <w:r>
        <w:t xml:space="preserve">Chapter 6 </w:t>
      </w:r>
      <w:r w:rsidRPr="0083353A">
        <w:rPr>
          <w:i/>
        </w:rPr>
        <w:t>Sensitivity analysis</w:t>
      </w:r>
      <w:r>
        <w:t xml:space="preserve"> provides further information on the estimated economic and fiscal impacts of a lower trend unemployment rate, and of a downturn in the Victorian and Australian economies driven by weaker than expected growth in consumer spending.</w:t>
      </w:r>
    </w:p>
    <w:p w14:paraId="5E571767" w14:textId="3BC01128" w:rsidR="002E50E8" w:rsidRDefault="002E50E8">
      <w:pPr>
        <w:keepLines w:val="0"/>
        <w:rPr>
          <w:rFonts w:ascii="Garamond" w:hAnsi="Garamond"/>
        </w:rPr>
      </w:pPr>
      <w:r>
        <w:rPr>
          <w:rFonts w:ascii="Garamond" w:hAnsi="Garamond"/>
        </w:rPr>
        <w:br w:type="page"/>
      </w:r>
    </w:p>
    <w:p w14:paraId="525F0512" w14:textId="77777777" w:rsidR="00AB205D" w:rsidRDefault="00AB205D">
      <w:pPr>
        <w:rPr>
          <w:rFonts w:ascii="Garamond" w:hAnsi="Garamond"/>
        </w:rPr>
      </w:pPr>
    </w:p>
    <w:p w14:paraId="5C1F2F42" w14:textId="5994E5C3" w:rsidR="005F294E" w:rsidRDefault="005F294E">
      <w:pPr>
        <w:keepLines w:val="0"/>
      </w:pPr>
    </w:p>
    <w:p w14:paraId="3F1DB21F" w14:textId="77777777" w:rsidR="00F21FD1" w:rsidRDefault="00F21FD1" w:rsidP="00E43802"/>
    <w:p w14:paraId="555CB4B8" w14:textId="608DE882" w:rsidR="005F294E" w:rsidRDefault="005F294E" w:rsidP="00E43802">
      <w:pPr>
        <w:sectPr w:rsidR="005F294E" w:rsidSect="00570639">
          <w:headerReference w:type="even" r:id="rId26"/>
          <w:headerReference w:type="default" r:id="rId27"/>
          <w:footerReference w:type="even" r:id="rId28"/>
          <w:footerReference w:type="default" r:id="rId29"/>
          <w:headerReference w:type="first" r:id="rId30"/>
          <w:footerReference w:type="first" r:id="rId31"/>
          <w:pgSz w:w="9979" w:h="14175" w:code="34"/>
          <w:pgMar w:top="1134" w:right="1134" w:bottom="1134" w:left="1134" w:header="624" w:footer="567" w:gutter="0"/>
          <w:cols w:space="708"/>
          <w:docGrid w:linePitch="360"/>
        </w:sectPr>
      </w:pPr>
    </w:p>
    <w:p w14:paraId="4F20E463" w14:textId="77777777" w:rsidR="00AB205D" w:rsidRDefault="00471A3B">
      <w:pPr>
        <w:pStyle w:val="ChapterHeading"/>
      </w:pPr>
      <w:bookmarkStart w:id="23" w:name="_Toc472072539"/>
      <w:bookmarkStart w:id="24" w:name="_Toc184299439"/>
      <w:r>
        <w:t>Chapter 3 – Budget position and outlook</w:t>
      </w:r>
      <w:bookmarkEnd w:id="23"/>
      <w:bookmarkEnd w:id="24"/>
    </w:p>
    <w:p w14:paraId="7BA00165" w14:textId="77777777" w:rsidR="009256ED" w:rsidRPr="005E5332" w:rsidRDefault="009256ED" w:rsidP="00133F67">
      <w:pPr>
        <w:pStyle w:val="ShadedBoxBullet"/>
      </w:pPr>
      <w:r w:rsidRPr="005E5332">
        <w:t xml:space="preserve">The </w:t>
      </w:r>
      <w:r w:rsidRPr="008E027C">
        <w:rPr>
          <w:i/>
          <w:iCs/>
        </w:rPr>
        <w:t>202</w:t>
      </w:r>
      <w:r>
        <w:rPr>
          <w:i/>
          <w:iCs/>
        </w:rPr>
        <w:t>4</w:t>
      </w:r>
      <w:r w:rsidRPr="008E027C">
        <w:rPr>
          <w:i/>
          <w:iCs/>
        </w:rPr>
        <w:noBreakHyphen/>
        <w:t>2</w:t>
      </w:r>
      <w:r>
        <w:rPr>
          <w:i/>
          <w:iCs/>
        </w:rPr>
        <w:t>5</w:t>
      </w:r>
      <w:r w:rsidRPr="008E027C">
        <w:rPr>
          <w:i/>
          <w:iCs/>
        </w:rPr>
        <w:t xml:space="preserve"> Budget Update</w:t>
      </w:r>
      <w:r w:rsidRPr="005E5332">
        <w:t xml:space="preserve"> outlines the changes in the Government’s fiscal position by the end of the forward estimates compared with the </w:t>
      </w:r>
      <w:r w:rsidRPr="008E027C">
        <w:rPr>
          <w:i/>
          <w:iCs/>
        </w:rPr>
        <w:t>202</w:t>
      </w:r>
      <w:r>
        <w:rPr>
          <w:i/>
          <w:iCs/>
        </w:rPr>
        <w:t>4</w:t>
      </w:r>
      <w:r w:rsidRPr="008E027C">
        <w:rPr>
          <w:i/>
          <w:iCs/>
        </w:rPr>
        <w:noBreakHyphen/>
        <w:t>2</w:t>
      </w:r>
      <w:r>
        <w:rPr>
          <w:i/>
          <w:iCs/>
        </w:rPr>
        <w:t>5</w:t>
      </w:r>
      <w:r w:rsidRPr="008E027C">
        <w:rPr>
          <w:i/>
          <w:iCs/>
        </w:rPr>
        <w:t xml:space="preserve"> Budget</w:t>
      </w:r>
      <w:r w:rsidRPr="005E5332">
        <w:t>.</w:t>
      </w:r>
    </w:p>
    <w:p w14:paraId="44628716" w14:textId="77777777" w:rsidR="009256ED" w:rsidRDefault="009256ED" w:rsidP="00133F67">
      <w:pPr>
        <w:pStyle w:val="ShadedBoxBullet"/>
      </w:pPr>
      <w:r>
        <w:t>The Government continues to deliver on its fiscal strategy to restore the state’s finances following the COVID-19 pandemic.</w:t>
      </w:r>
    </w:p>
    <w:p w14:paraId="12E53987" w14:textId="77777777" w:rsidR="009256ED" w:rsidRDefault="009256ED" w:rsidP="00133F67">
      <w:pPr>
        <w:pStyle w:val="ShadedBoxBullet"/>
      </w:pPr>
      <w:r>
        <w:t>Net cash flows from operating activities for the general government sector continue to be forecast to be in surplus by $0.4 billion in 2024-25, increasing to $6.4 billion in 2027</w:t>
      </w:r>
      <w:r>
        <w:noBreakHyphen/>
        <w:t>28, demonstrating the Government’s commitment to strong financial management.</w:t>
      </w:r>
    </w:p>
    <w:p w14:paraId="7EDC9E0C" w14:textId="77777777" w:rsidR="009256ED" w:rsidRDefault="009256ED" w:rsidP="00133F67">
      <w:pPr>
        <w:pStyle w:val="ShadedBoxBullet"/>
      </w:pPr>
      <w:r>
        <w:t xml:space="preserve">The net result from transactions for the general government sector is forecast to be in deficit by $3.6 billion in 2024-25, before improving to an estimated surplus of $1.6 billion in 2025-26. The operating surplus is then forecast to increase to $2.0 billion in 2027-28. </w:t>
      </w:r>
    </w:p>
    <w:p w14:paraId="70A8206D" w14:textId="77777777" w:rsidR="009256ED" w:rsidRDefault="009256ED" w:rsidP="00133F67">
      <w:pPr>
        <w:pStyle w:val="ShadedBoxBullet"/>
      </w:pPr>
      <w:r>
        <w:t xml:space="preserve">The </w:t>
      </w:r>
      <w:r w:rsidRPr="00B46C83">
        <w:rPr>
          <w:i/>
          <w:iCs/>
        </w:rPr>
        <w:t>2024-25</w:t>
      </w:r>
      <w:r>
        <w:t xml:space="preserve"> </w:t>
      </w:r>
      <w:r w:rsidRPr="00B46C83">
        <w:rPr>
          <w:i/>
          <w:iCs/>
        </w:rPr>
        <w:t>Budget Update</w:t>
      </w:r>
      <w:r>
        <w:t xml:space="preserve"> forecasts higher operating surpluses across the forward estimates when compared to the </w:t>
      </w:r>
      <w:r w:rsidRPr="00B46C83">
        <w:rPr>
          <w:i/>
          <w:iCs/>
        </w:rPr>
        <w:t>2024-25 Budget</w:t>
      </w:r>
      <w:r>
        <w:t>.</w:t>
      </w:r>
    </w:p>
    <w:p w14:paraId="7CF0EF5A" w14:textId="77777777" w:rsidR="009256ED" w:rsidRDefault="009256ED" w:rsidP="00133F67">
      <w:pPr>
        <w:pStyle w:val="ShadedBoxBullet"/>
      </w:pPr>
      <w:r>
        <w:t xml:space="preserve">Net debt as a percentage of GSP is forecast to stabilise and decline within the forward estimates from 25.2 per cent in 2026-27 to 25.0 per cent in 2027-28. </w:t>
      </w:r>
    </w:p>
    <w:p w14:paraId="0E335CC2" w14:textId="7E20A91A" w:rsidR="00C60C65" w:rsidRPr="003E20EF" w:rsidRDefault="00C60C65" w:rsidP="00C60C65">
      <w:pPr>
        <w:pStyle w:val="ShadedBoxBullet"/>
      </w:pPr>
      <w:r w:rsidRPr="003E20EF">
        <w:t xml:space="preserve">Net debt to GSP is forecast to be lower in the budget year and each year of the forward estimates when compared with the </w:t>
      </w:r>
      <w:r w:rsidRPr="003E20EF">
        <w:rPr>
          <w:i/>
          <w:iCs/>
        </w:rPr>
        <w:t>2024-25 Budget</w:t>
      </w:r>
      <w:r w:rsidRPr="003E20EF">
        <w:t>.</w:t>
      </w:r>
    </w:p>
    <w:p w14:paraId="2DCC312E" w14:textId="77777777" w:rsidR="009256ED" w:rsidRPr="005E5332" w:rsidRDefault="009256ED" w:rsidP="00133F67">
      <w:pPr>
        <w:pStyle w:val="ShadedBoxBullet"/>
      </w:pPr>
      <w:r>
        <w:t xml:space="preserve">Government infrastructure investment (GII) is expected to continue to reduce from a peak in 2023-24 </w:t>
      </w:r>
      <w:r w:rsidDel="00F32021">
        <w:t>to</w:t>
      </w:r>
      <w:r>
        <w:t xml:space="preserve"> $15.6 billion by 2027</w:t>
      </w:r>
      <w:r>
        <w:noBreakHyphen/>
        <w:t>28.</w:t>
      </w:r>
    </w:p>
    <w:p w14:paraId="0D8788EE" w14:textId="77777777" w:rsidR="009256ED" w:rsidRPr="005E5332" w:rsidRDefault="009256ED" w:rsidP="00133F67">
      <w:pPr>
        <w:pStyle w:val="ShadedBoxBullet"/>
      </w:pPr>
      <w:r w:rsidRPr="005E5332">
        <w:t>The Government is on track to fully fund the state’s unfunded superannuation liability by 2035.</w:t>
      </w:r>
    </w:p>
    <w:p w14:paraId="239CD66C" w14:textId="77777777" w:rsidR="009256ED" w:rsidRDefault="009256ED" w:rsidP="009256ED"/>
    <w:p w14:paraId="52DABD68" w14:textId="77777777" w:rsidR="009256ED" w:rsidRPr="005E5332" w:rsidRDefault="009256ED" w:rsidP="009256ED">
      <w:r w:rsidRPr="005E5332">
        <w:t xml:space="preserve">This chapter presents the revised budget </w:t>
      </w:r>
      <w:r>
        <w:t xml:space="preserve">performance and </w:t>
      </w:r>
      <w:r w:rsidRPr="005E5332">
        <w:t>position of the Victorian public sector, incorporating the general government sector, the public non-financial corporations (PNFC) sector and the public financial corporations (PFC) sector for the budget year and forward estimates.</w:t>
      </w:r>
    </w:p>
    <w:p w14:paraId="2CA12642" w14:textId="77777777" w:rsidR="009256ED" w:rsidRPr="005E5332" w:rsidRDefault="009256ED" w:rsidP="009256ED">
      <w:r w:rsidRPr="005E5332">
        <w:t>It takes into account the financial impacts as at 2</w:t>
      </w:r>
      <w:r>
        <w:t>0</w:t>
      </w:r>
      <w:r w:rsidRPr="005E5332">
        <w:t xml:space="preserve"> November 202</w:t>
      </w:r>
      <w:r>
        <w:t>4</w:t>
      </w:r>
      <w:r w:rsidRPr="005E5332">
        <w:t xml:space="preserve"> of all decisions that affect the financial statements, unless otherwise stated. This chapter also reconciles and explains any movements since the </w:t>
      </w:r>
      <w:r w:rsidRPr="008E027C">
        <w:rPr>
          <w:i/>
          <w:iCs/>
        </w:rPr>
        <w:t>202</w:t>
      </w:r>
      <w:r>
        <w:rPr>
          <w:i/>
          <w:iCs/>
        </w:rPr>
        <w:t>4</w:t>
      </w:r>
      <w:r w:rsidRPr="008E027C">
        <w:rPr>
          <w:i/>
          <w:iCs/>
        </w:rPr>
        <w:noBreakHyphen/>
        <w:t>2</w:t>
      </w:r>
      <w:r>
        <w:rPr>
          <w:i/>
          <w:iCs/>
        </w:rPr>
        <w:t>5</w:t>
      </w:r>
      <w:r w:rsidRPr="008E027C">
        <w:rPr>
          <w:i/>
          <w:iCs/>
        </w:rPr>
        <w:t> Budget</w:t>
      </w:r>
      <w:r w:rsidRPr="005E5332">
        <w:t xml:space="preserve"> that affect the estimated net result from transactions. </w:t>
      </w:r>
    </w:p>
    <w:p w14:paraId="3D4585E6" w14:textId="77777777" w:rsidR="009256ED" w:rsidRDefault="009256ED" w:rsidP="009256ED">
      <w:pPr>
        <w:keepLines w:val="0"/>
      </w:pPr>
      <w:r>
        <w:br w:type="page"/>
      </w:r>
    </w:p>
    <w:p w14:paraId="2F2E8CD1" w14:textId="77777777" w:rsidR="009256ED" w:rsidRPr="005E5332" w:rsidRDefault="009256ED" w:rsidP="009256ED">
      <w:pPr>
        <w:pStyle w:val="Heading10"/>
      </w:pPr>
      <w:bookmarkStart w:id="25" w:name="_Toc179455710"/>
      <w:bookmarkStart w:id="26" w:name="_Toc184198767"/>
      <w:bookmarkStart w:id="27" w:name="_Toc184299440"/>
      <w:r w:rsidRPr="005E5332">
        <w:t>General government sector</w:t>
      </w:r>
      <w:bookmarkEnd w:id="25"/>
      <w:bookmarkEnd w:id="26"/>
      <w:bookmarkEnd w:id="27"/>
    </w:p>
    <w:p w14:paraId="27DCF39C" w14:textId="77777777" w:rsidR="009256ED" w:rsidRPr="005E5332" w:rsidRDefault="009256ED" w:rsidP="009256ED">
      <w:pPr>
        <w:pStyle w:val="Heading20"/>
      </w:pPr>
      <w:r w:rsidRPr="005E5332">
        <w:t>Overview</w:t>
      </w:r>
    </w:p>
    <w:p w14:paraId="627A7EA9" w14:textId="0E322019" w:rsidR="009256ED" w:rsidRDefault="009256ED" w:rsidP="00133F67">
      <w:pPr>
        <w:spacing w:before="100"/>
      </w:pPr>
      <w:r w:rsidRPr="000E374B">
        <w:t xml:space="preserve">As first outlined in the </w:t>
      </w:r>
      <w:r w:rsidRPr="005274F0">
        <w:rPr>
          <w:i/>
        </w:rPr>
        <w:t>2020-21 Budget</w:t>
      </w:r>
      <w:r w:rsidRPr="000E374B">
        <w:t xml:space="preserve">, the Government developed a fiscal strategy </w:t>
      </w:r>
      <w:r>
        <w:t xml:space="preserve">in response to the COVID-19 pandemic </w:t>
      </w:r>
      <w:r w:rsidRPr="000E374B">
        <w:t xml:space="preserve">and provide </w:t>
      </w:r>
      <w:r>
        <w:t xml:space="preserve">a strong </w:t>
      </w:r>
      <w:r w:rsidRPr="000E374B">
        <w:t>foundation for recovery. It</w:t>
      </w:r>
      <w:r w:rsidR="00133F67">
        <w:t> </w:t>
      </w:r>
      <w:r w:rsidRPr="000E374B">
        <w:t>involved a four-step plan to support Victorians through the pandemic and to restore the</w:t>
      </w:r>
      <w:r w:rsidR="00133F67">
        <w:t> </w:t>
      </w:r>
      <w:r w:rsidRPr="000E374B">
        <w:t>budget over the medium term</w:t>
      </w:r>
      <w:r>
        <w:t>.</w:t>
      </w:r>
    </w:p>
    <w:p w14:paraId="105A152E" w14:textId="77777777" w:rsidR="009256ED" w:rsidRPr="005E5332" w:rsidRDefault="009256ED" w:rsidP="00133F67">
      <w:pPr>
        <w:spacing w:before="100"/>
      </w:pPr>
      <w:r>
        <w:t xml:space="preserve">In the </w:t>
      </w:r>
      <w:r>
        <w:rPr>
          <w:i/>
          <w:iCs/>
        </w:rPr>
        <w:t>2024</w:t>
      </w:r>
      <w:r>
        <w:rPr>
          <w:i/>
          <w:iCs/>
        </w:rPr>
        <w:noBreakHyphen/>
        <w:t xml:space="preserve">25 Budget, </w:t>
      </w:r>
      <w:r>
        <w:t>the Government further progressed its fiscal strategy with the introduction of a new fifth step. This updated plan continues to provide a clear framework:</w:t>
      </w:r>
      <w:r w:rsidRPr="005E5332">
        <w:t xml:space="preserve"> </w:t>
      </w:r>
    </w:p>
    <w:p w14:paraId="6AEB3BE2" w14:textId="77777777" w:rsidR="009256ED" w:rsidRPr="005E5332" w:rsidRDefault="009256ED" w:rsidP="004D7F50">
      <w:pPr>
        <w:pStyle w:val="ListBullet"/>
      </w:pPr>
      <w:r w:rsidRPr="008E027C">
        <w:rPr>
          <w:b/>
          <w:bCs/>
        </w:rPr>
        <w:t>Step 1</w:t>
      </w:r>
      <w:r w:rsidRPr="005E5332">
        <w:t>: creating jobs, reducing unemployment and restoring economic growth</w:t>
      </w:r>
    </w:p>
    <w:p w14:paraId="5D653374" w14:textId="77777777" w:rsidR="009256ED" w:rsidRPr="005E5332" w:rsidRDefault="009256ED" w:rsidP="004D7F50">
      <w:pPr>
        <w:pStyle w:val="ListBullet"/>
      </w:pPr>
      <w:r w:rsidRPr="008E027C">
        <w:rPr>
          <w:b/>
          <w:bCs/>
        </w:rPr>
        <w:t>Step 2</w:t>
      </w:r>
      <w:r w:rsidRPr="005E5332">
        <w:t>: returning to an operating cash surplus</w:t>
      </w:r>
    </w:p>
    <w:p w14:paraId="0E73C7C7" w14:textId="77777777" w:rsidR="009256ED" w:rsidRPr="005E5332" w:rsidRDefault="009256ED" w:rsidP="004D7F50">
      <w:pPr>
        <w:pStyle w:val="ListBullet"/>
      </w:pPr>
      <w:r w:rsidRPr="008E027C">
        <w:rPr>
          <w:b/>
          <w:bCs/>
        </w:rPr>
        <w:t>Step 3</w:t>
      </w:r>
      <w:r w:rsidRPr="005E5332">
        <w:t>: returning to operating surpluses</w:t>
      </w:r>
    </w:p>
    <w:p w14:paraId="0AC3E095" w14:textId="77777777" w:rsidR="009256ED" w:rsidRDefault="009256ED" w:rsidP="004D7F50">
      <w:pPr>
        <w:pStyle w:val="ListBullet"/>
      </w:pPr>
      <w:r w:rsidRPr="008E027C">
        <w:rPr>
          <w:b/>
          <w:bCs/>
        </w:rPr>
        <w:t>Step 4</w:t>
      </w:r>
      <w:r w:rsidRPr="005E5332">
        <w:t xml:space="preserve">: stabilising </w:t>
      </w:r>
      <w:r>
        <w:t xml:space="preserve">net </w:t>
      </w:r>
      <w:r w:rsidRPr="005E5332">
        <w:t>debt levels</w:t>
      </w:r>
      <w:r>
        <w:t xml:space="preserve"> as a proportion of GSP </w:t>
      </w:r>
    </w:p>
    <w:p w14:paraId="178B6BF4" w14:textId="77777777" w:rsidR="009256ED" w:rsidRDefault="009256ED" w:rsidP="004D7F50">
      <w:pPr>
        <w:pStyle w:val="ListBullet"/>
      </w:pPr>
      <w:r>
        <w:rPr>
          <w:b/>
          <w:bCs/>
        </w:rPr>
        <w:t xml:space="preserve">Step 5: </w:t>
      </w:r>
      <w:r>
        <w:t>reducing net debt as a proportion of GSP.</w:t>
      </w:r>
    </w:p>
    <w:p w14:paraId="5AB92F7A" w14:textId="77777777" w:rsidR="009256ED" w:rsidRPr="005E5332" w:rsidRDefault="009256ED" w:rsidP="00133F67">
      <w:pPr>
        <w:spacing w:before="100"/>
      </w:pPr>
      <w:r w:rsidRPr="00F163AD">
        <w:t>Economic indicators demonstrate the success of step 1. The Victorian economy is performing well, with gross state product above pre-pandemic levels and the labour market strong</w:t>
      </w:r>
      <w:r w:rsidRPr="005E5332">
        <w:t xml:space="preserve">. </w:t>
      </w:r>
    </w:p>
    <w:p w14:paraId="0D5F523C" w14:textId="77777777" w:rsidR="009256ED" w:rsidRPr="005E5332" w:rsidRDefault="009256ED" w:rsidP="00133F67">
      <w:pPr>
        <w:spacing w:before="100"/>
      </w:pPr>
      <w:r w:rsidRPr="008D13A3">
        <w:t xml:space="preserve">The Government achieved step 2 as outlined in the </w:t>
      </w:r>
      <w:r w:rsidRPr="005274F0">
        <w:rPr>
          <w:i/>
        </w:rPr>
        <w:t>2022</w:t>
      </w:r>
      <w:r>
        <w:rPr>
          <w:i/>
          <w:iCs/>
        </w:rPr>
        <w:noBreakHyphen/>
      </w:r>
      <w:r w:rsidRPr="005274F0">
        <w:rPr>
          <w:i/>
        </w:rPr>
        <w:t>23 Financial Report</w:t>
      </w:r>
      <w:r>
        <w:rPr>
          <w:i/>
          <w:iCs/>
        </w:rPr>
        <w:t xml:space="preserve"> </w:t>
      </w:r>
      <w:r w:rsidRPr="00844E41">
        <w:t>and</w:t>
      </w:r>
      <w:r>
        <w:rPr>
          <w:i/>
          <w:iCs/>
        </w:rPr>
        <w:t xml:space="preserve"> </w:t>
      </w:r>
      <w:r w:rsidRPr="005274F0">
        <w:rPr>
          <w:i/>
          <w:iCs/>
        </w:rPr>
        <w:t>202</w:t>
      </w:r>
      <w:r>
        <w:rPr>
          <w:i/>
          <w:iCs/>
        </w:rPr>
        <w:t>3</w:t>
      </w:r>
      <w:r>
        <w:rPr>
          <w:i/>
          <w:iCs/>
        </w:rPr>
        <w:noBreakHyphen/>
      </w:r>
      <w:r w:rsidRPr="005274F0">
        <w:rPr>
          <w:i/>
          <w:iCs/>
        </w:rPr>
        <w:t>2</w:t>
      </w:r>
      <w:r>
        <w:rPr>
          <w:i/>
          <w:iCs/>
        </w:rPr>
        <w:t>4 </w:t>
      </w:r>
      <w:r w:rsidRPr="005274F0">
        <w:rPr>
          <w:i/>
          <w:iCs/>
        </w:rPr>
        <w:t>Financial Report</w:t>
      </w:r>
      <w:r w:rsidRPr="008D13A3">
        <w:t>, delivering operating cash surpluses consecutively across 2022-23 and 2023</w:t>
      </w:r>
      <w:r>
        <w:noBreakHyphen/>
      </w:r>
      <w:r w:rsidRPr="008D13A3">
        <w:t>24. The Government continues to forecast operating cash surpluses across the forward estimates with $0.4 billion in 2024</w:t>
      </w:r>
      <w:r>
        <w:noBreakHyphen/>
      </w:r>
      <w:r w:rsidRPr="008D13A3">
        <w:t>25 increasing to $6.4 billion in 2027</w:t>
      </w:r>
      <w:r>
        <w:noBreakHyphen/>
      </w:r>
      <w:r w:rsidRPr="008D13A3">
        <w:t>28</w:t>
      </w:r>
      <w:r w:rsidRPr="005E5332">
        <w:t>.</w:t>
      </w:r>
    </w:p>
    <w:p w14:paraId="1CE28564" w14:textId="77777777" w:rsidR="009256ED" w:rsidRPr="005E5332" w:rsidRDefault="009256ED" w:rsidP="00133F67">
      <w:pPr>
        <w:spacing w:before="100"/>
      </w:pPr>
      <w:r w:rsidRPr="008177CC">
        <w:t>The net result from transactions for the general government sector is forecast to be in deficit by $3.6 billion in 2024-25, before improving to an estimated surplus of $1.6 billion in 2025</w:t>
      </w:r>
      <w:r>
        <w:noBreakHyphen/>
      </w:r>
      <w:r w:rsidRPr="008177CC">
        <w:t>26</w:t>
      </w:r>
      <w:r>
        <w:t xml:space="preserve"> (Step 3)</w:t>
      </w:r>
      <w:r w:rsidRPr="008177CC">
        <w:t>. The operating surplus is then forecast to increase to $2.0 billion in 2027-28</w:t>
      </w:r>
      <w:r w:rsidRPr="005E5332">
        <w:t xml:space="preserve">. </w:t>
      </w:r>
    </w:p>
    <w:p w14:paraId="39240CA5" w14:textId="77777777" w:rsidR="009256ED" w:rsidRDefault="009256ED" w:rsidP="00133F67">
      <w:pPr>
        <w:spacing w:before="100"/>
      </w:pPr>
      <w:r w:rsidRPr="00DA1C89">
        <w:t xml:space="preserve">The </w:t>
      </w:r>
      <w:r w:rsidRPr="005274F0">
        <w:rPr>
          <w:i/>
        </w:rPr>
        <w:t>2024-25 Budget Update</w:t>
      </w:r>
      <w:r w:rsidRPr="00DA1C89">
        <w:t xml:space="preserve"> continues to forecast </w:t>
      </w:r>
      <w:r>
        <w:t xml:space="preserve">the </w:t>
      </w:r>
      <w:r w:rsidRPr="00DA1C89">
        <w:t xml:space="preserve">achievement of the Government’s fiscal strategy, with net debt as a percentage of GSP stabilising </w:t>
      </w:r>
      <w:r>
        <w:t xml:space="preserve">(Step 4) and then declining (Step 5) </w:t>
      </w:r>
      <w:r w:rsidRPr="00DA1C89">
        <w:t>by the end of the forward estimates. Net debt as a proportion of GSP is expected to declin</w:t>
      </w:r>
      <w:r>
        <w:t>e</w:t>
      </w:r>
      <w:r w:rsidRPr="00DA1C89">
        <w:t xml:space="preserve"> from 25.</w:t>
      </w:r>
      <w:r>
        <w:t>2 </w:t>
      </w:r>
      <w:r w:rsidRPr="00DA1C89">
        <w:t>per cent in 2026-27 to 2</w:t>
      </w:r>
      <w:r>
        <w:t>5.0</w:t>
      </w:r>
      <w:r w:rsidRPr="00DA1C89">
        <w:t xml:space="preserve"> per cent in 2027-28</w:t>
      </w:r>
      <w:r>
        <w:t>.</w:t>
      </w:r>
    </w:p>
    <w:p w14:paraId="3705DC13" w14:textId="77777777" w:rsidR="009256ED" w:rsidRPr="005E5332" w:rsidRDefault="009256ED" w:rsidP="00133F67">
      <w:pPr>
        <w:spacing w:before="100"/>
      </w:pPr>
      <w:r w:rsidRPr="0080141B">
        <w:t>Total revenue for the general government sector is expected to be $98.1 billion in 2024</w:t>
      </w:r>
      <w:r w:rsidRPr="0080141B">
        <w:rPr>
          <w:rFonts w:ascii="Times New Roman" w:hAnsi="Times New Roman"/>
        </w:rPr>
        <w:t>‑</w:t>
      </w:r>
      <w:r w:rsidRPr="0080141B">
        <w:t>25 before reaching $110.4 billion in 2027-28</w:t>
      </w:r>
      <w:r w:rsidRPr="005E5332">
        <w:t xml:space="preserve">. </w:t>
      </w:r>
    </w:p>
    <w:p w14:paraId="76D89F56" w14:textId="77777777" w:rsidR="009256ED" w:rsidRDefault="009256ED" w:rsidP="00133F67">
      <w:pPr>
        <w:spacing w:before="100"/>
      </w:pPr>
      <w:r w:rsidRPr="00BD65BE">
        <w:t>Total general government sector expenditure is expected to be $101.7 billion in 2024</w:t>
      </w:r>
      <w:r>
        <w:noBreakHyphen/>
      </w:r>
      <w:r w:rsidRPr="00BD65BE">
        <w:t>25 and grow by an average of 2.2 per cent a year over the forward estimates, reaching $108.4</w:t>
      </w:r>
      <w:r>
        <w:t> </w:t>
      </w:r>
      <w:r w:rsidRPr="00BD65BE">
        <w:t>billion in 2027</w:t>
      </w:r>
      <w:r>
        <w:noBreakHyphen/>
      </w:r>
      <w:r w:rsidRPr="00BD65BE">
        <w:t xml:space="preserve">28. </w:t>
      </w:r>
      <w:r>
        <w:t>This estimated average annual growth in expenditure is comparatively low relative to the forecast growth in the size of the Victorian economy as measured by GSP.</w:t>
      </w:r>
      <w:r w:rsidRPr="00BD65BE">
        <w:t xml:space="preserve"> Total expected expenditure includes the impact of all relevant government decisions, including those relating to service delivery and savings</w:t>
      </w:r>
      <w:r>
        <w:t>.</w:t>
      </w:r>
    </w:p>
    <w:p w14:paraId="6F65AFA8" w14:textId="77777777" w:rsidR="009256ED" w:rsidRPr="005E5332" w:rsidRDefault="009256ED" w:rsidP="00133F67">
      <w:pPr>
        <w:spacing w:before="100"/>
      </w:pPr>
      <w:r w:rsidRPr="00643624">
        <w:t xml:space="preserve">Interest expense as a share of total revenue is expected to average 7.5 per cent a year over the budget and forward </w:t>
      </w:r>
      <w:r>
        <w:t xml:space="preserve">estimates, lower than the average of 7.8 per cent a year when compared with the </w:t>
      </w:r>
      <w:r w:rsidRPr="00B46C83">
        <w:rPr>
          <w:i/>
          <w:iCs/>
        </w:rPr>
        <w:t>2024-25 Budget</w:t>
      </w:r>
      <w:r>
        <w:t xml:space="preserve">. </w:t>
      </w:r>
    </w:p>
    <w:p w14:paraId="2B10C555" w14:textId="77777777" w:rsidR="009256ED" w:rsidRPr="005E5332" w:rsidRDefault="009256ED" w:rsidP="00133F67">
      <w:pPr>
        <w:pStyle w:val="TableHeading"/>
      </w:pPr>
      <w:r w:rsidRPr="005E5332">
        <w:t xml:space="preserve">Table 3.1: </w:t>
      </w:r>
      <w:r w:rsidRPr="005E5332">
        <w:tab/>
        <w:t>General government fiscal aggregates</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GG_FiscalAggregates|MergedHeadingRow:1|TableGroup:Chapter 3"/>
      </w:tblPr>
      <w:tblGrid>
        <w:gridCol w:w="3261"/>
        <w:gridCol w:w="992"/>
        <w:gridCol w:w="864"/>
        <w:gridCol w:w="864"/>
        <w:gridCol w:w="864"/>
        <w:gridCol w:w="865"/>
      </w:tblGrid>
      <w:tr w:rsidR="009256ED" w14:paraId="32E12541"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3D6F06C0" w14:textId="77777777" w:rsidR="009256ED" w:rsidRDefault="009256ED" w:rsidP="008670FF">
            <w:pPr>
              <w:keepNext/>
            </w:pPr>
            <w:bookmarkStart w:id="28" w:name="_Toc117586245"/>
          </w:p>
        </w:tc>
        <w:tc>
          <w:tcPr>
            <w:tcW w:w="992" w:type="dxa"/>
          </w:tcPr>
          <w:p w14:paraId="6762C86B" w14:textId="77777777" w:rsidR="009256ED" w:rsidRDefault="009256ED" w:rsidP="008670FF">
            <w:pPr>
              <w:keepNext/>
              <w:jc w:val="center"/>
              <w:cnfStyle w:val="100000000000" w:firstRow="1" w:lastRow="0" w:firstColumn="0" w:lastColumn="0" w:oddVBand="0" w:evenVBand="0" w:oddHBand="0" w:evenHBand="0" w:firstRowFirstColumn="0" w:firstRowLastColumn="0" w:lastRowFirstColumn="0" w:lastRowLastColumn="0"/>
            </w:pPr>
            <w:r>
              <w:t>Unit of</w:t>
            </w:r>
            <w:r>
              <w:br/>
              <w:t>measure</w:t>
            </w:r>
          </w:p>
        </w:tc>
        <w:tc>
          <w:tcPr>
            <w:tcW w:w="864" w:type="dxa"/>
          </w:tcPr>
          <w:p w14:paraId="53AF9473"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64" w:type="dxa"/>
          </w:tcPr>
          <w:p w14:paraId="11DEE8FB"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64" w:type="dxa"/>
          </w:tcPr>
          <w:p w14:paraId="2F9C998F"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65" w:type="dxa"/>
          </w:tcPr>
          <w:p w14:paraId="25BBDB84"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3D807373"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025F0157" w14:textId="77777777" w:rsidR="009256ED" w:rsidRDefault="009256ED" w:rsidP="008670FF">
            <w:r>
              <w:t>Net result from transactions</w:t>
            </w:r>
          </w:p>
        </w:tc>
        <w:tc>
          <w:tcPr>
            <w:tcW w:w="992" w:type="dxa"/>
          </w:tcPr>
          <w:p w14:paraId="11C3081A" w14:textId="77777777" w:rsidR="009256ED" w:rsidRDefault="009256E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021A885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(3.6)</w:t>
            </w:r>
          </w:p>
        </w:tc>
        <w:tc>
          <w:tcPr>
            <w:tcW w:w="864" w:type="dxa"/>
          </w:tcPr>
          <w:p w14:paraId="4EED599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1.6</w:t>
            </w:r>
          </w:p>
        </w:tc>
        <w:tc>
          <w:tcPr>
            <w:tcW w:w="864" w:type="dxa"/>
          </w:tcPr>
          <w:p w14:paraId="02936DA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1.7</w:t>
            </w:r>
          </w:p>
        </w:tc>
        <w:tc>
          <w:tcPr>
            <w:tcW w:w="865" w:type="dxa"/>
          </w:tcPr>
          <w:p w14:paraId="6CE237B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2.0</w:t>
            </w:r>
          </w:p>
        </w:tc>
      </w:tr>
      <w:tr w:rsidR="009256ED" w14:paraId="018BEC44"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03D9D906" w14:textId="77777777" w:rsidR="009256ED" w:rsidRDefault="009256ED" w:rsidP="008670FF">
            <w:r>
              <w:t>Net cash flows from operating activities</w:t>
            </w:r>
          </w:p>
        </w:tc>
        <w:tc>
          <w:tcPr>
            <w:tcW w:w="992" w:type="dxa"/>
          </w:tcPr>
          <w:p w14:paraId="57677147" w14:textId="77777777" w:rsidR="009256ED" w:rsidRDefault="009256E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3671902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0.4</w:t>
            </w:r>
          </w:p>
        </w:tc>
        <w:tc>
          <w:tcPr>
            <w:tcW w:w="864" w:type="dxa"/>
          </w:tcPr>
          <w:p w14:paraId="3DB4F0F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7.2</w:t>
            </w:r>
          </w:p>
        </w:tc>
        <w:tc>
          <w:tcPr>
            <w:tcW w:w="864" w:type="dxa"/>
          </w:tcPr>
          <w:p w14:paraId="618C9BF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7.1</w:t>
            </w:r>
          </w:p>
        </w:tc>
        <w:tc>
          <w:tcPr>
            <w:tcW w:w="865" w:type="dxa"/>
          </w:tcPr>
          <w:p w14:paraId="6A48AFC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6.4</w:t>
            </w:r>
          </w:p>
        </w:tc>
      </w:tr>
      <w:tr w:rsidR="009256ED" w14:paraId="01E27AA5"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6FF39C0E" w14:textId="77777777" w:rsidR="009256ED" w:rsidRDefault="009256ED" w:rsidP="008670FF">
            <w:r>
              <w:t xml:space="preserve">Government infrastructure investment </w:t>
            </w:r>
            <w:r>
              <w:rPr>
                <w:vertAlign w:val="superscript"/>
              </w:rPr>
              <w:t>(a)(b)</w:t>
            </w:r>
          </w:p>
        </w:tc>
        <w:tc>
          <w:tcPr>
            <w:tcW w:w="992" w:type="dxa"/>
          </w:tcPr>
          <w:p w14:paraId="6FB6BD7F" w14:textId="77777777" w:rsidR="009256ED" w:rsidRDefault="009256E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5090929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23.5</w:t>
            </w:r>
          </w:p>
        </w:tc>
        <w:tc>
          <w:tcPr>
            <w:tcW w:w="864" w:type="dxa"/>
          </w:tcPr>
          <w:p w14:paraId="55559D6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21.7</w:t>
            </w:r>
          </w:p>
        </w:tc>
        <w:tc>
          <w:tcPr>
            <w:tcW w:w="864" w:type="dxa"/>
          </w:tcPr>
          <w:p w14:paraId="50834DE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18.7</w:t>
            </w:r>
          </w:p>
        </w:tc>
        <w:tc>
          <w:tcPr>
            <w:tcW w:w="865" w:type="dxa"/>
          </w:tcPr>
          <w:p w14:paraId="584FA10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15.6</w:t>
            </w:r>
          </w:p>
        </w:tc>
      </w:tr>
      <w:tr w:rsidR="009256ED" w14:paraId="1C77C707" w14:textId="77777777" w:rsidTr="008670FF">
        <w:tc>
          <w:tcPr>
            <w:cnfStyle w:val="001000000000" w:firstRow="0" w:lastRow="0" w:firstColumn="1" w:lastColumn="0" w:oddVBand="0" w:evenVBand="0" w:oddHBand="0" w:evenHBand="0" w:firstRowFirstColumn="0" w:firstRowLastColumn="0" w:lastRowFirstColumn="0" w:lastRowLastColumn="0"/>
            <w:tcW w:w="3261" w:type="dxa"/>
          </w:tcPr>
          <w:p w14:paraId="6887B646" w14:textId="77777777" w:rsidR="009256ED" w:rsidRDefault="009256ED" w:rsidP="008670FF">
            <w:r>
              <w:t>Net debt</w:t>
            </w:r>
          </w:p>
        </w:tc>
        <w:tc>
          <w:tcPr>
            <w:tcW w:w="992" w:type="dxa"/>
          </w:tcPr>
          <w:p w14:paraId="39688D53" w14:textId="77777777" w:rsidR="009256ED" w:rsidRDefault="009256ED" w:rsidP="008670FF">
            <w:pPr>
              <w:jc w:val="center"/>
              <w:cnfStyle w:val="000000000000" w:firstRow="0" w:lastRow="0" w:firstColumn="0" w:lastColumn="0" w:oddVBand="0" w:evenVBand="0" w:oddHBand="0" w:evenHBand="0" w:firstRowFirstColumn="0" w:firstRowLastColumn="0" w:lastRowFirstColumn="0" w:lastRowLastColumn="0"/>
            </w:pPr>
            <w:r>
              <w:t>$ billion</w:t>
            </w:r>
          </w:p>
        </w:tc>
        <w:tc>
          <w:tcPr>
            <w:tcW w:w="864" w:type="dxa"/>
          </w:tcPr>
          <w:p w14:paraId="7B02773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155.2</w:t>
            </w:r>
          </w:p>
        </w:tc>
        <w:tc>
          <w:tcPr>
            <w:tcW w:w="864" w:type="dxa"/>
          </w:tcPr>
          <w:p w14:paraId="28A4D04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168.5</w:t>
            </w:r>
          </w:p>
        </w:tc>
        <w:tc>
          <w:tcPr>
            <w:tcW w:w="864" w:type="dxa"/>
          </w:tcPr>
          <w:p w14:paraId="55D5FB8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179.0</w:t>
            </w:r>
          </w:p>
        </w:tc>
        <w:tc>
          <w:tcPr>
            <w:tcW w:w="865" w:type="dxa"/>
          </w:tcPr>
          <w:p w14:paraId="0D1FEA9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187.3</w:t>
            </w:r>
          </w:p>
        </w:tc>
      </w:tr>
      <w:tr w:rsidR="009256ED" w14:paraId="46F669CD" w14:textId="77777777" w:rsidTr="008670FF">
        <w:tc>
          <w:tcPr>
            <w:cnfStyle w:val="001000000000" w:firstRow="0" w:lastRow="0" w:firstColumn="1" w:lastColumn="0" w:oddVBand="0" w:evenVBand="0" w:oddHBand="0" w:evenHBand="0" w:firstRowFirstColumn="0" w:firstRowLastColumn="0" w:lastRowFirstColumn="0" w:lastRowLastColumn="0"/>
            <w:tcW w:w="3261" w:type="dxa"/>
            <w:tcBorders>
              <w:bottom w:val="single" w:sz="12" w:space="0" w:color="auto"/>
            </w:tcBorders>
          </w:tcPr>
          <w:p w14:paraId="3A1B0A0C" w14:textId="77777777" w:rsidR="009256ED" w:rsidRDefault="009256ED" w:rsidP="008670FF">
            <w:r>
              <w:t xml:space="preserve">Net debt to GSP </w:t>
            </w:r>
            <w:r>
              <w:rPr>
                <w:vertAlign w:val="superscript"/>
              </w:rPr>
              <w:t>(c)</w:t>
            </w:r>
          </w:p>
        </w:tc>
        <w:tc>
          <w:tcPr>
            <w:tcW w:w="992" w:type="dxa"/>
            <w:tcBorders>
              <w:bottom w:val="single" w:sz="12" w:space="0" w:color="auto"/>
            </w:tcBorders>
          </w:tcPr>
          <w:p w14:paraId="3A5D322C" w14:textId="77777777" w:rsidR="009256ED" w:rsidRDefault="009256ED" w:rsidP="008670FF">
            <w:pPr>
              <w:jc w:val="center"/>
              <w:cnfStyle w:val="000000000000" w:firstRow="0" w:lastRow="0" w:firstColumn="0" w:lastColumn="0" w:oddVBand="0" w:evenVBand="0" w:oddHBand="0" w:evenHBand="0" w:firstRowFirstColumn="0" w:firstRowLastColumn="0" w:lastRowFirstColumn="0" w:lastRowLastColumn="0"/>
            </w:pPr>
            <w:r>
              <w:t>per cent</w:t>
            </w:r>
          </w:p>
        </w:tc>
        <w:tc>
          <w:tcPr>
            <w:tcW w:w="864" w:type="dxa"/>
            <w:tcBorders>
              <w:bottom w:val="single" w:sz="12" w:space="0" w:color="auto"/>
            </w:tcBorders>
          </w:tcPr>
          <w:p w14:paraId="245A843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24.2</w:t>
            </w:r>
          </w:p>
        </w:tc>
        <w:tc>
          <w:tcPr>
            <w:tcW w:w="864" w:type="dxa"/>
            <w:tcBorders>
              <w:bottom w:val="single" w:sz="12" w:space="0" w:color="auto"/>
            </w:tcBorders>
          </w:tcPr>
          <w:p w14:paraId="3F8F481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25.0</w:t>
            </w:r>
          </w:p>
        </w:tc>
        <w:tc>
          <w:tcPr>
            <w:tcW w:w="864" w:type="dxa"/>
            <w:tcBorders>
              <w:bottom w:val="single" w:sz="12" w:space="0" w:color="auto"/>
            </w:tcBorders>
          </w:tcPr>
          <w:p w14:paraId="76CC60F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25.2</w:t>
            </w:r>
          </w:p>
        </w:tc>
        <w:tc>
          <w:tcPr>
            <w:tcW w:w="865" w:type="dxa"/>
            <w:tcBorders>
              <w:bottom w:val="single" w:sz="12" w:space="0" w:color="auto"/>
            </w:tcBorders>
          </w:tcPr>
          <w:p w14:paraId="19B16ED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25.0</w:t>
            </w:r>
          </w:p>
        </w:tc>
      </w:tr>
    </w:tbl>
    <w:p w14:paraId="7645B7AF" w14:textId="77777777" w:rsidR="009256ED" w:rsidRDefault="009256ED" w:rsidP="009256ED">
      <w:pPr>
        <w:pStyle w:val="Note"/>
      </w:pPr>
      <w:r>
        <w:t>Notes:</w:t>
      </w:r>
    </w:p>
    <w:p w14:paraId="6BA4A916" w14:textId="77777777" w:rsidR="009256ED" w:rsidRDefault="009256ED" w:rsidP="009256ED">
      <w:pPr>
        <w:pStyle w:val="Note"/>
      </w:pPr>
      <w:r>
        <w:t>(a)</w:t>
      </w:r>
      <w:r>
        <w:tab/>
        <w:t>Includes general government net infrastructure investment and estimated construction costs of public private partnership projects.</w:t>
      </w:r>
    </w:p>
    <w:p w14:paraId="26F79C37" w14:textId="77777777" w:rsidR="009256ED" w:rsidRDefault="009256ED" w:rsidP="009256ED">
      <w:pPr>
        <w:pStyle w:val="Note"/>
      </w:pPr>
      <w:r>
        <w:t>(b)</w:t>
      </w:r>
      <w:r>
        <w:tab/>
        <w:t>Includes the estimated private sector construction-related expenditure associated with the North East Link held in the PNFC sector.</w:t>
      </w:r>
    </w:p>
    <w:p w14:paraId="0430C120" w14:textId="77777777" w:rsidR="009256ED" w:rsidRDefault="009256ED" w:rsidP="009256ED">
      <w:pPr>
        <w:pStyle w:val="Note"/>
      </w:pPr>
      <w:r>
        <w:t>(c)</w:t>
      </w:r>
      <w:r>
        <w:tab/>
        <w:t>The ratios to GSP may vary from publications year to year due to revisions to the Australian Bureau of Statistics GSP data.</w:t>
      </w:r>
    </w:p>
    <w:p w14:paraId="5D6DA59D" w14:textId="77777777" w:rsidR="009256ED" w:rsidRPr="004D51E6" w:rsidRDefault="009256ED" w:rsidP="009256ED"/>
    <w:p w14:paraId="527772B1" w14:textId="70091D18" w:rsidR="009256ED" w:rsidRDefault="009256ED" w:rsidP="009256ED">
      <w:r w:rsidRPr="00C220D5">
        <w:t xml:space="preserve">Government infrastructure investment (GII) is expected to </w:t>
      </w:r>
      <w:r>
        <w:t xml:space="preserve">have peaked in 2023-24 and </w:t>
      </w:r>
      <w:r w:rsidR="00B6277D">
        <w:t xml:space="preserve">will </w:t>
      </w:r>
      <w:r>
        <w:t xml:space="preserve">reduce </w:t>
      </w:r>
      <w:r w:rsidRPr="00912F22">
        <w:t>to $15.6 billion</w:t>
      </w:r>
      <w:r>
        <w:t xml:space="preserve"> by the end of the forward estimates. GII </w:t>
      </w:r>
      <w:r w:rsidRPr="00C220D5">
        <w:t>average</w:t>
      </w:r>
      <w:r>
        <w:t>s</w:t>
      </w:r>
      <w:r w:rsidRPr="00C220D5">
        <w:t xml:space="preserve"> $19.9 billion a year over the budget and forward estimates period</w:t>
      </w:r>
      <w:r>
        <w:t xml:space="preserve"> which is marginally higher than at the </w:t>
      </w:r>
      <w:r>
        <w:rPr>
          <w:i/>
          <w:iCs/>
        </w:rPr>
        <w:t>2024-25 Budget</w:t>
      </w:r>
      <w:r w:rsidRPr="00C220D5">
        <w:t>. The Government continues to return its capital program towards pre</w:t>
      </w:r>
      <w:r w:rsidR="00133F67">
        <w:noBreakHyphen/>
      </w:r>
      <w:r w:rsidRPr="00C220D5">
        <w:t>COVID levels by the end of the forward estimates to take account of the strength of the Victorian economy as well as industry capacity in the construction sector</w:t>
      </w:r>
      <w:r>
        <w:t>.</w:t>
      </w:r>
    </w:p>
    <w:p w14:paraId="4B77D767" w14:textId="77777777" w:rsidR="009256ED" w:rsidRDefault="009256ED" w:rsidP="009256ED">
      <w:r w:rsidRPr="00C67757">
        <w:t xml:space="preserve">Net debt is expected to be $155.2 billion at June 2025 and $187.3 billion by June 2028. </w:t>
      </w:r>
      <w:r>
        <w:t xml:space="preserve">This is an improvement in the budget year and each year of the forward estimates, including an improvement of $0.5 billion to 2027-28 when compared with the </w:t>
      </w:r>
      <w:r w:rsidRPr="00733B40">
        <w:rPr>
          <w:i/>
          <w:iCs/>
        </w:rPr>
        <w:t>2024-25 Budget</w:t>
      </w:r>
      <w:r>
        <w:t xml:space="preserve">. </w:t>
      </w:r>
    </w:p>
    <w:p w14:paraId="29CC7FEC" w14:textId="7FBD6A24" w:rsidR="00AE4D7A" w:rsidRDefault="00AE4D7A" w:rsidP="00AE4D7A">
      <w:bookmarkStart w:id="29" w:name="_Toc179455711"/>
      <w:bookmarkStart w:id="30" w:name="_Toc184198768"/>
      <w:bookmarkStart w:id="31" w:name="_Toc184299441"/>
      <w:r w:rsidRPr="0008542D">
        <w:t xml:space="preserve">As a proportion of GSP, net debt is projected to be 24.2 per cent at June 2025, before peaking at 25.2 per cent by June 2027. Net debt to GSP is then forecast to decline by June 2028 to 25.0 per cent. Net debt to GSP is forecast to be lower in the budget year and each year of the forward estimates when compared with the </w:t>
      </w:r>
      <w:r w:rsidRPr="0008542D">
        <w:rPr>
          <w:i/>
          <w:iCs/>
        </w:rPr>
        <w:t>2024-25 Budget</w:t>
      </w:r>
      <w:r w:rsidRPr="0008542D">
        <w:t>.</w:t>
      </w:r>
    </w:p>
    <w:p w14:paraId="4AAA0DC9" w14:textId="77777777" w:rsidR="009256ED" w:rsidRDefault="009256ED" w:rsidP="009256ED">
      <w:pPr>
        <w:pStyle w:val="Heading10"/>
        <w:pageBreakBefore/>
      </w:pPr>
      <w:r>
        <w:t>Budget and forward estimates outlook</w:t>
      </w:r>
      <w:bookmarkEnd w:id="29"/>
      <w:bookmarkEnd w:id="30"/>
      <w:bookmarkEnd w:id="31"/>
    </w:p>
    <w:p w14:paraId="78DFC231" w14:textId="77777777" w:rsidR="009256ED" w:rsidRDefault="009256ED" w:rsidP="009256ED">
      <w:pPr>
        <w:keepNext/>
      </w:pPr>
      <w:r>
        <w:t xml:space="preserve">Table 3.2 summarises the operating statement for the general government sector. A comprehensive operating statement is presented in Chapter 4 </w:t>
      </w:r>
      <w:r w:rsidRPr="00B8772B">
        <w:rPr>
          <w:i/>
          <w:iCs/>
        </w:rPr>
        <w:t>Estimated financial statements and notes</w:t>
      </w:r>
      <w:r>
        <w:t xml:space="preserve">. </w:t>
      </w:r>
    </w:p>
    <w:bookmarkEnd w:id="28"/>
    <w:p w14:paraId="3B29BA67" w14:textId="77777777" w:rsidR="009256ED" w:rsidRDefault="009256ED" w:rsidP="00133F67">
      <w:pPr>
        <w:pStyle w:val="TableHeading"/>
      </w:pPr>
      <w:r w:rsidRPr="00C203E5">
        <w:t xml:space="preserve">Table </w:t>
      </w:r>
      <w:r>
        <w:t>3.2</w:t>
      </w:r>
      <w:r w:rsidRPr="00C203E5">
        <w:t xml:space="preserve">: </w:t>
      </w:r>
      <w:r w:rsidRPr="00C203E5">
        <w:tab/>
        <w:t>Summary operating statement for the general government sector</w:t>
      </w:r>
      <w:r>
        <w:t xml:space="preserve"> </w:t>
      </w:r>
      <w:r w:rsidRPr="00C203E5">
        <w:rPr>
          <w:vertAlign w:val="superscript"/>
        </w:rPr>
        <w:t>(a)</w:t>
      </w:r>
      <w:r w:rsidRPr="00C203E5">
        <w:rPr>
          <w:vertAlign w:val="superscript"/>
        </w:rPr>
        <w:tab/>
      </w:r>
      <w:r w:rsidRPr="00C203E5">
        <w:t>($</w:t>
      </w:r>
      <w:r>
        <w:t> million</w:t>
      </w:r>
      <w:r w:rsidRPr="00C203E5">
        <w:t>)</w:t>
      </w:r>
    </w:p>
    <w:tbl>
      <w:tblPr>
        <w:tblStyle w:val="DTFTableNumeric"/>
        <w:tblW w:w="7711" w:type="dxa"/>
        <w:tblLayout w:type="fixed"/>
        <w:tblLook w:val="06A0" w:firstRow="1" w:lastRow="0" w:firstColumn="1" w:lastColumn="0" w:noHBand="1" w:noVBand="1"/>
        <w:tblDescription w:val="Type:DtfTable|Workbook:https://vicgov.sharepoint.com/sites/VG002735/Budget%20Update/Chapter%203/Link_Chapter%203%20Budget%20Position%20and%20Outlook.xlsx|Table:GG_SummaryOS|MergedHeadingRow:1|TableGroup:Chapter 3"/>
      </w:tblPr>
      <w:tblGrid>
        <w:gridCol w:w="3969"/>
        <w:gridCol w:w="935"/>
        <w:gridCol w:w="936"/>
        <w:gridCol w:w="935"/>
        <w:gridCol w:w="936"/>
      </w:tblGrid>
      <w:tr w:rsidR="009256ED" w14:paraId="6185E9C3"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4AE0CAC6" w14:textId="77777777" w:rsidR="009256ED" w:rsidRDefault="009256ED" w:rsidP="008670FF">
            <w:pPr>
              <w:keepNext/>
              <w:spacing w:after="0"/>
            </w:pPr>
          </w:p>
        </w:tc>
        <w:tc>
          <w:tcPr>
            <w:tcW w:w="935" w:type="dxa"/>
          </w:tcPr>
          <w:p w14:paraId="2CCFE11A" w14:textId="77777777" w:rsidR="009256ED" w:rsidRDefault="009256ED"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936" w:type="dxa"/>
          </w:tcPr>
          <w:p w14:paraId="3DFB6DC0" w14:textId="77777777" w:rsidR="009256ED" w:rsidRDefault="009256ED" w:rsidP="008670F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935" w:type="dxa"/>
          </w:tcPr>
          <w:p w14:paraId="71AE2747" w14:textId="77777777" w:rsidR="009256ED" w:rsidRDefault="009256ED" w:rsidP="008670F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936" w:type="dxa"/>
          </w:tcPr>
          <w:p w14:paraId="4125C867" w14:textId="77777777" w:rsidR="009256ED" w:rsidRDefault="009256ED" w:rsidP="008670F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648E448E"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6965CF94" w14:textId="77777777" w:rsidR="009256ED" w:rsidRDefault="009256ED" w:rsidP="008670FF">
            <w:pPr>
              <w:spacing w:after="0"/>
            </w:pPr>
            <w:r>
              <w:rPr>
                <w:b/>
              </w:rPr>
              <w:t>Revenue and income from transactions</w:t>
            </w:r>
          </w:p>
        </w:tc>
        <w:tc>
          <w:tcPr>
            <w:tcW w:w="935" w:type="dxa"/>
          </w:tcPr>
          <w:p w14:paraId="01D956A2"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p>
        </w:tc>
        <w:tc>
          <w:tcPr>
            <w:tcW w:w="936" w:type="dxa"/>
          </w:tcPr>
          <w:p w14:paraId="09DD2D9E"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p>
        </w:tc>
        <w:tc>
          <w:tcPr>
            <w:tcW w:w="935" w:type="dxa"/>
          </w:tcPr>
          <w:p w14:paraId="052BB2B0"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p>
        </w:tc>
        <w:tc>
          <w:tcPr>
            <w:tcW w:w="936" w:type="dxa"/>
          </w:tcPr>
          <w:p w14:paraId="7872BB74"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p>
        </w:tc>
      </w:tr>
      <w:tr w:rsidR="009256ED" w14:paraId="2B46F2C2"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40E8F8CB" w14:textId="77777777" w:rsidR="009256ED" w:rsidRDefault="009256ED" w:rsidP="008670FF">
            <w:pPr>
              <w:spacing w:after="0"/>
            </w:pPr>
            <w:r>
              <w:t>Taxation</w:t>
            </w:r>
          </w:p>
        </w:tc>
        <w:tc>
          <w:tcPr>
            <w:tcW w:w="935" w:type="dxa"/>
          </w:tcPr>
          <w:p w14:paraId="449D4B3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39 152</w:t>
            </w:r>
          </w:p>
        </w:tc>
        <w:tc>
          <w:tcPr>
            <w:tcW w:w="936" w:type="dxa"/>
          </w:tcPr>
          <w:p w14:paraId="615BD4D9"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41 563</w:t>
            </w:r>
          </w:p>
        </w:tc>
        <w:tc>
          <w:tcPr>
            <w:tcW w:w="935" w:type="dxa"/>
          </w:tcPr>
          <w:p w14:paraId="1B016E70"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43 776</w:t>
            </w:r>
          </w:p>
        </w:tc>
        <w:tc>
          <w:tcPr>
            <w:tcW w:w="936" w:type="dxa"/>
          </w:tcPr>
          <w:p w14:paraId="20F67DDB"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45 788</w:t>
            </w:r>
          </w:p>
        </w:tc>
      </w:tr>
      <w:tr w:rsidR="009256ED" w14:paraId="27EFE0DB"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5BDBB8CB" w14:textId="77777777" w:rsidR="009256ED" w:rsidRDefault="009256ED" w:rsidP="008670FF">
            <w:pPr>
              <w:spacing w:after="0"/>
            </w:pPr>
            <w:r>
              <w:t xml:space="preserve">Dividends, TER and interest </w:t>
            </w:r>
            <w:r>
              <w:rPr>
                <w:vertAlign w:val="superscript"/>
              </w:rPr>
              <w:t>(b)</w:t>
            </w:r>
          </w:p>
        </w:tc>
        <w:tc>
          <w:tcPr>
            <w:tcW w:w="935" w:type="dxa"/>
          </w:tcPr>
          <w:p w14:paraId="174D260E"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2 523</w:t>
            </w:r>
          </w:p>
        </w:tc>
        <w:tc>
          <w:tcPr>
            <w:tcW w:w="936" w:type="dxa"/>
          </w:tcPr>
          <w:p w14:paraId="05B9A68E"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2 264</w:t>
            </w:r>
          </w:p>
        </w:tc>
        <w:tc>
          <w:tcPr>
            <w:tcW w:w="935" w:type="dxa"/>
          </w:tcPr>
          <w:p w14:paraId="3E37434B"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2 334</w:t>
            </w:r>
          </w:p>
        </w:tc>
        <w:tc>
          <w:tcPr>
            <w:tcW w:w="936" w:type="dxa"/>
          </w:tcPr>
          <w:p w14:paraId="691D6671"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2 398</w:t>
            </w:r>
          </w:p>
        </w:tc>
      </w:tr>
      <w:tr w:rsidR="009256ED" w14:paraId="3714300F"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3892094D" w14:textId="77777777" w:rsidR="009256ED" w:rsidRDefault="009256ED" w:rsidP="008670FF">
            <w:pPr>
              <w:spacing w:after="0"/>
            </w:pPr>
            <w:r>
              <w:t>Sales of goods and services</w:t>
            </w:r>
          </w:p>
        </w:tc>
        <w:tc>
          <w:tcPr>
            <w:tcW w:w="935" w:type="dxa"/>
          </w:tcPr>
          <w:p w14:paraId="557B9D59"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7 080</w:t>
            </w:r>
          </w:p>
        </w:tc>
        <w:tc>
          <w:tcPr>
            <w:tcW w:w="936" w:type="dxa"/>
          </w:tcPr>
          <w:p w14:paraId="02503906"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7 165</w:t>
            </w:r>
          </w:p>
        </w:tc>
        <w:tc>
          <w:tcPr>
            <w:tcW w:w="935" w:type="dxa"/>
          </w:tcPr>
          <w:p w14:paraId="5AA85EE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7 252</w:t>
            </w:r>
          </w:p>
        </w:tc>
        <w:tc>
          <w:tcPr>
            <w:tcW w:w="936" w:type="dxa"/>
          </w:tcPr>
          <w:p w14:paraId="084E18A5"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7 317</w:t>
            </w:r>
          </w:p>
        </w:tc>
      </w:tr>
      <w:tr w:rsidR="009256ED" w14:paraId="654B35A0"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1C84792E" w14:textId="77777777" w:rsidR="009256ED" w:rsidRDefault="009256ED" w:rsidP="008670FF">
            <w:pPr>
              <w:spacing w:after="0"/>
            </w:pPr>
            <w:r>
              <w:t>Grants</w:t>
            </w:r>
          </w:p>
        </w:tc>
        <w:tc>
          <w:tcPr>
            <w:tcW w:w="935" w:type="dxa"/>
          </w:tcPr>
          <w:p w14:paraId="2129A95D"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45 598</w:t>
            </w:r>
          </w:p>
        </w:tc>
        <w:tc>
          <w:tcPr>
            <w:tcW w:w="936" w:type="dxa"/>
          </w:tcPr>
          <w:p w14:paraId="56530B7B"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49 165</w:t>
            </w:r>
          </w:p>
        </w:tc>
        <w:tc>
          <w:tcPr>
            <w:tcW w:w="935" w:type="dxa"/>
          </w:tcPr>
          <w:p w14:paraId="4AEC5E7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49 861</w:t>
            </w:r>
          </w:p>
        </w:tc>
        <w:tc>
          <w:tcPr>
            <w:tcW w:w="936" w:type="dxa"/>
          </w:tcPr>
          <w:p w14:paraId="68F049C7"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51 325</w:t>
            </w:r>
          </w:p>
        </w:tc>
      </w:tr>
      <w:tr w:rsidR="009256ED" w14:paraId="1FA05DB5"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11552F44" w14:textId="77777777" w:rsidR="009256ED" w:rsidRDefault="009256ED" w:rsidP="008670FF">
            <w:pPr>
              <w:spacing w:after="0"/>
            </w:pPr>
            <w:r>
              <w:t>Other revenue and income</w:t>
            </w:r>
          </w:p>
        </w:tc>
        <w:tc>
          <w:tcPr>
            <w:tcW w:w="935" w:type="dxa"/>
            <w:tcBorders>
              <w:bottom w:val="single" w:sz="6" w:space="0" w:color="auto"/>
            </w:tcBorders>
          </w:tcPr>
          <w:p w14:paraId="0C030C0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3 706</w:t>
            </w:r>
          </w:p>
        </w:tc>
        <w:tc>
          <w:tcPr>
            <w:tcW w:w="936" w:type="dxa"/>
            <w:tcBorders>
              <w:bottom w:val="single" w:sz="6" w:space="0" w:color="auto"/>
            </w:tcBorders>
          </w:tcPr>
          <w:p w14:paraId="6BF08D6E"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3 269</w:t>
            </w:r>
          </w:p>
        </w:tc>
        <w:tc>
          <w:tcPr>
            <w:tcW w:w="935" w:type="dxa"/>
            <w:tcBorders>
              <w:bottom w:val="single" w:sz="6" w:space="0" w:color="auto"/>
            </w:tcBorders>
          </w:tcPr>
          <w:p w14:paraId="066E9399"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3 813</w:t>
            </w:r>
          </w:p>
        </w:tc>
        <w:tc>
          <w:tcPr>
            <w:tcW w:w="936" w:type="dxa"/>
            <w:tcBorders>
              <w:bottom w:val="single" w:sz="6" w:space="0" w:color="auto"/>
            </w:tcBorders>
          </w:tcPr>
          <w:p w14:paraId="5B2117F1"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3 536</w:t>
            </w:r>
          </w:p>
        </w:tc>
      </w:tr>
      <w:tr w:rsidR="009256ED" w14:paraId="0AE4153A"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6637A478" w14:textId="77777777" w:rsidR="009256ED" w:rsidRDefault="009256ED" w:rsidP="008670FF">
            <w:pPr>
              <w:spacing w:after="0"/>
            </w:pPr>
            <w:r>
              <w:rPr>
                <w:b/>
              </w:rPr>
              <w:t>Total revenue and income from transactions</w:t>
            </w:r>
          </w:p>
        </w:tc>
        <w:tc>
          <w:tcPr>
            <w:tcW w:w="935" w:type="dxa"/>
            <w:tcBorders>
              <w:top w:val="single" w:sz="6" w:space="0" w:color="auto"/>
            </w:tcBorders>
          </w:tcPr>
          <w:p w14:paraId="7FAD86E0"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98 059</w:t>
            </w:r>
          </w:p>
        </w:tc>
        <w:tc>
          <w:tcPr>
            <w:tcW w:w="936" w:type="dxa"/>
            <w:tcBorders>
              <w:top w:val="single" w:sz="6" w:space="0" w:color="auto"/>
            </w:tcBorders>
          </w:tcPr>
          <w:p w14:paraId="3F1C462C"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103 426</w:t>
            </w:r>
          </w:p>
        </w:tc>
        <w:tc>
          <w:tcPr>
            <w:tcW w:w="935" w:type="dxa"/>
            <w:tcBorders>
              <w:top w:val="single" w:sz="6" w:space="0" w:color="auto"/>
            </w:tcBorders>
          </w:tcPr>
          <w:p w14:paraId="3ABCD722"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107 036</w:t>
            </w:r>
          </w:p>
        </w:tc>
        <w:tc>
          <w:tcPr>
            <w:tcW w:w="936" w:type="dxa"/>
            <w:tcBorders>
              <w:top w:val="single" w:sz="6" w:space="0" w:color="auto"/>
            </w:tcBorders>
          </w:tcPr>
          <w:p w14:paraId="7996025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110 364</w:t>
            </w:r>
          </w:p>
        </w:tc>
      </w:tr>
      <w:tr w:rsidR="009256ED" w14:paraId="5756B27B"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6B0F1B46" w14:textId="77777777" w:rsidR="009256ED" w:rsidRDefault="009256ED" w:rsidP="008670FF">
            <w:pPr>
              <w:spacing w:after="0"/>
            </w:pPr>
            <w:r>
              <w:rPr>
                <w:i/>
              </w:rPr>
              <w:t>% change</w:t>
            </w:r>
          </w:p>
        </w:tc>
        <w:tc>
          <w:tcPr>
            <w:tcW w:w="935" w:type="dxa"/>
          </w:tcPr>
          <w:p w14:paraId="3D963807"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i/>
              </w:rPr>
              <w:t>5.4</w:t>
            </w:r>
          </w:p>
        </w:tc>
        <w:tc>
          <w:tcPr>
            <w:tcW w:w="936" w:type="dxa"/>
          </w:tcPr>
          <w:p w14:paraId="46F03817"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i/>
              </w:rPr>
              <w:t>5.5</w:t>
            </w:r>
          </w:p>
        </w:tc>
        <w:tc>
          <w:tcPr>
            <w:tcW w:w="935" w:type="dxa"/>
          </w:tcPr>
          <w:p w14:paraId="08A49224"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i/>
              </w:rPr>
              <w:t>3.5</w:t>
            </w:r>
          </w:p>
        </w:tc>
        <w:tc>
          <w:tcPr>
            <w:tcW w:w="936" w:type="dxa"/>
          </w:tcPr>
          <w:p w14:paraId="2C872301"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i/>
              </w:rPr>
              <w:t>3.1</w:t>
            </w:r>
          </w:p>
        </w:tc>
      </w:tr>
      <w:tr w:rsidR="009256ED" w14:paraId="6A544C7B"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3409FFB6" w14:textId="77777777" w:rsidR="009256ED" w:rsidRDefault="009256ED" w:rsidP="00723C6B">
            <w:pPr>
              <w:spacing w:before="80" w:after="0"/>
            </w:pPr>
            <w:r>
              <w:rPr>
                <w:b/>
              </w:rPr>
              <w:t>Expenses from transactions</w:t>
            </w:r>
          </w:p>
        </w:tc>
        <w:tc>
          <w:tcPr>
            <w:tcW w:w="935" w:type="dxa"/>
          </w:tcPr>
          <w:p w14:paraId="7EA3B996"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c>
          <w:tcPr>
            <w:tcW w:w="936" w:type="dxa"/>
          </w:tcPr>
          <w:p w14:paraId="6A13B2D7"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c>
          <w:tcPr>
            <w:tcW w:w="935" w:type="dxa"/>
          </w:tcPr>
          <w:p w14:paraId="10C0CBFB"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c>
          <w:tcPr>
            <w:tcW w:w="936" w:type="dxa"/>
          </w:tcPr>
          <w:p w14:paraId="4F5E28E9"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r>
      <w:tr w:rsidR="009256ED" w14:paraId="189F405C"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3F0702B8" w14:textId="77777777" w:rsidR="009256ED" w:rsidRDefault="009256ED" w:rsidP="008670FF">
            <w:pPr>
              <w:spacing w:after="0"/>
            </w:pPr>
            <w:r>
              <w:t>Employee expenses</w:t>
            </w:r>
          </w:p>
        </w:tc>
        <w:tc>
          <w:tcPr>
            <w:tcW w:w="935" w:type="dxa"/>
          </w:tcPr>
          <w:p w14:paraId="0B00263D"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37 526</w:t>
            </w:r>
          </w:p>
        </w:tc>
        <w:tc>
          <w:tcPr>
            <w:tcW w:w="936" w:type="dxa"/>
          </w:tcPr>
          <w:p w14:paraId="1FC79A06"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38 433</w:t>
            </w:r>
          </w:p>
        </w:tc>
        <w:tc>
          <w:tcPr>
            <w:tcW w:w="935" w:type="dxa"/>
          </w:tcPr>
          <w:p w14:paraId="476CA3EF"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40 046</w:t>
            </w:r>
          </w:p>
        </w:tc>
        <w:tc>
          <w:tcPr>
            <w:tcW w:w="936" w:type="dxa"/>
          </w:tcPr>
          <w:p w14:paraId="2DD9D3CE"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41 233</w:t>
            </w:r>
          </w:p>
        </w:tc>
      </w:tr>
      <w:tr w:rsidR="009256ED" w14:paraId="2A1F2F94"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3074B794" w14:textId="77777777" w:rsidR="009256ED" w:rsidRDefault="009256ED" w:rsidP="008670FF">
            <w:pPr>
              <w:spacing w:after="0"/>
            </w:pPr>
            <w:r>
              <w:t xml:space="preserve">Superannuation </w:t>
            </w:r>
            <w:r>
              <w:rPr>
                <w:vertAlign w:val="superscript"/>
              </w:rPr>
              <w:t>(c)</w:t>
            </w:r>
          </w:p>
        </w:tc>
        <w:tc>
          <w:tcPr>
            <w:tcW w:w="935" w:type="dxa"/>
          </w:tcPr>
          <w:p w14:paraId="08B37E6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4 867</w:t>
            </w:r>
          </w:p>
        </w:tc>
        <w:tc>
          <w:tcPr>
            <w:tcW w:w="936" w:type="dxa"/>
          </w:tcPr>
          <w:p w14:paraId="69054D38"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4 913</w:t>
            </w:r>
          </w:p>
        </w:tc>
        <w:tc>
          <w:tcPr>
            <w:tcW w:w="935" w:type="dxa"/>
          </w:tcPr>
          <w:p w14:paraId="0B705DB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5 040</w:t>
            </w:r>
          </w:p>
        </w:tc>
        <w:tc>
          <w:tcPr>
            <w:tcW w:w="936" w:type="dxa"/>
          </w:tcPr>
          <w:p w14:paraId="70C75545"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5 193</w:t>
            </w:r>
          </w:p>
        </w:tc>
      </w:tr>
      <w:tr w:rsidR="009256ED" w14:paraId="616FC7F9"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09710FD2" w14:textId="77777777" w:rsidR="009256ED" w:rsidRDefault="009256ED" w:rsidP="008670FF">
            <w:pPr>
              <w:spacing w:after="0"/>
            </w:pPr>
            <w:r>
              <w:t>Depreciation</w:t>
            </w:r>
          </w:p>
        </w:tc>
        <w:tc>
          <w:tcPr>
            <w:tcW w:w="935" w:type="dxa"/>
          </w:tcPr>
          <w:p w14:paraId="5178909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5 512</w:t>
            </w:r>
          </w:p>
        </w:tc>
        <w:tc>
          <w:tcPr>
            <w:tcW w:w="936" w:type="dxa"/>
          </w:tcPr>
          <w:p w14:paraId="19504F52"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5 840</w:t>
            </w:r>
          </w:p>
        </w:tc>
        <w:tc>
          <w:tcPr>
            <w:tcW w:w="935" w:type="dxa"/>
          </w:tcPr>
          <w:p w14:paraId="38FFBB6E"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6 040</w:t>
            </w:r>
          </w:p>
        </w:tc>
        <w:tc>
          <w:tcPr>
            <w:tcW w:w="936" w:type="dxa"/>
          </w:tcPr>
          <w:p w14:paraId="45C63F1B"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6 177</w:t>
            </w:r>
          </w:p>
        </w:tc>
      </w:tr>
      <w:tr w:rsidR="009256ED" w14:paraId="238E28F6"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18577B25" w14:textId="77777777" w:rsidR="009256ED" w:rsidRDefault="009256ED" w:rsidP="008670FF">
            <w:pPr>
              <w:spacing w:after="0"/>
            </w:pPr>
            <w:r>
              <w:t>Interest expense</w:t>
            </w:r>
          </w:p>
        </w:tc>
        <w:tc>
          <w:tcPr>
            <w:tcW w:w="935" w:type="dxa"/>
          </w:tcPr>
          <w:p w14:paraId="6F1BEC31"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6 582</w:t>
            </w:r>
          </w:p>
        </w:tc>
        <w:tc>
          <w:tcPr>
            <w:tcW w:w="936" w:type="dxa"/>
          </w:tcPr>
          <w:p w14:paraId="1D410505"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7 410</w:t>
            </w:r>
          </w:p>
        </w:tc>
        <w:tc>
          <w:tcPr>
            <w:tcW w:w="935" w:type="dxa"/>
          </w:tcPr>
          <w:p w14:paraId="626A55F9"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8 345</w:t>
            </w:r>
          </w:p>
        </w:tc>
        <w:tc>
          <w:tcPr>
            <w:tcW w:w="936" w:type="dxa"/>
          </w:tcPr>
          <w:p w14:paraId="24712466"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9 317</w:t>
            </w:r>
          </w:p>
        </w:tc>
      </w:tr>
      <w:tr w:rsidR="009256ED" w14:paraId="4535D7E1" w14:textId="77777777" w:rsidTr="008670FF">
        <w:tc>
          <w:tcPr>
            <w:cnfStyle w:val="001000000000" w:firstRow="0" w:lastRow="0" w:firstColumn="1" w:lastColumn="0" w:oddVBand="0" w:evenVBand="0" w:oddHBand="0" w:evenHBand="0" w:firstRowFirstColumn="0" w:firstRowLastColumn="0" w:lastRowFirstColumn="0" w:lastRowLastColumn="0"/>
            <w:tcW w:w="3969" w:type="dxa"/>
          </w:tcPr>
          <w:p w14:paraId="1FC618EC" w14:textId="77777777" w:rsidR="009256ED" w:rsidRDefault="009256ED" w:rsidP="008670FF">
            <w:pPr>
              <w:spacing w:after="0"/>
            </w:pPr>
            <w:r>
              <w:t>Grant expense</w:t>
            </w:r>
          </w:p>
        </w:tc>
        <w:tc>
          <w:tcPr>
            <w:tcW w:w="935" w:type="dxa"/>
          </w:tcPr>
          <w:p w14:paraId="0DB6C804"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17 728</w:t>
            </w:r>
          </w:p>
        </w:tc>
        <w:tc>
          <w:tcPr>
            <w:tcW w:w="936" w:type="dxa"/>
          </w:tcPr>
          <w:p w14:paraId="3823F05C"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17 483</w:t>
            </w:r>
          </w:p>
        </w:tc>
        <w:tc>
          <w:tcPr>
            <w:tcW w:w="935" w:type="dxa"/>
          </w:tcPr>
          <w:p w14:paraId="55C8C805"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17 362</w:t>
            </w:r>
          </w:p>
        </w:tc>
        <w:tc>
          <w:tcPr>
            <w:tcW w:w="936" w:type="dxa"/>
          </w:tcPr>
          <w:p w14:paraId="12AE566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17 497</w:t>
            </w:r>
          </w:p>
        </w:tc>
      </w:tr>
      <w:tr w:rsidR="009256ED" w14:paraId="1C7763C3"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3DA7B57F" w14:textId="77777777" w:rsidR="009256ED" w:rsidRDefault="009256ED" w:rsidP="008670FF">
            <w:pPr>
              <w:spacing w:after="0"/>
            </w:pPr>
            <w:r>
              <w:t>Other operating expenses</w:t>
            </w:r>
          </w:p>
        </w:tc>
        <w:tc>
          <w:tcPr>
            <w:tcW w:w="935" w:type="dxa"/>
            <w:tcBorders>
              <w:bottom w:val="single" w:sz="6" w:space="0" w:color="auto"/>
            </w:tcBorders>
          </w:tcPr>
          <w:p w14:paraId="65EA8C0C"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29 438</w:t>
            </w:r>
          </w:p>
        </w:tc>
        <w:tc>
          <w:tcPr>
            <w:tcW w:w="936" w:type="dxa"/>
            <w:tcBorders>
              <w:bottom w:val="single" w:sz="6" w:space="0" w:color="auto"/>
            </w:tcBorders>
          </w:tcPr>
          <w:p w14:paraId="720B8A10"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27 769</w:t>
            </w:r>
          </w:p>
        </w:tc>
        <w:tc>
          <w:tcPr>
            <w:tcW w:w="935" w:type="dxa"/>
            <w:tcBorders>
              <w:bottom w:val="single" w:sz="6" w:space="0" w:color="auto"/>
            </w:tcBorders>
          </w:tcPr>
          <w:p w14:paraId="3FBC829F"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28 486</w:t>
            </w:r>
          </w:p>
        </w:tc>
        <w:tc>
          <w:tcPr>
            <w:tcW w:w="936" w:type="dxa"/>
            <w:tcBorders>
              <w:bottom w:val="single" w:sz="6" w:space="0" w:color="auto"/>
            </w:tcBorders>
          </w:tcPr>
          <w:p w14:paraId="3DEBDC8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t>28 993</w:t>
            </w:r>
          </w:p>
        </w:tc>
      </w:tr>
      <w:tr w:rsidR="009256ED" w14:paraId="4CB87A29"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2B3ADEF9" w14:textId="77777777" w:rsidR="009256ED" w:rsidRDefault="009256ED" w:rsidP="008670FF">
            <w:pPr>
              <w:spacing w:after="0"/>
            </w:pPr>
            <w:r>
              <w:rPr>
                <w:b/>
              </w:rPr>
              <w:t>Total expenses from transactions</w:t>
            </w:r>
          </w:p>
        </w:tc>
        <w:tc>
          <w:tcPr>
            <w:tcW w:w="935" w:type="dxa"/>
            <w:tcBorders>
              <w:top w:val="single" w:sz="6" w:space="0" w:color="auto"/>
            </w:tcBorders>
          </w:tcPr>
          <w:p w14:paraId="0C88B39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101 653</w:t>
            </w:r>
          </w:p>
        </w:tc>
        <w:tc>
          <w:tcPr>
            <w:tcW w:w="936" w:type="dxa"/>
            <w:tcBorders>
              <w:top w:val="single" w:sz="6" w:space="0" w:color="auto"/>
            </w:tcBorders>
          </w:tcPr>
          <w:p w14:paraId="735ED6CF"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101 847</w:t>
            </w:r>
          </w:p>
        </w:tc>
        <w:tc>
          <w:tcPr>
            <w:tcW w:w="935" w:type="dxa"/>
            <w:tcBorders>
              <w:top w:val="single" w:sz="6" w:space="0" w:color="auto"/>
            </w:tcBorders>
          </w:tcPr>
          <w:p w14:paraId="1863C86D"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105 318</w:t>
            </w:r>
          </w:p>
        </w:tc>
        <w:tc>
          <w:tcPr>
            <w:tcW w:w="936" w:type="dxa"/>
            <w:tcBorders>
              <w:top w:val="single" w:sz="6" w:space="0" w:color="auto"/>
            </w:tcBorders>
          </w:tcPr>
          <w:p w14:paraId="470CAF9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108 410</w:t>
            </w:r>
          </w:p>
        </w:tc>
      </w:tr>
      <w:tr w:rsidR="009256ED" w14:paraId="4FE60E94"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5C3355FA" w14:textId="77777777" w:rsidR="009256ED" w:rsidRDefault="009256ED" w:rsidP="00723C6B">
            <w:pPr>
              <w:spacing w:after="80"/>
            </w:pPr>
            <w:r>
              <w:rPr>
                <w:i/>
              </w:rPr>
              <w:t>% change</w:t>
            </w:r>
          </w:p>
        </w:tc>
        <w:tc>
          <w:tcPr>
            <w:tcW w:w="935" w:type="dxa"/>
            <w:tcBorders>
              <w:bottom w:val="single" w:sz="6" w:space="0" w:color="auto"/>
            </w:tcBorders>
          </w:tcPr>
          <w:p w14:paraId="387644EB"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4.5</w:t>
            </w:r>
          </w:p>
        </w:tc>
        <w:tc>
          <w:tcPr>
            <w:tcW w:w="936" w:type="dxa"/>
            <w:tcBorders>
              <w:bottom w:val="single" w:sz="6" w:space="0" w:color="auto"/>
            </w:tcBorders>
          </w:tcPr>
          <w:p w14:paraId="2C3EB0D5"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0.2</w:t>
            </w:r>
          </w:p>
        </w:tc>
        <w:tc>
          <w:tcPr>
            <w:tcW w:w="935" w:type="dxa"/>
            <w:tcBorders>
              <w:bottom w:val="single" w:sz="6" w:space="0" w:color="auto"/>
            </w:tcBorders>
          </w:tcPr>
          <w:p w14:paraId="7C129D76"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3.4</w:t>
            </w:r>
          </w:p>
        </w:tc>
        <w:tc>
          <w:tcPr>
            <w:tcW w:w="936" w:type="dxa"/>
            <w:tcBorders>
              <w:bottom w:val="single" w:sz="6" w:space="0" w:color="auto"/>
            </w:tcBorders>
          </w:tcPr>
          <w:p w14:paraId="712FC002"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2.9</w:t>
            </w:r>
          </w:p>
        </w:tc>
      </w:tr>
      <w:tr w:rsidR="009256ED" w14:paraId="1FA071CB"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bottom w:val="single" w:sz="6" w:space="0" w:color="auto"/>
            </w:tcBorders>
          </w:tcPr>
          <w:p w14:paraId="47CA155D" w14:textId="77777777" w:rsidR="009256ED" w:rsidRDefault="009256ED" w:rsidP="008670FF">
            <w:pPr>
              <w:spacing w:after="0"/>
            </w:pPr>
            <w:r>
              <w:rPr>
                <w:b/>
              </w:rPr>
              <w:t>Net result from transactions – Net operating balance</w:t>
            </w:r>
          </w:p>
        </w:tc>
        <w:tc>
          <w:tcPr>
            <w:tcW w:w="935" w:type="dxa"/>
            <w:tcBorders>
              <w:top w:val="single" w:sz="6" w:space="0" w:color="auto"/>
              <w:bottom w:val="single" w:sz="6" w:space="0" w:color="auto"/>
            </w:tcBorders>
          </w:tcPr>
          <w:p w14:paraId="2EA26335"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(3 595)</w:t>
            </w:r>
          </w:p>
        </w:tc>
        <w:tc>
          <w:tcPr>
            <w:tcW w:w="936" w:type="dxa"/>
            <w:tcBorders>
              <w:top w:val="single" w:sz="6" w:space="0" w:color="auto"/>
              <w:bottom w:val="single" w:sz="6" w:space="0" w:color="auto"/>
            </w:tcBorders>
          </w:tcPr>
          <w:p w14:paraId="26C4BA9A"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1 579</w:t>
            </w:r>
          </w:p>
        </w:tc>
        <w:tc>
          <w:tcPr>
            <w:tcW w:w="935" w:type="dxa"/>
            <w:tcBorders>
              <w:top w:val="single" w:sz="6" w:space="0" w:color="auto"/>
              <w:bottom w:val="single" w:sz="6" w:space="0" w:color="auto"/>
            </w:tcBorders>
          </w:tcPr>
          <w:p w14:paraId="64377152"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1 718</w:t>
            </w:r>
          </w:p>
        </w:tc>
        <w:tc>
          <w:tcPr>
            <w:tcW w:w="936" w:type="dxa"/>
            <w:tcBorders>
              <w:top w:val="single" w:sz="6" w:space="0" w:color="auto"/>
              <w:bottom w:val="single" w:sz="6" w:space="0" w:color="auto"/>
            </w:tcBorders>
          </w:tcPr>
          <w:p w14:paraId="3E034CA7"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1 954</w:t>
            </w:r>
          </w:p>
        </w:tc>
      </w:tr>
      <w:tr w:rsidR="009256ED" w14:paraId="1CE1E4BF"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bottom w:val="single" w:sz="6" w:space="0" w:color="auto"/>
            </w:tcBorders>
          </w:tcPr>
          <w:p w14:paraId="693A4B64" w14:textId="77777777" w:rsidR="009256ED" w:rsidRDefault="009256ED" w:rsidP="008670FF">
            <w:pPr>
              <w:spacing w:after="0"/>
            </w:pPr>
            <w:r>
              <w:rPr>
                <w:b/>
              </w:rPr>
              <w:t xml:space="preserve">Total other economic flows included in net result </w:t>
            </w:r>
            <w:r>
              <w:rPr>
                <w:b/>
                <w:vertAlign w:val="superscript"/>
              </w:rPr>
              <w:t>(d)</w:t>
            </w:r>
          </w:p>
        </w:tc>
        <w:tc>
          <w:tcPr>
            <w:tcW w:w="935" w:type="dxa"/>
            <w:tcBorders>
              <w:top w:val="single" w:sz="6" w:space="0" w:color="auto"/>
              <w:bottom w:val="single" w:sz="6" w:space="0" w:color="auto"/>
            </w:tcBorders>
          </w:tcPr>
          <w:p w14:paraId="7C6B229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(248)</w:t>
            </w:r>
          </w:p>
        </w:tc>
        <w:tc>
          <w:tcPr>
            <w:tcW w:w="936" w:type="dxa"/>
            <w:tcBorders>
              <w:top w:val="single" w:sz="6" w:space="0" w:color="auto"/>
              <w:bottom w:val="single" w:sz="6" w:space="0" w:color="auto"/>
            </w:tcBorders>
          </w:tcPr>
          <w:p w14:paraId="351A6D25"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(283)</w:t>
            </w:r>
          </w:p>
        </w:tc>
        <w:tc>
          <w:tcPr>
            <w:tcW w:w="935" w:type="dxa"/>
            <w:tcBorders>
              <w:top w:val="single" w:sz="6" w:space="0" w:color="auto"/>
              <w:bottom w:val="single" w:sz="6" w:space="0" w:color="auto"/>
            </w:tcBorders>
          </w:tcPr>
          <w:p w14:paraId="51D9F52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(228)</w:t>
            </w:r>
          </w:p>
        </w:tc>
        <w:tc>
          <w:tcPr>
            <w:tcW w:w="936" w:type="dxa"/>
            <w:tcBorders>
              <w:top w:val="single" w:sz="6" w:space="0" w:color="auto"/>
              <w:bottom w:val="single" w:sz="6" w:space="0" w:color="auto"/>
            </w:tcBorders>
          </w:tcPr>
          <w:p w14:paraId="319E319B"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(158)</w:t>
            </w:r>
          </w:p>
        </w:tc>
      </w:tr>
      <w:tr w:rsidR="009256ED" w14:paraId="5972EC5F" w14:textId="77777777" w:rsidTr="008670FF">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bottom w:val="single" w:sz="12" w:space="0" w:color="auto"/>
            </w:tcBorders>
          </w:tcPr>
          <w:p w14:paraId="21113A45" w14:textId="77777777" w:rsidR="009256ED" w:rsidRDefault="009256ED" w:rsidP="008670FF">
            <w:pPr>
              <w:spacing w:after="0"/>
            </w:pPr>
            <w:r>
              <w:rPr>
                <w:b/>
              </w:rPr>
              <w:t>Net result</w:t>
            </w:r>
          </w:p>
        </w:tc>
        <w:tc>
          <w:tcPr>
            <w:tcW w:w="935" w:type="dxa"/>
            <w:tcBorders>
              <w:top w:val="single" w:sz="6" w:space="0" w:color="auto"/>
              <w:bottom w:val="single" w:sz="12" w:space="0" w:color="auto"/>
            </w:tcBorders>
          </w:tcPr>
          <w:p w14:paraId="2CF53C77"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(3 843)</w:t>
            </w:r>
          </w:p>
        </w:tc>
        <w:tc>
          <w:tcPr>
            <w:tcW w:w="936" w:type="dxa"/>
            <w:tcBorders>
              <w:top w:val="single" w:sz="6" w:space="0" w:color="auto"/>
              <w:bottom w:val="single" w:sz="12" w:space="0" w:color="auto"/>
            </w:tcBorders>
          </w:tcPr>
          <w:p w14:paraId="571D5B13"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1 296</w:t>
            </w:r>
          </w:p>
        </w:tc>
        <w:tc>
          <w:tcPr>
            <w:tcW w:w="935" w:type="dxa"/>
            <w:tcBorders>
              <w:top w:val="single" w:sz="6" w:space="0" w:color="auto"/>
              <w:bottom w:val="single" w:sz="12" w:space="0" w:color="auto"/>
            </w:tcBorders>
          </w:tcPr>
          <w:p w14:paraId="1C3BCA70"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1 490</w:t>
            </w:r>
          </w:p>
        </w:tc>
        <w:tc>
          <w:tcPr>
            <w:tcW w:w="936" w:type="dxa"/>
            <w:tcBorders>
              <w:top w:val="single" w:sz="6" w:space="0" w:color="auto"/>
              <w:bottom w:val="single" w:sz="12" w:space="0" w:color="auto"/>
            </w:tcBorders>
          </w:tcPr>
          <w:p w14:paraId="3CD1D8B2" w14:textId="77777777" w:rsidR="009256ED" w:rsidRDefault="009256ED" w:rsidP="008670FF">
            <w:pPr>
              <w:spacing w:after="0"/>
              <w:cnfStyle w:val="000000000000" w:firstRow="0" w:lastRow="0" w:firstColumn="0" w:lastColumn="0" w:oddVBand="0" w:evenVBand="0" w:oddHBand="0" w:evenHBand="0" w:firstRowFirstColumn="0" w:firstRowLastColumn="0" w:lastRowFirstColumn="0" w:lastRowLastColumn="0"/>
            </w:pPr>
            <w:r>
              <w:rPr>
                <w:b/>
              </w:rPr>
              <w:t>1 796</w:t>
            </w:r>
          </w:p>
        </w:tc>
      </w:tr>
    </w:tbl>
    <w:p w14:paraId="28E2CBD5" w14:textId="77777777" w:rsidR="009256ED" w:rsidRPr="00C734D9" w:rsidRDefault="009256ED" w:rsidP="00133F67">
      <w:pPr>
        <w:pStyle w:val="Note"/>
      </w:pPr>
      <w:r w:rsidRPr="00133F67">
        <w:t>Notes</w:t>
      </w:r>
      <w:r w:rsidRPr="00C734D9">
        <w:t>:</w:t>
      </w:r>
    </w:p>
    <w:p w14:paraId="1FB2839F" w14:textId="77777777" w:rsidR="009256ED" w:rsidRPr="00C734D9" w:rsidRDefault="009256ED" w:rsidP="009256ED">
      <w:pPr>
        <w:pStyle w:val="Note"/>
      </w:pPr>
      <w:r w:rsidRPr="00C734D9">
        <w:t>(a)</w:t>
      </w:r>
      <w:r w:rsidRPr="00C734D9">
        <w:tab/>
        <w:t>Figures in this table are subject to rounding to the nearest</w:t>
      </w:r>
      <w:r>
        <w:t> </w:t>
      </w:r>
      <w:r w:rsidRPr="00C734D9">
        <w:t>million and may not add up to totals.</w:t>
      </w:r>
    </w:p>
    <w:p w14:paraId="1E702B0D" w14:textId="77777777" w:rsidR="009256ED" w:rsidRPr="00C734D9" w:rsidRDefault="009256ED" w:rsidP="009256ED">
      <w:pPr>
        <w:pStyle w:val="Note"/>
      </w:pPr>
      <w:r w:rsidRPr="00C734D9">
        <w:t>(b)</w:t>
      </w:r>
      <w:r w:rsidRPr="00C734D9">
        <w:tab/>
        <w:t xml:space="preserve">Comprises dividends, income tax and rate equivalent revenue </w:t>
      </w:r>
      <w:r>
        <w:t xml:space="preserve">(TER) </w:t>
      </w:r>
      <w:r w:rsidRPr="00C734D9">
        <w:t>and interest.</w:t>
      </w:r>
    </w:p>
    <w:p w14:paraId="503065B7" w14:textId="77777777" w:rsidR="009256ED" w:rsidRPr="00C734D9" w:rsidRDefault="009256ED" w:rsidP="009256ED">
      <w:pPr>
        <w:pStyle w:val="Note"/>
      </w:pPr>
      <w:r w:rsidRPr="00C734D9">
        <w:t>(c)</w:t>
      </w:r>
      <w:r w:rsidRPr="00C734D9">
        <w:tab/>
        <w:t>Comprises superannuation interest expense and other superannuation expenses.</w:t>
      </w:r>
    </w:p>
    <w:p w14:paraId="6BBB0F12" w14:textId="77777777" w:rsidR="009256ED" w:rsidRPr="00C734D9" w:rsidRDefault="009256ED" w:rsidP="009256ED">
      <w:pPr>
        <w:pStyle w:val="Note"/>
      </w:pPr>
      <w:r w:rsidRPr="00C734D9">
        <w:t>(d)</w:t>
      </w:r>
      <w:r w:rsidRPr="00C734D9">
        <w:tab/>
        <w:t>This typically includes gains and losses from the disposal of non-financial assets, adjustments for bad and doubtful debts and revaluations of financial assets and liabilities.</w:t>
      </w:r>
      <w:r>
        <w:t xml:space="preserve"> </w:t>
      </w:r>
    </w:p>
    <w:p w14:paraId="023E0D78" w14:textId="77777777" w:rsidR="009256ED" w:rsidRPr="00C734D9" w:rsidRDefault="009256ED" w:rsidP="009256ED"/>
    <w:p w14:paraId="219765AD" w14:textId="77777777" w:rsidR="009256ED" w:rsidRDefault="009256ED" w:rsidP="009256ED">
      <w:pPr>
        <w:keepLines w:val="0"/>
        <w:rPr>
          <w:rFonts w:asciiTheme="majorHAnsi" w:eastAsiaTheme="majorEastAsia" w:hAnsiTheme="majorHAnsi" w:cstheme="majorBidi"/>
          <w:b/>
          <w:sz w:val="27"/>
          <w:szCs w:val="32"/>
        </w:rPr>
      </w:pPr>
      <w:r>
        <w:br w:type="page"/>
      </w:r>
    </w:p>
    <w:p w14:paraId="4824505A" w14:textId="77777777" w:rsidR="009256ED" w:rsidRPr="00C734D9" w:rsidRDefault="009256ED" w:rsidP="009256ED">
      <w:pPr>
        <w:pStyle w:val="Heading20"/>
      </w:pPr>
      <w:r w:rsidRPr="00C734D9">
        <w:t>Revenue outlook</w:t>
      </w:r>
    </w:p>
    <w:p w14:paraId="342B6782" w14:textId="77777777" w:rsidR="009256ED" w:rsidRPr="00C734D9" w:rsidRDefault="009256ED" w:rsidP="009256ED">
      <w:r w:rsidRPr="00671F11">
        <w:t xml:space="preserve">Total revenue for the general government sector is forecast to </w:t>
      </w:r>
      <w:r>
        <w:t>be</w:t>
      </w:r>
      <w:r w:rsidRPr="00671F11">
        <w:t xml:space="preserve"> $98.1 billion in 2024-25. Total revenue is then expected to grow by an average of 4.0 per cent a year over the forward estimates, reaching $110.4 billion in 2027-28</w:t>
      </w:r>
      <w:r>
        <w:t>.</w:t>
      </w:r>
    </w:p>
    <w:p w14:paraId="002EC5C4" w14:textId="77777777" w:rsidR="009256ED" w:rsidRPr="00C734D9" w:rsidRDefault="009256ED" w:rsidP="009256ED">
      <w:pPr>
        <w:pStyle w:val="Heading30"/>
      </w:pPr>
      <w:r w:rsidRPr="00C734D9">
        <w:t>Taxation</w:t>
      </w:r>
    </w:p>
    <w:p w14:paraId="1D659405" w14:textId="77777777" w:rsidR="009256ED" w:rsidRPr="00C734D9" w:rsidRDefault="009256ED" w:rsidP="009256ED">
      <w:r w:rsidRPr="00E74729">
        <w:t>Taxation revenue is forecast to be $39.2 billion in 2024-25 and grow by an average of 5.4</w:t>
      </w:r>
      <w:r>
        <w:t> </w:t>
      </w:r>
      <w:r w:rsidRPr="00E74729">
        <w:t xml:space="preserve">per cent per year over the forward estimates. </w:t>
      </w:r>
      <w:r w:rsidRPr="00C734D9">
        <w:t xml:space="preserve">Growth in taxation revenue is primarily driven by growth in the </w:t>
      </w:r>
      <w:r>
        <w:t>S</w:t>
      </w:r>
      <w:r w:rsidRPr="00C734D9">
        <w:t>tate’s three largest tax lines – payroll tax, land tax and land transfer duty.</w:t>
      </w:r>
    </w:p>
    <w:p w14:paraId="5CEC56E9" w14:textId="77777777" w:rsidR="009256ED" w:rsidRPr="00C734D9" w:rsidRDefault="009256ED" w:rsidP="0011545A">
      <w:pPr>
        <w:pStyle w:val="ListParagraph"/>
        <w:numPr>
          <w:ilvl w:val="0"/>
          <w:numId w:val="10"/>
        </w:numPr>
        <w:spacing w:before="60" w:after="60"/>
      </w:pPr>
      <w:r w:rsidRPr="00D46077">
        <w:t xml:space="preserve">Revenue from taxes on employers’ payroll and labour force, inclusive of </w:t>
      </w:r>
      <w:r>
        <w:t>p</w:t>
      </w:r>
      <w:r w:rsidRPr="00D46077">
        <w:t>ayroll tax, the COVID Debt Levy – Payroll 10m+, and the Mental Health and Wellbeing Levy, is forecast to be $11.1 billion in 2024-25, and is expected to grow by an average of 4.9</w:t>
      </w:r>
      <w:r>
        <w:t> </w:t>
      </w:r>
      <w:r w:rsidRPr="00D46077">
        <w:t>per cent per year over the forward estimates. The strength of the Victorian labour market continues to support the near-term outlook. Strong labour market conditions are underpinned by elevated employment growth, low unemployment, and solid nominal wages growth which is expected to result in a rise in real wages in 2024-25</w:t>
      </w:r>
      <w:r>
        <w:t xml:space="preserve"> and across the forward estimates</w:t>
      </w:r>
      <w:r w:rsidRPr="00C734D9">
        <w:t>.</w:t>
      </w:r>
    </w:p>
    <w:p w14:paraId="71CF21BA" w14:textId="366738D9" w:rsidR="009256ED" w:rsidRPr="00C734D9" w:rsidRDefault="009256ED" w:rsidP="0011545A">
      <w:pPr>
        <w:pStyle w:val="ListParagraph"/>
        <w:numPr>
          <w:ilvl w:val="0"/>
          <w:numId w:val="10"/>
        </w:numPr>
        <w:spacing w:before="60" w:after="60"/>
        <w:ind w:right="54"/>
      </w:pPr>
      <w:r w:rsidRPr="006E5C91">
        <w:t>Revenue from land taxes is expected to be $7.7 billion in 2024-25. Land taxes revenue in 2024-25 reflects an expected moderation in the growth of land values, consistent with the Valuer General Victoria’s revaluation outcomes for 2023. Land taxes are expected to grow by an average of 5.0</w:t>
      </w:r>
      <w:r>
        <w:t> </w:t>
      </w:r>
      <w:r w:rsidRPr="006E5C91">
        <w:t>per cent per year over the forward estimates, with the cooling in residential property values in 2024, and the moderation of non</w:t>
      </w:r>
      <w:r w:rsidR="00133F67">
        <w:noBreakHyphen/>
      </w:r>
      <w:r w:rsidRPr="006E5C91">
        <w:t>residential property value growth, flowing through to land tax revenue in 2025</w:t>
      </w:r>
      <w:r w:rsidR="00133F67">
        <w:noBreakHyphen/>
      </w:r>
      <w:r w:rsidRPr="006E5C91">
        <w:t>26</w:t>
      </w:r>
      <w:r w:rsidRPr="00C734D9">
        <w:t>.</w:t>
      </w:r>
    </w:p>
    <w:p w14:paraId="324DCACA" w14:textId="14EDAA67" w:rsidR="009256ED" w:rsidRPr="00C734D9" w:rsidRDefault="009256ED" w:rsidP="0011545A">
      <w:pPr>
        <w:pStyle w:val="ListParagraph"/>
        <w:numPr>
          <w:ilvl w:val="0"/>
          <w:numId w:val="10"/>
        </w:numPr>
        <w:spacing w:before="60" w:after="60"/>
      </w:pPr>
      <w:r w:rsidRPr="0006168A">
        <w:t xml:space="preserve">Revenue from land transfer duty is forecast to </w:t>
      </w:r>
      <w:r>
        <w:t>grow to</w:t>
      </w:r>
      <w:r w:rsidRPr="0006168A">
        <w:t xml:space="preserve"> $8.7 billion in 2024-25. The</w:t>
      </w:r>
      <w:r w:rsidR="00133F67">
        <w:t> </w:t>
      </w:r>
      <w:r w:rsidRPr="0006168A">
        <w:t>forecast increase in revenue is driven by rising settlement volumes, which are supported by population and income growth. Victorian dwelling prices are expected to grow at below trend rates in 2024-25, then return to around average growth rates in 2025-26 alongside an expected improvement in borrowing conditions. Land transfer duty revenue is forecast to increase by an average of 5.4 per cent per year over the forward estimates, reflecting the forecast recovery in residential prices and robust long-term growth drivers</w:t>
      </w:r>
      <w:r w:rsidRPr="00C734D9">
        <w:t>.</w:t>
      </w:r>
    </w:p>
    <w:p w14:paraId="6D6988B6" w14:textId="77777777" w:rsidR="009256ED" w:rsidRPr="00C734D9" w:rsidRDefault="009256ED" w:rsidP="0011545A">
      <w:pPr>
        <w:pStyle w:val="ListParagraph"/>
        <w:numPr>
          <w:ilvl w:val="0"/>
          <w:numId w:val="10"/>
        </w:numPr>
        <w:spacing w:before="60" w:after="60"/>
      </w:pPr>
      <w:r w:rsidRPr="00A60B11">
        <w:t>Revenue from gambling taxes is forecast to be $2.8 billion in 2024-25 then decline by an average of 0.9 per cent per year over the forward estimates. The reduction in revenue over the forward estimates primarily reflects the expected impact of gambling harm minimisation measures, which affect electronic gaming machine revenue in hotels, clubs and the casino</w:t>
      </w:r>
      <w:r w:rsidRPr="00C734D9">
        <w:t>.</w:t>
      </w:r>
    </w:p>
    <w:p w14:paraId="04AEAC73" w14:textId="77777777" w:rsidR="009256ED" w:rsidRPr="00C734D9" w:rsidRDefault="009256ED" w:rsidP="0011545A">
      <w:pPr>
        <w:pStyle w:val="ListParagraph"/>
        <w:numPr>
          <w:ilvl w:val="0"/>
          <w:numId w:val="10"/>
        </w:numPr>
        <w:spacing w:before="60" w:after="60"/>
      </w:pPr>
      <w:r>
        <w:t xml:space="preserve">Revenue </w:t>
      </w:r>
      <w:r w:rsidRPr="00FA45E8">
        <w:t xml:space="preserve">from motor vehicle taxes is </w:t>
      </w:r>
      <w:r>
        <w:t>forecast</w:t>
      </w:r>
      <w:r w:rsidRPr="00FA45E8">
        <w:t xml:space="preserve"> to be $3.6 billion in 2024-25, reflecting indexation of registration fees. Growth in stamp duty revenue is expected to slow in 2024-25 after substantial growth in 2023-24 driven by the normalisation of supply chains and clearance of backlogged orders. Over the forward estimates, revenue from motor vehicle taxes is expected to increase by an average of 6.2 per cent per </w:t>
      </w:r>
      <w:r w:rsidRPr="00C734D9">
        <w:t>year.</w:t>
      </w:r>
    </w:p>
    <w:p w14:paraId="3C1A74D8" w14:textId="77777777" w:rsidR="009256ED" w:rsidRPr="00C734D9" w:rsidRDefault="009256ED" w:rsidP="0011545A">
      <w:pPr>
        <w:pStyle w:val="ListParagraph"/>
        <w:numPr>
          <w:ilvl w:val="0"/>
          <w:numId w:val="10"/>
        </w:numPr>
        <w:spacing w:before="60" w:after="60"/>
      </w:pPr>
      <w:r w:rsidRPr="00B55D43">
        <w:t>Insurance tax revenue is expected to grow to $2.2 billion in 2024-25, reflecting</w:t>
      </w:r>
      <w:r w:rsidRPr="00B55D43" w:rsidDel="00AF13BF">
        <w:t xml:space="preserve"> </w:t>
      </w:r>
      <w:r w:rsidRPr="00B55D43">
        <w:t>premium growth across most insurance products. Over the forward estimates, growth is expected to average 4.8 per cent per year</w:t>
      </w:r>
      <w:r w:rsidRPr="00C734D9">
        <w:t>.</w:t>
      </w:r>
      <w:r>
        <w:t xml:space="preserve"> </w:t>
      </w:r>
    </w:p>
    <w:p w14:paraId="5E015DBB" w14:textId="77777777" w:rsidR="009256ED" w:rsidRPr="00C1784A" w:rsidRDefault="009256ED" w:rsidP="0011545A">
      <w:pPr>
        <w:pStyle w:val="ListParagraph"/>
        <w:numPr>
          <w:ilvl w:val="0"/>
          <w:numId w:val="10"/>
        </w:numPr>
        <w:spacing w:before="60" w:after="60"/>
      </w:pPr>
      <w:r w:rsidRPr="51E2D760">
        <w:rPr>
          <w:rFonts w:ascii="Garamond" w:eastAsia="Garamond" w:hAnsi="Garamond" w:cs="Garamond"/>
        </w:rPr>
        <w:t>Emergency Services and Volunteer</w:t>
      </w:r>
      <w:r>
        <w:rPr>
          <w:rFonts w:ascii="Garamond" w:eastAsia="Garamond" w:hAnsi="Garamond" w:cs="Garamond"/>
        </w:rPr>
        <w:t>s</w:t>
      </w:r>
      <w:r w:rsidRPr="51E2D760">
        <w:rPr>
          <w:rFonts w:ascii="Garamond" w:eastAsia="Garamond" w:hAnsi="Garamond" w:cs="Garamond"/>
        </w:rPr>
        <w:t xml:space="preserve"> Fund</w:t>
      </w:r>
      <w:r w:rsidRPr="00FD291B">
        <w:t xml:space="preserve"> revenue is expected to </w:t>
      </w:r>
      <w:r>
        <w:t xml:space="preserve">reach </w:t>
      </w:r>
      <w:r w:rsidRPr="00FD291B">
        <w:t xml:space="preserve">$1.0 billion in 2024-25, </w:t>
      </w:r>
      <w:r>
        <w:t>before increasing to $1.8 billion in 2027-28. The increase reflects</w:t>
      </w:r>
      <w:r w:rsidRPr="00FD291B">
        <w:t xml:space="preserve"> policy changes detailed in Appendix A</w:t>
      </w:r>
      <w:r w:rsidRPr="005C58E4">
        <w:rPr>
          <w:i/>
          <w:iCs/>
        </w:rPr>
        <w:t xml:space="preserve"> </w:t>
      </w:r>
      <w:r w:rsidRPr="001D71DF">
        <w:rPr>
          <w:i/>
          <w:iCs/>
        </w:rPr>
        <w:t>Specific policy initiatives affecting the budget position</w:t>
      </w:r>
      <w:r w:rsidRPr="00FD291B">
        <w:t>.</w:t>
      </w:r>
      <w:r>
        <w:t xml:space="preserve">  </w:t>
      </w:r>
    </w:p>
    <w:p w14:paraId="7575B1E9" w14:textId="77777777" w:rsidR="009256ED" w:rsidRPr="00C734D9" w:rsidRDefault="009256ED" w:rsidP="009256ED">
      <w:pPr>
        <w:pStyle w:val="Heading30"/>
      </w:pPr>
      <w:r w:rsidRPr="00C734D9">
        <w:t>Dividends, income tax equivalent and interest</w:t>
      </w:r>
    </w:p>
    <w:p w14:paraId="3F3735D3" w14:textId="77777777" w:rsidR="009256ED" w:rsidRPr="00C734D9" w:rsidRDefault="009256ED" w:rsidP="009256ED">
      <w:r w:rsidRPr="00E66E24">
        <w:t>Dividends and income tax equivalent revenue is projected to be $1.1 billion in 2024-25 and increase to $1.3 billion by 2027-28</w:t>
      </w:r>
      <w:r w:rsidRPr="00C734D9">
        <w:t xml:space="preserve">. </w:t>
      </w:r>
    </w:p>
    <w:p w14:paraId="4418B4FF" w14:textId="77777777" w:rsidR="009256ED" w:rsidRPr="00C734D9" w:rsidRDefault="009256ED" w:rsidP="009256ED">
      <w:r w:rsidRPr="00C734D9">
        <w:t xml:space="preserve">Note 4.2.2 of Chapter 4 </w:t>
      </w:r>
      <w:r w:rsidRPr="00BD37F0">
        <w:rPr>
          <w:i/>
          <w:iCs/>
        </w:rPr>
        <w:t xml:space="preserve">Estimated </w:t>
      </w:r>
      <w:r>
        <w:rPr>
          <w:i/>
          <w:iCs/>
        </w:rPr>
        <w:t>f</w:t>
      </w:r>
      <w:r w:rsidRPr="00BD37F0">
        <w:rPr>
          <w:i/>
          <w:iCs/>
        </w:rPr>
        <w:t xml:space="preserve">inancial </w:t>
      </w:r>
      <w:r>
        <w:rPr>
          <w:i/>
          <w:iCs/>
        </w:rPr>
        <w:t>s</w:t>
      </w:r>
      <w:r w:rsidRPr="00BD37F0">
        <w:rPr>
          <w:i/>
          <w:iCs/>
        </w:rPr>
        <w:t>tatements and notes</w:t>
      </w:r>
      <w:r w:rsidRPr="00C734D9">
        <w:t xml:space="preserve"> contains further details of dividends and income tax equivalent revenue by sector</w:t>
      </w:r>
      <w:r>
        <w:t xml:space="preserve"> and entity</w:t>
      </w:r>
      <w:r w:rsidRPr="00C734D9">
        <w:t>.</w:t>
      </w:r>
      <w:r>
        <w:t xml:space="preserve"> </w:t>
      </w:r>
    </w:p>
    <w:p w14:paraId="02E47035" w14:textId="77777777" w:rsidR="009256ED" w:rsidRPr="00C734D9" w:rsidRDefault="009256ED" w:rsidP="009256ED">
      <w:bookmarkStart w:id="32" w:name="_Hlk151117845"/>
      <w:r w:rsidRPr="00B619B5">
        <w:t xml:space="preserve">Interest revenue is received on the cash and deposits held by the </w:t>
      </w:r>
      <w:r>
        <w:t>general government sector entities</w:t>
      </w:r>
      <w:r w:rsidRPr="00B619B5">
        <w:t>. Total interest is expected to be to $1.</w:t>
      </w:r>
      <w:r>
        <w:t>4</w:t>
      </w:r>
      <w:r w:rsidRPr="00B619B5">
        <w:t xml:space="preserve"> billion in 2024-25 </w:t>
      </w:r>
      <w:r>
        <w:t xml:space="preserve">before moderating </w:t>
      </w:r>
      <w:r w:rsidRPr="00B619B5">
        <w:t>to $1.1 billion by 2027-28</w:t>
      </w:r>
      <w:r>
        <w:t>, mainly in line with an expected fall in interest rates in the medium term</w:t>
      </w:r>
      <w:r w:rsidRPr="00C734D9">
        <w:t xml:space="preserve">. </w:t>
      </w:r>
    </w:p>
    <w:bookmarkEnd w:id="32"/>
    <w:p w14:paraId="10B1655E" w14:textId="77777777" w:rsidR="009256ED" w:rsidRPr="00C734D9" w:rsidRDefault="009256ED" w:rsidP="009256ED">
      <w:pPr>
        <w:pStyle w:val="Heading30"/>
      </w:pPr>
      <w:r w:rsidRPr="00C734D9">
        <w:t>Sales of goods and services</w:t>
      </w:r>
    </w:p>
    <w:p w14:paraId="008A7EE7" w14:textId="77777777" w:rsidR="009256ED" w:rsidRPr="00C734D9" w:rsidRDefault="009256ED" w:rsidP="009256ED">
      <w:r w:rsidRPr="00C32218">
        <w:t>Revenue generated by the sales of goods and services is expected to increase to $7.1</w:t>
      </w:r>
      <w:r>
        <w:t> </w:t>
      </w:r>
      <w:r w:rsidRPr="00C32218">
        <w:t>billion in 2024-25 and grow by an average of 1.1 per cent a year over the forward estimates, reaching $7.3 billion in 2027-28</w:t>
      </w:r>
      <w:r w:rsidRPr="00C734D9">
        <w:t>.</w:t>
      </w:r>
    </w:p>
    <w:p w14:paraId="5C330D6D" w14:textId="77777777" w:rsidR="009256ED" w:rsidRPr="00C734D9" w:rsidRDefault="009256ED" w:rsidP="009256ED">
      <w:pPr>
        <w:pStyle w:val="Heading30"/>
      </w:pPr>
      <w:r w:rsidRPr="00C734D9">
        <w:t>Grants</w:t>
      </w:r>
    </w:p>
    <w:p w14:paraId="2D970091" w14:textId="77777777" w:rsidR="009256ED" w:rsidRPr="00C734D9" w:rsidRDefault="009256ED" w:rsidP="009256ED">
      <w:r w:rsidRPr="00F40E56">
        <w:t>Total grant revenue is expected to be $45.6 billion in 2024-25 and increase by an average of 4.0</w:t>
      </w:r>
      <w:r>
        <w:t> </w:t>
      </w:r>
      <w:r w:rsidRPr="00F40E56">
        <w:t>per cent a year over the forward estimates, reaching $51.3 billion in 2027-28</w:t>
      </w:r>
      <w:r w:rsidRPr="00C734D9">
        <w:t>.</w:t>
      </w:r>
    </w:p>
    <w:p w14:paraId="14FD842F" w14:textId="77777777" w:rsidR="009256ED" w:rsidRDefault="009256ED" w:rsidP="009256ED">
      <w:r w:rsidRPr="000031BE">
        <w:t>Victoria’s GST revenue is forecast to be $23.6 billion in 2024-25. Over the forward estimates, GST revenue is expected to grow by an average of 2.7 per cent per year. This reflects the strong outcome in Victoria’s no-worse-off relativity in 2024-25, which is forecast to remain elevated in 2025-26</w:t>
      </w:r>
      <w:r>
        <w:t>,</w:t>
      </w:r>
      <w:r w:rsidRPr="000031BE">
        <w:t xml:space="preserve"> driven by strength in commodity prices. Victoria’s relativity is then forecast to decline over 2026-27 and 2027-28 as commodity prices return to long-run trends. Additionally, GST revenue growth is supported by growth in the national GST pool over the whole period</w:t>
      </w:r>
      <w:r w:rsidRPr="00C734D9">
        <w:t>.</w:t>
      </w:r>
      <w:r>
        <w:t xml:space="preserve"> </w:t>
      </w:r>
    </w:p>
    <w:p w14:paraId="5CC4B9D1" w14:textId="77777777" w:rsidR="009256ED" w:rsidRPr="00C734D9" w:rsidRDefault="009256ED" w:rsidP="009256ED">
      <w:pPr>
        <w:pStyle w:val="Heading30"/>
      </w:pPr>
      <w:r w:rsidRPr="00C734D9">
        <w:t>Other revenue and income</w:t>
      </w:r>
    </w:p>
    <w:p w14:paraId="0219705B" w14:textId="77777777" w:rsidR="009256ED" w:rsidRPr="00C734D9" w:rsidRDefault="009256ED" w:rsidP="009256ED">
      <w:r w:rsidRPr="00C734D9">
        <w:t>Other revenue and income includes fines, royalties, donations and gifts, assets received free</w:t>
      </w:r>
      <w:r w:rsidRPr="00EE2E0C">
        <w:t xml:space="preserve"> </w:t>
      </w:r>
      <w:r w:rsidRPr="00C734D9">
        <w:t>of</w:t>
      </w:r>
      <w:r w:rsidRPr="00EE2E0C">
        <w:t xml:space="preserve"> </w:t>
      </w:r>
      <w:r w:rsidRPr="00C734D9">
        <w:t xml:space="preserve">charge and other miscellaneous revenues. </w:t>
      </w:r>
      <w:r w:rsidRPr="00EE2E0C">
        <w:t>Other revenue and income is expected to be $3.7 billion in 2024-25, decreasing slightly to $3.5 billion in 2027</w:t>
      </w:r>
      <w:r>
        <w:noBreakHyphen/>
      </w:r>
      <w:r w:rsidRPr="00EE2E0C">
        <w:t>28</w:t>
      </w:r>
      <w:r w:rsidRPr="00C734D9">
        <w:t>.</w:t>
      </w:r>
    </w:p>
    <w:p w14:paraId="57A44406" w14:textId="5BB580B1" w:rsidR="009256ED" w:rsidRDefault="009256ED" w:rsidP="00133F67">
      <w:r>
        <w:t xml:space="preserve">Chapter 4 </w:t>
      </w:r>
      <w:r w:rsidRPr="00EE622F">
        <w:rPr>
          <w:i/>
          <w:iCs/>
        </w:rPr>
        <w:t>Estimated financial statements and notes</w:t>
      </w:r>
      <w:r>
        <w:t xml:space="preserve"> contains further details of expected movements in the major categories of general government revenue.</w:t>
      </w:r>
    </w:p>
    <w:p w14:paraId="53D2809B" w14:textId="77777777" w:rsidR="009256ED" w:rsidRPr="00B0152A" w:rsidRDefault="009256ED" w:rsidP="009256ED">
      <w:pPr>
        <w:pStyle w:val="Heading20"/>
      </w:pPr>
      <w:r w:rsidRPr="00B0152A">
        <w:t>Expenses outlook</w:t>
      </w:r>
    </w:p>
    <w:p w14:paraId="4D9C9FC3" w14:textId="77777777" w:rsidR="009256ED" w:rsidRDefault="009256ED" w:rsidP="009256ED">
      <w:pPr>
        <w:keepNext/>
      </w:pPr>
      <w:r w:rsidRPr="00E5775D">
        <w:t>Total expenses for the general government sector are forecast to reach $101.7 billion in 2024</w:t>
      </w:r>
      <w:r>
        <w:noBreakHyphen/>
      </w:r>
      <w:r w:rsidRPr="00E5775D">
        <w:t>25 and increase by an average of 2.2 per cent a year over the forward estimates to $108.4 billion in 2027-28</w:t>
      </w:r>
      <w:r>
        <w:t xml:space="preserve">. </w:t>
      </w:r>
    </w:p>
    <w:p w14:paraId="0CA9D36F" w14:textId="77777777" w:rsidR="009256ED" w:rsidRDefault="009256ED" w:rsidP="009256ED">
      <w:r>
        <w:t>Moderation of expenditure growth over the forward estimates supports the Government’s fiscal strategy to achieve an operating surplus by 2025-26 and beyond.</w:t>
      </w:r>
    </w:p>
    <w:p w14:paraId="6A2109C3" w14:textId="77777777" w:rsidR="009256ED" w:rsidRDefault="009256ED" w:rsidP="00133F67">
      <w:pPr>
        <w:pStyle w:val="ListBullet"/>
      </w:pPr>
      <w:r w:rsidRPr="00921373">
        <w:t>Employee expenses (including superannuation) are forecast to be $42.4 billion in 2024</w:t>
      </w:r>
      <w:r>
        <w:noBreakHyphen/>
      </w:r>
      <w:r w:rsidRPr="00921373">
        <w:t xml:space="preserve">25. Average growth over the forward estimates of 3.1 per cent a year is forecast, consistent with service delivery </w:t>
      </w:r>
      <w:r>
        <w:t xml:space="preserve">requirements </w:t>
      </w:r>
      <w:r w:rsidRPr="00921373">
        <w:t xml:space="preserve">and enterprise bargaining </w:t>
      </w:r>
      <w:r>
        <w:t>agreements.</w:t>
      </w:r>
    </w:p>
    <w:p w14:paraId="10805FC6" w14:textId="77777777" w:rsidR="009256ED" w:rsidRDefault="009256ED" w:rsidP="00133F67">
      <w:pPr>
        <w:pStyle w:val="ListBullet"/>
      </w:pPr>
      <w:r w:rsidRPr="00393893">
        <w:t xml:space="preserve">Depreciation expense is forecast to </w:t>
      </w:r>
      <w:r>
        <w:t>be</w:t>
      </w:r>
      <w:r w:rsidRPr="00393893">
        <w:t xml:space="preserve"> $5.5 billion in 2024-25 and </w:t>
      </w:r>
      <w:r>
        <w:t>grow</w:t>
      </w:r>
      <w:r w:rsidRPr="00393893">
        <w:t xml:space="preserve"> by an average of 3.9 per cent a year over the forward estimates to $6.2 billion by 2027</w:t>
      </w:r>
      <w:r>
        <w:noBreakHyphen/>
      </w:r>
      <w:r w:rsidRPr="00393893">
        <w:t xml:space="preserve">28. </w:t>
      </w:r>
      <w:r>
        <w:t>Growth in depreciation is broadly in line with continuing high levels of investment in infrastructure.</w:t>
      </w:r>
    </w:p>
    <w:p w14:paraId="27E6F1EB" w14:textId="77777777" w:rsidR="009256ED" w:rsidRDefault="009256ED" w:rsidP="00133F67">
      <w:pPr>
        <w:pStyle w:val="ListBullet"/>
      </w:pPr>
      <w:r w:rsidRPr="00577AC0">
        <w:t xml:space="preserve">Interest expense is forecast to </w:t>
      </w:r>
      <w:r>
        <w:t>be</w:t>
      </w:r>
      <w:r w:rsidRPr="00577AC0">
        <w:t xml:space="preserve"> $6.6 billion in 2024-25, and to </w:t>
      </w:r>
      <w:r>
        <w:t xml:space="preserve">increase </w:t>
      </w:r>
      <w:r w:rsidRPr="00577AC0">
        <w:t>to $9.3</w:t>
      </w:r>
      <w:r>
        <w:t> </w:t>
      </w:r>
      <w:r w:rsidRPr="00577AC0">
        <w:t>billion by 2027</w:t>
      </w:r>
      <w:r>
        <w:noBreakHyphen/>
      </w:r>
      <w:r w:rsidRPr="00577AC0">
        <w:t>28, as the Government increases borrowings to continue significant levels of infrastructure investment. Interest expense as a share of total revenue is expected to average 7.5 per cent a year over the budget and forward estimates</w:t>
      </w:r>
      <w:r>
        <w:t xml:space="preserve">, lower than the average of 7.8 per cent a year when compared with the </w:t>
      </w:r>
      <w:r w:rsidRPr="00B46C83">
        <w:rPr>
          <w:i/>
          <w:iCs/>
        </w:rPr>
        <w:t>2024-25 Budget</w:t>
      </w:r>
      <w:r>
        <w:t>.</w:t>
      </w:r>
    </w:p>
    <w:p w14:paraId="61DB86AE" w14:textId="77777777" w:rsidR="009256ED" w:rsidRDefault="009256ED" w:rsidP="00133F67">
      <w:pPr>
        <w:pStyle w:val="ListBullet"/>
      </w:pPr>
      <w:r w:rsidRPr="008E40C2">
        <w:t xml:space="preserve">Grant expenses are forecast to </w:t>
      </w:r>
      <w:r>
        <w:t>be</w:t>
      </w:r>
      <w:r w:rsidRPr="008E40C2">
        <w:t xml:space="preserve"> $17.7 billion in 2024-25. Grant expenses are then expected to decline by an average of 0.4 per cent a year over the forward estimates</w:t>
      </w:r>
      <w:r>
        <w:t>.</w:t>
      </w:r>
    </w:p>
    <w:p w14:paraId="3DCAB7E6" w14:textId="77777777" w:rsidR="009256ED" w:rsidRDefault="009256ED" w:rsidP="00133F67">
      <w:pPr>
        <w:pStyle w:val="ListBullet"/>
      </w:pPr>
      <w:r w:rsidRPr="00D572A4">
        <w:t>Other operating expenses are forecast to be $29.4 billion in 2024</w:t>
      </w:r>
      <w:r>
        <w:noBreakHyphen/>
      </w:r>
      <w:r w:rsidRPr="00D572A4">
        <w:t xml:space="preserve">25. Other operating expenses are then expected to decrease by an average of 0.5 per cent a year over the forward </w:t>
      </w:r>
      <w:r>
        <w:t>estimates</w:t>
      </w:r>
      <w:r w:rsidRPr="00110EEC">
        <w:t>.</w:t>
      </w:r>
    </w:p>
    <w:p w14:paraId="24FDC19B" w14:textId="77777777" w:rsidR="009256ED" w:rsidRDefault="009256ED" w:rsidP="009256ED">
      <w:r>
        <w:t xml:space="preserve">Chapter 4 </w:t>
      </w:r>
      <w:r w:rsidRPr="00EE622F">
        <w:rPr>
          <w:i/>
          <w:iCs/>
        </w:rPr>
        <w:t>Estimated financial statements and notes</w:t>
      </w:r>
      <w:r>
        <w:t xml:space="preserve"> contains further details of </w:t>
      </w:r>
      <w:r w:rsidRPr="00A36F5E">
        <w:t xml:space="preserve">major components of expenditure incurred by the </w:t>
      </w:r>
      <w:r>
        <w:t>S</w:t>
      </w:r>
      <w:r w:rsidRPr="00A36F5E">
        <w:t>tate towards the delivery of services</w:t>
      </w:r>
      <w:r>
        <w:t xml:space="preserve">. </w:t>
      </w:r>
    </w:p>
    <w:p w14:paraId="35F922FD" w14:textId="77777777" w:rsidR="009256ED" w:rsidRPr="00C734D9" w:rsidRDefault="009256ED" w:rsidP="009256ED">
      <w:pPr>
        <w:pStyle w:val="Heading20"/>
        <w:pageBreakBefore/>
      </w:pPr>
      <w:r w:rsidRPr="00C734D9">
        <w:t xml:space="preserve">Reconciliation of estimates to the </w:t>
      </w:r>
      <w:r w:rsidRPr="00505247">
        <w:rPr>
          <w:i/>
        </w:rPr>
        <w:t>202</w:t>
      </w:r>
      <w:r>
        <w:rPr>
          <w:i/>
        </w:rPr>
        <w:t>4</w:t>
      </w:r>
      <w:r w:rsidRPr="00505247">
        <w:rPr>
          <w:i/>
        </w:rPr>
        <w:noBreakHyphen/>
        <w:t>2</w:t>
      </w:r>
      <w:r>
        <w:rPr>
          <w:i/>
        </w:rPr>
        <w:t>5</w:t>
      </w:r>
      <w:r w:rsidRPr="00505247">
        <w:rPr>
          <w:i/>
        </w:rPr>
        <w:t xml:space="preserve"> Budget</w:t>
      </w:r>
      <w:r>
        <w:rPr>
          <w:i/>
        </w:rPr>
        <w:t xml:space="preserve"> </w:t>
      </w:r>
    </w:p>
    <w:p w14:paraId="31C008EC" w14:textId="77777777" w:rsidR="009256ED" w:rsidRDefault="009256ED" w:rsidP="009256ED">
      <w:pPr>
        <w:rPr>
          <w:i/>
        </w:rPr>
      </w:pPr>
      <w:r w:rsidRPr="00C734D9">
        <w:t xml:space="preserve">Relative to the </w:t>
      </w:r>
      <w:r w:rsidRPr="405E09C6">
        <w:rPr>
          <w:i/>
          <w:iCs/>
        </w:rPr>
        <w:t>202</w:t>
      </w:r>
      <w:r>
        <w:rPr>
          <w:i/>
          <w:iCs/>
        </w:rPr>
        <w:t>4</w:t>
      </w:r>
      <w:r>
        <w:rPr>
          <w:i/>
          <w:iCs/>
        </w:rPr>
        <w:noBreakHyphen/>
        <w:t>25</w:t>
      </w:r>
      <w:r w:rsidRPr="00DB6526">
        <w:rPr>
          <w:i/>
        </w:rPr>
        <w:t xml:space="preserve"> Budget</w:t>
      </w:r>
      <w:r w:rsidRPr="00C734D9">
        <w:t xml:space="preserve">, the net result from transactions has been revised </w:t>
      </w:r>
      <w:r w:rsidRPr="0081031A">
        <w:t xml:space="preserve">down by $1.4 billion in 2024-25, </w:t>
      </w:r>
      <w:r>
        <w:t>and up by an average of $59</w:t>
      </w:r>
      <w:r w:rsidRPr="0081031A">
        <w:t xml:space="preserve"> million </w:t>
      </w:r>
      <w:r>
        <w:t>across</w:t>
      </w:r>
      <w:r w:rsidRPr="0081031A">
        <w:t xml:space="preserve"> 2025-26 </w:t>
      </w:r>
      <w:r>
        <w:t>to 2027-28</w:t>
      </w:r>
      <w:r w:rsidRPr="0081031A">
        <w:t xml:space="preserve"> </w:t>
      </w:r>
      <w:r w:rsidRPr="00256F0F">
        <w:t>(Table 3.3).</w:t>
      </w:r>
      <w:r w:rsidRPr="00DB7D59">
        <w:rPr>
          <w:i/>
        </w:rPr>
        <w:t xml:space="preserve"> </w:t>
      </w:r>
    </w:p>
    <w:p w14:paraId="2F230460" w14:textId="77777777" w:rsidR="009256ED" w:rsidRDefault="009256ED" w:rsidP="00133F67">
      <w:pPr>
        <w:pStyle w:val="TableHeading"/>
      </w:pPr>
      <w:r w:rsidRPr="00CC473C">
        <w:t>Table 3.3:</w:t>
      </w:r>
      <w:r w:rsidRPr="00CC473C">
        <w:tab/>
      </w:r>
      <w:r w:rsidRPr="00505247">
        <w:t xml:space="preserve">Reconciliation of estimates to the </w:t>
      </w:r>
      <w:r w:rsidRPr="00B24051">
        <w:rPr>
          <w:i/>
        </w:rPr>
        <w:t>202</w:t>
      </w:r>
      <w:r>
        <w:rPr>
          <w:i/>
        </w:rPr>
        <w:t>4</w:t>
      </w:r>
      <w:r>
        <w:rPr>
          <w:i/>
        </w:rPr>
        <w:noBreakHyphen/>
      </w:r>
      <w:r w:rsidRPr="00B24051">
        <w:rPr>
          <w:i/>
        </w:rPr>
        <w:t>2</w:t>
      </w:r>
      <w:r>
        <w:rPr>
          <w:i/>
        </w:rPr>
        <w:t>5</w:t>
      </w:r>
      <w:r w:rsidRPr="00B24051">
        <w:rPr>
          <w:i/>
        </w:rPr>
        <w:t xml:space="preserve"> Budget</w:t>
      </w:r>
      <w:r w:rsidRPr="00CC473C">
        <w:t xml:space="preserve"> </w:t>
      </w:r>
      <w:r w:rsidRPr="00CC473C">
        <w:rPr>
          <w:vertAlign w:val="superscript"/>
        </w:rPr>
        <w:t>(a)</w:t>
      </w:r>
      <w:r>
        <w:tab/>
      </w:r>
      <w:r w:rsidRPr="00CC473C">
        <w:t>($</w:t>
      </w:r>
      <w:r>
        <w:t> </w:t>
      </w:r>
      <w:r w:rsidRPr="00CC473C">
        <w:t>million)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ReconciliationOfEstimates|TableGroup:Chapter 3|MergedHeadingRow:1"/>
      </w:tblPr>
      <w:tblGrid>
        <w:gridCol w:w="3969"/>
        <w:gridCol w:w="935"/>
        <w:gridCol w:w="935"/>
        <w:gridCol w:w="935"/>
        <w:gridCol w:w="936"/>
      </w:tblGrid>
      <w:tr w:rsidR="009256ED" w14:paraId="5B7975AE" w14:textId="77777777" w:rsidTr="00133F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0" w:space="0" w:color="auto"/>
              <w:bottom w:val="single" w:sz="12" w:space="0" w:color="auto"/>
            </w:tcBorders>
          </w:tcPr>
          <w:p w14:paraId="6D6BAB04" w14:textId="77777777" w:rsidR="009256ED" w:rsidRDefault="009256ED" w:rsidP="008670FF">
            <w:pPr>
              <w:keepNext/>
            </w:pPr>
          </w:p>
        </w:tc>
        <w:tc>
          <w:tcPr>
            <w:tcW w:w="935" w:type="dxa"/>
            <w:tcBorders>
              <w:top w:val="single" w:sz="0" w:space="0" w:color="auto"/>
              <w:bottom w:val="single" w:sz="12" w:space="0" w:color="auto"/>
            </w:tcBorders>
          </w:tcPr>
          <w:p w14:paraId="568CB7FB"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935" w:type="dxa"/>
            <w:tcBorders>
              <w:top w:val="single" w:sz="0" w:space="0" w:color="auto"/>
              <w:bottom w:val="single" w:sz="12" w:space="0" w:color="auto"/>
            </w:tcBorders>
          </w:tcPr>
          <w:p w14:paraId="6F7AF804"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935" w:type="dxa"/>
            <w:tcBorders>
              <w:top w:val="single" w:sz="0" w:space="0" w:color="auto"/>
              <w:bottom w:val="single" w:sz="12" w:space="0" w:color="auto"/>
            </w:tcBorders>
          </w:tcPr>
          <w:p w14:paraId="5B899781"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936" w:type="dxa"/>
            <w:tcBorders>
              <w:top w:val="single" w:sz="0" w:space="0" w:color="auto"/>
              <w:bottom w:val="single" w:sz="12" w:space="0" w:color="auto"/>
            </w:tcBorders>
          </w:tcPr>
          <w:p w14:paraId="488618FD"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2871114D"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5DA470E5" w14:textId="77777777" w:rsidR="009256ED" w:rsidRDefault="009256ED" w:rsidP="008670FF">
            <w:r>
              <w:rPr>
                <w:b/>
              </w:rPr>
              <w:t xml:space="preserve">Net result from transactions: </w:t>
            </w:r>
            <w:r>
              <w:rPr>
                <w:b/>
                <w:i/>
              </w:rPr>
              <w:t>2024</w:t>
            </w:r>
            <w:r>
              <w:rPr>
                <w:b/>
                <w:i/>
              </w:rPr>
              <w:noBreakHyphen/>
              <w:t>25 Budget</w:t>
            </w:r>
          </w:p>
        </w:tc>
        <w:tc>
          <w:tcPr>
            <w:tcW w:w="935" w:type="dxa"/>
          </w:tcPr>
          <w:p w14:paraId="088BF57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(2 191)</w:t>
            </w:r>
          </w:p>
        </w:tc>
        <w:tc>
          <w:tcPr>
            <w:tcW w:w="935" w:type="dxa"/>
          </w:tcPr>
          <w:p w14:paraId="7C5545E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1 500</w:t>
            </w:r>
          </w:p>
        </w:tc>
        <w:tc>
          <w:tcPr>
            <w:tcW w:w="935" w:type="dxa"/>
          </w:tcPr>
          <w:p w14:paraId="6E68718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1 637</w:t>
            </w:r>
          </w:p>
        </w:tc>
        <w:tc>
          <w:tcPr>
            <w:tcW w:w="936" w:type="dxa"/>
          </w:tcPr>
          <w:p w14:paraId="37D95A7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1 937</w:t>
            </w:r>
          </w:p>
        </w:tc>
      </w:tr>
      <w:tr w:rsidR="009256ED" w14:paraId="02AA8E4A"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14B1910A" w14:textId="77777777" w:rsidR="009256ED" w:rsidRDefault="009256ED" w:rsidP="008670FF">
            <w:r>
              <w:rPr>
                <w:b/>
              </w:rPr>
              <w:t>Policy variations</w:t>
            </w:r>
          </w:p>
        </w:tc>
        <w:tc>
          <w:tcPr>
            <w:tcW w:w="935" w:type="dxa"/>
          </w:tcPr>
          <w:p w14:paraId="7B15ECD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132C0DD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1C1C804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6" w:type="dxa"/>
          </w:tcPr>
          <w:p w14:paraId="0C71BE9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1BDA7D82"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64216D05" w14:textId="77777777" w:rsidR="009256ED" w:rsidRDefault="009256ED" w:rsidP="008670FF">
            <w:r>
              <w:t xml:space="preserve">   Revenue policy initiatives</w:t>
            </w:r>
          </w:p>
        </w:tc>
        <w:tc>
          <w:tcPr>
            <w:tcW w:w="935" w:type="dxa"/>
          </w:tcPr>
          <w:p w14:paraId="7160453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w:t>
            </w:r>
          </w:p>
        </w:tc>
        <w:tc>
          <w:tcPr>
            <w:tcW w:w="935" w:type="dxa"/>
          </w:tcPr>
          <w:p w14:paraId="154D1FA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690</w:t>
            </w:r>
          </w:p>
        </w:tc>
        <w:tc>
          <w:tcPr>
            <w:tcW w:w="935" w:type="dxa"/>
          </w:tcPr>
          <w:p w14:paraId="4AC3680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886</w:t>
            </w:r>
          </w:p>
        </w:tc>
        <w:tc>
          <w:tcPr>
            <w:tcW w:w="936" w:type="dxa"/>
          </w:tcPr>
          <w:p w14:paraId="457B077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930</w:t>
            </w:r>
          </w:p>
        </w:tc>
      </w:tr>
      <w:tr w:rsidR="009256ED" w14:paraId="6B9EDF2A"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280DA1D2" w14:textId="77777777" w:rsidR="009256ED" w:rsidRDefault="009256ED" w:rsidP="008670FF">
            <w:r>
              <w:t xml:space="preserve">   Output policy initiatives </w:t>
            </w:r>
            <w:r>
              <w:rPr>
                <w:vertAlign w:val="superscript"/>
              </w:rPr>
              <w:t>(b)</w:t>
            </w:r>
          </w:p>
        </w:tc>
        <w:tc>
          <w:tcPr>
            <w:tcW w:w="935" w:type="dxa"/>
            <w:tcBorders>
              <w:bottom w:val="single" w:sz="6" w:space="0" w:color="auto"/>
            </w:tcBorders>
          </w:tcPr>
          <w:p w14:paraId="2E05B49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(1 539)</w:t>
            </w:r>
          </w:p>
        </w:tc>
        <w:tc>
          <w:tcPr>
            <w:tcW w:w="935" w:type="dxa"/>
            <w:tcBorders>
              <w:bottom w:val="single" w:sz="6" w:space="0" w:color="auto"/>
            </w:tcBorders>
          </w:tcPr>
          <w:p w14:paraId="2BEE647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(901)</w:t>
            </w:r>
          </w:p>
        </w:tc>
        <w:tc>
          <w:tcPr>
            <w:tcW w:w="935" w:type="dxa"/>
            <w:tcBorders>
              <w:bottom w:val="single" w:sz="6" w:space="0" w:color="auto"/>
            </w:tcBorders>
          </w:tcPr>
          <w:p w14:paraId="73901D7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(1 143)</w:t>
            </w:r>
          </w:p>
        </w:tc>
        <w:tc>
          <w:tcPr>
            <w:tcW w:w="936" w:type="dxa"/>
            <w:tcBorders>
              <w:bottom w:val="single" w:sz="6" w:space="0" w:color="auto"/>
            </w:tcBorders>
          </w:tcPr>
          <w:p w14:paraId="7AC8277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(1 211)</w:t>
            </w:r>
          </w:p>
        </w:tc>
      </w:tr>
      <w:tr w:rsidR="009256ED" w14:paraId="3FF8CC6F"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48E42D7E" w14:textId="77777777" w:rsidR="009256ED" w:rsidRDefault="009256ED" w:rsidP="008670FF"/>
        </w:tc>
        <w:tc>
          <w:tcPr>
            <w:tcW w:w="935" w:type="dxa"/>
            <w:tcBorders>
              <w:top w:val="single" w:sz="6" w:space="0" w:color="auto"/>
            </w:tcBorders>
          </w:tcPr>
          <w:p w14:paraId="74B20F8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(1 538)</w:t>
            </w:r>
          </w:p>
        </w:tc>
        <w:tc>
          <w:tcPr>
            <w:tcW w:w="935" w:type="dxa"/>
            <w:tcBorders>
              <w:top w:val="single" w:sz="6" w:space="0" w:color="auto"/>
            </w:tcBorders>
          </w:tcPr>
          <w:p w14:paraId="6E0A258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(211)</w:t>
            </w:r>
          </w:p>
        </w:tc>
        <w:tc>
          <w:tcPr>
            <w:tcW w:w="935" w:type="dxa"/>
            <w:tcBorders>
              <w:top w:val="single" w:sz="6" w:space="0" w:color="auto"/>
            </w:tcBorders>
          </w:tcPr>
          <w:p w14:paraId="164D84B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(257)</w:t>
            </w:r>
          </w:p>
        </w:tc>
        <w:tc>
          <w:tcPr>
            <w:tcW w:w="936" w:type="dxa"/>
            <w:tcBorders>
              <w:top w:val="single" w:sz="6" w:space="0" w:color="auto"/>
            </w:tcBorders>
          </w:tcPr>
          <w:p w14:paraId="36E9BCB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(282)</w:t>
            </w:r>
          </w:p>
        </w:tc>
      </w:tr>
      <w:tr w:rsidR="009256ED" w14:paraId="3BE5E418"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46C79B03" w14:textId="77777777" w:rsidR="009256ED" w:rsidRDefault="009256ED" w:rsidP="008670FF">
            <w:r>
              <w:rPr>
                <w:b/>
              </w:rPr>
              <w:t>Economic/demographic variations</w:t>
            </w:r>
          </w:p>
        </w:tc>
        <w:tc>
          <w:tcPr>
            <w:tcW w:w="935" w:type="dxa"/>
          </w:tcPr>
          <w:p w14:paraId="7292900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7BABBFB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06E5EC3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6" w:type="dxa"/>
          </w:tcPr>
          <w:p w14:paraId="3DA346F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46A07433"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7D6C444E" w14:textId="77777777" w:rsidR="009256ED" w:rsidRDefault="009256ED" w:rsidP="008670FF">
            <w:r>
              <w:t xml:space="preserve">   Taxation</w:t>
            </w:r>
          </w:p>
        </w:tc>
        <w:tc>
          <w:tcPr>
            <w:tcW w:w="935" w:type="dxa"/>
          </w:tcPr>
          <w:p w14:paraId="3D85718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160</w:t>
            </w:r>
          </w:p>
        </w:tc>
        <w:tc>
          <w:tcPr>
            <w:tcW w:w="935" w:type="dxa"/>
          </w:tcPr>
          <w:p w14:paraId="43601D6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(133)</w:t>
            </w:r>
          </w:p>
        </w:tc>
        <w:tc>
          <w:tcPr>
            <w:tcW w:w="935" w:type="dxa"/>
          </w:tcPr>
          <w:p w14:paraId="5955EE4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(82)</w:t>
            </w:r>
          </w:p>
        </w:tc>
        <w:tc>
          <w:tcPr>
            <w:tcW w:w="936" w:type="dxa"/>
          </w:tcPr>
          <w:p w14:paraId="50A4356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(234)</w:t>
            </w:r>
          </w:p>
        </w:tc>
      </w:tr>
      <w:tr w:rsidR="009256ED" w14:paraId="7AB21563"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14969794" w14:textId="77777777" w:rsidR="009256ED" w:rsidRDefault="009256ED" w:rsidP="008670FF">
            <w:r>
              <w:t xml:space="preserve">   Investment income </w:t>
            </w:r>
            <w:r>
              <w:rPr>
                <w:vertAlign w:val="superscript"/>
              </w:rPr>
              <w:t>(c)</w:t>
            </w:r>
          </w:p>
        </w:tc>
        <w:tc>
          <w:tcPr>
            <w:tcW w:w="935" w:type="dxa"/>
            <w:tcBorders>
              <w:bottom w:val="single" w:sz="6" w:space="0" w:color="auto"/>
            </w:tcBorders>
          </w:tcPr>
          <w:p w14:paraId="7041D47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112</w:t>
            </w:r>
          </w:p>
        </w:tc>
        <w:tc>
          <w:tcPr>
            <w:tcW w:w="935" w:type="dxa"/>
            <w:tcBorders>
              <w:bottom w:val="single" w:sz="6" w:space="0" w:color="auto"/>
            </w:tcBorders>
          </w:tcPr>
          <w:p w14:paraId="287FDE6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31</w:t>
            </w:r>
          </w:p>
        </w:tc>
        <w:tc>
          <w:tcPr>
            <w:tcW w:w="935" w:type="dxa"/>
            <w:tcBorders>
              <w:bottom w:val="single" w:sz="6" w:space="0" w:color="auto"/>
            </w:tcBorders>
          </w:tcPr>
          <w:p w14:paraId="4C84BA5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w:t>
            </w:r>
          </w:p>
        </w:tc>
        <w:tc>
          <w:tcPr>
            <w:tcW w:w="936" w:type="dxa"/>
            <w:tcBorders>
              <w:bottom w:val="single" w:sz="6" w:space="0" w:color="auto"/>
            </w:tcBorders>
          </w:tcPr>
          <w:p w14:paraId="1AEC6A2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w:t>
            </w:r>
          </w:p>
        </w:tc>
      </w:tr>
      <w:tr w:rsidR="009256ED" w14:paraId="7F803BC8"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1CEB7D64" w14:textId="77777777" w:rsidR="009256ED" w:rsidRDefault="009256ED" w:rsidP="008670FF"/>
        </w:tc>
        <w:tc>
          <w:tcPr>
            <w:tcW w:w="935" w:type="dxa"/>
            <w:tcBorders>
              <w:top w:val="single" w:sz="6" w:space="0" w:color="auto"/>
            </w:tcBorders>
          </w:tcPr>
          <w:p w14:paraId="113613B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272</w:t>
            </w:r>
          </w:p>
        </w:tc>
        <w:tc>
          <w:tcPr>
            <w:tcW w:w="935" w:type="dxa"/>
            <w:tcBorders>
              <w:top w:val="single" w:sz="6" w:space="0" w:color="auto"/>
            </w:tcBorders>
          </w:tcPr>
          <w:p w14:paraId="629EF14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(102)</w:t>
            </w:r>
          </w:p>
        </w:tc>
        <w:tc>
          <w:tcPr>
            <w:tcW w:w="935" w:type="dxa"/>
            <w:tcBorders>
              <w:top w:val="single" w:sz="6" w:space="0" w:color="auto"/>
            </w:tcBorders>
          </w:tcPr>
          <w:p w14:paraId="069BFC0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(77)</w:t>
            </w:r>
          </w:p>
        </w:tc>
        <w:tc>
          <w:tcPr>
            <w:tcW w:w="936" w:type="dxa"/>
            <w:tcBorders>
              <w:top w:val="single" w:sz="6" w:space="0" w:color="auto"/>
            </w:tcBorders>
          </w:tcPr>
          <w:p w14:paraId="292159D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(241)</w:t>
            </w:r>
          </w:p>
        </w:tc>
      </w:tr>
      <w:tr w:rsidR="009256ED" w14:paraId="68995BDA"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75826E13" w14:textId="77777777" w:rsidR="009256ED" w:rsidRDefault="009256ED" w:rsidP="008670FF">
            <w:r>
              <w:rPr>
                <w:b/>
              </w:rPr>
              <w:t>Commonwealth grant variations</w:t>
            </w:r>
          </w:p>
        </w:tc>
        <w:tc>
          <w:tcPr>
            <w:tcW w:w="935" w:type="dxa"/>
          </w:tcPr>
          <w:p w14:paraId="27C5CA0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69E3995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5B7ED76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6" w:type="dxa"/>
          </w:tcPr>
          <w:p w14:paraId="2C197B3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5DE26FDC"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5E6596BB" w14:textId="77777777" w:rsidR="009256ED" w:rsidRDefault="009256ED" w:rsidP="008670FF">
            <w:r>
              <w:t xml:space="preserve">   General purpose grants</w:t>
            </w:r>
          </w:p>
        </w:tc>
        <w:tc>
          <w:tcPr>
            <w:tcW w:w="935" w:type="dxa"/>
          </w:tcPr>
          <w:p w14:paraId="7A546A4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114</w:t>
            </w:r>
          </w:p>
        </w:tc>
        <w:tc>
          <w:tcPr>
            <w:tcW w:w="935" w:type="dxa"/>
          </w:tcPr>
          <w:p w14:paraId="137E510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856</w:t>
            </w:r>
          </w:p>
        </w:tc>
        <w:tc>
          <w:tcPr>
            <w:tcW w:w="935" w:type="dxa"/>
          </w:tcPr>
          <w:p w14:paraId="6FF66F2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314</w:t>
            </w:r>
          </w:p>
        </w:tc>
        <w:tc>
          <w:tcPr>
            <w:tcW w:w="936" w:type="dxa"/>
          </w:tcPr>
          <w:p w14:paraId="5C12F23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624</w:t>
            </w:r>
          </w:p>
        </w:tc>
      </w:tr>
      <w:tr w:rsidR="009256ED" w14:paraId="00ACA906"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52EA22E3" w14:textId="77777777" w:rsidR="009256ED" w:rsidRDefault="009256ED" w:rsidP="008670FF">
            <w:r>
              <w:t xml:space="preserve">   Specific purpose grants </w:t>
            </w:r>
            <w:r>
              <w:rPr>
                <w:vertAlign w:val="superscript"/>
              </w:rPr>
              <w:t>(d)</w:t>
            </w:r>
          </w:p>
        </w:tc>
        <w:tc>
          <w:tcPr>
            <w:tcW w:w="935" w:type="dxa"/>
            <w:tcBorders>
              <w:bottom w:val="single" w:sz="6" w:space="0" w:color="auto"/>
            </w:tcBorders>
          </w:tcPr>
          <w:p w14:paraId="7B4941B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273</w:t>
            </w:r>
          </w:p>
        </w:tc>
        <w:tc>
          <w:tcPr>
            <w:tcW w:w="935" w:type="dxa"/>
            <w:tcBorders>
              <w:bottom w:val="single" w:sz="6" w:space="0" w:color="auto"/>
            </w:tcBorders>
          </w:tcPr>
          <w:p w14:paraId="446C09B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(127)</w:t>
            </w:r>
          </w:p>
        </w:tc>
        <w:tc>
          <w:tcPr>
            <w:tcW w:w="935" w:type="dxa"/>
            <w:tcBorders>
              <w:bottom w:val="single" w:sz="6" w:space="0" w:color="auto"/>
            </w:tcBorders>
          </w:tcPr>
          <w:p w14:paraId="7FBD765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596</w:t>
            </w:r>
          </w:p>
        </w:tc>
        <w:tc>
          <w:tcPr>
            <w:tcW w:w="936" w:type="dxa"/>
            <w:tcBorders>
              <w:bottom w:val="single" w:sz="6" w:space="0" w:color="auto"/>
            </w:tcBorders>
          </w:tcPr>
          <w:p w14:paraId="2271BEA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1 741</w:t>
            </w:r>
          </w:p>
        </w:tc>
      </w:tr>
      <w:tr w:rsidR="009256ED" w14:paraId="5F114B57"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7ADD0B2A" w14:textId="77777777" w:rsidR="009256ED" w:rsidRDefault="009256ED" w:rsidP="008670FF"/>
        </w:tc>
        <w:tc>
          <w:tcPr>
            <w:tcW w:w="935" w:type="dxa"/>
            <w:tcBorders>
              <w:top w:val="single" w:sz="6" w:space="0" w:color="auto"/>
            </w:tcBorders>
          </w:tcPr>
          <w:p w14:paraId="0D024F1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387</w:t>
            </w:r>
          </w:p>
        </w:tc>
        <w:tc>
          <w:tcPr>
            <w:tcW w:w="935" w:type="dxa"/>
            <w:tcBorders>
              <w:top w:val="single" w:sz="6" w:space="0" w:color="auto"/>
            </w:tcBorders>
          </w:tcPr>
          <w:p w14:paraId="2CA1A62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728</w:t>
            </w:r>
          </w:p>
        </w:tc>
        <w:tc>
          <w:tcPr>
            <w:tcW w:w="935" w:type="dxa"/>
            <w:tcBorders>
              <w:top w:val="single" w:sz="6" w:space="0" w:color="auto"/>
            </w:tcBorders>
          </w:tcPr>
          <w:p w14:paraId="506F52B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910</w:t>
            </w:r>
          </w:p>
        </w:tc>
        <w:tc>
          <w:tcPr>
            <w:tcW w:w="936" w:type="dxa"/>
            <w:tcBorders>
              <w:top w:val="single" w:sz="6" w:space="0" w:color="auto"/>
            </w:tcBorders>
          </w:tcPr>
          <w:p w14:paraId="59C4698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2 365</w:t>
            </w:r>
          </w:p>
        </w:tc>
      </w:tr>
      <w:tr w:rsidR="009256ED" w14:paraId="23D6334E"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358426A4" w14:textId="77777777" w:rsidR="009256ED" w:rsidRDefault="009256ED" w:rsidP="008670FF">
            <w:r>
              <w:rPr>
                <w:b/>
              </w:rPr>
              <w:t>Administrative variations</w:t>
            </w:r>
          </w:p>
        </w:tc>
        <w:tc>
          <w:tcPr>
            <w:tcW w:w="935" w:type="dxa"/>
          </w:tcPr>
          <w:p w14:paraId="29CB39D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7476EC4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1152832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6" w:type="dxa"/>
          </w:tcPr>
          <w:p w14:paraId="257F686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65FD577C" w14:textId="77777777" w:rsidTr="00133F67">
        <w:tc>
          <w:tcPr>
            <w:cnfStyle w:val="001000000000" w:firstRow="0" w:lastRow="0" w:firstColumn="1" w:lastColumn="0" w:oddVBand="0" w:evenVBand="0" w:oddHBand="0" w:evenHBand="0" w:firstRowFirstColumn="0" w:firstRowLastColumn="0" w:lastRowFirstColumn="0" w:lastRowLastColumn="0"/>
            <w:tcW w:w="3969" w:type="dxa"/>
          </w:tcPr>
          <w:p w14:paraId="6B7B0E07" w14:textId="77777777" w:rsidR="009256ED" w:rsidRDefault="009256ED" w:rsidP="008670FF">
            <w:r>
              <w:t xml:space="preserve">   Contingency offset for new policy initiatives </w:t>
            </w:r>
            <w:r>
              <w:rPr>
                <w:vertAlign w:val="superscript"/>
              </w:rPr>
              <w:t>(e)</w:t>
            </w:r>
          </w:p>
        </w:tc>
        <w:tc>
          <w:tcPr>
            <w:tcW w:w="935" w:type="dxa"/>
          </w:tcPr>
          <w:p w14:paraId="6AD6027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35" w:type="dxa"/>
          </w:tcPr>
          <w:p w14:paraId="2F28E2C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35" w:type="dxa"/>
          </w:tcPr>
          <w:p w14:paraId="4E91910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36" w:type="dxa"/>
          </w:tcPr>
          <w:p w14:paraId="4175F9C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r>
      <w:tr w:rsidR="009256ED" w14:paraId="34C4E454"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43120F5B" w14:textId="77777777" w:rsidR="009256ED" w:rsidRDefault="009256ED" w:rsidP="008670FF">
            <w:r>
              <w:t xml:space="preserve">   Other administrative variations</w:t>
            </w:r>
          </w:p>
        </w:tc>
        <w:tc>
          <w:tcPr>
            <w:tcW w:w="935" w:type="dxa"/>
            <w:tcBorders>
              <w:bottom w:val="single" w:sz="6" w:space="0" w:color="auto"/>
            </w:tcBorders>
          </w:tcPr>
          <w:p w14:paraId="26E3F1B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(524)</w:t>
            </w:r>
          </w:p>
        </w:tc>
        <w:tc>
          <w:tcPr>
            <w:tcW w:w="935" w:type="dxa"/>
            <w:tcBorders>
              <w:bottom w:val="single" w:sz="6" w:space="0" w:color="auto"/>
            </w:tcBorders>
          </w:tcPr>
          <w:p w14:paraId="11BC192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(336)</w:t>
            </w:r>
          </w:p>
        </w:tc>
        <w:tc>
          <w:tcPr>
            <w:tcW w:w="935" w:type="dxa"/>
            <w:tcBorders>
              <w:bottom w:val="single" w:sz="6" w:space="0" w:color="auto"/>
            </w:tcBorders>
          </w:tcPr>
          <w:p w14:paraId="781CA3D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(496)</w:t>
            </w:r>
          </w:p>
        </w:tc>
        <w:tc>
          <w:tcPr>
            <w:tcW w:w="936" w:type="dxa"/>
            <w:tcBorders>
              <w:bottom w:val="single" w:sz="6" w:space="0" w:color="auto"/>
            </w:tcBorders>
          </w:tcPr>
          <w:p w14:paraId="7DC61FF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(1 824)</w:t>
            </w:r>
          </w:p>
        </w:tc>
      </w:tr>
      <w:tr w:rsidR="009256ED" w14:paraId="1BD71B7C"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00783AC5" w14:textId="77777777" w:rsidR="009256ED" w:rsidRDefault="009256ED" w:rsidP="008670FF"/>
        </w:tc>
        <w:tc>
          <w:tcPr>
            <w:tcW w:w="935" w:type="dxa"/>
            <w:tcBorders>
              <w:top w:val="single" w:sz="6" w:space="0" w:color="auto"/>
            </w:tcBorders>
          </w:tcPr>
          <w:p w14:paraId="1F73394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(524)</w:t>
            </w:r>
          </w:p>
        </w:tc>
        <w:tc>
          <w:tcPr>
            <w:tcW w:w="935" w:type="dxa"/>
            <w:tcBorders>
              <w:top w:val="single" w:sz="6" w:space="0" w:color="auto"/>
            </w:tcBorders>
          </w:tcPr>
          <w:p w14:paraId="2269755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(336)</w:t>
            </w:r>
          </w:p>
        </w:tc>
        <w:tc>
          <w:tcPr>
            <w:tcW w:w="935" w:type="dxa"/>
            <w:tcBorders>
              <w:top w:val="single" w:sz="6" w:space="0" w:color="auto"/>
            </w:tcBorders>
          </w:tcPr>
          <w:p w14:paraId="42C69AE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(496)</w:t>
            </w:r>
          </w:p>
        </w:tc>
        <w:tc>
          <w:tcPr>
            <w:tcW w:w="936" w:type="dxa"/>
            <w:tcBorders>
              <w:top w:val="single" w:sz="6" w:space="0" w:color="auto"/>
            </w:tcBorders>
          </w:tcPr>
          <w:p w14:paraId="583246E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(1 824)</w:t>
            </w:r>
          </w:p>
        </w:tc>
      </w:tr>
      <w:tr w:rsidR="009256ED" w14:paraId="2D6546F0" w14:textId="77777777" w:rsidTr="00133F67">
        <w:trPr>
          <w:trHeight w:hRule="exact" w:val="113"/>
        </w:trPr>
        <w:tc>
          <w:tcPr>
            <w:cnfStyle w:val="001000000000" w:firstRow="0" w:lastRow="0" w:firstColumn="1" w:lastColumn="0" w:oddVBand="0" w:evenVBand="0" w:oddHBand="0" w:evenHBand="0" w:firstRowFirstColumn="0" w:firstRowLastColumn="0" w:lastRowFirstColumn="0" w:lastRowLastColumn="0"/>
            <w:tcW w:w="3969" w:type="dxa"/>
          </w:tcPr>
          <w:p w14:paraId="2646186C" w14:textId="77777777" w:rsidR="009256ED" w:rsidRDefault="009256ED" w:rsidP="008670FF"/>
        </w:tc>
        <w:tc>
          <w:tcPr>
            <w:tcW w:w="935" w:type="dxa"/>
          </w:tcPr>
          <w:p w14:paraId="6A23BFC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7881E9C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5" w:type="dxa"/>
          </w:tcPr>
          <w:p w14:paraId="2AF223A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36" w:type="dxa"/>
          </w:tcPr>
          <w:p w14:paraId="264E858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73719B86"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bottom w:val="single" w:sz="6" w:space="0" w:color="auto"/>
            </w:tcBorders>
          </w:tcPr>
          <w:p w14:paraId="215F3630" w14:textId="77777777" w:rsidR="009256ED" w:rsidRDefault="009256ED" w:rsidP="008670FF">
            <w:r>
              <w:rPr>
                <w:b/>
              </w:rPr>
              <w:t xml:space="preserve">Total variation since </w:t>
            </w:r>
            <w:r>
              <w:rPr>
                <w:b/>
                <w:i/>
              </w:rPr>
              <w:t>2024</w:t>
            </w:r>
            <w:r>
              <w:rPr>
                <w:b/>
                <w:i/>
              </w:rPr>
              <w:noBreakHyphen/>
              <w:t>25 Budget</w:t>
            </w:r>
          </w:p>
        </w:tc>
        <w:tc>
          <w:tcPr>
            <w:tcW w:w="935" w:type="dxa"/>
            <w:tcBorders>
              <w:bottom w:val="single" w:sz="6" w:space="0" w:color="auto"/>
            </w:tcBorders>
          </w:tcPr>
          <w:p w14:paraId="5CAE907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(1 404)</w:t>
            </w:r>
          </w:p>
        </w:tc>
        <w:tc>
          <w:tcPr>
            <w:tcW w:w="935" w:type="dxa"/>
            <w:tcBorders>
              <w:bottom w:val="single" w:sz="6" w:space="0" w:color="auto"/>
            </w:tcBorders>
          </w:tcPr>
          <w:p w14:paraId="2FE9654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79</w:t>
            </w:r>
          </w:p>
        </w:tc>
        <w:tc>
          <w:tcPr>
            <w:tcW w:w="935" w:type="dxa"/>
            <w:tcBorders>
              <w:bottom w:val="single" w:sz="6" w:space="0" w:color="auto"/>
            </w:tcBorders>
          </w:tcPr>
          <w:p w14:paraId="27DEF6D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81</w:t>
            </w:r>
          </w:p>
        </w:tc>
        <w:tc>
          <w:tcPr>
            <w:tcW w:w="936" w:type="dxa"/>
            <w:tcBorders>
              <w:bottom w:val="single" w:sz="6" w:space="0" w:color="auto"/>
            </w:tcBorders>
          </w:tcPr>
          <w:p w14:paraId="2FAF4ED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17</w:t>
            </w:r>
          </w:p>
        </w:tc>
      </w:tr>
      <w:tr w:rsidR="009256ED" w14:paraId="4559E04B" w14:textId="77777777" w:rsidTr="00133F6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bottom w:val="single" w:sz="12" w:space="0" w:color="auto"/>
            </w:tcBorders>
          </w:tcPr>
          <w:p w14:paraId="68684DB3" w14:textId="77777777" w:rsidR="009256ED" w:rsidRDefault="009256ED" w:rsidP="008670FF">
            <w:r>
              <w:rPr>
                <w:b/>
              </w:rPr>
              <w:t xml:space="preserve">Net result from transactions: </w:t>
            </w:r>
            <w:r>
              <w:rPr>
                <w:b/>
                <w:i/>
              </w:rPr>
              <w:t>2024</w:t>
            </w:r>
            <w:r>
              <w:rPr>
                <w:b/>
                <w:i/>
              </w:rPr>
              <w:noBreakHyphen/>
              <w:t>25 Budget Update</w:t>
            </w:r>
          </w:p>
        </w:tc>
        <w:tc>
          <w:tcPr>
            <w:tcW w:w="935" w:type="dxa"/>
            <w:tcBorders>
              <w:top w:val="single" w:sz="6" w:space="0" w:color="auto"/>
              <w:bottom w:val="single" w:sz="12" w:space="0" w:color="auto"/>
            </w:tcBorders>
          </w:tcPr>
          <w:p w14:paraId="0479CD2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(3 595)</w:t>
            </w:r>
          </w:p>
        </w:tc>
        <w:tc>
          <w:tcPr>
            <w:tcW w:w="935" w:type="dxa"/>
            <w:tcBorders>
              <w:top w:val="single" w:sz="6" w:space="0" w:color="auto"/>
              <w:bottom w:val="single" w:sz="12" w:space="0" w:color="auto"/>
            </w:tcBorders>
          </w:tcPr>
          <w:p w14:paraId="4FBF438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1 579</w:t>
            </w:r>
          </w:p>
        </w:tc>
        <w:tc>
          <w:tcPr>
            <w:tcW w:w="935" w:type="dxa"/>
            <w:tcBorders>
              <w:top w:val="single" w:sz="6" w:space="0" w:color="auto"/>
              <w:bottom w:val="single" w:sz="12" w:space="0" w:color="auto"/>
            </w:tcBorders>
          </w:tcPr>
          <w:p w14:paraId="778F6CE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1 718</w:t>
            </w:r>
          </w:p>
        </w:tc>
        <w:tc>
          <w:tcPr>
            <w:tcW w:w="936" w:type="dxa"/>
            <w:tcBorders>
              <w:top w:val="single" w:sz="6" w:space="0" w:color="auto"/>
              <w:bottom w:val="single" w:sz="12" w:space="0" w:color="auto"/>
            </w:tcBorders>
          </w:tcPr>
          <w:p w14:paraId="5451132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1 954</w:t>
            </w:r>
          </w:p>
        </w:tc>
      </w:tr>
    </w:tbl>
    <w:p w14:paraId="23FE7E81" w14:textId="77777777" w:rsidR="009256ED" w:rsidRPr="001D55A6" w:rsidRDefault="009256ED" w:rsidP="009256ED">
      <w:pPr>
        <w:pStyle w:val="Note"/>
      </w:pPr>
      <w:r w:rsidRPr="001D55A6">
        <w:t>Notes:</w:t>
      </w:r>
    </w:p>
    <w:p w14:paraId="7547EBDC" w14:textId="77777777" w:rsidR="009256ED" w:rsidRPr="001D55A6" w:rsidRDefault="009256ED" w:rsidP="009256ED">
      <w:pPr>
        <w:pStyle w:val="Note"/>
      </w:pPr>
      <w:r w:rsidRPr="001D55A6">
        <w:t>(a)</w:t>
      </w:r>
      <w:r w:rsidRPr="001D55A6">
        <w:tab/>
        <w:t>Figures in this table are subject to rounding to the nearest</w:t>
      </w:r>
      <w:r>
        <w:t> </w:t>
      </w:r>
      <w:r w:rsidRPr="001D55A6">
        <w:t>million and may not add up to totals.</w:t>
      </w:r>
    </w:p>
    <w:p w14:paraId="63303E52" w14:textId="77777777" w:rsidR="009256ED" w:rsidRPr="001D55A6" w:rsidRDefault="009256ED" w:rsidP="009256ED">
      <w:pPr>
        <w:pStyle w:val="Note"/>
      </w:pPr>
      <w:r w:rsidRPr="001D55A6">
        <w:t>(b)</w:t>
      </w:r>
      <w:r w:rsidRPr="001D55A6">
        <w:tab/>
        <w:t xml:space="preserve">This is represented in Table 3.4 as the </w:t>
      </w:r>
      <w:r w:rsidRPr="00A718B1">
        <w:rPr>
          <w:i w:val="0"/>
        </w:rPr>
        <w:t>2024</w:t>
      </w:r>
      <w:r w:rsidRPr="00A718B1">
        <w:rPr>
          <w:i w:val="0"/>
        </w:rPr>
        <w:noBreakHyphen/>
        <w:t>25 Budget Update</w:t>
      </w:r>
      <w:r w:rsidRPr="001D55A6">
        <w:t xml:space="preserve"> output policy initiatives.</w:t>
      </w:r>
    </w:p>
    <w:p w14:paraId="4CD3C31A" w14:textId="77777777" w:rsidR="009256ED" w:rsidRPr="001D55A6" w:rsidRDefault="009256ED" w:rsidP="009256ED">
      <w:pPr>
        <w:pStyle w:val="Note"/>
      </w:pPr>
      <w:r w:rsidRPr="001D55A6">
        <w:t>(c)</w:t>
      </w:r>
      <w:r w:rsidRPr="001D55A6">
        <w:tab/>
        <w:t>Comprises dividends and income tax and rate equivalent revenue.</w:t>
      </w:r>
    </w:p>
    <w:p w14:paraId="72F0AB30" w14:textId="77777777" w:rsidR="009256ED" w:rsidRPr="001D55A6" w:rsidRDefault="009256ED" w:rsidP="009256ED">
      <w:pPr>
        <w:pStyle w:val="Note"/>
      </w:pPr>
      <w:r w:rsidRPr="001D55A6">
        <w:t>(d)</w:t>
      </w:r>
      <w:r w:rsidRPr="001D55A6">
        <w:tab/>
        <w:t>Reflects the change in grant revenue as per Note 4.2.4 of Chapter 4 less associated expense movements.</w:t>
      </w:r>
    </w:p>
    <w:p w14:paraId="15E43C1D" w14:textId="77777777" w:rsidR="009256ED" w:rsidRDefault="009256ED" w:rsidP="009256ED">
      <w:pPr>
        <w:pStyle w:val="Note"/>
      </w:pPr>
      <w:r w:rsidRPr="001D55A6">
        <w:t>(e)</w:t>
      </w:r>
      <w:r w:rsidRPr="001D55A6">
        <w:tab/>
        <w:t xml:space="preserve">Represents releases from the funding not allocated to specific purposes contingency included in the </w:t>
      </w:r>
      <w:r w:rsidRPr="00A718B1">
        <w:rPr>
          <w:i w:val="0"/>
        </w:rPr>
        <w:t>2024</w:t>
      </w:r>
      <w:r w:rsidRPr="00A718B1">
        <w:rPr>
          <w:i w:val="0"/>
        </w:rPr>
        <w:noBreakHyphen/>
        <w:t>25 Budget Update</w:t>
      </w:r>
      <w:r w:rsidRPr="001D55A6">
        <w:t>. Further information on total output contingencies can be found at Note 4.3.</w:t>
      </w:r>
      <w:r>
        <w:t>7</w:t>
      </w:r>
      <w:r w:rsidRPr="001D55A6">
        <w:t xml:space="preserve"> of Chapter </w:t>
      </w:r>
      <w:r w:rsidRPr="00A718B1">
        <w:rPr>
          <w:i w:val="0"/>
        </w:rPr>
        <w:t xml:space="preserve">4 Estimated </w:t>
      </w:r>
      <w:r>
        <w:rPr>
          <w:i w:val="0"/>
        </w:rPr>
        <w:t>f</w:t>
      </w:r>
      <w:r w:rsidRPr="00A718B1">
        <w:rPr>
          <w:i w:val="0"/>
        </w:rPr>
        <w:t xml:space="preserve">inancial </w:t>
      </w:r>
      <w:r>
        <w:rPr>
          <w:i w:val="0"/>
        </w:rPr>
        <w:t>s</w:t>
      </w:r>
      <w:r w:rsidRPr="00A718B1">
        <w:rPr>
          <w:i w:val="0"/>
        </w:rPr>
        <w:t>tatements and notes</w:t>
      </w:r>
      <w:r w:rsidRPr="001D55A6">
        <w:t>.</w:t>
      </w:r>
      <w:r>
        <w:t xml:space="preserve"> </w:t>
      </w:r>
    </w:p>
    <w:p w14:paraId="6FE2D8C2" w14:textId="77777777" w:rsidR="009256ED" w:rsidRPr="001D55A6" w:rsidRDefault="009256ED" w:rsidP="009256ED">
      <w:pPr>
        <w:pStyle w:val="Heading30"/>
        <w:pageBreakBefore/>
      </w:pPr>
      <w:r w:rsidRPr="001D55A6">
        <w:t>Policy variations</w:t>
      </w:r>
    </w:p>
    <w:p w14:paraId="6CA27B77" w14:textId="77777777" w:rsidR="009256ED" w:rsidRDefault="009256ED" w:rsidP="009256ED">
      <w:r w:rsidRPr="001B39E5">
        <w:t xml:space="preserve">Policy variations reflect specific initiatives by the Government that have a fiscal impact and are related to a new policy or represent a change in the Government’s existing policy position since the </w:t>
      </w:r>
      <w:r w:rsidRPr="00E7194F">
        <w:rPr>
          <w:i/>
        </w:rPr>
        <w:t xml:space="preserve">2024-25 </w:t>
      </w:r>
      <w:r w:rsidRPr="00E7194F">
        <w:rPr>
          <w:i/>
          <w:iCs/>
        </w:rPr>
        <w:t>Budget</w:t>
      </w:r>
      <w:r w:rsidRPr="00C26B16">
        <w:t>.</w:t>
      </w:r>
      <w:r>
        <w:t xml:space="preserve"> </w:t>
      </w:r>
    </w:p>
    <w:p w14:paraId="30678123" w14:textId="4F4F9CF4" w:rsidR="009256ED" w:rsidRDefault="009256ED" w:rsidP="009256ED">
      <w:r w:rsidRPr="00A0784E">
        <w:t xml:space="preserve">The </w:t>
      </w:r>
      <w:r w:rsidRPr="00A0784E">
        <w:rPr>
          <w:i/>
        </w:rPr>
        <w:t>202</w:t>
      </w:r>
      <w:r>
        <w:rPr>
          <w:i/>
        </w:rPr>
        <w:t>4</w:t>
      </w:r>
      <w:r w:rsidRPr="00A0784E">
        <w:rPr>
          <w:i/>
        </w:rPr>
        <w:noBreakHyphen/>
        <w:t>2</w:t>
      </w:r>
      <w:r>
        <w:rPr>
          <w:i/>
        </w:rPr>
        <w:t>5</w:t>
      </w:r>
      <w:r w:rsidRPr="00A0784E">
        <w:rPr>
          <w:i/>
        </w:rPr>
        <w:t xml:space="preserve"> Budget Update</w:t>
      </w:r>
      <w:r w:rsidRPr="00A0784E">
        <w:t xml:space="preserve"> funds </w:t>
      </w:r>
      <w:r w:rsidRPr="0020381D">
        <w:t>$</w:t>
      </w:r>
      <w:r>
        <w:t>3.</w:t>
      </w:r>
      <w:r w:rsidR="00616D11">
        <w:t>2</w:t>
      </w:r>
      <w:r w:rsidRPr="00A0784E">
        <w:t> billion in output initiatives over the four years to</w:t>
      </w:r>
      <w:r>
        <w:t xml:space="preserve"> 2027-28. Table 3.4 shows the impact of the new output initiatives since the previous publication.</w:t>
      </w:r>
    </w:p>
    <w:p w14:paraId="0DD1EDC4" w14:textId="77777777" w:rsidR="009256ED" w:rsidRDefault="009256ED" w:rsidP="009256ED">
      <w:pPr>
        <w:rPr>
          <w:b/>
        </w:rPr>
      </w:pPr>
      <w:r>
        <w:t xml:space="preserve">Details of specific new output and revenue policy initiatives are contained in </w:t>
      </w:r>
      <w:r w:rsidRPr="001D71DF">
        <w:t xml:space="preserve">Appendix A </w:t>
      </w:r>
      <w:r w:rsidRPr="001D71DF">
        <w:rPr>
          <w:i/>
          <w:iCs/>
        </w:rPr>
        <w:t>Specific policy initiatives affecting the budget position</w:t>
      </w:r>
      <w:r w:rsidRPr="001D71DF">
        <w:t>.</w:t>
      </w:r>
      <w:r w:rsidRPr="00E7194F">
        <w:rPr>
          <w:b/>
          <w:highlight w:val="yellow"/>
        </w:rPr>
        <w:t xml:space="preserve"> </w:t>
      </w:r>
    </w:p>
    <w:p w14:paraId="499B27B5" w14:textId="77777777" w:rsidR="009256ED" w:rsidRPr="001D55A6" w:rsidRDefault="009256ED" w:rsidP="00133F67">
      <w:pPr>
        <w:pStyle w:val="TableHeading"/>
      </w:pPr>
      <w:r w:rsidRPr="001D55A6">
        <w:t>Table 3.4:</w:t>
      </w:r>
      <w:r w:rsidRPr="001D55A6">
        <w:tab/>
        <w:t xml:space="preserve">Net impact of new output initiatives since the </w:t>
      </w:r>
      <w:r w:rsidRPr="0057555C">
        <w:rPr>
          <w:i/>
        </w:rPr>
        <w:t>202</w:t>
      </w:r>
      <w:r>
        <w:rPr>
          <w:i/>
        </w:rPr>
        <w:t>4</w:t>
      </w:r>
      <w:r>
        <w:rPr>
          <w:i/>
        </w:rPr>
        <w:noBreakHyphen/>
      </w:r>
      <w:r w:rsidRPr="0057555C">
        <w:rPr>
          <w:i/>
        </w:rPr>
        <w:t>2</w:t>
      </w:r>
      <w:r>
        <w:rPr>
          <w:i/>
        </w:rPr>
        <w:t>5</w:t>
      </w:r>
      <w:r w:rsidRPr="0057555C">
        <w:rPr>
          <w:i/>
        </w:rPr>
        <w:t xml:space="preserve"> Budget</w:t>
      </w:r>
      <w:r w:rsidRPr="001D55A6">
        <w:t xml:space="preserve"> </w:t>
      </w:r>
      <w:r w:rsidRPr="0057555C">
        <w:rPr>
          <w:vertAlign w:val="superscript"/>
        </w:rPr>
        <w:t>(a)</w:t>
      </w:r>
      <w:r>
        <w:tab/>
      </w:r>
      <w:r w:rsidRPr="001D55A6">
        <w:t>($</w:t>
      </w:r>
      <w:r>
        <w:t> </w:t>
      </w:r>
      <w:r w:rsidRPr="001D55A6">
        <w:t>million)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203%20Budget%20Position%20and%20Outlook.xlsx|Table:NetImpactOfNewInitiatives|MergedHeadingRow:1|TableGroup:Chapter 3"/>
      </w:tblPr>
      <w:tblGrid>
        <w:gridCol w:w="4111"/>
        <w:gridCol w:w="899"/>
        <w:gridCol w:w="900"/>
        <w:gridCol w:w="900"/>
        <w:gridCol w:w="900"/>
      </w:tblGrid>
      <w:tr w:rsidR="009256ED" w14:paraId="4D97A3CB" w14:textId="77777777" w:rsidTr="00076D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604F2ABC" w14:textId="77777777" w:rsidR="009256ED" w:rsidRDefault="009256ED" w:rsidP="008670FF">
            <w:pPr>
              <w:keepNext/>
            </w:pPr>
          </w:p>
        </w:tc>
        <w:tc>
          <w:tcPr>
            <w:tcW w:w="899" w:type="dxa"/>
          </w:tcPr>
          <w:p w14:paraId="58276249"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900" w:type="dxa"/>
          </w:tcPr>
          <w:p w14:paraId="79F26B40"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900" w:type="dxa"/>
          </w:tcPr>
          <w:p w14:paraId="64096332"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900" w:type="dxa"/>
          </w:tcPr>
          <w:p w14:paraId="572F5333"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2F20CB2F" w14:textId="77777777" w:rsidTr="00076DD7">
        <w:tc>
          <w:tcPr>
            <w:cnfStyle w:val="001000000000" w:firstRow="0" w:lastRow="0" w:firstColumn="1" w:lastColumn="0" w:oddVBand="0" w:evenVBand="0" w:oddHBand="0" w:evenHBand="0" w:firstRowFirstColumn="0" w:firstRowLastColumn="0" w:lastRowFirstColumn="0" w:lastRowLastColumn="0"/>
            <w:tcW w:w="4111" w:type="dxa"/>
          </w:tcPr>
          <w:p w14:paraId="4D737B89" w14:textId="77777777" w:rsidR="009256ED" w:rsidRDefault="009256ED" w:rsidP="008670FF">
            <w:r>
              <w:rPr>
                <w:b/>
              </w:rPr>
              <w:t>New output initiatives</w:t>
            </w:r>
          </w:p>
        </w:tc>
        <w:tc>
          <w:tcPr>
            <w:tcW w:w="899" w:type="dxa"/>
          </w:tcPr>
          <w:p w14:paraId="625719F9" w14:textId="6301BC87" w:rsidR="009256ED" w:rsidRDefault="00616D11" w:rsidP="008670FF">
            <w:pPr>
              <w:cnfStyle w:val="000000000000" w:firstRow="0" w:lastRow="0" w:firstColumn="0" w:lastColumn="0" w:oddVBand="0" w:evenVBand="0" w:oddHBand="0" w:evenHBand="0" w:firstRowFirstColumn="0" w:firstRowLastColumn="0" w:lastRowFirstColumn="0" w:lastRowLastColumn="0"/>
            </w:pPr>
            <w:r>
              <w:rPr>
                <w:b/>
              </w:rPr>
              <w:t>1 929</w:t>
            </w:r>
          </w:p>
        </w:tc>
        <w:tc>
          <w:tcPr>
            <w:tcW w:w="900" w:type="dxa"/>
          </w:tcPr>
          <w:p w14:paraId="428C522E" w14:textId="60412C0D" w:rsidR="009256ED" w:rsidRDefault="00616D11" w:rsidP="008670FF">
            <w:pPr>
              <w:cnfStyle w:val="000000000000" w:firstRow="0" w:lastRow="0" w:firstColumn="0" w:lastColumn="0" w:oddVBand="0" w:evenVBand="0" w:oddHBand="0" w:evenHBand="0" w:firstRowFirstColumn="0" w:firstRowLastColumn="0" w:lastRowFirstColumn="0" w:lastRowLastColumn="0"/>
            </w:pPr>
            <w:r>
              <w:rPr>
                <w:b/>
              </w:rPr>
              <w:t>461</w:t>
            </w:r>
          </w:p>
        </w:tc>
        <w:tc>
          <w:tcPr>
            <w:tcW w:w="900" w:type="dxa"/>
          </w:tcPr>
          <w:p w14:paraId="1C3977B2" w14:textId="76C62C1B" w:rsidR="009256ED" w:rsidRDefault="00616D11" w:rsidP="008670FF">
            <w:pPr>
              <w:cnfStyle w:val="000000000000" w:firstRow="0" w:lastRow="0" w:firstColumn="0" w:lastColumn="0" w:oddVBand="0" w:evenVBand="0" w:oddHBand="0" w:evenHBand="0" w:firstRowFirstColumn="0" w:firstRowLastColumn="0" w:lastRowFirstColumn="0" w:lastRowLastColumn="0"/>
            </w:pPr>
            <w:r>
              <w:rPr>
                <w:b/>
              </w:rPr>
              <w:t>421</w:t>
            </w:r>
          </w:p>
        </w:tc>
        <w:tc>
          <w:tcPr>
            <w:tcW w:w="900" w:type="dxa"/>
          </w:tcPr>
          <w:p w14:paraId="63B197FE" w14:textId="097E2BC6" w:rsidR="009256ED" w:rsidRDefault="00616D11" w:rsidP="008670FF">
            <w:pPr>
              <w:cnfStyle w:val="000000000000" w:firstRow="0" w:lastRow="0" w:firstColumn="0" w:lastColumn="0" w:oddVBand="0" w:evenVBand="0" w:oddHBand="0" w:evenHBand="0" w:firstRowFirstColumn="0" w:firstRowLastColumn="0" w:lastRowFirstColumn="0" w:lastRowLastColumn="0"/>
            </w:pPr>
            <w:r>
              <w:rPr>
                <w:b/>
              </w:rPr>
              <w:t>381</w:t>
            </w:r>
          </w:p>
        </w:tc>
      </w:tr>
      <w:tr w:rsidR="009256ED" w14:paraId="5BCFA496" w14:textId="77777777" w:rsidTr="00076DD7">
        <w:tc>
          <w:tcPr>
            <w:cnfStyle w:val="001000000000" w:firstRow="0" w:lastRow="0" w:firstColumn="1" w:lastColumn="0" w:oddVBand="0" w:evenVBand="0" w:oddHBand="0" w:evenHBand="0" w:firstRowFirstColumn="0" w:firstRowLastColumn="0" w:lastRowFirstColumn="0" w:lastRowLastColumn="0"/>
            <w:tcW w:w="4111" w:type="dxa"/>
          </w:tcPr>
          <w:p w14:paraId="181F90BC" w14:textId="77777777" w:rsidR="009256ED" w:rsidRDefault="009256ED" w:rsidP="008670FF">
            <w:r>
              <w:t>Less:</w:t>
            </w:r>
          </w:p>
        </w:tc>
        <w:tc>
          <w:tcPr>
            <w:tcW w:w="899" w:type="dxa"/>
          </w:tcPr>
          <w:p w14:paraId="0E003AC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00" w:type="dxa"/>
          </w:tcPr>
          <w:p w14:paraId="39DC1D9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00" w:type="dxa"/>
          </w:tcPr>
          <w:p w14:paraId="4C680B4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00" w:type="dxa"/>
          </w:tcPr>
          <w:p w14:paraId="4E84E84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20625AFE" w14:textId="77777777" w:rsidTr="00076DD7">
        <w:tc>
          <w:tcPr>
            <w:cnfStyle w:val="001000000000" w:firstRow="0" w:lastRow="0" w:firstColumn="1" w:lastColumn="0" w:oddVBand="0" w:evenVBand="0" w:oddHBand="0" w:evenHBand="0" w:firstRowFirstColumn="0" w:firstRowLastColumn="0" w:lastRowFirstColumn="0" w:lastRowLastColumn="0"/>
            <w:tcW w:w="4111" w:type="dxa"/>
          </w:tcPr>
          <w:p w14:paraId="47EA028E" w14:textId="665E580C" w:rsidR="009256ED" w:rsidRDefault="009256ED" w:rsidP="008670FF">
            <w:r>
              <w:t xml:space="preserve">   Reprioritisations and revenue offsets </w:t>
            </w:r>
            <w:r>
              <w:rPr>
                <w:vertAlign w:val="superscript"/>
              </w:rPr>
              <w:t>(b)</w:t>
            </w:r>
          </w:p>
        </w:tc>
        <w:tc>
          <w:tcPr>
            <w:tcW w:w="899" w:type="dxa"/>
          </w:tcPr>
          <w:p w14:paraId="7770E949" w14:textId="0A85BD93" w:rsidR="009256ED" w:rsidRDefault="00616D11" w:rsidP="008670FF">
            <w:pPr>
              <w:cnfStyle w:val="000000000000" w:firstRow="0" w:lastRow="0" w:firstColumn="0" w:lastColumn="0" w:oddVBand="0" w:evenVBand="0" w:oddHBand="0" w:evenHBand="0" w:firstRowFirstColumn="0" w:firstRowLastColumn="0" w:lastRowFirstColumn="0" w:lastRowLastColumn="0"/>
            </w:pPr>
            <w:r>
              <w:t>110</w:t>
            </w:r>
          </w:p>
        </w:tc>
        <w:tc>
          <w:tcPr>
            <w:tcW w:w="900" w:type="dxa"/>
          </w:tcPr>
          <w:p w14:paraId="41B27E58" w14:textId="013155C4" w:rsidR="009256ED" w:rsidRDefault="00616D11" w:rsidP="008670FF">
            <w:pPr>
              <w:cnfStyle w:val="000000000000" w:firstRow="0" w:lastRow="0" w:firstColumn="0" w:lastColumn="0" w:oddVBand="0" w:evenVBand="0" w:oddHBand="0" w:evenHBand="0" w:firstRowFirstColumn="0" w:firstRowLastColumn="0" w:lastRowFirstColumn="0" w:lastRowLastColumn="0"/>
            </w:pPr>
            <w:r>
              <w:t>189</w:t>
            </w:r>
          </w:p>
        </w:tc>
        <w:tc>
          <w:tcPr>
            <w:tcW w:w="900" w:type="dxa"/>
          </w:tcPr>
          <w:p w14:paraId="77A5D44D" w14:textId="08587FF8" w:rsidR="009256ED" w:rsidRDefault="00616D11" w:rsidP="008670FF">
            <w:pPr>
              <w:cnfStyle w:val="000000000000" w:firstRow="0" w:lastRow="0" w:firstColumn="0" w:lastColumn="0" w:oddVBand="0" w:evenVBand="0" w:oddHBand="0" w:evenHBand="0" w:firstRowFirstColumn="0" w:firstRowLastColumn="0" w:lastRowFirstColumn="0" w:lastRowLastColumn="0"/>
            </w:pPr>
            <w:r>
              <w:t>189</w:t>
            </w:r>
          </w:p>
        </w:tc>
        <w:tc>
          <w:tcPr>
            <w:tcW w:w="900" w:type="dxa"/>
          </w:tcPr>
          <w:p w14:paraId="2FCE821D" w14:textId="12A2FE41" w:rsidR="009256ED" w:rsidRDefault="00616D11" w:rsidP="008670FF">
            <w:pPr>
              <w:cnfStyle w:val="000000000000" w:firstRow="0" w:lastRow="0" w:firstColumn="0" w:lastColumn="0" w:oddVBand="0" w:evenVBand="0" w:oddHBand="0" w:evenHBand="0" w:firstRowFirstColumn="0" w:firstRowLastColumn="0" w:lastRowFirstColumn="0" w:lastRowLastColumn="0"/>
            </w:pPr>
            <w:r>
              <w:t>189</w:t>
            </w:r>
          </w:p>
        </w:tc>
      </w:tr>
      <w:tr w:rsidR="009256ED" w14:paraId="13DBC9FE" w14:textId="77777777" w:rsidTr="00076DD7">
        <w:tc>
          <w:tcPr>
            <w:cnfStyle w:val="001000000000" w:firstRow="0" w:lastRow="0" w:firstColumn="1" w:lastColumn="0" w:oddVBand="0" w:evenVBand="0" w:oddHBand="0" w:evenHBand="0" w:firstRowFirstColumn="0" w:firstRowLastColumn="0" w:lastRowFirstColumn="0" w:lastRowLastColumn="0"/>
            <w:tcW w:w="4111" w:type="dxa"/>
          </w:tcPr>
          <w:p w14:paraId="78498E8C" w14:textId="381BAC38" w:rsidR="009256ED" w:rsidRDefault="009256ED" w:rsidP="008670FF">
            <w:r>
              <w:t xml:space="preserve">   Adjustments </w:t>
            </w:r>
            <w:r>
              <w:rPr>
                <w:vertAlign w:val="superscript"/>
              </w:rPr>
              <w:t>(c)</w:t>
            </w:r>
          </w:p>
        </w:tc>
        <w:tc>
          <w:tcPr>
            <w:tcW w:w="899" w:type="dxa"/>
          </w:tcPr>
          <w:p w14:paraId="38EE8D9E" w14:textId="6A279A75" w:rsidR="009256ED" w:rsidRDefault="00616D11" w:rsidP="008670FF">
            <w:pPr>
              <w:cnfStyle w:val="000000000000" w:firstRow="0" w:lastRow="0" w:firstColumn="0" w:lastColumn="0" w:oddVBand="0" w:evenVBand="0" w:oddHBand="0" w:evenHBand="0" w:firstRowFirstColumn="0" w:firstRowLastColumn="0" w:lastRowFirstColumn="0" w:lastRowLastColumn="0"/>
            </w:pPr>
            <w:r>
              <w:t>280</w:t>
            </w:r>
          </w:p>
        </w:tc>
        <w:tc>
          <w:tcPr>
            <w:tcW w:w="900" w:type="dxa"/>
          </w:tcPr>
          <w:p w14:paraId="32BBAA82" w14:textId="735AC405" w:rsidR="009256ED" w:rsidRDefault="00616D11" w:rsidP="008670FF">
            <w:pPr>
              <w:cnfStyle w:val="000000000000" w:firstRow="0" w:lastRow="0" w:firstColumn="0" w:lastColumn="0" w:oddVBand="0" w:evenVBand="0" w:oddHBand="0" w:evenHBand="0" w:firstRowFirstColumn="0" w:firstRowLastColumn="0" w:lastRowFirstColumn="0" w:lastRowLastColumn="0"/>
            </w:pPr>
            <w:r>
              <w:t>(628)</w:t>
            </w:r>
          </w:p>
        </w:tc>
        <w:tc>
          <w:tcPr>
            <w:tcW w:w="900" w:type="dxa"/>
          </w:tcPr>
          <w:p w14:paraId="64891B56" w14:textId="202EFFEA" w:rsidR="009256ED" w:rsidRDefault="00616D11" w:rsidP="008670FF">
            <w:pPr>
              <w:cnfStyle w:val="000000000000" w:firstRow="0" w:lastRow="0" w:firstColumn="0" w:lastColumn="0" w:oddVBand="0" w:evenVBand="0" w:oddHBand="0" w:evenHBand="0" w:firstRowFirstColumn="0" w:firstRowLastColumn="0" w:lastRowFirstColumn="0" w:lastRowLastColumn="0"/>
            </w:pPr>
            <w:r>
              <w:t>(911)</w:t>
            </w:r>
          </w:p>
        </w:tc>
        <w:tc>
          <w:tcPr>
            <w:tcW w:w="900" w:type="dxa"/>
          </w:tcPr>
          <w:p w14:paraId="7AEA917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(1 019)</w:t>
            </w:r>
          </w:p>
        </w:tc>
      </w:tr>
      <w:tr w:rsidR="009256ED" w14:paraId="6BB5EECF" w14:textId="77777777" w:rsidTr="00076DD7">
        <w:tc>
          <w:tcPr>
            <w:cnfStyle w:val="001000000000" w:firstRow="0" w:lastRow="0" w:firstColumn="1" w:lastColumn="0" w:oddVBand="0" w:evenVBand="0" w:oddHBand="0" w:evenHBand="0" w:firstRowFirstColumn="0" w:firstRowLastColumn="0" w:lastRowFirstColumn="0" w:lastRowLastColumn="0"/>
            <w:tcW w:w="4111" w:type="dxa"/>
            <w:tcBorders>
              <w:bottom w:val="single" w:sz="6" w:space="0" w:color="auto"/>
            </w:tcBorders>
          </w:tcPr>
          <w:p w14:paraId="71E0D2A3" w14:textId="3717D536" w:rsidR="009256ED" w:rsidRDefault="009256ED" w:rsidP="008670FF">
            <w:r>
              <w:t xml:space="preserve">   Savings </w:t>
            </w:r>
            <w:r>
              <w:rPr>
                <w:vertAlign w:val="superscript"/>
              </w:rPr>
              <w:t>(d)</w:t>
            </w:r>
          </w:p>
        </w:tc>
        <w:tc>
          <w:tcPr>
            <w:tcW w:w="899" w:type="dxa"/>
            <w:tcBorders>
              <w:bottom w:val="single" w:sz="6" w:space="0" w:color="auto"/>
            </w:tcBorders>
          </w:tcPr>
          <w:p w14:paraId="58FDAE5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00" w:type="dxa"/>
            <w:tcBorders>
              <w:bottom w:val="single" w:sz="6" w:space="0" w:color="auto"/>
            </w:tcBorders>
          </w:tcPr>
          <w:p w14:paraId="1716855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00" w:type="dxa"/>
            <w:tcBorders>
              <w:bottom w:val="single" w:sz="6" w:space="0" w:color="auto"/>
            </w:tcBorders>
          </w:tcPr>
          <w:p w14:paraId="560641D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00" w:type="dxa"/>
            <w:tcBorders>
              <w:bottom w:val="single" w:sz="6" w:space="0" w:color="auto"/>
            </w:tcBorders>
          </w:tcPr>
          <w:p w14:paraId="491953F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r>
      <w:tr w:rsidR="009256ED" w14:paraId="39F64915" w14:textId="77777777" w:rsidTr="00076DD7">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bottom w:val="single" w:sz="6" w:space="0" w:color="auto"/>
            </w:tcBorders>
          </w:tcPr>
          <w:p w14:paraId="3D97661F" w14:textId="77777777" w:rsidR="009256ED" w:rsidRDefault="009256ED" w:rsidP="008670FF">
            <w:r>
              <w:rPr>
                <w:b/>
              </w:rPr>
              <w:t>New net output policy initiatives</w:t>
            </w:r>
          </w:p>
        </w:tc>
        <w:tc>
          <w:tcPr>
            <w:tcW w:w="899" w:type="dxa"/>
            <w:tcBorders>
              <w:top w:val="single" w:sz="6" w:space="0" w:color="auto"/>
              <w:bottom w:val="single" w:sz="6" w:space="0" w:color="auto"/>
            </w:tcBorders>
          </w:tcPr>
          <w:p w14:paraId="743594E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1 539</w:t>
            </w:r>
          </w:p>
        </w:tc>
        <w:tc>
          <w:tcPr>
            <w:tcW w:w="900" w:type="dxa"/>
            <w:tcBorders>
              <w:top w:val="single" w:sz="6" w:space="0" w:color="auto"/>
              <w:bottom w:val="single" w:sz="6" w:space="0" w:color="auto"/>
            </w:tcBorders>
          </w:tcPr>
          <w:p w14:paraId="469DE2A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901</w:t>
            </w:r>
          </w:p>
        </w:tc>
        <w:tc>
          <w:tcPr>
            <w:tcW w:w="900" w:type="dxa"/>
            <w:tcBorders>
              <w:top w:val="single" w:sz="6" w:space="0" w:color="auto"/>
              <w:bottom w:val="single" w:sz="6" w:space="0" w:color="auto"/>
            </w:tcBorders>
          </w:tcPr>
          <w:p w14:paraId="320D8D1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1 143</w:t>
            </w:r>
          </w:p>
        </w:tc>
        <w:tc>
          <w:tcPr>
            <w:tcW w:w="900" w:type="dxa"/>
            <w:tcBorders>
              <w:top w:val="single" w:sz="6" w:space="0" w:color="auto"/>
              <w:bottom w:val="single" w:sz="6" w:space="0" w:color="auto"/>
            </w:tcBorders>
          </w:tcPr>
          <w:p w14:paraId="4CE9A1F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1 211</w:t>
            </w:r>
          </w:p>
        </w:tc>
      </w:tr>
      <w:tr w:rsidR="009256ED" w14:paraId="568FCCBC" w14:textId="77777777" w:rsidTr="00076DD7">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bottom w:val="single" w:sz="6" w:space="0" w:color="auto"/>
            </w:tcBorders>
          </w:tcPr>
          <w:p w14:paraId="385E7CC0" w14:textId="77777777" w:rsidR="009256ED" w:rsidRDefault="009256ED" w:rsidP="008670FF">
            <w:r>
              <w:t xml:space="preserve">Less: Contingency offset for new policy </w:t>
            </w:r>
            <w:r>
              <w:rPr>
                <w:vertAlign w:val="superscript"/>
              </w:rPr>
              <w:t>(e)</w:t>
            </w:r>
          </w:p>
        </w:tc>
        <w:tc>
          <w:tcPr>
            <w:tcW w:w="899" w:type="dxa"/>
            <w:tcBorders>
              <w:top w:val="single" w:sz="6" w:space="0" w:color="auto"/>
              <w:bottom w:val="single" w:sz="6" w:space="0" w:color="auto"/>
            </w:tcBorders>
          </w:tcPr>
          <w:p w14:paraId="1BE4AE9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00" w:type="dxa"/>
            <w:tcBorders>
              <w:top w:val="single" w:sz="6" w:space="0" w:color="auto"/>
              <w:bottom w:val="single" w:sz="6" w:space="0" w:color="auto"/>
            </w:tcBorders>
          </w:tcPr>
          <w:p w14:paraId="2F0A8C5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00" w:type="dxa"/>
            <w:tcBorders>
              <w:top w:val="single" w:sz="6" w:space="0" w:color="auto"/>
              <w:bottom w:val="single" w:sz="6" w:space="0" w:color="auto"/>
            </w:tcBorders>
          </w:tcPr>
          <w:p w14:paraId="42B74D0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c>
          <w:tcPr>
            <w:tcW w:w="900" w:type="dxa"/>
            <w:tcBorders>
              <w:top w:val="single" w:sz="6" w:space="0" w:color="auto"/>
              <w:bottom w:val="single" w:sz="6" w:space="0" w:color="auto"/>
            </w:tcBorders>
          </w:tcPr>
          <w:p w14:paraId="0D1415A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w:t>
            </w:r>
          </w:p>
        </w:tc>
      </w:tr>
      <w:tr w:rsidR="009256ED" w14:paraId="4EFBE904" w14:textId="77777777" w:rsidTr="00076DD7">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bottom w:val="single" w:sz="12" w:space="0" w:color="auto"/>
            </w:tcBorders>
          </w:tcPr>
          <w:p w14:paraId="65AE280E" w14:textId="77777777" w:rsidR="009256ED" w:rsidRDefault="009256ED" w:rsidP="008670FF">
            <w:r>
              <w:rPr>
                <w:b/>
              </w:rPr>
              <w:t>Net impact</w:t>
            </w:r>
          </w:p>
        </w:tc>
        <w:tc>
          <w:tcPr>
            <w:tcW w:w="899" w:type="dxa"/>
            <w:tcBorders>
              <w:top w:val="single" w:sz="6" w:space="0" w:color="auto"/>
              <w:bottom w:val="single" w:sz="12" w:space="0" w:color="auto"/>
            </w:tcBorders>
          </w:tcPr>
          <w:p w14:paraId="6543802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1 539</w:t>
            </w:r>
          </w:p>
        </w:tc>
        <w:tc>
          <w:tcPr>
            <w:tcW w:w="900" w:type="dxa"/>
            <w:tcBorders>
              <w:top w:val="single" w:sz="6" w:space="0" w:color="auto"/>
              <w:bottom w:val="single" w:sz="12" w:space="0" w:color="auto"/>
            </w:tcBorders>
          </w:tcPr>
          <w:p w14:paraId="6998DEB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901</w:t>
            </w:r>
          </w:p>
        </w:tc>
        <w:tc>
          <w:tcPr>
            <w:tcW w:w="900" w:type="dxa"/>
            <w:tcBorders>
              <w:top w:val="single" w:sz="6" w:space="0" w:color="auto"/>
              <w:bottom w:val="single" w:sz="12" w:space="0" w:color="auto"/>
            </w:tcBorders>
          </w:tcPr>
          <w:p w14:paraId="28A4FE4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1 143</w:t>
            </w:r>
          </w:p>
        </w:tc>
        <w:tc>
          <w:tcPr>
            <w:tcW w:w="900" w:type="dxa"/>
            <w:tcBorders>
              <w:top w:val="single" w:sz="6" w:space="0" w:color="auto"/>
              <w:bottom w:val="single" w:sz="12" w:space="0" w:color="auto"/>
            </w:tcBorders>
          </w:tcPr>
          <w:p w14:paraId="5CBCB86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1 211</w:t>
            </w:r>
          </w:p>
        </w:tc>
      </w:tr>
    </w:tbl>
    <w:p w14:paraId="312719DE" w14:textId="77777777" w:rsidR="009256ED" w:rsidRDefault="009256ED" w:rsidP="009256ED">
      <w:pPr>
        <w:pStyle w:val="Note"/>
      </w:pPr>
      <w:r>
        <w:t>Notes:</w:t>
      </w:r>
    </w:p>
    <w:p w14:paraId="44182434" w14:textId="77777777" w:rsidR="009256ED" w:rsidRDefault="009256ED" w:rsidP="009256ED">
      <w:pPr>
        <w:pStyle w:val="Note"/>
      </w:pPr>
      <w:r>
        <w:t>(a)</w:t>
      </w:r>
      <w:r>
        <w:tab/>
        <w:t>Figures in this table are subject to rounding to the nearest million and may not add up to totals.</w:t>
      </w:r>
    </w:p>
    <w:p w14:paraId="6D31AE76" w14:textId="77777777" w:rsidR="009256ED" w:rsidRDefault="009256ED" w:rsidP="009256ED">
      <w:pPr>
        <w:pStyle w:val="Note"/>
      </w:pPr>
      <w:r>
        <w:t>(b)</w:t>
      </w:r>
      <w:r>
        <w:tab/>
        <w:t>This includes the reprioritisation of resources previously allocated to departments and revenue offsets.</w:t>
      </w:r>
    </w:p>
    <w:p w14:paraId="25FEE153" w14:textId="77777777" w:rsidR="009256ED" w:rsidRDefault="009256ED" w:rsidP="009256ED">
      <w:pPr>
        <w:pStyle w:val="Note"/>
      </w:pPr>
      <w:r>
        <w:t>(c)</w:t>
      </w:r>
      <w:r>
        <w:tab/>
        <w:t>Primarily incorporates the net impact of the specific creation and release of contingencies held for decisions made but not yet allocated.</w:t>
      </w:r>
    </w:p>
    <w:p w14:paraId="3E16FBC1" w14:textId="77777777" w:rsidR="009256ED" w:rsidRDefault="009256ED" w:rsidP="009256ED">
      <w:pPr>
        <w:pStyle w:val="Note"/>
      </w:pPr>
      <w:r>
        <w:t>(d)</w:t>
      </w:r>
      <w:r>
        <w:tab/>
        <w:t>Includes output savings only.</w:t>
      </w:r>
    </w:p>
    <w:p w14:paraId="12C4E359" w14:textId="77777777" w:rsidR="009256ED" w:rsidRDefault="009256ED" w:rsidP="009256ED">
      <w:pPr>
        <w:pStyle w:val="Note"/>
      </w:pPr>
      <w:r>
        <w:t>(e)</w:t>
      </w:r>
      <w:r>
        <w:tab/>
        <w:t xml:space="preserve">Represents releases from the funding not allocated to specific purposes contingency associated with </w:t>
      </w:r>
      <w:r w:rsidRPr="00A718B1">
        <w:rPr>
          <w:i w:val="0"/>
        </w:rPr>
        <w:t>2024</w:t>
      </w:r>
      <w:r w:rsidRPr="00A718B1">
        <w:rPr>
          <w:i w:val="0"/>
        </w:rPr>
        <w:noBreakHyphen/>
        <w:t>25 Budget Update</w:t>
      </w:r>
      <w:r>
        <w:t xml:space="preserve"> new output initiatives. Further information on total output contingencies can be found at Note 4.3.7 of Chapter 4 </w:t>
      </w:r>
      <w:r w:rsidRPr="00A718B1">
        <w:rPr>
          <w:i w:val="0"/>
        </w:rPr>
        <w:t xml:space="preserve">Estimated </w:t>
      </w:r>
      <w:r>
        <w:rPr>
          <w:i w:val="0"/>
        </w:rPr>
        <w:t>f</w:t>
      </w:r>
      <w:r w:rsidRPr="005930CB">
        <w:rPr>
          <w:i w:val="0"/>
        </w:rPr>
        <w:t xml:space="preserve">inancial </w:t>
      </w:r>
      <w:r>
        <w:rPr>
          <w:i w:val="0"/>
        </w:rPr>
        <w:t>s</w:t>
      </w:r>
      <w:r w:rsidRPr="005930CB">
        <w:rPr>
          <w:i w:val="0"/>
        </w:rPr>
        <w:t>tatements and notes</w:t>
      </w:r>
      <w:r>
        <w:t>.</w:t>
      </w:r>
    </w:p>
    <w:p w14:paraId="265284B5" w14:textId="77777777" w:rsidR="009256ED" w:rsidRDefault="009256ED" w:rsidP="007D79CF">
      <w:pPr>
        <w:pStyle w:val="Heading30"/>
        <w:pageBreakBefore/>
      </w:pPr>
      <w:r>
        <w:t>Economic and demographic variations</w:t>
      </w:r>
    </w:p>
    <w:p w14:paraId="46B9D025" w14:textId="77777777" w:rsidR="009256ED" w:rsidRDefault="009256ED" w:rsidP="009256ED">
      <w:r w:rsidRPr="00145FC9">
        <w:t>Since</w:t>
      </w:r>
      <w:r w:rsidRPr="00020AE7">
        <w:t xml:space="preserve"> the </w:t>
      </w:r>
      <w:r w:rsidRPr="00E7194F">
        <w:rPr>
          <w:i/>
        </w:rPr>
        <w:t>2024-25 Budget</w:t>
      </w:r>
      <w:r w:rsidRPr="00020AE7">
        <w:t>, Victoria’s taxation revenue has been revised up by $</w:t>
      </w:r>
      <w:r>
        <w:t>160</w:t>
      </w:r>
      <w:r w:rsidRPr="00020AE7">
        <w:t xml:space="preserve"> million in 2024-25</w:t>
      </w:r>
      <w:r>
        <w:t xml:space="preserve"> (an increase of around 0.4 per cent)</w:t>
      </w:r>
      <w:r w:rsidRPr="00020AE7">
        <w:t xml:space="preserve">, and down by </w:t>
      </w:r>
      <w:r>
        <w:t>an average of $150</w:t>
      </w:r>
      <w:r w:rsidRPr="00020AE7">
        <w:t xml:space="preserve"> million </w:t>
      </w:r>
      <w:r>
        <w:t>across</w:t>
      </w:r>
      <w:r w:rsidRPr="00020AE7">
        <w:t xml:space="preserve"> 2025-26 </w:t>
      </w:r>
      <w:r>
        <w:t>to 2027-28</w:t>
      </w:r>
      <w:r w:rsidRPr="00020AE7">
        <w:t xml:space="preserve">, </w:t>
      </w:r>
      <w:r w:rsidRPr="00A62284">
        <w:t>largely due to upgrades to land transfer duty</w:t>
      </w:r>
      <w:r w:rsidRPr="00413FE7">
        <w:t xml:space="preserve"> offset by downgrades in land taxes</w:t>
      </w:r>
      <w:r>
        <w:t>.</w:t>
      </w:r>
    </w:p>
    <w:p w14:paraId="617304B7" w14:textId="77777777" w:rsidR="009256ED" w:rsidRDefault="009256ED" w:rsidP="007D79CF">
      <w:pPr>
        <w:pStyle w:val="Heading30"/>
      </w:pPr>
      <w:r>
        <w:t>Commonwealth grants variations</w:t>
      </w:r>
    </w:p>
    <w:p w14:paraId="1488C231" w14:textId="77777777" w:rsidR="009256ED" w:rsidRDefault="009256ED" w:rsidP="007D79CF">
      <w:pPr>
        <w:ind w:right="152"/>
      </w:pPr>
      <w:r w:rsidRPr="0091159F">
        <w:t>Commonwealth general purpose grants (or GST grants) have been revised up by $114</w:t>
      </w:r>
      <w:r>
        <w:t> </w:t>
      </w:r>
      <w:r w:rsidRPr="0091159F">
        <w:t>million in 2024</w:t>
      </w:r>
      <w:r>
        <w:noBreakHyphen/>
      </w:r>
      <w:r w:rsidRPr="0091159F">
        <w:t>25, $856 million in 2025</w:t>
      </w:r>
      <w:r>
        <w:noBreakHyphen/>
      </w:r>
      <w:r w:rsidRPr="0091159F">
        <w:t>26</w:t>
      </w:r>
      <w:r>
        <w:t>,</w:t>
      </w:r>
      <w:r w:rsidRPr="0091159F">
        <w:t xml:space="preserve"> $314 million in 2026</w:t>
      </w:r>
      <w:r>
        <w:noBreakHyphen/>
      </w:r>
      <w:r w:rsidRPr="0091159F">
        <w:t xml:space="preserve">27 </w:t>
      </w:r>
      <w:r>
        <w:t>and $624 million in 2027-28</w:t>
      </w:r>
      <w:r w:rsidRPr="0091159F">
        <w:t xml:space="preserve"> compared with the </w:t>
      </w:r>
      <w:r w:rsidRPr="00E7194F">
        <w:rPr>
          <w:i/>
        </w:rPr>
        <w:t>2024-25 Budget</w:t>
      </w:r>
      <w:r w:rsidRPr="0091159F">
        <w:t>. These changes largely reflect an improved outlook for Victoria’s no-worse-off GST sharing relativity driven by ongoing strength in commodities prices leading to elevated royalty revenues in mining states. This is supported by an increase in the national GST pool forecast which largely reflects stronger than expected cash receipts in 2024-25</w:t>
      </w:r>
      <w:r>
        <w:t>.</w:t>
      </w:r>
    </w:p>
    <w:p w14:paraId="5D8E7FE1" w14:textId="77777777" w:rsidR="009256ED" w:rsidRDefault="009256ED" w:rsidP="00723C6B">
      <w:pPr>
        <w:ind w:right="-198"/>
      </w:pPr>
      <w:r>
        <w:t xml:space="preserve">Net changes to specific purpose grants are expected to improve the operating result by $0.3 billion in 2024-25, decrease it by $0.1 billion in 2025-26, before again improving the operating result by $0.6 billion in 2026-27 and $1.7 billion in 2027-28 relative to the </w:t>
      </w:r>
      <w:r>
        <w:rPr>
          <w:i/>
          <w:iCs/>
        </w:rPr>
        <w:t>2024</w:t>
      </w:r>
      <w:r>
        <w:rPr>
          <w:i/>
          <w:iCs/>
        </w:rPr>
        <w:noBreakHyphen/>
        <w:t>25 Budget</w:t>
      </w:r>
      <w:r>
        <w:t xml:space="preserve">. The movements primarily reflect increased infrastructure grant revenue expected from the Commonwealth for capital projects included in the </w:t>
      </w:r>
      <w:r w:rsidRPr="00EF7FDF">
        <w:rPr>
          <w:i/>
        </w:rPr>
        <w:t>2024</w:t>
      </w:r>
      <w:r w:rsidRPr="00EF7FDF">
        <w:rPr>
          <w:i/>
        </w:rPr>
        <w:noBreakHyphen/>
        <w:t>25</w:t>
      </w:r>
      <w:r>
        <w:rPr>
          <w:i/>
          <w:iCs/>
        </w:rPr>
        <w:t> </w:t>
      </w:r>
      <w:r w:rsidRPr="00EF7FDF">
        <w:rPr>
          <w:i/>
        </w:rPr>
        <w:t>Commonwealth Budget</w:t>
      </w:r>
      <w:r>
        <w:t>.</w:t>
      </w:r>
    </w:p>
    <w:p w14:paraId="3ECCCFC7" w14:textId="77777777" w:rsidR="009256ED" w:rsidRDefault="009256ED" w:rsidP="009256ED">
      <w:pPr>
        <w:pStyle w:val="Heading30"/>
      </w:pPr>
      <w:r>
        <w:t>Administrative variations</w:t>
      </w:r>
    </w:p>
    <w:p w14:paraId="524BD47E" w14:textId="77777777" w:rsidR="009256ED" w:rsidRDefault="009256ED" w:rsidP="009256ED">
      <w:r w:rsidRPr="00E7319D">
        <w:t xml:space="preserve">Other administrative variations are expected to decrease the operating result by </w:t>
      </w:r>
      <w:r>
        <w:t xml:space="preserve">an average of $795 </w:t>
      </w:r>
      <w:r w:rsidRPr="00E7319D">
        <w:t xml:space="preserve">million </w:t>
      </w:r>
      <w:r>
        <w:t>across</w:t>
      </w:r>
      <w:r w:rsidRPr="00E7319D">
        <w:t xml:space="preserve"> 2024-25</w:t>
      </w:r>
      <w:r>
        <w:t xml:space="preserve"> to 2027-28</w:t>
      </w:r>
      <w:r w:rsidRPr="00E7319D">
        <w:t xml:space="preserve"> compared with the</w:t>
      </w:r>
      <w:r w:rsidRPr="00E7194F">
        <w:rPr>
          <w:i/>
        </w:rPr>
        <w:t xml:space="preserve"> 2024</w:t>
      </w:r>
      <w:r w:rsidRPr="00E7194F">
        <w:rPr>
          <w:i/>
        </w:rPr>
        <w:noBreakHyphen/>
        <w:t>25 Budget</w:t>
      </w:r>
      <w:r w:rsidRPr="00E7319D">
        <w:t xml:space="preserve">. The main variations since the </w:t>
      </w:r>
      <w:r w:rsidRPr="00E7194F">
        <w:rPr>
          <w:i/>
          <w:iCs/>
        </w:rPr>
        <w:t>2024</w:t>
      </w:r>
      <w:r w:rsidRPr="00E7194F">
        <w:rPr>
          <w:i/>
          <w:iCs/>
        </w:rPr>
        <w:noBreakHyphen/>
        <w:t>25 Budget</w:t>
      </w:r>
      <w:r w:rsidRPr="00E7319D">
        <w:t xml:space="preserve"> include</w:t>
      </w:r>
      <w:r>
        <w:t>:</w:t>
      </w:r>
    </w:p>
    <w:p w14:paraId="4223BF63" w14:textId="77777777" w:rsidR="009256ED" w:rsidRDefault="009256ED" w:rsidP="007D79CF">
      <w:pPr>
        <w:pStyle w:val="ListBullet"/>
      </w:pPr>
      <w:r>
        <w:t>an increase in depreciation expense associated with the revaluation of hospital buildings in 2023-24</w:t>
      </w:r>
    </w:p>
    <w:p w14:paraId="70721C18" w14:textId="77777777" w:rsidR="009256ED" w:rsidRDefault="009256ED" w:rsidP="007D79CF">
      <w:pPr>
        <w:pStyle w:val="ListBullet"/>
      </w:pPr>
      <w:r>
        <w:t xml:space="preserve">adjustments to the provisions for decisions made but not yet allocated that are outlined in Note 4.3.7 in Chapter 4 </w:t>
      </w:r>
      <w:r w:rsidRPr="0054737C">
        <w:rPr>
          <w:i/>
          <w:iCs/>
        </w:rPr>
        <w:t xml:space="preserve">Estimated </w:t>
      </w:r>
      <w:r>
        <w:rPr>
          <w:i/>
          <w:iCs/>
        </w:rPr>
        <w:t>f</w:t>
      </w:r>
      <w:r w:rsidRPr="0054737C">
        <w:rPr>
          <w:i/>
          <w:iCs/>
        </w:rPr>
        <w:t xml:space="preserve">inancial </w:t>
      </w:r>
      <w:r>
        <w:rPr>
          <w:i/>
          <w:iCs/>
        </w:rPr>
        <w:t>s</w:t>
      </w:r>
      <w:r w:rsidRPr="0054737C">
        <w:rPr>
          <w:i/>
          <w:iCs/>
        </w:rPr>
        <w:t>tatements and notes</w:t>
      </w:r>
      <w:r>
        <w:t>.</w:t>
      </w:r>
    </w:p>
    <w:p w14:paraId="64ACAA78" w14:textId="77777777" w:rsidR="009256ED" w:rsidRDefault="009256ED" w:rsidP="007D79CF">
      <w:pPr>
        <w:pStyle w:val="Heading20"/>
        <w:pageBreakBefore/>
      </w:pPr>
      <w:r>
        <w:t>Capital expenditure</w:t>
      </w:r>
    </w:p>
    <w:p w14:paraId="4F14B135" w14:textId="77777777" w:rsidR="009256ED" w:rsidRDefault="009256ED" w:rsidP="009256ED">
      <w:r w:rsidRPr="00BF4249">
        <w:t xml:space="preserve">Government infrastructure investment (GII) measures investment funded by the Government and estimated private sector construction related expenditure on public private partnership </w:t>
      </w:r>
      <w:r>
        <w:t xml:space="preserve">projects. </w:t>
      </w:r>
    </w:p>
    <w:p w14:paraId="67DF2281" w14:textId="77777777" w:rsidR="009256ED" w:rsidRDefault="009256ED" w:rsidP="009256ED">
      <w:r w:rsidRPr="004B308D">
        <w:t xml:space="preserve">This includes investments in health, housing, education, transport and cultural precincts, as well as major productivity-enhancing initiatives such as Victoria’s Housing Statement, the North East Link, the Metro Tunnel, the West Gate Tunnel, the Suburban Rail Loop and the Level Crossing Removal </w:t>
      </w:r>
      <w:r>
        <w:t>Program.</w:t>
      </w:r>
    </w:p>
    <w:p w14:paraId="763BB069" w14:textId="77777777" w:rsidR="009256ED" w:rsidRDefault="009256ED" w:rsidP="009256ED">
      <w:r w:rsidRPr="00962B7E">
        <w:t>GII is expected to average $19.9 billion a year over the budget and forward estimates period. The Government continues to return its capital program towards pre-COVID levels by the end of the forward estimates to take account of the strength of the Victorian economy as well as industry capacity in the construction sector</w:t>
      </w:r>
      <w:r>
        <w:t>.</w:t>
      </w:r>
    </w:p>
    <w:p w14:paraId="6AEBAE84" w14:textId="77777777" w:rsidR="009256ED" w:rsidRDefault="009256ED" w:rsidP="009256ED">
      <w:r>
        <w:t xml:space="preserve">Appendix A </w:t>
      </w:r>
      <w:r w:rsidRPr="00A93E10">
        <w:rPr>
          <w:i/>
          <w:iCs/>
        </w:rPr>
        <w:t>Specific policy initiatives affecting the budget position</w:t>
      </w:r>
      <w:r>
        <w:t xml:space="preserve"> details the specific new asset initiatives. </w:t>
      </w:r>
    </w:p>
    <w:p w14:paraId="374D9DD7" w14:textId="77777777" w:rsidR="007D79CF" w:rsidRDefault="007D79CF" w:rsidP="009256ED"/>
    <w:p w14:paraId="6E930040" w14:textId="77777777" w:rsidR="009256ED" w:rsidRDefault="009256ED" w:rsidP="007D79CF">
      <w:pPr>
        <w:pStyle w:val="TableHeading"/>
        <w:rPr>
          <w:vertAlign w:val="superscript"/>
        </w:rPr>
      </w:pPr>
      <w:r w:rsidRPr="002F058E">
        <w:t>Chart 3.1:</w:t>
      </w:r>
      <w:r w:rsidRPr="002F058E">
        <w:tab/>
        <w:t xml:space="preserve">Government infrastructure investment </w:t>
      </w:r>
      <w:r w:rsidRPr="002F058E">
        <w:rPr>
          <w:vertAlign w:val="superscript"/>
        </w:rPr>
        <w:t>(a)(b)(c)</w:t>
      </w:r>
      <w:bookmarkStart w:id="33" w:name="_1761648025"/>
      <w:bookmarkEnd w:id="33"/>
    </w:p>
    <w:p w14:paraId="187D92A9" w14:textId="10E5F26B" w:rsidR="009256ED" w:rsidRPr="00F95FFC" w:rsidRDefault="006027C6" w:rsidP="009256ED">
      <w:r>
        <w:pict w14:anchorId="765AB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31pt">
            <v:imagedata r:id="rId32" o:title=""/>
          </v:shape>
        </w:pict>
      </w:r>
    </w:p>
    <w:p w14:paraId="2470172B" w14:textId="77777777" w:rsidR="009256ED" w:rsidRPr="001D55A6" w:rsidRDefault="009256ED" w:rsidP="009256ED">
      <w:pPr>
        <w:pStyle w:val="Note"/>
      </w:pPr>
      <w:r w:rsidRPr="001D55A6">
        <w:t>Notes:</w:t>
      </w:r>
    </w:p>
    <w:p w14:paraId="7B3581D1" w14:textId="77777777" w:rsidR="009256ED" w:rsidRPr="001D55A6" w:rsidRDefault="009256ED" w:rsidP="009256ED">
      <w:pPr>
        <w:pStyle w:val="Note"/>
      </w:pPr>
      <w:r w:rsidRPr="001D55A6">
        <w:t>(a)</w:t>
      </w:r>
      <w:r w:rsidRPr="001D55A6">
        <w:tab/>
        <w:t>Includes general government net infrastructure investment and the estimated cash flows for public private partnership projects.</w:t>
      </w:r>
    </w:p>
    <w:p w14:paraId="4EC22DC7" w14:textId="77777777" w:rsidR="009256ED" w:rsidRPr="001D55A6" w:rsidRDefault="009256ED" w:rsidP="009256ED">
      <w:pPr>
        <w:pStyle w:val="Note"/>
      </w:pPr>
      <w:r w:rsidRPr="001D55A6">
        <w:t>(b)</w:t>
      </w:r>
      <w:r w:rsidRPr="001D55A6">
        <w:tab/>
        <w:t>Includes the estimated private sector construction-related expenditure associated with the North East Link held in the PNFC sector.</w:t>
      </w:r>
    </w:p>
    <w:p w14:paraId="0A631911" w14:textId="77777777" w:rsidR="009256ED" w:rsidRPr="001D55A6" w:rsidRDefault="009256ED" w:rsidP="009256ED">
      <w:pPr>
        <w:pStyle w:val="Note"/>
      </w:pPr>
      <w:r w:rsidRPr="001D55A6">
        <w:t>(c)</w:t>
      </w:r>
      <w:r w:rsidRPr="001D55A6">
        <w:tab/>
        <w:t>Excludes the impact of the medium-term lease over the operations of the Port of Melbourne and the divestment of Victoria’s share of Snowy Hydro Limited</w:t>
      </w:r>
      <w:r>
        <w:t>.</w:t>
      </w:r>
    </w:p>
    <w:p w14:paraId="16C558A0" w14:textId="77777777" w:rsidR="009256ED" w:rsidRPr="001D55A6" w:rsidRDefault="009256ED" w:rsidP="009256ED">
      <w:pPr>
        <w:pStyle w:val="Heading20"/>
      </w:pPr>
      <w:r w:rsidRPr="001D55A6">
        <w:t>Net debt</w:t>
      </w:r>
    </w:p>
    <w:p w14:paraId="2BE5B57D" w14:textId="77777777" w:rsidR="009256ED" w:rsidRDefault="009256ED" w:rsidP="007D79CF">
      <w:pPr>
        <w:keepNext/>
      </w:pPr>
      <w:r>
        <w:t>Throughout the pandemic, the Government prioritised the use of its balance sheet to support the Victorian community and economy. This approach was consistent with stimulus approaches elsewhere in Australia and around the world.</w:t>
      </w:r>
    </w:p>
    <w:p w14:paraId="26703B34" w14:textId="77777777" w:rsidR="009256ED" w:rsidRPr="00E43430" w:rsidRDefault="009256ED" w:rsidP="009256ED">
      <w:r w:rsidRPr="007D2312">
        <w:t>Stabilising and reducing net debt as a percentage of GSP – the fourth and fifth steps in the Government’s fiscal strategy – are important objectives for the Government. Net debt is projected to be $155.2 billion at June 2025 and is forecast to increase to $187.3 billion by June 2028 (see Chart 3.2)</w:t>
      </w:r>
      <w:r w:rsidRPr="00CB0D94">
        <w:t>.</w:t>
      </w:r>
      <w:r>
        <w:t xml:space="preserve"> This is an improvement in the budget year and each year of the forward estimates, including an improvement of $0.5 billion to 2027-28 when compared with the </w:t>
      </w:r>
      <w:r>
        <w:rPr>
          <w:i/>
          <w:iCs/>
        </w:rPr>
        <w:t>2024-25 Budget</w:t>
      </w:r>
      <w:r>
        <w:t>.</w:t>
      </w:r>
    </w:p>
    <w:p w14:paraId="57B654BF" w14:textId="521D86C1" w:rsidR="00016218" w:rsidRDefault="00016218" w:rsidP="00016218">
      <w:r w:rsidRPr="00150232">
        <w:t>As a proportion of GSP, net debt is projected to increase to 24.</w:t>
      </w:r>
      <w:r>
        <w:t>2</w:t>
      </w:r>
      <w:r w:rsidRPr="00150232">
        <w:t xml:space="preserve"> per cent in June 2025, before reaching 25.</w:t>
      </w:r>
      <w:r>
        <w:t>2</w:t>
      </w:r>
      <w:r w:rsidRPr="00150232">
        <w:t xml:space="preserve"> per cent by June 2027 and reducing to 2</w:t>
      </w:r>
      <w:r>
        <w:t>5.0</w:t>
      </w:r>
      <w:r w:rsidRPr="00150232">
        <w:t xml:space="preserve"> per cent by June 2028</w:t>
      </w:r>
      <w:r>
        <w:t xml:space="preserve">. </w:t>
      </w:r>
      <w:r w:rsidRPr="0008542D">
        <w:t xml:space="preserve">Net debt to GSP is forecast to be lower in the budget year and each year of the forward estimates when compared with the </w:t>
      </w:r>
      <w:r w:rsidRPr="0008542D">
        <w:rPr>
          <w:i/>
          <w:iCs/>
        </w:rPr>
        <w:t>2024-25 Budget</w:t>
      </w:r>
      <w:r w:rsidRPr="0008542D">
        <w:t>.</w:t>
      </w:r>
    </w:p>
    <w:p w14:paraId="3AB8AD4F" w14:textId="77777777" w:rsidR="00761A6B" w:rsidRPr="00FE5F62" w:rsidRDefault="00761A6B" w:rsidP="009256ED"/>
    <w:p w14:paraId="0C2A3299" w14:textId="77777777" w:rsidR="009256ED" w:rsidRDefault="009256ED" w:rsidP="007D79CF">
      <w:pPr>
        <w:pStyle w:val="TableHeading"/>
      </w:pPr>
      <w:r w:rsidRPr="00EF1AF0">
        <w:t>Chart 3.2:</w:t>
      </w:r>
      <w:r w:rsidRPr="00EF1AF0">
        <w:tab/>
        <w:t>General government net debt to GSP</w:t>
      </w:r>
    </w:p>
    <w:p w14:paraId="49E3D1A7" w14:textId="763FC933" w:rsidR="009256ED" w:rsidRDefault="006027C6" w:rsidP="009256ED">
      <w:bookmarkStart w:id="34" w:name="_1761648027"/>
      <w:bookmarkEnd w:id="34"/>
      <w:r>
        <w:pict w14:anchorId="66F23DF5">
          <v:shape id="_x0000_i1026" type="#_x0000_t75" style="width:390.75pt;height:218.25pt">
            <v:imagedata r:id="rId33" o:title=""/>
          </v:shape>
        </w:pict>
      </w:r>
    </w:p>
    <w:p w14:paraId="43EEC4BE" w14:textId="77777777" w:rsidR="009256ED" w:rsidRDefault="009256ED" w:rsidP="00761A6B">
      <w:pPr>
        <w:keepNext/>
        <w:pageBreakBefore/>
      </w:pPr>
      <w:r w:rsidRPr="00CF283D">
        <w:t>The application of cash resources for the general government sector (as shown in Table</w:t>
      </w:r>
      <w:r>
        <w:t> 3</w:t>
      </w:r>
      <w:r w:rsidRPr="00CF283D">
        <w:t>.5) outlines the annual movements in net debt</w:t>
      </w:r>
      <w:r>
        <w:t xml:space="preserve"> showing that progressively less debt is being incurred over the forward estimates</w:t>
      </w:r>
      <w:r w:rsidRPr="001D55A6">
        <w:t>.</w:t>
      </w:r>
      <w:r>
        <w:t xml:space="preserve"> </w:t>
      </w:r>
    </w:p>
    <w:p w14:paraId="4646486C" w14:textId="77777777" w:rsidR="00761A6B" w:rsidRPr="001F48DC" w:rsidRDefault="00761A6B" w:rsidP="00761A6B">
      <w:pPr>
        <w:keepNext/>
      </w:pPr>
    </w:p>
    <w:p w14:paraId="39FE7508" w14:textId="77777777" w:rsidR="009256ED" w:rsidRDefault="009256ED" w:rsidP="00761A6B">
      <w:pPr>
        <w:pStyle w:val="TableHeading"/>
      </w:pPr>
      <w:r w:rsidRPr="00C203E5">
        <w:t xml:space="preserve">Table </w:t>
      </w:r>
      <w:r>
        <w:t>3</w:t>
      </w:r>
      <w:r w:rsidRPr="00C203E5">
        <w:t>.</w:t>
      </w:r>
      <w:r>
        <w:t>5</w:t>
      </w:r>
      <w:r w:rsidRPr="00C203E5">
        <w:t>:</w:t>
      </w:r>
      <w:r w:rsidRPr="00C203E5">
        <w:tab/>
        <w:t xml:space="preserve">Application of cash resources for the general government sector </w:t>
      </w:r>
      <w:r w:rsidRPr="00C203E5">
        <w:rPr>
          <w:vertAlign w:val="superscript"/>
        </w:rPr>
        <w:t>(a)</w:t>
      </w:r>
      <w:r w:rsidRPr="00C203E5">
        <w:tab/>
        <w:t>($</w:t>
      </w:r>
      <w:r>
        <w:t> million</w:t>
      </w:r>
      <w:r w:rsidRPr="00C203E5">
        <w:t>)</w:t>
      </w:r>
    </w:p>
    <w:tbl>
      <w:tblPr>
        <w:tblStyle w:val="DTFTableNumeric"/>
        <w:tblW w:w="7711" w:type="dxa"/>
        <w:tblLayout w:type="fixed"/>
        <w:tblLook w:val="06A0" w:firstRow="1" w:lastRow="0" w:firstColumn="1" w:lastColumn="0" w:noHBand="1" w:noVBand="1"/>
        <w:tblDescription w:val="Type:DtfTable|Workbook:https://vicgov.sharepoint.com/sites/VG002735/Budget%20Update/Chapter%203/Link_Chapter%203%20Budget%20Position%20and%20Outlook.xlsx|Table:GG_ApplicationOfCashResources|MergedHeadingRow:1|TableGroup:Chapter 3"/>
      </w:tblPr>
      <w:tblGrid>
        <w:gridCol w:w="4168"/>
        <w:gridCol w:w="885"/>
        <w:gridCol w:w="886"/>
        <w:gridCol w:w="886"/>
        <w:gridCol w:w="886"/>
      </w:tblGrid>
      <w:tr w:rsidR="009256ED" w14:paraId="66146F44"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14:paraId="71DC7CBC" w14:textId="77777777" w:rsidR="009256ED" w:rsidRDefault="009256ED" w:rsidP="008670FF">
            <w:pPr>
              <w:keepNext/>
            </w:pPr>
          </w:p>
        </w:tc>
        <w:tc>
          <w:tcPr>
            <w:tcW w:w="885" w:type="dxa"/>
          </w:tcPr>
          <w:p w14:paraId="32AA276B"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86" w:type="dxa"/>
          </w:tcPr>
          <w:p w14:paraId="44B6F5BC"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86" w:type="dxa"/>
          </w:tcPr>
          <w:p w14:paraId="39FDFA2D"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86" w:type="dxa"/>
          </w:tcPr>
          <w:p w14:paraId="5F7351C2"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6C7CE84D" w14:textId="77777777" w:rsidTr="008670FF">
        <w:tc>
          <w:tcPr>
            <w:cnfStyle w:val="001000000000" w:firstRow="0" w:lastRow="0" w:firstColumn="1" w:lastColumn="0" w:oddVBand="0" w:evenVBand="0" w:oddHBand="0" w:evenHBand="0" w:firstRowFirstColumn="0" w:firstRowLastColumn="0" w:lastRowFirstColumn="0" w:lastRowLastColumn="0"/>
            <w:tcW w:w="4168" w:type="dxa"/>
          </w:tcPr>
          <w:p w14:paraId="38FD8435" w14:textId="77777777" w:rsidR="009256ED" w:rsidRDefault="009256ED" w:rsidP="008670FF">
            <w:r>
              <w:rPr>
                <w:b/>
              </w:rPr>
              <w:t>Net result from transactions</w:t>
            </w:r>
          </w:p>
        </w:tc>
        <w:tc>
          <w:tcPr>
            <w:tcW w:w="885" w:type="dxa"/>
          </w:tcPr>
          <w:p w14:paraId="70C5AC6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(3 595)</w:t>
            </w:r>
          </w:p>
        </w:tc>
        <w:tc>
          <w:tcPr>
            <w:tcW w:w="886" w:type="dxa"/>
          </w:tcPr>
          <w:p w14:paraId="6A750D9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1 579</w:t>
            </w:r>
          </w:p>
        </w:tc>
        <w:tc>
          <w:tcPr>
            <w:tcW w:w="886" w:type="dxa"/>
          </w:tcPr>
          <w:p w14:paraId="2797500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1 718</w:t>
            </w:r>
          </w:p>
        </w:tc>
        <w:tc>
          <w:tcPr>
            <w:tcW w:w="886" w:type="dxa"/>
          </w:tcPr>
          <w:p w14:paraId="72E5947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1 954</w:t>
            </w:r>
          </w:p>
        </w:tc>
      </w:tr>
      <w:tr w:rsidR="009256ED" w14:paraId="36D4E13A"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bottom w:val="single" w:sz="6" w:space="0" w:color="auto"/>
            </w:tcBorders>
          </w:tcPr>
          <w:p w14:paraId="0EE8BACD" w14:textId="77777777" w:rsidR="009256ED" w:rsidRDefault="009256ED" w:rsidP="008670FF">
            <w:r>
              <w:t xml:space="preserve">Add back: Operating cash flows not recognised in the net operating balance </w:t>
            </w:r>
            <w:r>
              <w:rPr>
                <w:vertAlign w:val="superscript"/>
              </w:rPr>
              <w:t>(b)</w:t>
            </w:r>
          </w:p>
        </w:tc>
        <w:tc>
          <w:tcPr>
            <w:tcW w:w="885" w:type="dxa"/>
            <w:tcBorders>
              <w:bottom w:val="single" w:sz="6" w:space="0" w:color="auto"/>
            </w:tcBorders>
          </w:tcPr>
          <w:p w14:paraId="1153027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4 002</w:t>
            </w:r>
          </w:p>
        </w:tc>
        <w:tc>
          <w:tcPr>
            <w:tcW w:w="886" w:type="dxa"/>
            <w:tcBorders>
              <w:bottom w:val="single" w:sz="6" w:space="0" w:color="auto"/>
            </w:tcBorders>
          </w:tcPr>
          <w:p w14:paraId="38919D3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5 665</w:t>
            </w:r>
          </w:p>
        </w:tc>
        <w:tc>
          <w:tcPr>
            <w:tcW w:w="886" w:type="dxa"/>
            <w:tcBorders>
              <w:bottom w:val="single" w:sz="6" w:space="0" w:color="auto"/>
            </w:tcBorders>
          </w:tcPr>
          <w:p w14:paraId="4548291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5 418</w:t>
            </w:r>
          </w:p>
        </w:tc>
        <w:tc>
          <w:tcPr>
            <w:tcW w:w="886" w:type="dxa"/>
            <w:tcBorders>
              <w:bottom w:val="single" w:sz="6" w:space="0" w:color="auto"/>
            </w:tcBorders>
          </w:tcPr>
          <w:p w14:paraId="7C5DD58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4 470</w:t>
            </w:r>
          </w:p>
        </w:tc>
      </w:tr>
      <w:tr w:rsidR="009256ED" w14:paraId="34723BC8"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1FD1316F" w14:textId="77777777" w:rsidR="009256ED" w:rsidRDefault="009256ED" w:rsidP="008670FF">
            <w:r>
              <w:rPr>
                <w:b/>
              </w:rPr>
              <w:t>Net cash flows from operating activities</w:t>
            </w:r>
          </w:p>
        </w:tc>
        <w:tc>
          <w:tcPr>
            <w:tcW w:w="885" w:type="dxa"/>
            <w:tcBorders>
              <w:top w:val="single" w:sz="6" w:space="0" w:color="auto"/>
              <w:bottom w:val="single" w:sz="6" w:space="0" w:color="auto"/>
            </w:tcBorders>
          </w:tcPr>
          <w:p w14:paraId="37622E1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407</w:t>
            </w:r>
          </w:p>
        </w:tc>
        <w:tc>
          <w:tcPr>
            <w:tcW w:w="886" w:type="dxa"/>
            <w:tcBorders>
              <w:top w:val="single" w:sz="6" w:space="0" w:color="auto"/>
              <w:bottom w:val="single" w:sz="6" w:space="0" w:color="auto"/>
            </w:tcBorders>
          </w:tcPr>
          <w:p w14:paraId="4C8FF09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7 244</w:t>
            </w:r>
          </w:p>
        </w:tc>
        <w:tc>
          <w:tcPr>
            <w:tcW w:w="886" w:type="dxa"/>
            <w:tcBorders>
              <w:top w:val="single" w:sz="6" w:space="0" w:color="auto"/>
              <w:bottom w:val="single" w:sz="6" w:space="0" w:color="auto"/>
            </w:tcBorders>
          </w:tcPr>
          <w:p w14:paraId="490EAE5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7 136</w:t>
            </w:r>
          </w:p>
        </w:tc>
        <w:tc>
          <w:tcPr>
            <w:tcW w:w="886" w:type="dxa"/>
            <w:tcBorders>
              <w:top w:val="single" w:sz="6" w:space="0" w:color="auto"/>
              <w:bottom w:val="single" w:sz="6" w:space="0" w:color="auto"/>
            </w:tcBorders>
          </w:tcPr>
          <w:p w14:paraId="5342603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6 424</w:t>
            </w:r>
          </w:p>
        </w:tc>
      </w:tr>
      <w:tr w:rsidR="009256ED" w14:paraId="0EEDA7D9"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1D6C2FAA" w14:textId="77777777" w:rsidR="009256ED" w:rsidRDefault="009256ED" w:rsidP="008670FF">
            <w:r>
              <w:rPr>
                <w:b/>
              </w:rPr>
              <w:t xml:space="preserve">Less: Total net investment in fixed assets </w:t>
            </w:r>
            <w:r>
              <w:rPr>
                <w:b/>
                <w:vertAlign w:val="superscript"/>
              </w:rPr>
              <w:t>(c)</w:t>
            </w:r>
          </w:p>
        </w:tc>
        <w:tc>
          <w:tcPr>
            <w:tcW w:w="885" w:type="dxa"/>
            <w:tcBorders>
              <w:top w:val="single" w:sz="6" w:space="0" w:color="auto"/>
              <w:bottom w:val="single" w:sz="6" w:space="0" w:color="auto"/>
            </w:tcBorders>
          </w:tcPr>
          <w:p w14:paraId="5A6D559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19 801</w:t>
            </w:r>
          </w:p>
        </w:tc>
        <w:tc>
          <w:tcPr>
            <w:tcW w:w="886" w:type="dxa"/>
            <w:tcBorders>
              <w:top w:val="single" w:sz="6" w:space="0" w:color="auto"/>
              <w:bottom w:val="single" w:sz="6" w:space="0" w:color="auto"/>
            </w:tcBorders>
          </w:tcPr>
          <w:p w14:paraId="2F794A9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19 742</w:t>
            </w:r>
          </w:p>
        </w:tc>
        <w:tc>
          <w:tcPr>
            <w:tcW w:w="886" w:type="dxa"/>
            <w:tcBorders>
              <w:top w:val="single" w:sz="6" w:space="0" w:color="auto"/>
              <w:bottom w:val="single" w:sz="6" w:space="0" w:color="auto"/>
            </w:tcBorders>
          </w:tcPr>
          <w:p w14:paraId="5B302AD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17 462</w:t>
            </w:r>
          </w:p>
        </w:tc>
        <w:tc>
          <w:tcPr>
            <w:tcW w:w="886" w:type="dxa"/>
            <w:tcBorders>
              <w:top w:val="single" w:sz="6" w:space="0" w:color="auto"/>
              <w:bottom w:val="single" w:sz="6" w:space="0" w:color="auto"/>
            </w:tcBorders>
          </w:tcPr>
          <w:p w14:paraId="61E7A68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14 412</w:t>
            </w:r>
          </w:p>
        </w:tc>
      </w:tr>
      <w:tr w:rsidR="009256ED" w14:paraId="417C1816"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6" w:space="0" w:color="auto"/>
            </w:tcBorders>
          </w:tcPr>
          <w:p w14:paraId="4E4CF8E3" w14:textId="77777777" w:rsidR="009256ED" w:rsidRDefault="009256ED" w:rsidP="008670FF">
            <w:r>
              <w:rPr>
                <w:b/>
              </w:rPr>
              <w:t>Surplus/(deficit) of cash from operations after funding net investment in fixed assets</w:t>
            </w:r>
          </w:p>
        </w:tc>
        <w:tc>
          <w:tcPr>
            <w:tcW w:w="885" w:type="dxa"/>
            <w:tcBorders>
              <w:top w:val="single" w:sz="6" w:space="0" w:color="auto"/>
              <w:bottom w:val="single" w:sz="6" w:space="0" w:color="auto"/>
            </w:tcBorders>
          </w:tcPr>
          <w:p w14:paraId="79F4FA1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(19 394)</w:t>
            </w:r>
          </w:p>
        </w:tc>
        <w:tc>
          <w:tcPr>
            <w:tcW w:w="886" w:type="dxa"/>
            <w:tcBorders>
              <w:top w:val="single" w:sz="6" w:space="0" w:color="auto"/>
              <w:bottom w:val="single" w:sz="6" w:space="0" w:color="auto"/>
            </w:tcBorders>
          </w:tcPr>
          <w:p w14:paraId="462C796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(12 498)</w:t>
            </w:r>
          </w:p>
        </w:tc>
        <w:tc>
          <w:tcPr>
            <w:tcW w:w="886" w:type="dxa"/>
            <w:tcBorders>
              <w:top w:val="single" w:sz="6" w:space="0" w:color="auto"/>
              <w:bottom w:val="single" w:sz="6" w:space="0" w:color="auto"/>
            </w:tcBorders>
          </w:tcPr>
          <w:p w14:paraId="333A9E9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(10 326)</w:t>
            </w:r>
          </w:p>
        </w:tc>
        <w:tc>
          <w:tcPr>
            <w:tcW w:w="886" w:type="dxa"/>
            <w:tcBorders>
              <w:top w:val="single" w:sz="6" w:space="0" w:color="auto"/>
              <w:bottom w:val="single" w:sz="6" w:space="0" w:color="auto"/>
            </w:tcBorders>
          </w:tcPr>
          <w:p w14:paraId="6AE3D55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(7 988)</w:t>
            </w:r>
          </w:p>
        </w:tc>
      </w:tr>
      <w:tr w:rsidR="009256ED" w14:paraId="18363ED9"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tcBorders>
          </w:tcPr>
          <w:p w14:paraId="50B4E7B9" w14:textId="77777777" w:rsidR="009256ED" w:rsidRDefault="009256ED" w:rsidP="008670FF">
            <w:r>
              <w:t>Less:</w:t>
            </w:r>
          </w:p>
        </w:tc>
        <w:tc>
          <w:tcPr>
            <w:tcW w:w="885" w:type="dxa"/>
            <w:tcBorders>
              <w:top w:val="single" w:sz="6" w:space="0" w:color="auto"/>
            </w:tcBorders>
          </w:tcPr>
          <w:p w14:paraId="472A74F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42D693A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3CEC538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86" w:type="dxa"/>
            <w:tcBorders>
              <w:top w:val="single" w:sz="6" w:space="0" w:color="auto"/>
            </w:tcBorders>
          </w:tcPr>
          <w:p w14:paraId="514D294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46915004" w14:textId="77777777" w:rsidTr="008670FF">
        <w:tc>
          <w:tcPr>
            <w:cnfStyle w:val="001000000000" w:firstRow="0" w:lastRow="0" w:firstColumn="1" w:lastColumn="0" w:oddVBand="0" w:evenVBand="0" w:oddHBand="0" w:evenHBand="0" w:firstRowFirstColumn="0" w:firstRowLastColumn="0" w:lastRowFirstColumn="0" w:lastRowLastColumn="0"/>
            <w:tcW w:w="4168" w:type="dxa"/>
          </w:tcPr>
          <w:p w14:paraId="7415D66F" w14:textId="77777777" w:rsidR="009256ED" w:rsidRDefault="009256ED" w:rsidP="008670FF">
            <w:r>
              <w:t xml:space="preserve">   Leases and service concession arrangements </w:t>
            </w:r>
            <w:r>
              <w:rPr>
                <w:vertAlign w:val="superscript"/>
              </w:rPr>
              <w:t>(d)</w:t>
            </w:r>
          </w:p>
        </w:tc>
        <w:tc>
          <w:tcPr>
            <w:tcW w:w="885" w:type="dxa"/>
          </w:tcPr>
          <w:p w14:paraId="04D044B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2 618</w:t>
            </w:r>
          </w:p>
        </w:tc>
        <w:tc>
          <w:tcPr>
            <w:tcW w:w="886" w:type="dxa"/>
          </w:tcPr>
          <w:p w14:paraId="44E97CB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982</w:t>
            </w:r>
          </w:p>
        </w:tc>
        <w:tc>
          <w:tcPr>
            <w:tcW w:w="886" w:type="dxa"/>
          </w:tcPr>
          <w:p w14:paraId="4C618C6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555</w:t>
            </w:r>
          </w:p>
        </w:tc>
        <w:tc>
          <w:tcPr>
            <w:tcW w:w="886" w:type="dxa"/>
          </w:tcPr>
          <w:p w14:paraId="55555B0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640</w:t>
            </w:r>
          </w:p>
        </w:tc>
      </w:tr>
      <w:tr w:rsidR="009256ED" w14:paraId="237909EE"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bottom w:val="single" w:sz="6" w:space="0" w:color="auto"/>
            </w:tcBorders>
          </w:tcPr>
          <w:p w14:paraId="4FB77FB2" w14:textId="77777777" w:rsidR="009256ED" w:rsidRDefault="009256ED" w:rsidP="008670FF">
            <w:r>
              <w:t xml:space="preserve">   Other movements</w:t>
            </w:r>
          </w:p>
        </w:tc>
        <w:tc>
          <w:tcPr>
            <w:tcW w:w="885" w:type="dxa"/>
            <w:tcBorders>
              <w:bottom w:val="single" w:sz="6" w:space="0" w:color="auto"/>
            </w:tcBorders>
          </w:tcPr>
          <w:p w14:paraId="4DAAAC2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(93)</w:t>
            </w:r>
          </w:p>
        </w:tc>
        <w:tc>
          <w:tcPr>
            <w:tcW w:w="886" w:type="dxa"/>
            <w:tcBorders>
              <w:bottom w:val="single" w:sz="6" w:space="0" w:color="auto"/>
            </w:tcBorders>
          </w:tcPr>
          <w:p w14:paraId="279A270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(143)</w:t>
            </w:r>
          </w:p>
        </w:tc>
        <w:tc>
          <w:tcPr>
            <w:tcW w:w="886" w:type="dxa"/>
            <w:tcBorders>
              <w:bottom w:val="single" w:sz="6" w:space="0" w:color="auto"/>
            </w:tcBorders>
          </w:tcPr>
          <w:p w14:paraId="5FD75A5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(348)</w:t>
            </w:r>
          </w:p>
        </w:tc>
        <w:tc>
          <w:tcPr>
            <w:tcW w:w="886" w:type="dxa"/>
            <w:tcBorders>
              <w:bottom w:val="single" w:sz="6" w:space="0" w:color="auto"/>
            </w:tcBorders>
          </w:tcPr>
          <w:p w14:paraId="63B14A3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(368)</w:t>
            </w:r>
          </w:p>
        </w:tc>
      </w:tr>
      <w:tr w:rsidR="009256ED" w14:paraId="6E256EF6" w14:textId="77777777" w:rsidTr="008670FF">
        <w:tc>
          <w:tcPr>
            <w:cnfStyle w:val="001000000000" w:firstRow="0" w:lastRow="0" w:firstColumn="1" w:lastColumn="0" w:oddVBand="0" w:evenVBand="0" w:oddHBand="0" w:evenHBand="0" w:firstRowFirstColumn="0" w:firstRowLastColumn="0" w:lastRowFirstColumn="0" w:lastRowLastColumn="0"/>
            <w:tcW w:w="4168" w:type="dxa"/>
            <w:tcBorders>
              <w:top w:val="single" w:sz="6" w:space="0" w:color="auto"/>
              <w:bottom w:val="single" w:sz="12" w:space="0" w:color="auto"/>
            </w:tcBorders>
          </w:tcPr>
          <w:p w14:paraId="757EC327" w14:textId="77777777" w:rsidR="009256ED" w:rsidRDefault="009256ED" w:rsidP="008670FF">
            <w:r>
              <w:rPr>
                <w:b/>
              </w:rPr>
              <w:t>Decrease/(increase) in net debt</w:t>
            </w:r>
          </w:p>
        </w:tc>
        <w:tc>
          <w:tcPr>
            <w:tcW w:w="885" w:type="dxa"/>
            <w:tcBorders>
              <w:top w:val="single" w:sz="6" w:space="0" w:color="auto"/>
              <w:bottom w:val="single" w:sz="12" w:space="0" w:color="auto"/>
            </w:tcBorders>
          </w:tcPr>
          <w:p w14:paraId="1B11AB4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(21 919)</w:t>
            </w:r>
          </w:p>
        </w:tc>
        <w:tc>
          <w:tcPr>
            <w:tcW w:w="886" w:type="dxa"/>
            <w:tcBorders>
              <w:top w:val="single" w:sz="6" w:space="0" w:color="auto"/>
              <w:bottom w:val="single" w:sz="12" w:space="0" w:color="auto"/>
            </w:tcBorders>
          </w:tcPr>
          <w:p w14:paraId="0FE3884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(13 337)</w:t>
            </w:r>
          </w:p>
        </w:tc>
        <w:tc>
          <w:tcPr>
            <w:tcW w:w="886" w:type="dxa"/>
            <w:tcBorders>
              <w:top w:val="single" w:sz="6" w:space="0" w:color="auto"/>
              <w:bottom w:val="single" w:sz="12" w:space="0" w:color="auto"/>
            </w:tcBorders>
          </w:tcPr>
          <w:p w14:paraId="26F0A17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(10 533)</w:t>
            </w:r>
          </w:p>
        </w:tc>
        <w:tc>
          <w:tcPr>
            <w:tcW w:w="886" w:type="dxa"/>
            <w:tcBorders>
              <w:top w:val="single" w:sz="6" w:space="0" w:color="auto"/>
              <w:bottom w:val="single" w:sz="12" w:space="0" w:color="auto"/>
            </w:tcBorders>
          </w:tcPr>
          <w:p w14:paraId="786FA54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(8 260)</w:t>
            </w:r>
          </w:p>
        </w:tc>
      </w:tr>
    </w:tbl>
    <w:p w14:paraId="2D1EB41A" w14:textId="77777777" w:rsidR="009256ED" w:rsidRPr="001D55A6" w:rsidRDefault="009256ED" w:rsidP="009256ED">
      <w:pPr>
        <w:pStyle w:val="Note"/>
      </w:pPr>
      <w:r w:rsidRPr="001D55A6">
        <w:t>Notes:</w:t>
      </w:r>
    </w:p>
    <w:p w14:paraId="0DF0101B" w14:textId="77777777" w:rsidR="009256ED" w:rsidRPr="001D55A6" w:rsidRDefault="009256ED" w:rsidP="009256ED">
      <w:pPr>
        <w:pStyle w:val="Note"/>
      </w:pPr>
      <w:r w:rsidRPr="001D55A6">
        <w:t xml:space="preserve">(a) </w:t>
      </w:r>
      <w:r w:rsidRPr="001D55A6">
        <w:tab/>
        <w:t>Figures in this table are subject to rounding to the nearest</w:t>
      </w:r>
      <w:r>
        <w:t> </w:t>
      </w:r>
      <w:r w:rsidRPr="001D55A6">
        <w:t>million and may not add up to totals.</w:t>
      </w:r>
    </w:p>
    <w:p w14:paraId="4DA69A4C" w14:textId="77777777" w:rsidR="009256ED" w:rsidRPr="001D55A6" w:rsidRDefault="009256ED" w:rsidP="009256ED">
      <w:pPr>
        <w:pStyle w:val="Note"/>
      </w:pPr>
      <w:r w:rsidRPr="001D55A6">
        <w:t xml:space="preserve">(b) </w:t>
      </w:r>
      <w:r w:rsidRPr="001D55A6">
        <w:tab/>
        <w:t>Includes depreciation, prepayments and movements in the superannuation liability and liability of employee benefits for the year, and the progressive unwinding of the grant of a right to the operator liability.</w:t>
      </w:r>
    </w:p>
    <w:p w14:paraId="0B7A422F" w14:textId="77777777" w:rsidR="009256ED" w:rsidRPr="001D55A6" w:rsidRDefault="009256ED" w:rsidP="009256ED">
      <w:pPr>
        <w:pStyle w:val="Note"/>
      </w:pPr>
      <w:r w:rsidRPr="001D55A6">
        <w:t xml:space="preserve">(c) </w:t>
      </w:r>
      <w:r w:rsidRPr="001D55A6">
        <w:tab/>
        <w:t>Includes total purchases of plant, property and equipment, and net capital contributions to other sectors of government net of proceeds from asset sales.</w:t>
      </w:r>
    </w:p>
    <w:p w14:paraId="6C49C01E" w14:textId="1708E262" w:rsidR="009256ED" w:rsidRDefault="009256ED" w:rsidP="009256ED">
      <w:pPr>
        <w:pStyle w:val="Note"/>
      </w:pPr>
      <w:r w:rsidRPr="001D55A6">
        <w:t>(d)</w:t>
      </w:r>
      <w:r w:rsidRPr="001D55A6">
        <w:tab/>
      </w:r>
      <w:r w:rsidRPr="00092F46">
        <w:t>Includes most operating leases</w:t>
      </w:r>
      <w:r>
        <w:t>,</w:t>
      </w:r>
      <w:r w:rsidRPr="00092F46">
        <w:t xml:space="preserve"> which are required to be recognised as lease liabilities</w:t>
      </w:r>
      <w:r>
        <w:t xml:space="preserve">, and </w:t>
      </w:r>
      <w:r w:rsidRPr="00092F46">
        <w:t>also includes the financial liabilities relating to public private partnership projects including</w:t>
      </w:r>
      <w:r w:rsidRPr="003E7947">
        <w:t xml:space="preserve"> </w:t>
      </w:r>
      <w:r w:rsidRPr="00092F46">
        <w:t>the Frankston Hospital Redevelopment</w:t>
      </w:r>
      <w:r>
        <w:t>,</w:t>
      </w:r>
      <w:r w:rsidRPr="00092F46">
        <w:t xml:space="preserve"> the High Capacity Metro Trains, the</w:t>
      </w:r>
      <w:r w:rsidR="00761A6B">
        <w:t> </w:t>
      </w:r>
      <w:r w:rsidRPr="00092F46">
        <w:t>Metro Tunnel, the new Footscray Hospital, the new Melton Hospital</w:t>
      </w:r>
      <w:r>
        <w:t>,</w:t>
      </w:r>
      <w:r w:rsidRPr="00092F46">
        <w:t xml:space="preserve"> </w:t>
      </w:r>
      <w:r>
        <w:t>and the Nyaal Banyul Geelong Convention and Event Centre.</w:t>
      </w:r>
    </w:p>
    <w:p w14:paraId="1F6218D6" w14:textId="77777777" w:rsidR="00761A6B" w:rsidRPr="001D55A6" w:rsidRDefault="00761A6B" w:rsidP="00761A6B"/>
    <w:p w14:paraId="645C1DD5" w14:textId="77777777" w:rsidR="009256ED" w:rsidRPr="001D55A6" w:rsidRDefault="009256ED" w:rsidP="009256ED">
      <w:pPr>
        <w:pStyle w:val="Heading20"/>
      </w:pPr>
      <w:r w:rsidRPr="001D55A6">
        <w:t>Unfunded superannuation liability</w:t>
      </w:r>
    </w:p>
    <w:p w14:paraId="3CF1539D" w14:textId="77777777" w:rsidR="009256ED" w:rsidRPr="001D55A6" w:rsidRDefault="009256ED" w:rsidP="009256ED">
      <w:r w:rsidRPr="001D55A6">
        <w:t xml:space="preserve">The Government is on track to fully fund the </w:t>
      </w:r>
      <w:r>
        <w:t>S</w:t>
      </w:r>
      <w:r w:rsidRPr="001D55A6">
        <w:t>tate’s unfunded superannuation liability by 2035. Note 4.</w:t>
      </w:r>
      <w:r>
        <w:t>3</w:t>
      </w:r>
      <w:r w:rsidRPr="001D55A6">
        <w:t xml:space="preserve">.3 of Chapter 4 </w:t>
      </w:r>
      <w:r w:rsidRPr="006F0A82">
        <w:rPr>
          <w:i/>
          <w:iCs/>
        </w:rPr>
        <w:t>Estimated financial statements and notes</w:t>
      </w:r>
      <w:r w:rsidRPr="001D55A6">
        <w:t xml:space="preserve"> shows information on the reported superannuation liability.</w:t>
      </w:r>
    </w:p>
    <w:p w14:paraId="112182B5" w14:textId="77777777" w:rsidR="009256ED" w:rsidRPr="001D55A6" w:rsidRDefault="009256ED" w:rsidP="00761A6B">
      <w:pPr>
        <w:pStyle w:val="Heading10"/>
        <w:pageBreakBefore/>
      </w:pPr>
      <w:bookmarkStart w:id="35" w:name="_Toc179455712"/>
      <w:bookmarkStart w:id="36" w:name="_Toc184198769"/>
      <w:bookmarkStart w:id="37" w:name="_Toc184299442"/>
      <w:r w:rsidRPr="001D55A6">
        <w:t>Fiscal risks</w:t>
      </w:r>
      <w:bookmarkEnd w:id="35"/>
      <w:bookmarkEnd w:id="36"/>
      <w:bookmarkEnd w:id="37"/>
    </w:p>
    <w:p w14:paraId="4DA016F8" w14:textId="77777777" w:rsidR="009256ED" w:rsidRPr="001D55A6" w:rsidRDefault="009256ED" w:rsidP="00761A6B">
      <w:pPr>
        <w:spacing w:before="80"/>
      </w:pPr>
      <w:r w:rsidRPr="001D55A6">
        <w:t xml:space="preserve">This section discusses a number of risks which, if realised, are likely to impact on the </w:t>
      </w:r>
      <w:r>
        <w:t>S</w:t>
      </w:r>
      <w:r w:rsidRPr="001D55A6">
        <w:t>tate’s financial position and budget outcomes.</w:t>
      </w:r>
    </w:p>
    <w:p w14:paraId="119E114C" w14:textId="77777777" w:rsidR="009256ED" w:rsidRPr="001D55A6" w:rsidRDefault="009256ED" w:rsidP="00761A6B">
      <w:pPr>
        <w:spacing w:before="80"/>
      </w:pPr>
      <w:r>
        <w:t xml:space="preserve">Details of specific contingent assets and liabilities, defined as possible assets or liabilities that arise from past events whose existence will be confirmed only by the occurrence or non-occurrence of one or more uncertain future events not wholly within the control of the entity, are contained within Chapter 7 </w:t>
      </w:r>
      <w:r w:rsidRPr="00017DB5">
        <w:rPr>
          <w:i/>
        </w:rPr>
        <w:t>Contingent assets and contingent liabilities</w:t>
      </w:r>
      <w:r>
        <w:t>.</w:t>
      </w:r>
    </w:p>
    <w:p w14:paraId="780A44FB" w14:textId="77777777" w:rsidR="009256ED" w:rsidRPr="001D55A6" w:rsidRDefault="009256ED" w:rsidP="009256ED">
      <w:pPr>
        <w:pStyle w:val="Heading20"/>
      </w:pPr>
      <w:r w:rsidRPr="001D55A6">
        <w:t>General fiscal risks</w:t>
      </w:r>
      <w:r>
        <w:t xml:space="preserve"> </w:t>
      </w:r>
    </w:p>
    <w:p w14:paraId="3D05501D" w14:textId="77777777" w:rsidR="009256ED" w:rsidRDefault="009256ED" w:rsidP="00761A6B">
      <w:pPr>
        <w:spacing w:before="80"/>
      </w:pPr>
      <w:r w:rsidRPr="00447911">
        <w:t>There are risks to Victoria’s economic outlook and the forecasts are subject to uncertainty.</w:t>
      </w:r>
    </w:p>
    <w:p w14:paraId="0FDF36FD" w14:textId="77777777" w:rsidR="009256ED" w:rsidRDefault="009256ED" w:rsidP="00761A6B">
      <w:pPr>
        <w:spacing w:before="80"/>
      </w:pPr>
      <w:r>
        <w:t xml:space="preserve">The outlook for consumer spending remains a </w:t>
      </w:r>
      <w:r w:rsidRPr="002C1579">
        <w:t>key</w:t>
      </w:r>
      <w:r>
        <w:t xml:space="preserve"> source of uncertainty</w:t>
      </w:r>
      <w:r w:rsidRPr="002C1579">
        <w:t xml:space="preserve"> for the Victorian economy. Consumption has been subdued over the past year, reflecting the impact of high inflation and elevated interest rates on household budgets. Household disposable income is expected to increase in 2024</w:t>
      </w:r>
      <w:r>
        <w:t>-</w:t>
      </w:r>
      <w:r w:rsidRPr="002C1579">
        <w:t>25, which should support a rebound in spending. However, there is uncertainty around how strong this rebound will be, which has implications for economic activity and employment growth</w:t>
      </w:r>
      <w:r>
        <w:t>.</w:t>
      </w:r>
    </w:p>
    <w:p w14:paraId="014D4235" w14:textId="77777777" w:rsidR="009256ED" w:rsidRDefault="009256ED" w:rsidP="00761A6B">
      <w:pPr>
        <w:spacing w:before="80"/>
        <w:ind w:right="-142"/>
      </w:pPr>
      <w:r w:rsidRPr="008E7E08">
        <w:t>The path of inflation and hence the outlook for interest rates contribute to the uncertainty around the outlook for consumer spending and dwelling investment. Although overall inflation is easing, services inflation remains high, and there is uncertainty about how persistent services inflation will be. This has implications for the Reserve Bank of Australia’s monetary policy. The stance of monetary policy will affect the outlook for economic activity and employment growth. For example, GST revenue, land transfer duty revenue and interest expense are significantly linked to changes in economic growth, inflation and/or interest rates</w:t>
      </w:r>
      <w:r>
        <w:t>.</w:t>
      </w:r>
    </w:p>
    <w:p w14:paraId="0BF1AADF" w14:textId="77777777" w:rsidR="009256ED" w:rsidRPr="001D55A6" w:rsidRDefault="009256ED" w:rsidP="00761A6B">
      <w:pPr>
        <w:spacing w:before="80"/>
      </w:pPr>
      <w:r w:rsidRPr="009B138D">
        <w:t xml:space="preserve">Another uncertainty is the outlook for the global economy. </w:t>
      </w:r>
      <w:r w:rsidRPr="001D0AFA">
        <w:t xml:space="preserve">One source of uncertainty stems from possible changes to US fiscal and trade policies following the recent US election, which could affect US and global inflation and economic growth, although the scale and timing </w:t>
      </w:r>
      <w:r>
        <w:t>are</w:t>
      </w:r>
      <w:r w:rsidRPr="001D0AFA">
        <w:t xml:space="preserve"> uncertain. Another risk to the outlook stems from heightened geopolitical tensions; for</w:t>
      </w:r>
      <w:r w:rsidRPr="009B138D">
        <w:t xml:space="preserve"> example, any escalation in the conflict in the Middle East or Russia’s invasion of Ukraine may </w:t>
      </w:r>
      <w:r w:rsidRPr="001D0AFA">
        <w:t>add to</w:t>
      </w:r>
      <w:r w:rsidRPr="009B138D">
        <w:t xml:space="preserve"> global inflation, with disruptions to energy markets. </w:t>
      </w:r>
      <w:r w:rsidRPr="001D0AFA">
        <w:t>Economic growth in China could also ease more than expected, which would weigh on the global economy and likely lead to a decline in demand for Victorian exports</w:t>
      </w:r>
      <w:r w:rsidRPr="001D55A6">
        <w:t>.</w:t>
      </w:r>
    </w:p>
    <w:p w14:paraId="5134E8A8" w14:textId="77777777" w:rsidR="009256ED" w:rsidRDefault="009256ED" w:rsidP="00761A6B">
      <w:pPr>
        <w:spacing w:before="80"/>
      </w:pPr>
      <w:r w:rsidRPr="00EA3278">
        <w:t>The Government’s forecast revenues, expenses and borrowings are predicated on a series of assumptions, including those related to the global economy. If these assumptions do not eventuate, the actual financial outcomes may differ from the Government’s current budget</w:t>
      </w:r>
      <w:r>
        <w:t>.</w:t>
      </w:r>
    </w:p>
    <w:p w14:paraId="75CE4A7C" w14:textId="77777777" w:rsidR="009256ED" w:rsidRDefault="009256ED" w:rsidP="00761A6B">
      <w:pPr>
        <w:spacing w:before="80"/>
      </w:pPr>
      <w:r w:rsidRPr="00E74DCE">
        <w:t xml:space="preserve">Chapter 6 </w:t>
      </w:r>
      <w:r w:rsidRPr="00E7194F">
        <w:rPr>
          <w:i/>
        </w:rPr>
        <w:t>Sensitivity analysis</w:t>
      </w:r>
      <w:r w:rsidRPr="00E74DCE">
        <w:t xml:space="preserve"> contains information on the impact of variations in the macroeconomic outlook on the Government’s key fiscal aggregates. This includes an upside scenario where the trend unemployment rate is lower than assumed in the central forecasts, and a downside scenario where a slowdown in Victorian and Australian demand, partly due to uncertainty around the trajectory for interest rates and inflation, weighs on the Victorian economy</w:t>
      </w:r>
      <w:r>
        <w:t>.</w:t>
      </w:r>
    </w:p>
    <w:p w14:paraId="060C6A4A" w14:textId="77777777" w:rsidR="009256ED" w:rsidRPr="001D55A6" w:rsidRDefault="009256ED" w:rsidP="00761A6B">
      <w:pPr>
        <w:spacing w:before="80"/>
      </w:pPr>
      <w:r w:rsidRPr="00017E5F">
        <w:t xml:space="preserve">Further detail on the economic outlook and risks to the outlook is included in Chapter 2 </w:t>
      </w:r>
      <w:r w:rsidRPr="00E7194F">
        <w:rPr>
          <w:i/>
        </w:rPr>
        <w:t>Economic context</w:t>
      </w:r>
      <w:r>
        <w:t>.</w:t>
      </w:r>
    </w:p>
    <w:p w14:paraId="25565A72" w14:textId="77777777" w:rsidR="009256ED" w:rsidRPr="001D55A6" w:rsidRDefault="009256ED" w:rsidP="009256ED">
      <w:pPr>
        <w:pStyle w:val="Heading30"/>
      </w:pPr>
      <w:r w:rsidRPr="001D55A6">
        <w:t>State taxes</w:t>
      </w:r>
    </w:p>
    <w:p w14:paraId="7CD89EC7" w14:textId="77777777" w:rsidR="009256ED" w:rsidRPr="001D55A6" w:rsidRDefault="009256ED" w:rsidP="009256ED">
      <w:r w:rsidRPr="001D55A6">
        <w:t>State tax forecasts are primarily modelled on the relationships between taxation revenue and projected economic variables. As a result, the main source of uncertainty to state taxation estimates is unforeseen changes in the economic outlook.</w:t>
      </w:r>
    </w:p>
    <w:p w14:paraId="1D50308E" w14:textId="77777777" w:rsidR="009256ED" w:rsidRPr="001D55A6" w:rsidRDefault="009256ED" w:rsidP="009256ED">
      <w:r w:rsidRPr="00503682">
        <w:t xml:space="preserve">Victoria’s labour market remains strong. </w:t>
      </w:r>
      <w:r>
        <w:t>While</w:t>
      </w:r>
      <w:r w:rsidRPr="00503682">
        <w:t xml:space="preserve"> some easing is expected in the coming year</w:t>
      </w:r>
      <w:r>
        <w:t>, i</w:t>
      </w:r>
      <w:r w:rsidRPr="00503682">
        <w:t>f the labour market is more resilient, and unemployment lower than forecast, this could lead to stronger revenue from taxes on employers’ payroll and labour force. Conversely, if unemployment rises more than anticipated, wage growth may slow beyond expectations, weakening the revenue outlook for these taxes</w:t>
      </w:r>
      <w:r w:rsidRPr="001D55A6">
        <w:t xml:space="preserve">. </w:t>
      </w:r>
    </w:p>
    <w:p w14:paraId="28637F98" w14:textId="77777777" w:rsidR="009256ED" w:rsidRPr="001D55A6" w:rsidRDefault="009256ED" w:rsidP="009256ED">
      <w:pPr>
        <w:pStyle w:val="Heading30"/>
      </w:pPr>
      <w:r w:rsidRPr="001D55A6">
        <w:t>Property-related taxes</w:t>
      </w:r>
    </w:p>
    <w:p w14:paraId="0C22B30D" w14:textId="77777777" w:rsidR="009256ED" w:rsidRPr="001D55A6" w:rsidRDefault="009256ED" w:rsidP="009256ED">
      <w:r w:rsidRPr="005A6D8D">
        <w:t>Revenue from property-based taxes is subject to unique risks and historically has been volatile as property markets can exhibit large cycles typically related to changes in interest rates and changes in sentiment</w:t>
      </w:r>
      <w:r w:rsidRPr="001D55A6">
        <w:t xml:space="preserve">. </w:t>
      </w:r>
    </w:p>
    <w:p w14:paraId="2A3BC27B" w14:textId="77777777" w:rsidR="009256ED" w:rsidRPr="001D55A6" w:rsidRDefault="009256ED" w:rsidP="009256ED">
      <w:r w:rsidRPr="009059B4">
        <w:t>Property prices and transaction volumes continue to face pressure from restrictive monetary policy, as high borrowing costs limit housing lending and suppress sentiment. Strong population growth and a tight labour market have supported the property market, contributing to a gradual recovery that began in early 2023. However, dwelling prices have been moderately declining through 2024 amid elevated listing numbers</w:t>
      </w:r>
      <w:r>
        <w:t xml:space="preserve">, while </w:t>
      </w:r>
      <w:r w:rsidRPr="009059B4">
        <w:t>transaction volumes have continued to rise. Tight credit conditions are expected to persist throughout 2024-25, presenting a risk to revenue from land transfer duty in the near term and land tax in the medium term. A higher than forecast increase in unemployment poses further risk to buyer demand and raises the potential for elevated distressed selling activity, which has been limited to date</w:t>
      </w:r>
      <w:r>
        <w:t xml:space="preserve"> and remains below pre-pandemic levels</w:t>
      </w:r>
      <w:r w:rsidRPr="009059B4">
        <w:t>.</w:t>
      </w:r>
      <w:r w:rsidRPr="00283A93">
        <w:t xml:space="preserve"> Alternatively, a lower than expected unemployment rate could improve the outlook for property prices and transaction volumes, providing an upside risk to land transfer duty revenue.</w:t>
      </w:r>
      <w:r w:rsidRPr="009059B4">
        <w:t xml:space="preserve"> There is also uncertainty about the impact of delays and disruptions in the construction industry on property sales volumes</w:t>
      </w:r>
      <w:r w:rsidRPr="001D55A6">
        <w:t xml:space="preserve">. </w:t>
      </w:r>
    </w:p>
    <w:p w14:paraId="51A0AA78" w14:textId="77777777" w:rsidR="009256ED" w:rsidRPr="001D55A6" w:rsidRDefault="009256ED" w:rsidP="009256ED">
      <w:r w:rsidRPr="00630700">
        <w:t>Non-residential properties are beginning to experience higher market activity as tight credit conditions were a brake on major purchases throughout 2023 and 2024. Higher transaction volumes bode well for land transfer revenue expectations but uncertainty in value growth poses a risk to land valuations and land tax revenue. Industrial property value growth is expected to slow from historic highs in the near-term as supply catches up with demand. Commercial properties continue to present uncertainty to the revenue outlook as the office sector faces value bifurcation of prime and subprime assets and Melbourne CBD retail faces high vacancy headwinds</w:t>
      </w:r>
      <w:r w:rsidRPr="001D55A6">
        <w:t>.</w:t>
      </w:r>
    </w:p>
    <w:p w14:paraId="1BB8A9DE" w14:textId="77777777" w:rsidR="009256ED" w:rsidRPr="001D55A6" w:rsidRDefault="009256ED" w:rsidP="009256ED">
      <w:pPr>
        <w:pStyle w:val="Heading30"/>
      </w:pPr>
      <w:r w:rsidRPr="001D55A6">
        <w:t>Interest expenses</w:t>
      </w:r>
    </w:p>
    <w:p w14:paraId="16596F2F" w14:textId="77777777" w:rsidR="009256ED" w:rsidRPr="001D55A6" w:rsidRDefault="009256ED" w:rsidP="00761A6B">
      <w:pPr>
        <w:keepNext/>
      </w:pPr>
      <w:r w:rsidRPr="00356ECC">
        <w:t xml:space="preserve">The State’s debt portfolio is made up predominantly of fixed-interest debt, which means that most of the interest expense on existing debt is not exposed to movements in interest rates. </w:t>
      </w:r>
      <w:r w:rsidRPr="00C07306">
        <w:t>However, approximately 7 to 10 per cent of this debt</w:t>
      </w:r>
      <w:r w:rsidRPr="00356ECC">
        <w:t xml:space="preserve"> matures each year and must be refinanced at the current market interest rate. The interest expense on the refinancing of maturing debt, along with new borrowings and a small proportion of floating-rate notes in the portfolio, are subject to changes in interest rates</w:t>
      </w:r>
      <w:r w:rsidRPr="001D55A6">
        <w:t>.</w:t>
      </w:r>
      <w:r>
        <w:t xml:space="preserve"> </w:t>
      </w:r>
    </w:p>
    <w:p w14:paraId="000B2722" w14:textId="77777777" w:rsidR="009256ED" w:rsidRDefault="009256ED" w:rsidP="009256ED">
      <w:r w:rsidRPr="0075587A">
        <w:t xml:space="preserve">The interest rate forecasts used in the estimates for interest expenses are based on the forward interest rates that are derived from the yield curve for the Treasury Corporation of Victoria bonds that are traded in financial markets. Currently, the Treasury Corporation of Victoria yield curve is upward sloping, implying that future interest rates will be higher than current interest rates. </w:t>
      </w:r>
      <w:r w:rsidRPr="001D55A6">
        <w:t>Consequently, the interest expense estimates assume that the average interest rate on new and refinanced borrowings will increase over time.</w:t>
      </w:r>
    </w:p>
    <w:p w14:paraId="46E8FAA6" w14:textId="77777777" w:rsidR="009256ED" w:rsidRPr="001D55A6" w:rsidRDefault="009256ED" w:rsidP="009256ED">
      <w:r w:rsidRPr="00791104">
        <w:t>The government debt management strategy seeks to smooth the impact of interest rate movements by borrowing in largely fixed rate loans and spreading the maturity dates on the majority of these loans evenly over a period of approximately twelve years.</w:t>
      </w:r>
      <w:r>
        <w:t xml:space="preserve"> </w:t>
      </w:r>
      <w:r w:rsidRPr="00223011">
        <w:t>This overall strategy provides greater certainty to the Government when budgeting for interest expense and reduces the risk of large annual fluctuations in budget interest costs due to movements in interest rates. This also helps stabilise interest expense over the medium term by managing the amount of debt that is either maturing or subject to resetting of interest rates, in any one period.</w:t>
      </w:r>
    </w:p>
    <w:p w14:paraId="72E48E17" w14:textId="77777777" w:rsidR="009256ED" w:rsidRPr="001D55A6" w:rsidRDefault="009256ED" w:rsidP="009256ED">
      <w:pPr>
        <w:pStyle w:val="Heading30"/>
      </w:pPr>
      <w:r w:rsidRPr="001D55A6">
        <w:t>Employee expenses</w:t>
      </w:r>
    </w:p>
    <w:p w14:paraId="452C0363" w14:textId="77777777" w:rsidR="009256ED" w:rsidRPr="001D55A6" w:rsidRDefault="009256ED" w:rsidP="008458EB">
      <w:pPr>
        <w:ind w:right="-254"/>
      </w:pPr>
      <w:r w:rsidRPr="001D55A6">
        <w:t xml:space="preserve">Employee expenses are the </w:t>
      </w:r>
      <w:r w:rsidRPr="00AA178A">
        <w:t>State’s largest expense. Two important determinants of employee expenses are wages growth and the number of employees. Wages growth is primarily driven by enterprise bargaining agreements, which are subject to the Government’s Wages Policy. Other factors contributing to projected employee expenses include the anticipated composition and profile of the workforce</w:t>
      </w:r>
      <w:r w:rsidRPr="001D55A6">
        <w:t xml:space="preserve">. </w:t>
      </w:r>
    </w:p>
    <w:p w14:paraId="448AD0B2" w14:textId="77777777" w:rsidR="009256ED" w:rsidRPr="001D55A6" w:rsidRDefault="009256ED" w:rsidP="009256ED">
      <w:pPr>
        <w:pStyle w:val="Heading30"/>
      </w:pPr>
      <w:r w:rsidRPr="001D55A6">
        <w:t>Demand for government services</w:t>
      </w:r>
    </w:p>
    <w:p w14:paraId="1C750D70" w14:textId="12562A44" w:rsidR="009256ED" w:rsidRPr="001D55A6" w:rsidRDefault="009256ED" w:rsidP="009256ED">
      <w:r w:rsidRPr="001D55A6">
        <w:t>Another key uncertainty is whether growth in demand for government services will exceed or be lower than current projections. This can occur, for example, as a result of higher</w:t>
      </w:r>
      <w:r w:rsidR="009503FC">
        <w:t xml:space="preserve"> </w:t>
      </w:r>
      <w:r w:rsidRPr="001D55A6">
        <w:t>than</w:t>
      </w:r>
      <w:r w:rsidR="009503FC">
        <w:t xml:space="preserve"> </w:t>
      </w:r>
      <w:r w:rsidRPr="001D55A6">
        <w:t>forecast population growth or expenditure in response to unforeseen events such as natural disasters, including bushfires and floods.</w:t>
      </w:r>
    </w:p>
    <w:p w14:paraId="5191542F" w14:textId="77777777" w:rsidR="009256ED" w:rsidRPr="001D55A6" w:rsidRDefault="009256ED" w:rsidP="009256ED">
      <w:r w:rsidRPr="001D55A6">
        <w:t xml:space="preserve">The estimates incorporate contingency provisions to mitigate the impact of expenditure risks that may be realised during the next four years. The contingency provisions are sized to allow for the likely growth in Victoria’s population and the derived increased demand for </w:t>
      </w:r>
      <w:r>
        <w:t xml:space="preserve">core </w:t>
      </w:r>
      <w:r w:rsidRPr="001D55A6">
        <w:t>government services.</w:t>
      </w:r>
    </w:p>
    <w:p w14:paraId="4F576863" w14:textId="77777777" w:rsidR="009256ED" w:rsidRPr="001D55A6" w:rsidRDefault="009256ED" w:rsidP="009256ED">
      <w:r w:rsidRPr="001D55A6">
        <w:t xml:space="preserve">Note </w:t>
      </w:r>
      <w:r>
        <w:t>4</w:t>
      </w:r>
      <w:r w:rsidRPr="001D55A6">
        <w:t>.3.</w:t>
      </w:r>
      <w:r>
        <w:t>7</w:t>
      </w:r>
      <w:r w:rsidRPr="001D55A6">
        <w:t xml:space="preserve"> and Note </w:t>
      </w:r>
      <w:r>
        <w:t>4</w:t>
      </w:r>
      <w:r w:rsidRPr="001D55A6">
        <w:t>.3.</w:t>
      </w:r>
      <w:r>
        <w:t>8</w:t>
      </w:r>
      <w:r w:rsidRPr="001D55A6">
        <w:t xml:space="preserve"> of Chapter </w:t>
      </w:r>
      <w:r>
        <w:t>4</w:t>
      </w:r>
      <w:r w:rsidRPr="001D55A6">
        <w:t xml:space="preserve"> </w:t>
      </w:r>
      <w:r w:rsidRPr="00DF3308">
        <w:rPr>
          <w:i/>
          <w:iCs/>
        </w:rPr>
        <w:t>Estimated financial statements and notes</w:t>
      </w:r>
      <w:r w:rsidRPr="001D55A6">
        <w:t xml:space="preserve"> discloses general government output and asset contingencies not allocated to departments.</w:t>
      </w:r>
    </w:p>
    <w:p w14:paraId="674C8B95" w14:textId="77777777" w:rsidR="009256ED" w:rsidRPr="001D55A6" w:rsidRDefault="009256ED" w:rsidP="009256ED">
      <w:pPr>
        <w:pStyle w:val="Heading30"/>
      </w:pPr>
      <w:r w:rsidRPr="001D55A6">
        <w:t>Capital program risks</w:t>
      </w:r>
    </w:p>
    <w:p w14:paraId="7E93C95D" w14:textId="77777777" w:rsidR="009256ED" w:rsidRDefault="009256ED" w:rsidP="00157D02">
      <w:pPr>
        <w:spacing w:before="100"/>
      </w:pPr>
      <w:r>
        <w:t>Additional</w:t>
      </w:r>
      <w:r w:rsidRPr="00ED0B0F">
        <w:t xml:space="preserve"> Commonwealth </w:t>
      </w:r>
      <w:r>
        <w:t>investment</w:t>
      </w:r>
      <w:r w:rsidRPr="00ED0B0F">
        <w:t xml:space="preserve"> in the joint infrastructure program </w:t>
      </w:r>
      <w:r>
        <w:t xml:space="preserve">included in the </w:t>
      </w:r>
      <w:r w:rsidRPr="00EF7FDF">
        <w:rPr>
          <w:i/>
        </w:rPr>
        <w:t>2024</w:t>
      </w:r>
      <w:r w:rsidRPr="00EF7FDF">
        <w:rPr>
          <w:i/>
        </w:rPr>
        <w:noBreakHyphen/>
        <w:t>25</w:t>
      </w:r>
      <w:r>
        <w:rPr>
          <w:i/>
          <w:iCs/>
        </w:rPr>
        <w:t> </w:t>
      </w:r>
      <w:r w:rsidRPr="00EF7FDF">
        <w:rPr>
          <w:i/>
        </w:rPr>
        <w:t>Commonwealth Budget</w:t>
      </w:r>
      <w:r w:rsidRPr="00ED0B0F">
        <w:t xml:space="preserve"> was a step forward in strengthening the </w:t>
      </w:r>
      <w:r w:rsidRPr="006306ED">
        <w:t>partnership</w:t>
      </w:r>
      <w:r w:rsidRPr="00ED0B0F">
        <w:t xml:space="preserve"> </w:t>
      </w:r>
      <w:r w:rsidRPr="006306ED">
        <w:t>to fund</w:t>
      </w:r>
      <w:r w:rsidRPr="00ED0B0F">
        <w:t xml:space="preserve"> nationally significant projects. However, Victoria still does not receive its fair share of Commonwealth infrastructure funding, falling far short of its population share for the last 10</w:t>
      </w:r>
      <w:r>
        <w:t> </w:t>
      </w:r>
      <w:r w:rsidRPr="00ED0B0F">
        <w:t>years. If this pattern of inequitable distribution of federal funding persists, it will endanger Victorians</w:t>
      </w:r>
      <w:r>
        <w:t>’</w:t>
      </w:r>
      <w:r w:rsidRPr="00ED0B0F">
        <w:t xml:space="preserve"> access </w:t>
      </w:r>
      <w:r>
        <w:t xml:space="preserve">to </w:t>
      </w:r>
      <w:r w:rsidRPr="00ED0B0F">
        <w:t>affordable housing, secure jobs and high-quality services</w:t>
      </w:r>
      <w:r w:rsidRPr="001D55A6">
        <w:t xml:space="preserve">. </w:t>
      </w:r>
    </w:p>
    <w:p w14:paraId="06A0E6C1" w14:textId="77777777" w:rsidR="009256ED" w:rsidRPr="001D55A6" w:rsidRDefault="009256ED" w:rsidP="00157D02">
      <w:pPr>
        <w:spacing w:before="100"/>
      </w:pPr>
      <w:r>
        <w:t>Strong employment outcomes mean Victoria is continuing to experience skills shortages in the construction sector</w:t>
      </w:r>
      <w:r w:rsidRPr="001D55A6">
        <w:t>.</w:t>
      </w:r>
    </w:p>
    <w:p w14:paraId="65C1383A" w14:textId="77777777" w:rsidR="009256ED" w:rsidRPr="001D55A6" w:rsidRDefault="009256ED" w:rsidP="00157D02">
      <w:pPr>
        <w:spacing w:before="100"/>
      </w:pPr>
      <w:r w:rsidRPr="00EE6D67">
        <w:t>The Victorian Government is making major investments in growing workforce capacity to meet current and future needs, and equip Victorians for the jobs of today and tomorrow. Initiatives such as Free TAFE, the Priority Apprenticeship Pathway</w:t>
      </w:r>
      <w:r>
        <w:t>s</w:t>
      </w:r>
      <w:r w:rsidRPr="00EE6D67">
        <w:t xml:space="preserve"> </w:t>
      </w:r>
      <w:r w:rsidRPr="002813F5">
        <w:t>program to encourage apprenticeship opportunities across the state</w:t>
      </w:r>
      <w:r w:rsidRPr="00EE6D67">
        <w:t xml:space="preserve">, and the wider use of modern construction methods, such as offsite and modular construction, seek to improve productivity and address skills </w:t>
      </w:r>
      <w:r w:rsidRPr="001D55A6">
        <w:t>shortages.</w:t>
      </w:r>
    </w:p>
    <w:p w14:paraId="7AE18FE7" w14:textId="77777777" w:rsidR="009256ED" w:rsidRPr="001D55A6" w:rsidRDefault="009256ED" w:rsidP="009256ED">
      <w:pPr>
        <w:pStyle w:val="Heading20"/>
      </w:pPr>
      <w:r w:rsidRPr="001D55A6">
        <w:t>Specific fiscal risks</w:t>
      </w:r>
    </w:p>
    <w:p w14:paraId="3A5A9458" w14:textId="77777777" w:rsidR="009256ED" w:rsidRPr="001D55A6" w:rsidRDefault="009256ED" w:rsidP="009256ED">
      <w:pPr>
        <w:pStyle w:val="Heading30"/>
      </w:pPr>
      <w:r w:rsidRPr="001D55A6">
        <w:t>Commonwealth schools funding</w:t>
      </w:r>
    </w:p>
    <w:p w14:paraId="3FF9BE86" w14:textId="77777777" w:rsidR="009256ED" w:rsidRPr="001D55A6" w:rsidRDefault="009256ED" w:rsidP="00157D02">
      <w:pPr>
        <w:spacing w:before="100"/>
        <w:ind w:right="-128"/>
      </w:pPr>
      <w:r w:rsidRPr="00283EA4">
        <w:t>In mid-2019, Victoria signed the National School Reform Agreement and an accompanying bilateral agreement that expires on 31 December 2024 (following a one</w:t>
      </w:r>
      <w:r>
        <w:noBreakHyphen/>
      </w:r>
      <w:r w:rsidRPr="00283EA4">
        <w:t>year extension)</w:t>
      </w:r>
      <w:r w:rsidRPr="001D55A6">
        <w:t>.</w:t>
      </w:r>
    </w:p>
    <w:p w14:paraId="38DD8091" w14:textId="48B5F857" w:rsidR="00AD237C" w:rsidRPr="001D55A6" w:rsidRDefault="00AD237C" w:rsidP="00AD237C">
      <w:pPr>
        <w:spacing w:before="100"/>
      </w:pPr>
      <w:r w:rsidRPr="00C52351">
        <w:t>In November 2024, Victoria signed a one-year Interim School Funding Agreement 2025 and an accompanying bilateral agreement that will commence on 1 January 2025 and expire on 31 December 2025</w:t>
      </w:r>
      <w:r w:rsidRPr="001D55A6">
        <w:t>.</w:t>
      </w:r>
    </w:p>
    <w:p w14:paraId="249A0C6D" w14:textId="77777777" w:rsidR="00AD237C" w:rsidRDefault="00AD237C" w:rsidP="00AD237C">
      <w:pPr>
        <w:spacing w:before="100"/>
        <w:ind w:right="-212"/>
      </w:pPr>
      <w:r w:rsidRPr="00157F5F">
        <w:t>Estimates of funding required to acquit the Schooling Resource Standard target each year are based on estimated student numbers and profile projections and are subject to indexation</w:t>
      </w:r>
      <w:r>
        <w:t>.</w:t>
      </w:r>
    </w:p>
    <w:p w14:paraId="44DB6B98" w14:textId="77777777" w:rsidR="00AD237C" w:rsidRDefault="00AD237C" w:rsidP="00AD237C">
      <w:pPr>
        <w:spacing w:before="100"/>
      </w:pPr>
      <w:r w:rsidRPr="008D0E4B">
        <w:t>As expenditure targets are based on actual rather than forecast student data, there is a risk that allocated funding does not meet final expenditure targets</w:t>
      </w:r>
      <w:r>
        <w:t>.</w:t>
      </w:r>
    </w:p>
    <w:p w14:paraId="393E9A9E" w14:textId="77777777" w:rsidR="009256ED" w:rsidRPr="001D55A6" w:rsidRDefault="009256ED" w:rsidP="009256ED">
      <w:pPr>
        <w:pStyle w:val="Heading30"/>
      </w:pPr>
      <w:r w:rsidRPr="001D55A6">
        <w:t xml:space="preserve">Commonwealth </w:t>
      </w:r>
      <w:r>
        <w:t>housing</w:t>
      </w:r>
      <w:r w:rsidRPr="001D55A6">
        <w:t xml:space="preserve"> funding</w:t>
      </w:r>
    </w:p>
    <w:p w14:paraId="31BE8228" w14:textId="77777777" w:rsidR="009256ED" w:rsidRPr="001D55A6" w:rsidRDefault="009256ED" w:rsidP="00157D02">
      <w:pPr>
        <w:spacing w:before="100"/>
      </w:pPr>
      <w:r w:rsidRPr="00F4364F">
        <w:t xml:space="preserve">The National Agreement on Social Housing and Homelessness (NASHH) was signed by the Commonwealth, states and territories in May 2024 for the term 1 July 2024 to </w:t>
      </w:r>
      <w:r w:rsidRPr="00F4364F" w:rsidDel="002033AD">
        <w:t>30</w:t>
      </w:r>
      <w:r>
        <w:t> </w:t>
      </w:r>
      <w:r w:rsidRPr="00F4364F">
        <w:t>June</w:t>
      </w:r>
      <w:r>
        <w:t> </w:t>
      </w:r>
      <w:r w:rsidRPr="00F4364F">
        <w:t>2029. The NASHH replaces the National Housing and Homelessness Agreement</w:t>
      </w:r>
      <w:r w:rsidRPr="001D55A6">
        <w:t>.</w:t>
      </w:r>
    </w:p>
    <w:p w14:paraId="7493FB70" w14:textId="77777777" w:rsidR="009256ED" w:rsidRPr="001D55A6" w:rsidRDefault="009256ED" w:rsidP="00157D02">
      <w:pPr>
        <w:spacing w:before="100"/>
      </w:pPr>
      <w:r w:rsidRPr="006C0EDD">
        <w:t>Commonwealth funding contributions are indexed annually by wage inflation and funding is allocated amongst the states on a population basis, therefore annual payments may vary from estimates</w:t>
      </w:r>
      <w:r w:rsidRPr="001D55A6">
        <w:t>.</w:t>
      </w:r>
    </w:p>
    <w:p w14:paraId="6C21FFC1" w14:textId="77777777" w:rsidR="009256ED" w:rsidRPr="001D55A6" w:rsidRDefault="009256ED" w:rsidP="00157D02">
      <w:pPr>
        <w:spacing w:before="100"/>
      </w:pPr>
      <w:r w:rsidRPr="00156B88">
        <w:t>Victoria is required to match the Commonwealth’s funding contribution towards the Homelessness component of funding. There is a risk the matched funding requirement could vary from estimates due to actual indexation and population share diverging from budget estimates</w:t>
      </w:r>
      <w:r w:rsidRPr="001D55A6">
        <w:t>.</w:t>
      </w:r>
    </w:p>
    <w:p w14:paraId="6F5D89EB" w14:textId="77777777" w:rsidR="009256ED" w:rsidRPr="001D55A6" w:rsidRDefault="009256ED" w:rsidP="009256ED">
      <w:pPr>
        <w:pStyle w:val="Heading30"/>
      </w:pPr>
      <w:bookmarkStart w:id="38" w:name="_Hlk151135786"/>
      <w:r>
        <w:t>Disability reform</w:t>
      </w:r>
    </w:p>
    <w:p w14:paraId="7280F17B" w14:textId="77777777" w:rsidR="009256ED" w:rsidRDefault="009256ED" w:rsidP="009256ED">
      <w:r w:rsidRPr="00451DCD">
        <w:t>The bilateral agreement outlining Victoria’s contribution to the National Disability Insurance Scheme (NDIS) was renewed in December 2023 for five years. Under the agreement, Victoria’s contributions continue to be indexed at 4 per cent annually, with a total contribution of $3.2 billion in 2024</w:t>
      </w:r>
      <w:r>
        <w:noBreakHyphen/>
      </w:r>
      <w:r w:rsidRPr="00451DCD">
        <w:t>25</w:t>
      </w:r>
      <w:r>
        <w:t xml:space="preserve">.  </w:t>
      </w:r>
    </w:p>
    <w:p w14:paraId="57BCF84A" w14:textId="7F72D27E" w:rsidR="009256ED" w:rsidRDefault="009256ED" w:rsidP="009256ED">
      <w:r w:rsidRPr="00E1466C">
        <w:t xml:space="preserve">The Commonwealth, states and territories continue to negotiate disability reforms following the release of the NDIS Review. Potential reforms that carry fiscal risk, and are subject to negotiation with the Commonwealth, include changes to the state and territory NDIS contribution rate, the transfer of disability foundational supports from the NDIS to Victoria and continuation of the National Partnership Agreement on DisabilityCare Australia Fund payments (DCAF). </w:t>
      </w:r>
      <w:r>
        <w:t xml:space="preserve">The Commonwealth has signalled its intent to cease </w:t>
      </w:r>
      <w:r w:rsidRPr="00E1466C">
        <w:t xml:space="preserve">DCAF </w:t>
      </w:r>
      <w:r>
        <w:t xml:space="preserve">payments that </w:t>
      </w:r>
      <w:r w:rsidRPr="00E1466C">
        <w:t>contribute to state and territory NDIS funding</w:t>
      </w:r>
      <w:r>
        <w:t xml:space="preserve">. </w:t>
      </w:r>
    </w:p>
    <w:bookmarkEnd w:id="38"/>
    <w:p w14:paraId="078E0B6C" w14:textId="77777777" w:rsidR="009256ED" w:rsidRDefault="009256ED" w:rsidP="009256ED">
      <w:pPr>
        <w:pStyle w:val="Heading30"/>
      </w:pPr>
      <w:r>
        <w:t>Commonwealth health funding</w:t>
      </w:r>
    </w:p>
    <w:p w14:paraId="6F58EE38" w14:textId="77777777" w:rsidR="009256ED" w:rsidRDefault="009256ED" w:rsidP="009256ED">
      <w:r w:rsidRPr="00DA3253">
        <w:t xml:space="preserve">The </w:t>
      </w:r>
      <w:r>
        <w:t xml:space="preserve">National Health Reform Agreement (NHRA) </w:t>
      </w:r>
      <w:r w:rsidRPr="00DA3253">
        <w:t xml:space="preserve">sets out joint responsibility between the </w:t>
      </w:r>
      <w:r>
        <w:t>s</w:t>
      </w:r>
      <w:r w:rsidRPr="00DA3253">
        <w:t xml:space="preserve">tates and </w:t>
      </w:r>
      <w:r>
        <w:t>t</w:t>
      </w:r>
      <w:r w:rsidRPr="00DA3253">
        <w:t xml:space="preserve">erritories and the Commonwealth for </w:t>
      </w:r>
      <w:r>
        <w:t>supporting</w:t>
      </w:r>
      <w:r w:rsidRPr="00DA3253">
        <w:t xml:space="preserve"> public hospitals.</w:t>
      </w:r>
    </w:p>
    <w:p w14:paraId="41B7DF31" w14:textId="77777777" w:rsidR="009256ED" w:rsidRDefault="009256ED" w:rsidP="009256ED">
      <w:r>
        <w:t xml:space="preserve">The </w:t>
      </w:r>
      <w:r w:rsidRPr="00B46C83">
        <w:rPr>
          <w:i/>
          <w:iCs/>
        </w:rPr>
        <w:t>2024-25 Budget</w:t>
      </w:r>
      <w:r>
        <w:t xml:space="preserve"> provided $1.2 billion in additional funding to address the reduction in Commonwealth funding for Victoria’s hospitals under the NHRA.</w:t>
      </w:r>
    </w:p>
    <w:p w14:paraId="45FA3697" w14:textId="77777777" w:rsidR="009256ED" w:rsidRDefault="009256ED" w:rsidP="009256ED">
      <w:r w:rsidRPr="00417B87">
        <w:t>Under the 2020-25 Addendum to the NHRA, the Commonwealth co-funds public hospitals by contributing 45 per cent of the annual efficient expenditure growth of eligible activity, capped at a national growth rate of 6.</w:t>
      </w:r>
      <w:r w:rsidRPr="00417B87" w:rsidDel="002A1460">
        <w:t>5</w:t>
      </w:r>
      <w:r>
        <w:t> </w:t>
      </w:r>
      <w:r w:rsidRPr="00417B87">
        <w:t>per</w:t>
      </w:r>
      <w:r>
        <w:t> </w:t>
      </w:r>
      <w:r w:rsidRPr="00417B87">
        <w:t>cent compared with the previous year’s total Commonwealth contributions</w:t>
      </w:r>
      <w:r>
        <w:t>.</w:t>
      </w:r>
    </w:p>
    <w:p w14:paraId="2B0D05E4" w14:textId="77777777" w:rsidR="009256ED" w:rsidRPr="00417B87" w:rsidRDefault="009256ED" w:rsidP="009256ED">
      <w:r w:rsidRPr="00D26BBC">
        <w:t>The Commonwealth, states and territories are negotiating an Addendum to replace the current Addendum when it expires on 30 June 2025, representing a risk to the forward estimates</w:t>
      </w:r>
      <w:r>
        <w:t>.</w:t>
      </w:r>
    </w:p>
    <w:p w14:paraId="2DA7B6CC" w14:textId="77777777" w:rsidR="009256ED" w:rsidRDefault="009256ED" w:rsidP="009256ED">
      <w:pPr>
        <w:pStyle w:val="Heading30"/>
      </w:pPr>
      <w:r>
        <w:t>National Skills Agreement</w:t>
      </w:r>
    </w:p>
    <w:p w14:paraId="161C8814" w14:textId="77777777" w:rsidR="009256ED" w:rsidRDefault="009256ED" w:rsidP="00157D02">
      <w:pPr>
        <w:ind w:right="-100"/>
      </w:pPr>
      <w:r w:rsidRPr="00FF0A15">
        <w:t>The National Skills Agreement (NSA) replaced the National Agreement for Skills and Workforce Development and commenced on 1 January 2024, expiring 31 December 2028</w:t>
      </w:r>
      <w:r>
        <w:t>.</w:t>
      </w:r>
    </w:p>
    <w:p w14:paraId="5F9D242E" w14:textId="77777777" w:rsidR="009256ED" w:rsidRPr="00E1466C" w:rsidRDefault="009256ED" w:rsidP="009256ED">
      <w:r w:rsidRPr="0055610B">
        <w:t>The NSA provides access to a total of $3.2 billion in funding to Victoria over the five</w:t>
      </w:r>
      <w:r>
        <w:noBreakHyphen/>
      </w:r>
      <w:r w:rsidRPr="0055610B">
        <w:t>year term of the agreement. This includes up to $231 million in funding to Victoria for Specific Policy Initiatives, subject to matched funding. Victoria’s Specific Policy Initiatives under the NSA will be agreed in Victoria’s bilateral Implementation Plan, to be agreed no later than 30 June 2025. Finalisation of the Implementation Plan may vary Victoria’s revenue under the agreement in the forward estimates</w:t>
      </w:r>
      <w:r>
        <w:t>.</w:t>
      </w:r>
    </w:p>
    <w:p w14:paraId="5FEA967E" w14:textId="77777777" w:rsidR="00157D02" w:rsidRDefault="00157D02">
      <w:pPr>
        <w:keepLines w:val="0"/>
        <w:rPr>
          <w:rFonts w:asciiTheme="majorHAnsi" w:eastAsiaTheme="majorEastAsia" w:hAnsiTheme="majorHAnsi" w:cstheme="majorBidi"/>
          <w:b/>
          <w:sz w:val="23"/>
          <w:szCs w:val="24"/>
        </w:rPr>
      </w:pPr>
      <w:r>
        <w:br w:type="page"/>
      </w:r>
    </w:p>
    <w:p w14:paraId="5556F047" w14:textId="03F4C307" w:rsidR="009256ED" w:rsidRPr="001D55A6" w:rsidRDefault="009256ED" w:rsidP="009256ED">
      <w:pPr>
        <w:pStyle w:val="Heading30"/>
      </w:pPr>
      <w:r w:rsidRPr="001D55A6">
        <w:t>Victoria’s GST revenue</w:t>
      </w:r>
    </w:p>
    <w:p w14:paraId="034CAADD" w14:textId="77777777" w:rsidR="009256ED" w:rsidRPr="001D55A6" w:rsidRDefault="009256ED" w:rsidP="009256ED">
      <w:r w:rsidRPr="001D55A6">
        <w:t>Victoria’s GST revenue is broadly determined by three key factors:</w:t>
      </w:r>
    </w:p>
    <w:p w14:paraId="2F43964F" w14:textId="77777777" w:rsidR="009256ED" w:rsidRPr="00AC0EFF" w:rsidRDefault="009256ED" w:rsidP="00157D02">
      <w:pPr>
        <w:pStyle w:val="ListBullet"/>
      </w:pPr>
      <w:r w:rsidRPr="00AC0EFF">
        <w:t>the amount of GST collected by the Commonwealth (the national GST pool)</w:t>
      </w:r>
    </w:p>
    <w:p w14:paraId="4EEA2D1E" w14:textId="77777777" w:rsidR="009256ED" w:rsidRPr="00AC0EFF" w:rsidRDefault="009256ED" w:rsidP="00157D02">
      <w:pPr>
        <w:pStyle w:val="ListBullet"/>
      </w:pPr>
      <w:r w:rsidRPr="00AC0EFF">
        <w:t>Victoria’s GST relativity</w:t>
      </w:r>
    </w:p>
    <w:p w14:paraId="08D1AF45" w14:textId="77777777" w:rsidR="009256ED" w:rsidRPr="00AC0EFF" w:rsidRDefault="009256ED" w:rsidP="00157D02">
      <w:pPr>
        <w:pStyle w:val="ListBullet"/>
      </w:pPr>
      <w:r w:rsidRPr="00AC0EFF">
        <w:t>Victoria’s share of the national population.</w:t>
      </w:r>
    </w:p>
    <w:p w14:paraId="6F3D9599" w14:textId="0D60F566" w:rsidR="009256ED" w:rsidRPr="001D55A6" w:rsidRDefault="009256ED" w:rsidP="009256ED">
      <w:r w:rsidRPr="00EE2477">
        <w:t xml:space="preserve">GST is dependent on nominal consumption in Australia and the outlook for nominal consumption is dependent on the path of inflation and interest rates. If inflation declines faster than expected, real income growth could increase more than anticipated, which may lead households to feel more confident about their financial situation, supporting nominal consumption. Alternatively, </w:t>
      </w:r>
      <w:r>
        <w:t>while increases in the price level tend to support nominal consumption</w:t>
      </w:r>
      <w:r w:rsidRPr="00EE2477">
        <w:t>, if inflation remains elevated for an extended period, households may respond by reducing spending and increasing savings</w:t>
      </w:r>
      <w:r w:rsidRPr="001D55A6">
        <w:t>.</w:t>
      </w:r>
    </w:p>
    <w:p w14:paraId="28A0FCE1" w14:textId="77777777" w:rsidR="009256ED" w:rsidRPr="001D55A6" w:rsidRDefault="009256ED" w:rsidP="009256ED">
      <w:r w:rsidRPr="003556C4">
        <w:t>Further uncertainty in the national GST pool forecast arises from the outcomes of GST compliance activity undertaken by the Australian Taxation Office</w:t>
      </w:r>
      <w:r w:rsidRPr="001D55A6">
        <w:t>.</w:t>
      </w:r>
    </w:p>
    <w:p w14:paraId="4312059A" w14:textId="77777777" w:rsidR="009256ED" w:rsidRDefault="009256ED" w:rsidP="00157D02">
      <w:pPr>
        <w:ind w:right="-128"/>
      </w:pPr>
      <w:r w:rsidRPr="00FA3B54">
        <w:t>Victoria’s share of the GST pool is determined by the Commonwealth Grants Commission (CGC), and is sensitive to a broad range of factors, including demographics, infrastructure needs, developments in property markets and global commodity prices (particularly for iron ore, thermal coal and coking coal)</w:t>
      </w:r>
      <w:r w:rsidRPr="001D55A6">
        <w:t>.</w:t>
      </w:r>
    </w:p>
    <w:p w14:paraId="256DB1D3" w14:textId="77777777" w:rsidR="009256ED" w:rsidRDefault="009256ED" w:rsidP="009256ED">
      <w:r w:rsidRPr="00F24380">
        <w:t>The methodology for determining each state’s share of GST revenue is currently under review by the CGC. Changes to the methodology and updates to data used by the CGC could have a material impact on Victoria’s future GST revenue when the outcomes of the review are released in March 2025</w:t>
      </w:r>
      <w:r>
        <w:t>.</w:t>
      </w:r>
    </w:p>
    <w:p w14:paraId="7C4BAD10" w14:textId="77777777" w:rsidR="009256ED" w:rsidRPr="00E7194F" w:rsidRDefault="009256ED" w:rsidP="00157D02">
      <w:pPr>
        <w:ind w:right="-86"/>
      </w:pPr>
      <w:r w:rsidRPr="00525349">
        <w:t xml:space="preserve">There is uncertainty in population share as net international migration has reduced from its elevated levels </w:t>
      </w:r>
      <w:r>
        <w:t xml:space="preserve">after </w:t>
      </w:r>
      <w:r w:rsidRPr="00525349">
        <w:t xml:space="preserve">the pandemic. Commonwealth migration policy changes could </w:t>
      </w:r>
      <w:r>
        <w:t>impact</w:t>
      </w:r>
      <w:r w:rsidRPr="00525349">
        <w:t xml:space="preserve"> Victoria’s population growth compared with other states, </w:t>
      </w:r>
      <w:r>
        <w:t>affecting</w:t>
      </w:r>
      <w:r w:rsidRPr="00525349">
        <w:t xml:space="preserve"> Victoria’s share of GST</w:t>
      </w:r>
      <w:r>
        <w:t>.</w:t>
      </w:r>
    </w:p>
    <w:p w14:paraId="7E3B2E9A" w14:textId="77777777" w:rsidR="009256ED" w:rsidRPr="001D55A6" w:rsidRDefault="009256ED" w:rsidP="009256ED">
      <w:pPr>
        <w:pStyle w:val="Heading4"/>
      </w:pPr>
      <w:r w:rsidRPr="001D55A6">
        <w:t>Commonwealth no-worse-off guarantee for GST entitlement</w:t>
      </w:r>
    </w:p>
    <w:p w14:paraId="3F77CA73" w14:textId="77777777" w:rsidR="009256ED" w:rsidRDefault="009256ED" w:rsidP="00157D02">
      <w:r w:rsidRPr="0039564F">
        <w:t>In 2018, the Commonwealth changed the GST distribution system. During a six-year transition period commencing in 2021-22, each state or territory is entitled to receive additional Commonwealth financial assistance to ensure it is no-worse-off compared to its GST entitlement had the Commonwealth not changed the system. The</w:t>
      </w:r>
      <w:r w:rsidRPr="0039564F">
        <w:rPr>
          <w:rFonts w:ascii="Times New Roman" w:hAnsi="Times New Roman"/>
        </w:rPr>
        <w:t> </w:t>
      </w:r>
      <w:r w:rsidRPr="0039564F">
        <w:t>no-worse-off guarantee was legislated until the end of the transition period in</w:t>
      </w:r>
      <w:r w:rsidRPr="0039564F">
        <w:rPr>
          <w:rFonts w:ascii="Times New Roman" w:hAnsi="Times New Roman"/>
        </w:rPr>
        <w:t> </w:t>
      </w:r>
      <w:r w:rsidRPr="0039564F">
        <w:t>2026-27. On 6 December 2023 National Cabinet agreed to extend the guarantee for three years to 2029-30, to provide funding certainty for states and territories for that period</w:t>
      </w:r>
      <w:r>
        <w:t>.</w:t>
      </w:r>
    </w:p>
    <w:p w14:paraId="719E6508" w14:textId="77777777" w:rsidR="009256ED" w:rsidRDefault="009256ED" w:rsidP="00157D02">
      <w:pPr>
        <w:ind w:right="-254"/>
      </w:pPr>
      <w:r w:rsidRPr="005740A9">
        <w:t>Victoria is, like most states, likely to be worse off in the long term unless the Commonwealth Government makes the no-worse-off guarantee permanent. Victoria continues to work with other state</w:t>
      </w:r>
      <w:r>
        <w:t>s</w:t>
      </w:r>
      <w:r w:rsidRPr="005740A9">
        <w:t xml:space="preserve"> and the Commonwealth to ensure Victoria receives its fair share of GST</w:t>
      </w:r>
      <w:r>
        <w:t>.</w:t>
      </w:r>
    </w:p>
    <w:p w14:paraId="6496DA24" w14:textId="0A104C26" w:rsidR="009256ED" w:rsidRPr="00540822" w:rsidRDefault="009256ED" w:rsidP="009256ED">
      <w:pPr>
        <w:pStyle w:val="Heading10"/>
        <w:rPr>
          <w:b w:val="0"/>
        </w:rPr>
      </w:pPr>
      <w:bookmarkStart w:id="39" w:name="_Toc179455713"/>
      <w:bookmarkStart w:id="40" w:name="_Toc184198770"/>
      <w:bookmarkStart w:id="41" w:name="_Toc184299443"/>
      <w:r>
        <w:t>Non</w:t>
      </w:r>
      <w:r w:rsidR="00157D02">
        <w:t>-</w:t>
      </w:r>
      <w:r>
        <w:t>financial public sector</w:t>
      </w:r>
      <w:bookmarkEnd w:id="39"/>
      <w:bookmarkEnd w:id="40"/>
      <w:bookmarkEnd w:id="41"/>
    </w:p>
    <w:p w14:paraId="0A3B8933" w14:textId="77777777" w:rsidR="009256ED" w:rsidRDefault="009256ED" w:rsidP="00157D02">
      <w:pPr>
        <w:ind w:right="-100"/>
      </w:pPr>
      <w:r>
        <w:t xml:space="preserve">The non-financial public sector (NFPS) consolidates the public non-financial corporation (PNFC) and general government sectors. The PNFC sector is comprised of entities providing services that are primarily funded from user charges and fees. The largest PNFCs provide water, housing, and transport services. </w:t>
      </w:r>
    </w:p>
    <w:p w14:paraId="290B0F25" w14:textId="77777777" w:rsidR="009256ED" w:rsidRDefault="009256ED" w:rsidP="009256ED">
      <w:r>
        <w:t>Please note that the sum of the general government sector and PNFC sector results does not equal the results shown for the NFPS due to inter-sector transfers.</w:t>
      </w:r>
    </w:p>
    <w:p w14:paraId="2850B8F6" w14:textId="77777777" w:rsidR="009256ED" w:rsidRDefault="009256ED" w:rsidP="009256ED">
      <w:pPr>
        <w:pStyle w:val="Heading20"/>
      </w:pPr>
      <w:r>
        <w:t>Summary operating statement</w:t>
      </w:r>
    </w:p>
    <w:p w14:paraId="3BD489E3" w14:textId="77777777" w:rsidR="009256ED" w:rsidRPr="00C25F03" w:rsidRDefault="009256ED" w:rsidP="00157D02">
      <w:pPr>
        <w:pStyle w:val="TableHeading"/>
        <w:rPr>
          <w:highlight w:val="darkCyan"/>
        </w:rPr>
      </w:pPr>
      <w:r w:rsidRPr="00540822">
        <w:t>Table 3.6:</w:t>
      </w:r>
      <w:r w:rsidRPr="00540822">
        <w:tab/>
        <w:t>Summary operating statement for the non</w:t>
      </w:r>
      <w:r>
        <w:t>-</w:t>
      </w:r>
      <w:r w:rsidRPr="00540822">
        <w:t xml:space="preserve">financial public sector </w:t>
      </w:r>
      <w:r w:rsidRPr="00540822">
        <w:rPr>
          <w:vertAlign w:val="superscript"/>
        </w:rPr>
        <w:t>(a)</w:t>
      </w:r>
      <w:r w:rsidRPr="00540822">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3_NFPS_WoG.xlsx|Table:NFPS_Op_St|MergedHeadingRow:1|TableGroup:Chapter 3 - WoG"/>
      </w:tblPr>
      <w:tblGrid>
        <w:gridCol w:w="4111"/>
        <w:gridCol w:w="899"/>
        <w:gridCol w:w="900"/>
        <w:gridCol w:w="900"/>
        <w:gridCol w:w="900"/>
      </w:tblGrid>
      <w:tr w:rsidR="009256ED" w14:paraId="37B7C975" w14:textId="77777777" w:rsidTr="00157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63BA9F1B" w14:textId="77777777" w:rsidR="009256ED" w:rsidRDefault="009256ED" w:rsidP="008670FF">
            <w:pPr>
              <w:keepNext/>
            </w:pPr>
          </w:p>
        </w:tc>
        <w:tc>
          <w:tcPr>
            <w:tcW w:w="899" w:type="dxa"/>
          </w:tcPr>
          <w:p w14:paraId="0976C041"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900" w:type="dxa"/>
          </w:tcPr>
          <w:p w14:paraId="2BBA313E"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900" w:type="dxa"/>
          </w:tcPr>
          <w:p w14:paraId="20FFD0C5"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900" w:type="dxa"/>
          </w:tcPr>
          <w:p w14:paraId="10F8E6B8"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69228DDB"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20B85237" w14:textId="77777777" w:rsidR="009256ED" w:rsidRDefault="009256ED" w:rsidP="008670FF">
            <w:r>
              <w:rPr>
                <w:b/>
              </w:rPr>
              <w:t>Revenue and income from transactions</w:t>
            </w:r>
          </w:p>
        </w:tc>
        <w:tc>
          <w:tcPr>
            <w:tcW w:w="899" w:type="dxa"/>
          </w:tcPr>
          <w:p w14:paraId="5A36D11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00" w:type="dxa"/>
          </w:tcPr>
          <w:p w14:paraId="040103C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00" w:type="dxa"/>
          </w:tcPr>
          <w:p w14:paraId="35FBA72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900" w:type="dxa"/>
          </w:tcPr>
          <w:p w14:paraId="1247D77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090E5802"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6DA8F448" w14:textId="77777777" w:rsidR="009256ED" w:rsidRDefault="009256ED" w:rsidP="008670FF">
            <w:r>
              <w:t>Taxation</w:t>
            </w:r>
          </w:p>
        </w:tc>
        <w:tc>
          <w:tcPr>
            <w:tcW w:w="899" w:type="dxa"/>
          </w:tcPr>
          <w:p w14:paraId="05B0535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38 605</w:t>
            </w:r>
          </w:p>
        </w:tc>
        <w:tc>
          <w:tcPr>
            <w:tcW w:w="900" w:type="dxa"/>
          </w:tcPr>
          <w:p w14:paraId="5878DFE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40 984</w:t>
            </w:r>
          </w:p>
        </w:tc>
        <w:tc>
          <w:tcPr>
            <w:tcW w:w="900" w:type="dxa"/>
          </w:tcPr>
          <w:p w14:paraId="30338C5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43 173</w:t>
            </w:r>
          </w:p>
        </w:tc>
        <w:tc>
          <w:tcPr>
            <w:tcW w:w="900" w:type="dxa"/>
          </w:tcPr>
          <w:p w14:paraId="449AFDF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45 156</w:t>
            </w:r>
          </w:p>
        </w:tc>
      </w:tr>
      <w:tr w:rsidR="009256ED" w14:paraId="75B0F84D"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065305B1" w14:textId="77777777" w:rsidR="009256ED" w:rsidRDefault="009256ED" w:rsidP="008670FF">
            <w:r>
              <w:t xml:space="preserve">Dividends, income tax equivalent and interest </w:t>
            </w:r>
            <w:r>
              <w:rPr>
                <w:vertAlign w:val="superscript"/>
              </w:rPr>
              <w:t>(b)</w:t>
            </w:r>
          </w:p>
        </w:tc>
        <w:tc>
          <w:tcPr>
            <w:tcW w:w="899" w:type="dxa"/>
          </w:tcPr>
          <w:p w14:paraId="3A0E1D4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1 692</w:t>
            </w:r>
          </w:p>
        </w:tc>
        <w:tc>
          <w:tcPr>
            <w:tcW w:w="900" w:type="dxa"/>
          </w:tcPr>
          <w:p w14:paraId="4A86460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1 358</w:t>
            </w:r>
          </w:p>
        </w:tc>
        <w:tc>
          <w:tcPr>
            <w:tcW w:w="900" w:type="dxa"/>
          </w:tcPr>
          <w:p w14:paraId="1C39191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1 441</w:t>
            </w:r>
          </w:p>
        </w:tc>
        <w:tc>
          <w:tcPr>
            <w:tcW w:w="900" w:type="dxa"/>
          </w:tcPr>
          <w:p w14:paraId="55854B9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1 529</w:t>
            </w:r>
          </w:p>
        </w:tc>
      </w:tr>
      <w:tr w:rsidR="009256ED" w14:paraId="00F45359"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2132A121" w14:textId="77777777" w:rsidR="009256ED" w:rsidRDefault="009256ED" w:rsidP="008670FF">
            <w:r>
              <w:t>Sales of goods and services</w:t>
            </w:r>
          </w:p>
        </w:tc>
        <w:tc>
          <w:tcPr>
            <w:tcW w:w="899" w:type="dxa"/>
          </w:tcPr>
          <w:p w14:paraId="2E5C2BE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14 772</w:t>
            </w:r>
          </w:p>
        </w:tc>
        <w:tc>
          <w:tcPr>
            <w:tcW w:w="900" w:type="dxa"/>
          </w:tcPr>
          <w:p w14:paraId="210D309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15 321</w:t>
            </w:r>
          </w:p>
        </w:tc>
        <w:tc>
          <w:tcPr>
            <w:tcW w:w="900" w:type="dxa"/>
          </w:tcPr>
          <w:p w14:paraId="120E958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15 724</w:t>
            </w:r>
          </w:p>
        </w:tc>
        <w:tc>
          <w:tcPr>
            <w:tcW w:w="900" w:type="dxa"/>
          </w:tcPr>
          <w:p w14:paraId="548B597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16 038</w:t>
            </w:r>
          </w:p>
        </w:tc>
      </w:tr>
      <w:tr w:rsidR="009256ED" w14:paraId="20AE2072"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382E2F63" w14:textId="77777777" w:rsidR="009256ED" w:rsidRDefault="009256ED" w:rsidP="008670FF">
            <w:r>
              <w:t>Grants</w:t>
            </w:r>
          </w:p>
        </w:tc>
        <w:tc>
          <w:tcPr>
            <w:tcW w:w="899" w:type="dxa"/>
          </w:tcPr>
          <w:p w14:paraId="5EDCA95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45 620</w:t>
            </w:r>
          </w:p>
        </w:tc>
        <w:tc>
          <w:tcPr>
            <w:tcW w:w="900" w:type="dxa"/>
          </w:tcPr>
          <w:p w14:paraId="5258E1F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49 181</w:t>
            </w:r>
          </w:p>
        </w:tc>
        <w:tc>
          <w:tcPr>
            <w:tcW w:w="900" w:type="dxa"/>
          </w:tcPr>
          <w:p w14:paraId="36E0C00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49 876</w:t>
            </w:r>
          </w:p>
        </w:tc>
        <w:tc>
          <w:tcPr>
            <w:tcW w:w="900" w:type="dxa"/>
          </w:tcPr>
          <w:p w14:paraId="6732BDF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51 339</w:t>
            </w:r>
          </w:p>
        </w:tc>
      </w:tr>
      <w:tr w:rsidR="009256ED" w14:paraId="0ADA23DF" w14:textId="77777777" w:rsidTr="00157D02">
        <w:tc>
          <w:tcPr>
            <w:cnfStyle w:val="001000000000" w:firstRow="0" w:lastRow="0" w:firstColumn="1" w:lastColumn="0" w:oddVBand="0" w:evenVBand="0" w:oddHBand="0" w:evenHBand="0" w:firstRowFirstColumn="0" w:firstRowLastColumn="0" w:lastRowFirstColumn="0" w:lastRowLastColumn="0"/>
            <w:tcW w:w="4111" w:type="dxa"/>
            <w:tcBorders>
              <w:bottom w:val="single" w:sz="6" w:space="0" w:color="auto"/>
            </w:tcBorders>
          </w:tcPr>
          <w:p w14:paraId="531F70FB" w14:textId="77777777" w:rsidR="009256ED" w:rsidRDefault="009256ED" w:rsidP="008670FF">
            <w:r>
              <w:t>Other revenue and income</w:t>
            </w:r>
          </w:p>
        </w:tc>
        <w:tc>
          <w:tcPr>
            <w:tcW w:w="899" w:type="dxa"/>
            <w:tcBorders>
              <w:bottom w:val="single" w:sz="6" w:space="0" w:color="auto"/>
            </w:tcBorders>
          </w:tcPr>
          <w:p w14:paraId="783E368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4 430</w:t>
            </w:r>
          </w:p>
        </w:tc>
        <w:tc>
          <w:tcPr>
            <w:tcW w:w="900" w:type="dxa"/>
            <w:tcBorders>
              <w:bottom w:val="single" w:sz="6" w:space="0" w:color="auto"/>
            </w:tcBorders>
          </w:tcPr>
          <w:p w14:paraId="05BEE81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4 045</w:t>
            </w:r>
          </w:p>
        </w:tc>
        <w:tc>
          <w:tcPr>
            <w:tcW w:w="900" w:type="dxa"/>
            <w:tcBorders>
              <w:bottom w:val="single" w:sz="6" w:space="0" w:color="auto"/>
            </w:tcBorders>
          </w:tcPr>
          <w:p w14:paraId="07DA3E0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4 610</w:t>
            </w:r>
          </w:p>
        </w:tc>
        <w:tc>
          <w:tcPr>
            <w:tcW w:w="900" w:type="dxa"/>
            <w:tcBorders>
              <w:bottom w:val="single" w:sz="6" w:space="0" w:color="auto"/>
            </w:tcBorders>
          </w:tcPr>
          <w:p w14:paraId="5A8A688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4 384</w:t>
            </w:r>
          </w:p>
        </w:tc>
      </w:tr>
      <w:tr w:rsidR="009256ED" w14:paraId="70EA2CA4" w14:textId="77777777" w:rsidTr="00157D02">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tcBorders>
          </w:tcPr>
          <w:p w14:paraId="6D9EE765" w14:textId="77777777" w:rsidR="009256ED" w:rsidRDefault="009256ED" w:rsidP="008670FF">
            <w:r>
              <w:rPr>
                <w:b/>
              </w:rPr>
              <w:t>Total revenue and income from transactions</w:t>
            </w:r>
          </w:p>
        </w:tc>
        <w:tc>
          <w:tcPr>
            <w:tcW w:w="899" w:type="dxa"/>
            <w:tcBorders>
              <w:top w:val="single" w:sz="6" w:space="0" w:color="auto"/>
            </w:tcBorders>
          </w:tcPr>
          <w:p w14:paraId="041FEF2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105 119</w:t>
            </w:r>
          </w:p>
        </w:tc>
        <w:tc>
          <w:tcPr>
            <w:tcW w:w="900" w:type="dxa"/>
            <w:tcBorders>
              <w:top w:val="single" w:sz="6" w:space="0" w:color="auto"/>
            </w:tcBorders>
          </w:tcPr>
          <w:p w14:paraId="582750F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110 889</w:t>
            </w:r>
          </w:p>
        </w:tc>
        <w:tc>
          <w:tcPr>
            <w:tcW w:w="900" w:type="dxa"/>
            <w:tcBorders>
              <w:top w:val="single" w:sz="6" w:space="0" w:color="auto"/>
            </w:tcBorders>
          </w:tcPr>
          <w:p w14:paraId="7759CF5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114 824</w:t>
            </w:r>
          </w:p>
        </w:tc>
        <w:tc>
          <w:tcPr>
            <w:tcW w:w="900" w:type="dxa"/>
            <w:tcBorders>
              <w:top w:val="single" w:sz="6" w:space="0" w:color="auto"/>
            </w:tcBorders>
          </w:tcPr>
          <w:p w14:paraId="4B755FD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118 447</w:t>
            </w:r>
          </w:p>
        </w:tc>
      </w:tr>
      <w:tr w:rsidR="009256ED" w14:paraId="51E9EB7B"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62BF8D9B" w14:textId="77777777" w:rsidR="009256ED" w:rsidRDefault="009256ED" w:rsidP="008670FF">
            <w:r>
              <w:rPr>
                <w:i/>
              </w:rPr>
              <w:t xml:space="preserve">% change </w:t>
            </w:r>
            <w:r>
              <w:rPr>
                <w:i/>
                <w:vertAlign w:val="superscript"/>
              </w:rPr>
              <w:t>(c)</w:t>
            </w:r>
          </w:p>
        </w:tc>
        <w:tc>
          <w:tcPr>
            <w:tcW w:w="899" w:type="dxa"/>
          </w:tcPr>
          <w:p w14:paraId="69A8613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i/>
              </w:rPr>
              <w:t>5.3</w:t>
            </w:r>
          </w:p>
        </w:tc>
        <w:tc>
          <w:tcPr>
            <w:tcW w:w="900" w:type="dxa"/>
          </w:tcPr>
          <w:p w14:paraId="7BA6D9D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i/>
              </w:rPr>
              <w:t>5.5</w:t>
            </w:r>
          </w:p>
        </w:tc>
        <w:tc>
          <w:tcPr>
            <w:tcW w:w="900" w:type="dxa"/>
          </w:tcPr>
          <w:p w14:paraId="4AFF086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i/>
              </w:rPr>
              <w:t>3.5</w:t>
            </w:r>
          </w:p>
        </w:tc>
        <w:tc>
          <w:tcPr>
            <w:tcW w:w="900" w:type="dxa"/>
          </w:tcPr>
          <w:p w14:paraId="34F263C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i/>
              </w:rPr>
              <w:t>3.2</w:t>
            </w:r>
          </w:p>
        </w:tc>
      </w:tr>
      <w:tr w:rsidR="009256ED" w14:paraId="2F8D45E2"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15FBBE01" w14:textId="77777777" w:rsidR="009256ED" w:rsidRDefault="009256ED" w:rsidP="00723C6B">
            <w:pPr>
              <w:spacing w:before="80"/>
            </w:pPr>
            <w:r>
              <w:rPr>
                <w:b/>
              </w:rPr>
              <w:t>Expenses from transactions</w:t>
            </w:r>
          </w:p>
        </w:tc>
        <w:tc>
          <w:tcPr>
            <w:tcW w:w="899" w:type="dxa"/>
          </w:tcPr>
          <w:p w14:paraId="75B4EA8D" w14:textId="77777777" w:rsidR="009256ED" w:rsidRDefault="009256ED" w:rsidP="00723C6B">
            <w:pPr>
              <w:spacing w:before="80"/>
              <w:cnfStyle w:val="000000000000" w:firstRow="0" w:lastRow="0" w:firstColumn="0" w:lastColumn="0" w:oddVBand="0" w:evenVBand="0" w:oddHBand="0" w:evenHBand="0" w:firstRowFirstColumn="0" w:firstRowLastColumn="0" w:lastRowFirstColumn="0" w:lastRowLastColumn="0"/>
            </w:pPr>
          </w:p>
        </w:tc>
        <w:tc>
          <w:tcPr>
            <w:tcW w:w="900" w:type="dxa"/>
          </w:tcPr>
          <w:p w14:paraId="38971A49" w14:textId="77777777" w:rsidR="009256ED" w:rsidRDefault="009256ED" w:rsidP="00723C6B">
            <w:pPr>
              <w:spacing w:before="80"/>
              <w:cnfStyle w:val="000000000000" w:firstRow="0" w:lastRow="0" w:firstColumn="0" w:lastColumn="0" w:oddVBand="0" w:evenVBand="0" w:oddHBand="0" w:evenHBand="0" w:firstRowFirstColumn="0" w:firstRowLastColumn="0" w:lastRowFirstColumn="0" w:lastRowLastColumn="0"/>
            </w:pPr>
          </w:p>
        </w:tc>
        <w:tc>
          <w:tcPr>
            <w:tcW w:w="900" w:type="dxa"/>
          </w:tcPr>
          <w:p w14:paraId="17D82E20" w14:textId="77777777" w:rsidR="009256ED" w:rsidRDefault="009256ED" w:rsidP="00723C6B">
            <w:pPr>
              <w:spacing w:before="80"/>
              <w:cnfStyle w:val="000000000000" w:firstRow="0" w:lastRow="0" w:firstColumn="0" w:lastColumn="0" w:oddVBand="0" w:evenVBand="0" w:oddHBand="0" w:evenHBand="0" w:firstRowFirstColumn="0" w:firstRowLastColumn="0" w:lastRowFirstColumn="0" w:lastRowLastColumn="0"/>
            </w:pPr>
          </w:p>
        </w:tc>
        <w:tc>
          <w:tcPr>
            <w:tcW w:w="900" w:type="dxa"/>
          </w:tcPr>
          <w:p w14:paraId="5B6E3FAA" w14:textId="77777777" w:rsidR="009256ED" w:rsidRDefault="009256ED" w:rsidP="00723C6B">
            <w:pPr>
              <w:spacing w:before="80"/>
              <w:cnfStyle w:val="000000000000" w:firstRow="0" w:lastRow="0" w:firstColumn="0" w:lastColumn="0" w:oddVBand="0" w:evenVBand="0" w:oddHBand="0" w:evenHBand="0" w:firstRowFirstColumn="0" w:firstRowLastColumn="0" w:lastRowFirstColumn="0" w:lastRowLastColumn="0"/>
            </w:pPr>
          </w:p>
        </w:tc>
      </w:tr>
      <w:tr w:rsidR="009256ED" w14:paraId="6AFFCCB2"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59BEC2DF" w14:textId="77777777" w:rsidR="009256ED" w:rsidRDefault="009256ED" w:rsidP="008670FF">
            <w:r>
              <w:t>Employee expenses</w:t>
            </w:r>
          </w:p>
        </w:tc>
        <w:tc>
          <w:tcPr>
            <w:tcW w:w="899" w:type="dxa"/>
          </w:tcPr>
          <w:p w14:paraId="0646C1B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39 378</w:t>
            </w:r>
          </w:p>
        </w:tc>
        <w:tc>
          <w:tcPr>
            <w:tcW w:w="900" w:type="dxa"/>
          </w:tcPr>
          <w:p w14:paraId="6381BDF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40 221</w:t>
            </w:r>
          </w:p>
        </w:tc>
        <w:tc>
          <w:tcPr>
            <w:tcW w:w="900" w:type="dxa"/>
          </w:tcPr>
          <w:p w14:paraId="03610FE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41 876</w:t>
            </w:r>
          </w:p>
        </w:tc>
        <w:tc>
          <w:tcPr>
            <w:tcW w:w="900" w:type="dxa"/>
          </w:tcPr>
          <w:p w14:paraId="3DAB2D9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43 121</w:t>
            </w:r>
          </w:p>
        </w:tc>
      </w:tr>
      <w:tr w:rsidR="009256ED" w14:paraId="132C06C4"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725CAB44" w14:textId="77777777" w:rsidR="009256ED" w:rsidRDefault="009256ED" w:rsidP="008670FF">
            <w:r>
              <w:t xml:space="preserve">Superannuation </w:t>
            </w:r>
            <w:r>
              <w:rPr>
                <w:vertAlign w:val="superscript"/>
              </w:rPr>
              <w:t>(d)</w:t>
            </w:r>
          </w:p>
        </w:tc>
        <w:tc>
          <w:tcPr>
            <w:tcW w:w="899" w:type="dxa"/>
          </w:tcPr>
          <w:p w14:paraId="6823516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5 099</w:t>
            </w:r>
          </w:p>
        </w:tc>
        <w:tc>
          <w:tcPr>
            <w:tcW w:w="900" w:type="dxa"/>
          </w:tcPr>
          <w:p w14:paraId="2DF6C67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5 156</w:t>
            </w:r>
          </w:p>
        </w:tc>
        <w:tc>
          <w:tcPr>
            <w:tcW w:w="900" w:type="dxa"/>
          </w:tcPr>
          <w:p w14:paraId="6F27B7B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5 290</w:t>
            </w:r>
          </w:p>
        </w:tc>
        <w:tc>
          <w:tcPr>
            <w:tcW w:w="900" w:type="dxa"/>
          </w:tcPr>
          <w:p w14:paraId="61BFB91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5 450</w:t>
            </w:r>
          </w:p>
        </w:tc>
      </w:tr>
      <w:tr w:rsidR="009256ED" w14:paraId="10ABC9C0"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1B0C4028" w14:textId="77777777" w:rsidR="009256ED" w:rsidRDefault="009256ED" w:rsidP="008670FF">
            <w:r>
              <w:t>Depreciation</w:t>
            </w:r>
          </w:p>
        </w:tc>
        <w:tc>
          <w:tcPr>
            <w:tcW w:w="899" w:type="dxa"/>
          </w:tcPr>
          <w:p w14:paraId="400605C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8 887</w:t>
            </w:r>
          </w:p>
        </w:tc>
        <w:tc>
          <w:tcPr>
            <w:tcW w:w="900" w:type="dxa"/>
          </w:tcPr>
          <w:p w14:paraId="4218E64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9 546</w:t>
            </w:r>
          </w:p>
        </w:tc>
        <w:tc>
          <w:tcPr>
            <w:tcW w:w="900" w:type="dxa"/>
          </w:tcPr>
          <w:p w14:paraId="50463D9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9 940</w:t>
            </w:r>
          </w:p>
        </w:tc>
        <w:tc>
          <w:tcPr>
            <w:tcW w:w="900" w:type="dxa"/>
          </w:tcPr>
          <w:p w14:paraId="31B53B2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10 125</w:t>
            </w:r>
          </w:p>
        </w:tc>
      </w:tr>
      <w:tr w:rsidR="009256ED" w14:paraId="51A87963"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29677829" w14:textId="77777777" w:rsidR="009256ED" w:rsidRDefault="009256ED" w:rsidP="008670FF">
            <w:r>
              <w:t>Interest expense</w:t>
            </w:r>
          </w:p>
        </w:tc>
        <w:tc>
          <w:tcPr>
            <w:tcW w:w="899" w:type="dxa"/>
          </w:tcPr>
          <w:p w14:paraId="0179733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7 169</w:t>
            </w:r>
          </w:p>
        </w:tc>
        <w:tc>
          <w:tcPr>
            <w:tcW w:w="900" w:type="dxa"/>
          </w:tcPr>
          <w:p w14:paraId="2B45F94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8 252</w:t>
            </w:r>
          </w:p>
        </w:tc>
        <w:tc>
          <w:tcPr>
            <w:tcW w:w="900" w:type="dxa"/>
          </w:tcPr>
          <w:p w14:paraId="3678A25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9 311</w:t>
            </w:r>
          </w:p>
        </w:tc>
        <w:tc>
          <w:tcPr>
            <w:tcW w:w="900" w:type="dxa"/>
          </w:tcPr>
          <w:p w14:paraId="4CF798A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10 408</w:t>
            </w:r>
          </w:p>
        </w:tc>
      </w:tr>
      <w:tr w:rsidR="009256ED" w14:paraId="347F94A8"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4745BDAE" w14:textId="77777777" w:rsidR="009256ED" w:rsidRDefault="009256ED" w:rsidP="008670FF">
            <w:r>
              <w:t>Grant expense</w:t>
            </w:r>
          </w:p>
        </w:tc>
        <w:tc>
          <w:tcPr>
            <w:tcW w:w="899" w:type="dxa"/>
          </w:tcPr>
          <w:p w14:paraId="598A999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15 368</w:t>
            </w:r>
          </w:p>
        </w:tc>
        <w:tc>
          <w:tcPr>
            <w:tcW w:w="900" w:type="dxa"/>
          </w:tcPr>
          <w:p w14:paraId="35325C5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15 664</w:t>
            </w:r>
          </w:p>
        </w:tc>
        <w:tc>
          <w:tcPr>
            <w:tcW w:w="900" w:type="dxa"/>
          </w:tcPr>
          <w:p w14:paraId="680C66F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15 652</w:t>
            </w:r>
          </w:p>
        </w:tc>
        <w:tc>
          <w:tcPr>
            <w:tcW w:w="900" w:type="dxa"/>
          </w:tcPr>
          <w:p w14:paraId="3ED60B6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15 804</w:t>
            </w:r>
          </w:p>
        </w:tc>
      </w:tr>
      <w:tr w:rsidR="009256ED" w14:paraId="2654EE5A"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1D76B3A5" w14:textId="77777777" w:rsidR="009256ED" w:rsidRDefault="009256ED" w:rsidP="008670FF">
            <w:r>
              <w:t>Other operating expenses</w:t>
            </w:r>
          </w:p>
        </w:tc>
        <w:tc>
          <w:tcPr>
            <w:tcW w:w="899" w:type="dxa"/>
          </w:tcPr>
          <w:p w14:paraId="6DD686C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34 132</w:t>
            </w:r>
          </w:p>
        </w:tc>
        <w:tc>
          <w:tcPr>
            <w:tcW w:w="900" w:type="dxa"/>
          </w:tcPr>
          <w:p w14:paraId="59FD3ED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32 123</w:t>
            </w:r>
          </w:p>
        </w:tc>
        <w:tc>
          <w:tcPr>
            <w:tcW w:w="900" w:type="dxa"/>
          </w:tcPr>
          <w:p w14:paraId="63614B2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32 846</w:t>
            </w:r>
          </w:p>
        </w:tc>
        <w:tc>
          <w:tcPr>
            <w:tcW w:w="900" w:type="dxa"/>
          </w:tcPr>
          <w:p w14:paraId="268DBB3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33 396</w:t>
            </w:r>
          </w:p>
        </w:tc>
      </w:tr>
      <w:tr w:rsidR="009256ED" w14:paraId="3323BB87" w14:textId="77777777" w:rsidTr="00157D02">
        <w:tc>
          <w:tcPr>
            <w:cnfStyle w:val="001000000000" w:firstRow="0" w:lastRow="0" w:firstColumn="1" w:lastColumn="0" w:oddVBand="0" w:evenVBand="0" w:oddHBand="0" w:evenHBand="0" w:firstRowFirstColumn="0" w:firstRowLastColumn="0" w:lastRowFirstColumn="0" w:lastRowLastColumn="0"/>
            <w:tcW w:w="4111" w:type="dxa"/>
          </w:tcPr>
          <w:p w14:paraId="2348A859" w14:textId="77777777" w:rsidR="009256ED" w:rsidRDefault="009256ED" w:rsidP="008670FF">
            <w:r>
              <w:rPr>
                <w:b/>
              </w:rPr>
              <w:t>Total expenses from transactions</w:t>
            </w:r>
          </w:p>
        </w:tc>
        <w:tc>
          <w:tcPr>
            <w:tcW w:w="899" w:type="dxa"/>
          </w:tcPr>
          <w:p w14:paraId="356F13E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110 034</w:t>
            </w:r>
          </w:p>
        </w:tc>
        <w:tc>
          <w:tcPr>
            <w:tcW w:w="900" w:type="dxa"/>
          </w:tcPr>
          <w:p w14:paraId="015B804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110 962</w:t>
            </w:r>
          </w:p>
        </w:tc>
        <w:tc>
          <w:tcPr>
            <w:tcW w:w="900" w:type="dxa"/>
          </w:tcPr>
          <w:p w14:paraId="2E53F05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114 915</w:t>
            </w:r>
          </w:p>
        </w:tc>
        <w:tc>
          <w:tcPr>
            <w:tcW w:w="900" w:type="dxa"/>
          </w:tcPr>
          <w:p w14:paraId="6538125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118 304</w:t>
            </w:r>
          </w:p>
        </w:tc>
      </w:tr>
      <w:tr w:rsidR="009256ED" w14:paraId="6D55E52A" w14:textId="77777777" w:rsidTr="00157D02">
        <w:tc>
          <w:tcPr>
            <w:cnfStyle w:val="001000000000" w:firstRow="0" w:lastRow="0" w:firstColumn="1" w:lastColumn="0" w:oddVBand="0" w:evenVBand="0" w:oddHBand="0" w:evenHBand="0" w:firstRowFirstColumn="0" w:firstRowLastColumn="0" w:lastRowFirstColumn="0" w:lastRowLastColumn="0"/>
            <w:tcW w:w="4111" w:type="dxa"/>
            <w:tcBorders>
              <w:bottom w:val="single" w:sz="6" w:space="0" w:color="auto"/>
            </w:tcBorders>
          </w:tcPr>
          <w:p w14:paraId="7CDE0334" w14:textId="77777777" w:rsidR="009256ED" w:rsidRDefault="009256ED" w:rsidP="00723C6B">
            <w:pPr>
              <w:spacing w:after="80"/>
            </w:pPr>
            <w:r>
              <w:rPr>
                <w:i/>
              </w:rPr>
              <w:t xml:space="preserve">% change </w:t>
            </w:r>
            <w:r>
              <w:rPr>
                <w:i/>
                <w:vertAlign w:val="superscript"/>
              </w:rPr>
              <w:t>(c)</w:t>
            </w:r>
          </w:p>
        </w:tc>
        <w:tc>
          <w:tcPr>
            <w:tcW w:w="899" w:type="dxa"/>
            <w:tcBorders>
              <w:bottom w:val="single" w:sz="6" w:space="0" w:color="auto"/>
            </w:tcBorders>
          </w:tcPr>
          <w:p w14:paraId="6C2DE7EF"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4.4</w:t>
            </w:r>
          </w:p>
        </w:tc>
        <w:tc>
          <w:tcPr>
            <w:tcW w:w="900" w:type="dxa"/>
            <w:tcBorders>
              <w:bottom w:val="single" w:sz="6" w:space="0" w:color="auto"/>
            </w:tcBorders>
          </w:tcPr>
          <w:p w14:paraId="3827BA61"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0.8</w:t>
            </w:r>
          </w:p>
        </w:tc>
        <w:tc>
          <w:tcPr>
            <w:tcW w:w="900" w:type="dxa"/>
            <w:tcBorders>
              <w:bottom w:val="single" w:sz="6" w:space="0" w:color="auto"/>
            </w:tcBorders>
          </w:tcPr>
          <w:p w14:paraId="6725ED22"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3.6</w:t>
            </w:r>
          </w:p>
        </w:tc>
        <w:tc>
          <w:tcPr>
            <w:tcW w:w="900" w:type="dxa"/>
            <w:tcBorders>
              <w:bottom w:val="single" w:sz="6" w:space="0" w:color="auto"/>
            </w:tcBorders>
          </w:tcPr>
          <w:p w14:paraId="35071FA6"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2.9</w:t>
            </w:r>
          </w:p>
        </w:tc>
      </w:tr>
      <w:tr w:rsidR="009256ED" w14:paraId="6A714E2B" w14:textId="77777777" w:rsidTr="00157D02">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bottom w:val="single" w:sz="6" w:space="0" w:color="auto"/>
            </w:tcBorders>
          </w:tcPr>
          <w:p w14:paraId="13456F80" w14:textId="77777777" w:rsidR="009256ED" w:rsidRDefault="009256ED" w:rsidP="008670FF">
            <w:r>
              <w:rPr>
                <w:b/>
              </w:rPr>
              <w:t>Net result from transactions</w:t>
            </w:r>
          </w:p>
        </w:tc>
        <w:tc>
          <w:tcPr>
            <w:tcW w:w="899" w:type="dxa"/>
            <w:tcBorders>
              <w:top w:val="single" w:sz="6" w:space="0" w:color="auto"/>
              <w:bottom w:val="single" w:sz="6" w:space="0" w:color="auto"/>
            </w:tcBorders>
          </w:tcPr>
          <w:p w14:paraId="69D3430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(4 915)</w:t>
            </w:r>
          </w:p>
        </w:tc>
        <w:tc>
          <w:tcPr>
            <w:tcW w:w="900" w:type="dxa"/>
            <w:tcBorders>
              <w:top w:val="single" w:sz="6" w:space="0" w:color="auto"/>
              <w:bottom w:val="single" w:sz="6" w:space="0" w:color="auto"/>
            </w:tcBorders>
          </w:tcPr>
          <w:p w14:paraId="68C0942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(72)</w:t>
            </w:r>
          </w:p>
        </w:tc>
        <w:tc>
          <w:tcPr>
            <w:tcW w:w="900" w:type="dxa"/>
            <w:tcBorders>
              <w:top w:val="single" w:sz="6" w:space="0" w:color="auto"/>
              <w:bottom w:val="single" w:sz="6" w:space="0" w:color="auto"/>
            </w:tcBorders>
          </w:tcPr>
          <w:p w14:paraId="3F017A9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(91)</w:t>
            </w:r>
          </w:p>
        </w:tc>
        <w:tc>
          <w:tcPr>
            <w:tcW w:w="900" w:type="dxa"/>
            <w:tcBorders>
              <w:top w:val="single" w:sz="6" w:space="0" w:color="auto"/>
              <w:bottom w:val="single" w:sz="6" w:space="0" w:color="auto"/>
            </w:tcBorders>
          </w:tcPr>
          <w:p w14:paraId="36C97A9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142</w:t>
            </w:r>
          </w:p>
        </w:tc>
      </w:tr>
      <w:tr w:rsidR="009256ED" w14:paraId="33B2B088" w14:textId="77777777" w:rsidTr="00157D02">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bottom w:val="single" w:sz="6" w:space="0" w:color="auto"/>
            </w:tcBorders>
          </w:tcPr>
          <w:p w14:paraId="17D0BADD" w14:textId="77777777" w:rsidR="009256ED" w:rsidRDefault="009256ED" w:rsidP="008670FF">
            <w:r>
              <w:t>Total other economic flows included in net result</w:t>
            </w:r>
          </w:p>
        </w:tc>
        <w:tc>
          <w:tcPr>
            <w:tcW w:w="899" w:type="dxa"/>
            <w:tcBorders>
              <w:top w:val="single" w:sz="6" w:space="0" w:color="auto"/>
              <w:bottom w:val="single" w:sz="6" w:space="0" w:color="auto"/>
            </w:tcBorders>
          </w:tcPr>
          <w:p w14:paraId="3D9D71B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(257)</w:t>
            </w:r>
          </w:p>
        </w:tc>
        <w:tc>
          <w:tcPr>
            <w:tcW w:w="900" w:type="dxa"/>
            <w:tcBorders>
              <w:top w:val="single" w:sz="6" w:space="0" w:color="auto"/>
              <w:bottom w:val="single" w:sz="6" w:space="0" w:color="auto"/>
            </w:tcBorders>
          </w:tcPr>
          <w:p w14:paraId="5C1FA97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(258)</w:t>
            </w:r>
          </w:p>
        </w:tc>
        <w:tc>
          <w:tcPr>
            <w:tcW w:w="900" w:type="dxa"/>
            <w:tcBorders>
              <w:top w:val="single" w:sz="6" w:space="0" w:color="auto"/>
              <w:bottom w:val="single" w:sz="6" w:space="0" w:color="auto"/>
            </w:tcBorders>
          </w:tcPr>
          <w:p w14:paraId="45B4C7A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(222)</w:t>
            </w:r>
          </w:p>
        </w:tc>
        <w:tc>
          <w:tcPr>
            <w:tcW w:w="900" w:type="dxa"/>
            <w:tcBorders>
              <w:top w:val="single" w:sz="6" w:space="0" w:color="auto"/>
              <w:bottom w:val="single" w:sz="6" w:space="0" w:color="auto"/>
            </w:tcBorders>
          </w:tcPr>
          <w:p w14:paraId="435BCC2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97</w:t>
            </w:r>
          </w:p>
        </w:tc>
      </w:tr>
      <w:tr w:rsidR="009256ED" w14:paraId="23F9F9F6" w14:textId="77777777" w:rsidTr="00157D02">
        <w:tc>
          <w:tcPr>
            <w:cnfStyle w:val="001000000000" w:firstRow="0" w:lastRow="0" w:firstColumn="1" w:lastColumn="0" w:oddVBand="0" w:evenVBand="0" w:oddHBand="0" w:evenHBand="0" w:firstRowFirstColumn="0" w:firstRowLastColumn="0" w:lastRowFirstColumn="0" w:lastRowLastColumn="0"/>
            <w:tcW w:w="4111" w:type="dxa"/>
            <w:tcBorders>
              <w:top w:val="single" w:sz="6" w:space="0" w:color="auto"/>
              <w:bottom w:val="single" w:sz="12" w:space="0" w:color="auto"/>
            </w:tcBorders>
          </w:tcPr>
          <w:p w14:paraId="692B2121" w14:textId="77777777" w:rsidR="009256ED" w:rsidRDefault="009256ED" w:rsidP="008670FF">
            <w:r>
              <w:rPr>
                <w:b/>
              </w:rPr>
              <w:t>Net result</w:t>
            </w:r>
          </w:p>
        </w:tc>
        <w:tc>
          <w:tcPr>
            <w:tcW w:w="899" w:type="dxa"/>
            <w:tcBorders>
              <w:top w:val="single" w:sz="6" w:space="0" w:color="auto"/>
              <w:bottom w:val="single" w:sz="12" w:space="0" w:color="auto"/>
            </w:tcBorders>
          </w:tcPr>
          <w:p w14:paraId="36A2D30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(5 172)</w:t>
            </w:r>
          </w:p>
        </w:tc>
        <w:tc>
          <w:tcPr>
            <w:tcW w:w="900" w:type="dxa"/>
            <w:tcBorders>
              <w:top w:val="single" w:sz="6" w:space="0" w:color="auto"/>
              <w:bottom w:val="single" w:sz="12" w:space="0" w:color="auto"/>
            </w:tcBorders>
          </w:tcPr>
          <w:p w14:paraId="1F862D1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(330)</w:t>
            </w:r>
          </w:p>
        </w:tc>
        <w:tc>
          <w:tcPr>
            <w:tcW w:w="900" w:type="dxa"/>
            <w:tcBorders>
              <w:top w:val="single" w:sz="6" w:space="0" w:color="auto"/>
              <w:bottom w:val="single" w:sz="12" w:space="0" w:color="auto"/>
            </w:tcBorders>
          </w:tcPr>
          <w:p w14:paraId="797D007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(312)</w:t>
            </w:r>
          </w:p>
        </w:tc>
        <w:tc>
          <w:tcPr>
            <w:tcW w:w="900" w:type="dxa"/>
            <w:tcBorders>
              <w:top w:val="single" w:sz="6" w:space="0" w:color="auto"/>
              <w:bottom w:val="single" w:sz="12" w:space="0" w:color="auto"/>
            </w:tcBorders>
          </w:tcPr>
          <w:p w14:paraId="4B87635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240</w:t>
            </w:r>
          </w:p>
        </w:tc>
      </w:tr>
    </w:tbl>
    <w:p w14:paraId="47F71C8C" w14:textId="77777777" w:rsidR="009256ED" w:rsidRPr="00584F3A" w:rsidRDefault="009256ED" w:rsidP="009256ED">
      <w:pPr>
        <w:pStyle w:val="Note"/>
      </w:pPr>
      <w:r w:rsidRPr="00584F3A">
        <w:t>Notes:</w:t>
      </w:r>
    </w:p>
    <w:p w14:paraId="6E0EF9F4" w14:textId="77777777" w:rsidR="009256ED" w:rsidRPr="00584F3A" w:rsidRDefault="009256ED" w:rsidP="009256ED">
      <w:pPr>
        <w:pStyle w:val="Note"/>
      </w:pPr>
      <w:r w:rsidRPr="00584F3A">
        <w:t>(a)</w:t>
      </w:r>
      <w:r w:rsidRPr="00584F3A">
        <w:tab/>
        <w:t xml:space="preserve">This is a summary operating statement. The comprehensive operating statement is presented in </w:t>
      </w:r>
      <w:r w:rsidRPr="008D0ACE">
        <w:t>Chapter 5</w:t>
      </w:r>
      <w:r w:rsidRPr="00584F3A">
        <w:t xml:space="preserve">. Figures in this table are subject to rounding to the nearest million and may not add up to totals. </w:t>
      </w:r>
    </w:p>
    <w:p w14:paraId="4F97F056" w14:textId="77777777" w:rsidR="009256ED" w:rsidRPr="00584F3A" w:rsidRDefault="009256ED" w:rsidP="009256ED">
      <w:pPr>
        <w:pStyle w:val="Note"/>
      </w:pPr>
      <w:r w:rsidRPr="00584F3A">
        <w:t>(b)</w:t>
      </w:r>
      <w:r w:rsidRPr="00584F3A">
        <w:tab/>
        <w:t>Comprises dividends, income tax and rate equivalent revenue and interest.</w:t>
      </w:r>
    </w:p>
    <w:p w14:paraId="12EC0643" w14:textId="77777777" w:rsidR="009256ED" w:rsidRPr="00584F3A" w:rsidRDefault="009256ED" w:rsidP="009256ED">
      <w:pPr>
        <w:pStyle w:val="Note"/>
      </w:pPr>
      <w:r w:rsidRPr="00584F3A">
        <w:t>(c)</w:t>
      </w:r>
      <w:r w:rsidRPr="00584F3A">
        <w:tab/>
        <w:t>The revenue and expense growth for 202</w:t>
      </w:r>
      <w:r>
        <w:t>4</w:t>
      </w:r>
      <w:r w:rsidRPr="00584F3A">
        <w:t>-2</w:t>
      </w:r>
      <w:r>
        <w:t>5</w:t>
      </w:r>
      <w:r w:rsidRPr="00584F3A">
        <w:t xml:space="preserve"> is based on published figures in the </w:t>
      </w:r>
      <w:r w:rsidRPr="00F0090C">
        <w:rPr>
          <w:i w:val="0"/>
        </w:rPr>
        <w:t>202</w:t>
      </w:r>
      <w:r>
        <w:rPr>
          <w:i w:val="0"/>
        </w:rPr>
        <w:t>3</w:t>
      </w:r>
      <w:r w:rsidRPr="00F0090C">
        <w:rPr>
          <w:i w:val="0"/>
        </w:rPr>
        <w:t>-2</w:t>
      </w:r>
      <w:r>
        <w:rPr>
          <w:i w:val="0"/>
        </w:rPr>
        <w:t>4</w:t>
      </w:r>
      <w:r w:rsidRPr="00F0090C">
        <w:rPr>
          <w:i w:val="0"/>
        </w:rPr>
        <w:t xml:space="preserve"> Financial Report</w:t>
      </w:r>
      <w:r w:rsidRPr="00584F3A">
        <w:t>.</w:t>
      </w:r>
    </w:p>
    <w:p w14:paraId="03B8E4DA" w14:textId="77777777" w:rsidR="009256ED" w:rsidRDefault="009256ED" w:rsidP="009256ED">
      <w:pPr>
        <w:pStyle w:val="Note"/>
      </w:pPr>
      <w:r w:rsidRPr="00584F3A">
        <w:t>(d)</w:t>
      </w:r>
      <w:r w:rsidRPr="00584F3A">
        <w:tab/>
        <w:t>Comprises superannuation interest expense and other superannuation expenses.</w:t>
      </w:r>
    </w:p>
    <w:p w14:paraId="5813C8EF" w14:textId="77777777" w:rsidR="00157D02" w:rsidRDefault="00157D02" w:rsidP="009256ED"/>
    <w:p w14:paraId="67302E9F" w14:textId="55BD3E81" w:rsidR="009256ED" w:rsidRPr="00633128" w:rsidRDefault="009256ED" w:rsidP="009256ED">
      <w:pPr>
        <w:rPr>
          <w:b/>
        </w:rPr>
      </w:pPr>
      <w:r w:rsidRPr="00633128">
        <w:t xml:space="preserve">The net result from transactions of the NFPS is projected to improve from a deficit of </w:t>
      </w:r>
      <w:r w:rsidRPr="004614CE">
        <w:t>$4.9 billion in 2024-25 to a surplus of $142 million by 2027-28.</w:t>
      </w:r>
      <w:r w:rsidRPr="00633128">
        <w:t xml:space="preserve"> This is largely driven by the net result from transactions for the general government sector </w:t>
      </w:r>
      <w:r>
        <w:t>as discussed earlier in this chapter.</w:t>
      </w:r>
    </w:p>
    <w:p w14:paraId="3E798924" w14:textId="77777777" w:rsidR="009256ED" w:rsidRPr="00633128" w:rsidRDefault="009256ED" w:rsidP="009256ED">
      <w:pPr>
        <w:pStyle w:val="Heading20"/>
      </w:pPr>
      <w:r w:rsidRPr="00633128">
        <w:t>Application of cash resources</w:t>
      </w:r>
    </w:p>
    <w:p w14:paraId="578EFBD3" w14:textId="77777777" w:rsidR="009256ED" w:rsidRPr="00633128" w:rsidRDefault="009256ED" w:rsidP="009256ED">
      <w:r w:rsidRPr="00633128">
        <w:t xml:space="preserve">The NFPS is forecast to record an operating cash flow surplus </w:t>
      </w:r>
      <w:r w:rsidRPr="0099724B">
        <w:t>of $2.3 billion in 2024-25</w:t>
      </w:r>
      <w:r w:rsidRPr="00633128">
        <w:t xml:space="preserve"> before increasing to </w:t>
      </w:r>
      <w:r w:rsidRPr="0099724B">
        <w:t>$9.0 billion in 2025-26</w:t>
      </w:r>
      <w:r w:rsidRPr="00633128">
        <w:t xml:space="preserve"> and then falling slightly </w:t>
      </w:r>
      <w:r w:rsidRPr="0099724B">
        <w:t>to $8.8 billion</w:t>
      </w:r>
      <w:r w:rsidRPr="00633128">
        <w:t xml:space="preserve"> in 2026</w:t>
      </w:r>
      <w:r>
        <w:noBreakHyphen/>
      </w:r>
      <w:r w:rsidRPr="00633128">
        <w:t>27</w:t>
      </w:r>
      <w:r>
        <w:t xml:space="preserve"> and </w:t>
      </w:r>
      <w:r w:rsidRPr="0099724B">
        <w:t>$8.2 billion in 2027-28</w:t>
      </w:r>
      <w:r w:rsidRPr="00633128">
        <w:t xml:space="preserve">. </w:t>
      </w:r>
      <w:r w:rsidRPr="0099724B">
        <w:t>By 2027-28</w:t>
      </w:r>
      <w:r w:rsidRPr="00633128">
        <w:t xml:space="preserve">, the NFPS operating cash flow surplus is projected to fund </w:t>
      </w:r>
      <w:r w:rsidRPr="0099724B">
        <w:t>44.6 per cent</w:t>
      </w:r>
      <w:r w:rsidRPr="00633128">
        <w:t xml:space="preserve"> of the NFPS infrastructure program with the remainder funded by borrowings.</w:t>
      </w:r>
    </w:p>
    <w:p w14:paraId="235FAE03" w14:textId="77777777" w:rsidR="009256ED" w:rsidRPr="00633128" w:rsidRDefault="009256ED" w:rsidP="00157D02">
      <w:pPr>
        <w:pStyle w:val="TableHeading"/>
      </w:pPr>
      <w:bookmarkStart w:id="42" w:name="_Hlk183450780"/>
      <w:r w:rsidRPr="0099724B">
        <w:t xml:space="preserve">Table 3.7: </w:t>
      </w:r>
      <w:r w:rsidRPr="0099724B">
        <w:tab/>
        <w:t>Application of cash resources for the non</w:t>
      </w:r>
      <w:r w:rsidRPr="0099724B">
        <w:noBreakHyphen/>
        <w:t xml:space="preserve">financial public sector </w:t>
      </w:r>
      <w:r w:rsidRPr="0099724B">
        <w:rPr>
          <w:vertAlign w:val="superscript"/>
        </w:rPr>
        <w:t>(a)</w:t>
      </w:r>
      <w:r w:rsidRPr="00633128">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3_NFPS_WoG.xlsx|Table:NFPS_AppCash|MergedHeadingRow:1|TableGroup:Chapter 3 - WoG"/>
      </w:tblPr>
      <w:tblGrid>
        <w:gridCol w:w="4396"/>
        <w:gridCol w:w="828"/>
        <w:gridCol w:w="829"/>
        <w:gridCol w:w="828"/>
        <w:gridCol w:w="829"/>
      </w:tblGrid>
      <w:tr w:rsidR="009256ED" w14:paraId="18C410FE" w14:textId="77777777" w:rsidTr="00157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6" w:type="dxa"/>
            <w:tcBorders>
              <w:top w:val="single" w:sz="6" w:space="0" w:color="auto"/>
            </w:tcBorders>
          </w:tcPr>
          <w:p w14:paraId="28A37332" w14:textId="77777777" w:rsidR="009256ED" w:rsidRDefault="009256ED" w:rsidP="008670FF">
            <w:pPr>
              <w:keepNext/>
            </w:pPr>
          </w:p>
        </w:tc>
        <w:tc>
          <w:tcPr>
            <w:tcW w:w="828" w:type="dxa"/>
            <w:tcBorders>
              <w:top w:val="single" w:sz="6" w:space="0" w:color="auto"/>
            </w:tcBorders>
          </w:tcPr>
          <w:p w14:paraId="2187114B"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29" w:type="dxa"/>
            <w:tcBorders>
              <w:top w:val="single" w:sz="6" w:space="0" w:color="auto"/>
            </w:tcBorders>
          </w:tcPr>
          <w:p w14:paraId="55AF32B3"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28" w:type="dxa"/>
            <w:tcBorders>
              <w:top w:val="single" w:sz="6" w:space="0" w:color="auto"/>
            </w:tcBorders>
          </w:tcPr>
          <w:p w14:paraId="3D38EFAB"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29" w:type="dxa"/>
            <w:tcBorders>
              <w:top w:val="single" w:sz="6" w:space="0" w:color="auto"/>
            </w:tcBorders>
          </w:tcPr>
          <w:p w14:paraId="4C4F4983"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7960551F" w14:textId="77777777" w:rsidTr="00157D02">
        <w:tc>
          <w:tcPr>
            <w:cnfStyle w:val="001000000000" w:firstRow="0" w:lastRow="0" w:firstColumn="1" w:lastColumn="0" w:oddVBand="0" w:evenVBand="0" w:oddHBand="0" w:evenHBand="0" w:firstRowFirstColumn="0" w:firstRowLastColumn="0" w:lastRowFirstColumn="0" w:lastRowLastColumn="0"/>
            <w:tcW w:w="4396" w:type="dxa"/>
          </w:tcPr>
          <w:p w14:paraId="34CC910E" w14:textId="77777777" w:rsidR="009256ED" w:rsidRDefault="009256ED" w:rsidP="008670FF">
            <w:r>
              <w:t>Net result from transactions</w:t>
            </w:r>
          </w:p>
        </w:tc>
        <w:tc>
          <w:tcPr>
            <w:tcW w:w="828" w:type="dxa"/>
          </w:tcPr>
          <w:p w14:paraId="26E5831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(4 915)</w:t>
            </w:r>
          </w:p>
        </w:tc>
        <w:tc>
          <w:tcPr>
            <w:tcW w:w="829" w:type="dxa"/>
          </w:tcPr>
          <w:p w14:paraId="4DE26A8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(72)</w:t>
            </w:r>
          </w:p>
        </w:tc>
        <w:tc>
          <w:tcPr>
            <w:tcW w:w="828" w:type="dxa"/>
          </w:tcPr>
          <w:p w14:paraId="021ED70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(91)</w:t>
            </w:r>
          </w:p>
        </w:tc>
        <w:tc>
          <w:tcPr>
            <w:tcW w:w="829" w:type="dxa"/>
          </w:tcPr>
          <w:p w14:paraId="742CE52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142</w:t>
            </w:r>
          </w:p>
        </w:tc>
      </w:tr>
      <w:tr w:rsidR="009256ED" w14:paraId="5814A56F"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bottom w:val="single" w:sz="6" w:space="0" w:color="auto"/>
            </w:tcBorders>
          </w:tcPr>
          <w:p w14:paraId="7FAE8782" w14:textId="00D8D6B1" w:rsidR="009256ED" w:rsidRDefault="009256ED" w:rsidP="008670FF">
            <w:r>
              <w:t xml:space="preserve">Add back: operating cash flows not recognised in the </w:t>
            </w:r>
            <w:r w:rsidR="00127940">
              <w:br/>
            </w:r>
            <w:r>
              <w:t xml:space="preserve">net operating balance </w:t>
            </w:r>
            <w:r>
              <w:rPr>
                <w:vertAlign w:val="superscript"/>
              </w:rPr>
              <w:t>(b)</w:t>
            </w:r>
          </w:p>
        </w:tc>
        <w:tc>
          <w:tcPr>
            <w:tcW w:w="828" w:type="dxa"/>
            <w:tcBorders>
              <w:bottom w:val="single" w:sz="6" w:space="0" w:color="auto"/>
            </w:tcBorders>
          </w:tcPr>
          <w:p w14:paraId="6591932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7 194</w:t>
            </w:r>
          </w:p>
        </w:tc>
        <w:tc>
          <w:tcPr>
            <w:tcW w:w="829" w:type="dxa"/>
            <w:tcBorders>
              <w:bottom w:val="single" w:sz="6" w:space="0" w:color="auto"/>
            </w:tcBorders>
          </w:tcPr>
          <w:p w14:paraId="1CC7A5B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9 026</w:t>
            </w:r>
          </w:p>
        </w:tc>
        <w:tc>
          <w:tcPr>
            <w:tcW w:w="828" w:type="dxa"/>
            <w:tcBorders>
              <w:bottom w:val="single" w:sz="6" w:space="0" w:color="auto"/>
            </w:tcBorders>
          </w:tcPr>
          <w:p w14:paraId="322D808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8 899</w:t>
            </w:r>
          </w:p>
        </w:tc>
        <w:tc>
          <w:tcPr>
            <w:tcW w:w="829" w:type="dxa"/>
            <w:tcBorders>
              <w:bottom w:val="single" w:sz="6" w:space="0" w:color="auto"/>
            </w:tcBorders>
          </w:tcPr>
          <w:p w14:paraId="16A8781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8 012</w:t>
            </w:r>
          </w:p>
        </w:tc>
      </w:tr>
      <w:tr w:rsidR="009256ED" w14:paraId="4732BF79"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top w:val="single" w:sz="6" w:space="0" w:color="auto"/>
              <w:bottom w:val="single" w:sz="6" w:space="0" w:color="auto"/>
            </w:tcBorders>
          </w:tcPr>
          <w:p w14:paraId="2B1B764E" w14:textId="77777777" w:rsidR="009256ED" w:rsidRDefault="009256ED" w:rsidP="008670FF">
            <w:r>
              <w:rPr>
                <w:b/>
              </w:rPr>
              <w:t>Net cash flows from operating activities</w:t>
            </w:r>
          </w:p>
        </w:tc>
        <w:tc>
          <w:tcPr>
            <w:tcW w:w="828" w:type="dxa"/>
            <w:tcBorders>
              <w:top w:val="single" w:sz="6" w:space="0" w:color="auto"/>
              <w:bottom w:val="single" w:sz="6" w:space="0" w:color="auto"/>
            </w:tcBorders>
          </w:tcPr>
          <w:p w14:paraId="5796662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2 279</w:t>
            </w:r>
          </w:p>
        </w:tc>
        <w:tc>
          <w:tcPr>
            <w:tcW w:w="829" w:type="dxa"/>
            <w:tcBorders>
              <w:top w:val="single" w:sz="6" w:space="0" w:color="auto"/>
              <w:bottom w:val="single" w:sz="6" w:space="0" w:color="auto"/>
            </w:tcBorders>
          </w:tcPr>
          <w:p w14:paraId="3FD9BB8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8 954</w:t>
            </w:r>
          </w:p>
        </w:tc>
        <w:tc>
          <w:tcPr>
            <w:tcW w:w="828" w:type="dxa"/>
            <w:tcBorders>
              <w:top w:val="single" w:sz="6" w:space="0" w:color="auto"/>
              <w:bottom w:val="single" w:sz="6" w:space="0" w:color="auto"/>
            </w:tcBorders>
          </w:tcPr>
          <w:p w14:paraId="1EFB662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8 808</w:t>
            </w:r>
          </w:p>
        </w:tc>
        <w:tc>
          <w:tcPr>
            <w:tcW w:w="829" w:type="dxa"/>
            <w:tcBorders>
              <w:top w:val="single" w:sz="6" w:space="0" w:color="auto"/>
              <w:bottom w:val="single" w:sz="6" w:space="0" w:color="auto"/>
            </w:tcBorders>
          </w:tcPr>
          <w:p w14:paraId="2D8AF70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8 155</w:t>
            </w:r>
          </w:p>
        </w:tc>
      </w:tr>
      <w:tr w:rsidR="009256ED" w14:paraId="3626762E"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bottom w:val="single" w:sz="6" w:space="0" w:color="auto"/>
            </w:tcBorders>
          </w:tcPr>
          <w:p w14:paraId="00E86432" w14:textId="77777777" w:rsidR="009256ED" w:rsidRDefault="009256ED" w:rsidP="008670FF">
            <w:r>
              <w:rPr>
                <w:b/>
              </w:rPr>
              <w:t xml:space="preserve">Less: Total net investment in fixed assets </w:t>
            </w:r>
            <w:r>
              <w:rPr>
                <w:b/>
                <w:vertAlign w:val="superscript"/>
              </w:rPr>
              <w:t>(c)</w:t>
            </w:r>
          </w:p>
        </w:tc>
        <w:tc>
          <w:tcPr>
            <w:tcW w:w="828" w:type="dxa"/>
            <w:tcBorders>
              <w:bottom w:val="single" w:sz="6" w:space="0" w:color="auto"/>
            </w:tcBorders>
          </w:tcPr>
          <w:p w14:paraId="6E58807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24 844</w:t>
            </w:r>
          </w:p>
        </w:tc>
        <w:tc>
          <w:tcPr>
            <w:tcW w:w="829" w:type="dxa"/>
            <w:tcBorders>
              <w:bottom w:val="single" w:sz="6" w:space="0" w:color="auto"/>
            </w:tcBorders>
          </w:tcPr>
          <w:p w14:paraId="54455F2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23 941</w:t>
            </w:r>
          </w:p>
        </w:tc>
        <w:tc>
          <w:tcPr>
            <w:tcW w:w="828" w:type="dxa"/>
            <w:tcBorders>
              <w:bottom w:val="single" w:sz="6" w:space="0" w:color="auto"/>
            </w:tcBorders>
          </w:tcPr>
          <w:p w14:paraId="04610FC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21 787</w:t>
            </w:r>
          </w:p>
        </w:tc>
        <w:tc>
          <w:tcPr>
            <w:tcW w:w="829" w:type="dxa"/>
            <w:tcBorders>
              <w:bottom w:val="single" w:sz="6" w:space="0" w:color="auto"/>
            </w:tcBorders>
          </w:tcPr>
          <w:p w14:paraId="1AA7E5C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18 263</w:t>
            </w:r>
          </w:p>
        </w:tc>
      </w:tr>
      <w:tr w:rsidR="009256ED" w14:paraId="6DE13C8B"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top w:val="single" w:sz="6" w:space="0" w:color="auto"/>
              <w:bottom w:val="single" w:sz="6" w:space="0" w:color="auto"/>
            </w:tcBorders>
          </w:tcPr>
          <w:p w14:paraId="7C90A4B7" w14:textId="364A86E5" w:rsidR="009256ED" w:rsidRDefault="009256ED" w:rsidP="008670FF">
            <w:r>
              <w:rPr>
                <w:b/>
              </w:rPr>
              <w:t xml:space="preserve">Surplus/(deficit) of cash from operations after funding </w:t>
            </w:r>
            <w:r w:rsidR="00127940">
              <w:rPr>
                <w:b/>
              </w:rPr>
              <w:br/>
            </w:r>
            <w:r>
              <w:rPr>
                <w:b/>
              </w:rPr>
              <w:t>net investments in fixed assets</w:t>
            </w:r>
          </w:p>
        </w:tc>
        <w:tc>
          <w:tcPr>
            <w:tcW w:w="828" w:type="dxa"/>
            <w:tcBorders>
              <w:top w:val="single" w:sz="6" w:space="0" w:color="auto"/>
              <w:bottom w:val="single" w:sz="6" w:space="0" w:color="auto"/>
            </w:tcBorders>
          </w:tcPr>
          <w:p w14:paraId="540BF0C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(22 565)</w:t>
            </w:r>
          </w:p>
        </w:tc>
        <w:tc>
          <w:tcPr>
            <w:tcW w:w="829" w:type="dxa"/>
            <w:tcBorders>
              <w:top w:val="single" w:sz="6" w:space="0" w:color="auto"/>
              <w:bottom w:val="single" w:sz="6" w:space="0" w:color="auto"/>
            </w:tcBorders>
          </w:tcPr>
          <w:p w14:paraId="6921A6B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(14 987)</w:t>
            </w:r>
          </w:p>
        </w:tc>
        <w:tc>
          <w:tcPr>
            <w:tcW w:w="828" w:type="dxa"/>
            <w:tcBorders>
              <w:top w:val="single" w:sz="6" w:space="0" w:color="auto"/>
              <w:bottom w:val="single" w:sz="6" w:space="0" w:color="auto"/>
            </w:tcBorders>
          </w:tcPr>
          <w:p w14:paraId="4B06785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(12 979)</w:t>
            </w:r>
          </w:p>
        </w:tc>
        <w:tc>
          <w:tcPr>
            <w:tcW w:w="829" w:type="dxa"/>
            <w:tcBorders>
              <w:top w:val="single" w:sz="6" w:space="0" w:color="auto"/>
              <w:bottom w:val="single" w:sz="6" w:space="0" w:color="auto"/>
            </w:tcBorders>
          </w:tcPr>
          <w:p w14:paraId="5242F5E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(10 109)</w:t>
            </w:r>
          </w:p>
        </w:tc>
      </w:tr>
      <w:tr w:rsidR="009256ED" w14:paraId="7260EE5B"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top w:val="single" w:sz="6" w:space="0" w:color="auto"/>
            </w:tcBorders>
          </w:tcPr>
          <w:p w14:paraId="74DC8A38" w14:textId="77777777" w:rsidR="009256ED" w:rsidRDefault="009256ED" w:rsidP="008670FF">
            <w:r>
              <w:t>Less:</w:t>
            </w:r>
          </w:p>
        </w:tc>
        <w:tc>
          <w:tcPr>
            <w:tcW w:w="828" w:type="dxa"/>
            <w:tcBorders>
              <w:top w:val="single" w:sz="6" w:space="0" w:color="auto"/>
            </w:tcBorders>
          </w:tcPr>
          <w:p w14:paraId="4BAF6B9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Borders>
              <w:top w:val="single" w:sz="6" w:space="0" w:color="auto"/>
            </w:tcBorders>
          </w:tcPr>
          <w:p w14:paraId="23BEA92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8" w:type="dxa"/>
            <w:tcBorders>
              <w:top w:val="single" w:sz="6" w:space="0" w:color="auto"/>
            </w:tcBorders>
          </w:tcPr>
          <w:p w14:paraId="646C840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Borders>
              <w:top w:val="single" w:sz="6" w:space="0" w:color="auto"/>
            </w:tcBorders>
          </w:tcPr>
          <w:p w14:paraId="3211DD3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05BFD7E5" w14:textId="77777777" w:rsidTr="00157D02">
        <w:tc>
          <w:tcPr>
            <w:cnfStyle w:val="001000000000" w:firstRow="0" w:lastRow="0" w:firstColumn="1" w:lastColumn="0" w:oddVBand="0" w:evenVBand="0" w:oddHBand="0" w:evenHBand="0" w:firstRowFirstColumn="0" w:firstRowLastColumn="0" w:lastRowFirstColumn="0" w:lastRowLastColumn="0"/>
            <w:tcW w:w="4396" w:type="dxa"/>
          </w:tcPr>
          <w:p w14:paraId="0BA515AB" w14:textId="77777777" w:rsidR="009256ED" w:rsidRDefault="009256ED" w:rsidP="008670FF">
            <w:r>
              <w:t xml:space="preserve">Leases and service concession arrangements </w:t>
            </w:r>
            <w:r>
              <w:rPr>
                <w:vertAlign w:val="superscript"/>
              </w:rPr>
              <w:t>(d)</w:t>
            </w:r>
          </w:p>
        </w:tc>
        <w:tc>
          <w:tcPr>
            <w:tcW w:w="828" w:type="dxa"/>
          </w:tcPr>
          <w:p w14:paraId="573CF74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3 867</w:t>
            </w:r>
          </w:p>
        </w:tc>
        <w:tc>
          <w:tcPr>
            <w:tcW w:w="829" w:type="dxa"/>
          </w:tcPr>
          <w:p w14:paraId="58E7DE9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2 305</w:t>
            </w:r>
          </w:p>
        </w:tc>
        <w:tc>
          <w:tcPr>
            <w:tcW w:w="828" w:type="dxa"/>
          </w:tcPr>
          <w:p w14:paraId="5253721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1 203</w:t>
            </w:r>
          </w:p>
        </w:tc>
        <w:tc>
          <w:tcPr>
            <w:tcW w:w="829" w:type="dxa"/>
          </w:tcPr>
          <w:p w14:paraId="664BD1E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917</w:t>
            </w:r>
          </w:p>
        </w:tc>
      </w:tr>
      <w:tr w:rsidR="009256ED" w14:paraId="1DE15CD0"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bottom w:val="single" w:sz="6" w:space="0" w:color="auto"/>
            </w:tcBorders>
          </w:tcPr>
          <w:p w14:paraId="2BCA2B48" w14:textId="77777777" w:rsidR="009256ED" w:rsidRDefault="009256ED" w:rsidP="008670FF">
            <w:r>
              <w:t>Other movements</w:t>
            </w:r>
          </w:p>
        </w:tc>
        <w:tc>
          <w:tcPr>
            <w:tcW w:w="828" w:type="dxa"/>
            <w:tcBorders>
              <w:bottom w:val="single" w:sz="6" w:space="0" w:color="auto"/>
            </w:tcBorders>
          </w:tcPr>
          <w:p w14:paraId="05EB40C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11</w:t>
            </w:r>
          </w:p>
        </w:tc>
        <w:tc>
          <w:tcPr>
            <w:tcW w:w="829" w:type="dxa"/>
            <w:tcBorders>
              <w:bottom w:val="single" w:sz="6" w:space="0" w:color="auto"/>
            </w:tcBorders>
          </w:tcPr>
          <w:p w14:paraId="2D1FC63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(76)</w:t>
            </w:r>
          </w:p>
        </w:tc>
        <w:tc>
          <w:tcPr>
            <w:tcW w:w="828" w:type="dxa"/>
            <w:tcBorders>
              <w:bottom w:val="single" w:sz="6" w:space="0" w:color="auto"/>
            </w:tcBorders>
          </w:tcPr>
          <w:p w14:paraId="3703015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(285)</w:t>
            </w:r>
          </w:p>
        </w:tc>
        <w:tc>
          <w:tcPr>
            <w:tcW w:w="829" w:type="dxa"/>
            <w:tcBorders>
              <w:bottom w:val="single" w:sz="6" w:space="0" w:color="auto"/>
            </w:tcBorders>
          </w:tcPr>
          <w:p w14:paraId="09585C8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(355)</w:t>
            </w:r>
          </w:p>
        </w:tc>
      </w:tr>
      <w:tr w:rsidR="009256ED" w14:paraId="6FAD17F7" w14:textId="77777777" w:rsidTr="00157D02">
        <w:tc>
          <w:tcPr>
            <w:cnfStyle w:val="001000000000" w:firstRow="0" w:lastRow="0" w:firstColumn="1" w:lastColumn="0" w:oddVBand="0" w:evenVBand="0" w:oddHBand="0" w:evenHBand="0" w:firstRowFirstColumn="0" w:firstRowLastColumn="0" w:lastRowFirstColumn="0" w:lastRowLastColumn="0"/>
            <w:tcW w:w="4396" w:type="dxa"/>
            <w:tcBorders>
              <w:top w:val="single" w:sz="6" w:space="0" w:color="auto"/>
              <w:bottom w:val="single" w:sz="12" w:space="0" w:color="auto"/>
            </w:tcBorders>
          </w:tcPr>
          <w:p w14:paraId="69B267E2" w14:textId="77777777" w:rsidR="009256ED" w:rsidRDefault="009256ED" w:rsidP="008670FF">
            <w:r>
              <w:rPr>
                <w:b/>
              </w:rPr>
              <w:t>Decrease/(increase) in net debt</w:t>
            </w:r>
          </w:p>
        </w:tc>
        <w:tc>
          <w:tcPr>
            <w:tcW w:w="828" w:type="dxa"/>
            <w:tcBorders>
              <w:top w:val="single" w:sz="6" w:space="0" w:color="auto"/>
              <w:bottom w:val="single" w:sz="12" w:space="0" w:color="auto"/>
            </w:tcBorders>
          </w:tcPr>
          <w:p w14:paraId="7C483E8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(26 443)</w:t>
            </w:r>
          </w:p>
        </w:tc>
        <w:tc>
          <w:tcPr>
            <w:tcW w:w="829" w:type="dxa"/>
            <w:tcBorders>
              <w:top w:val="single" w:sz="6" w:space="0" w:color="auto"/>
              <w:bottom w:val="single" w:sz="12" w:space="0" w:color="auto"/>
            </w:tcBorders>
          </w:tcPr>
          <w:p w14:paraId="7A9319A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(17 216)</w:t>
            </w:r>
          </w:p>
        </w:tc>
        <w:tc>
          <w:tcPr>
            <w:tcW w:w="828" w:type="dxa"/>
            <w:tcBorders>
              <w:top w:val="single" w:sz="6" w:space="0" w:color="auto"/>
              <w:bottom w:val="single" w:sz="12" w:space="0" w:color="auto"/>
            </w:tcBorders>
          </w:tcPr>
          <w:p w14:paraId="784B210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(13 897)</w:t>
            </w:r>
          </w:p>
        </w:tc>
        <w:tc>
          <w:tcPr>
            <w:tcW w:w="829" w:type="dxa"/>
            <w:tcBorders>
              <w:top w:val="single" w:sz="6" w:space="0" w:color="auto"/>
              <w:bottom w:val="single" w:sz="12" w:space="0" w:color="auto"/>
            </w:tcBorders>
          </w:tcPr>
          <w:p w14:paraId="753E3CB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(10 670)</w:t>
            </w:r>
          </w:p>
        </w:tc>
      </w:tr>
    </w:tbl>
    <w:p w14:paraId="5E7D61EE" w14:textId="77777777" w:rsidR="009256ED" w:rsidRPr="00633128" w:rsidRDefault="009256ED" w:rsidP="009256ED">
      <w:pPr>
        <w:pStyle w:val="Note"/>
      </w:pPr>
      <w:r w:rsidRPr="00633128">
        <w:t>Notes:</w:t>
      </w:r>
    </w:p>
    <w:p w14:paraId="0B22C367" w14:textId="77777777" w:rsidR="009256ED" w:rsidRPr="00633128" w:rsidRDefault="009256ED" w:rsidP="009256ED">
      <w:pPr>
        <w:pStyle w:val="Note"/>
      </w:pPr>
      <w:r w:rsidRPr="00633128">
        <w:t>(a)</w:t>
      </w:r>
      <w:r w:rsidRPr="00633128">
        <w:tab/>
        <w:t>Figures in this table are subject to rounding to the nearest million and may not add up to totals.</w:t>
      </w:r>
    </w:p>
    <w:p w14:paraId="4FAEF506" w14:textId="77777777" w:rsidR="009256ED" w:rsidRPr="00633128" w:rsidRDefault="009256ED" w:rsidP="009256ED">
      <w:pPr>
        <w:pStyle w:val="Note"/>
      </w:pPr>
      <w:r w:rsidRPr="00633128">
        <w:t xml:space="preserve">(b) </w:t>
      </w:r>
      <w:r w:rsidRPr="00633128">
        <w:tab/>
        <w:t>Includes depreciation, prepayments, movements in the superannuation liability and liability of employee benefits, and the progressive unwinding of the grant of a right to the operator liability.</w:t>
      </w:r>
    </w:p>
    <w:p w14:paraId="05FAC046" w14:textId="77777777" w:rsidR="009256ED" w:rsidRPr="00633128" w:rsidRDefault="009256ED" w:rsidP="009256ED">
      <w:pPr>
        <w:pStyle w:val="Note"/>
      </w:pPr>
      <w:r w:rsidRPr="00633128">
        <w:t xml:space="preserve">(c) </w:t>
      </w:r>
      <w:r w:rsidRPr="00633128">
        <w:tab/>
        <w:t>Includes total purchases of plant, property and equipment, and capital contributions to other sectors of government net of proceeds from asset sales.</w:t>
      </w:r>
    </w:p>
    <w:p w14:paraId="7FAEEFC7" w14:textId="77777777" w:rsidR="009256ED" w:rsidRPr="00633128" w:rsidRDefault="009256ED" w:rsidP="009256ED">
      <w:pPr>
        <w:pStyle w:val="Note"/>
      </w:pPr>
      <w:r w:rsidRPr="00633128">
        <w:t>(d)</w:t>
      </w:r>
      <w:r w:rsidRPr="00633128">
        <w:tab/>
        <w:t xml:space="preserve">Includes most operating leases which are now required to be recognised as lease liabilities. This also includes financial liabilities relating to public private partnerships including the </w:t>
      </w:r>
      <w:r w:rsidRPr="00D00A91">
        <w:t xml:space="preserve">Frankston Hospital Redevelopment, the </w:t>
      </w:r>
      <w:r w:rsidRPr="00633128">
        <w:t xml:space="preserve">High Capacity Metro Trains, the </w:t>
      </w:r>
      <w:r w:rsidRPr="00D00A91">
        <w:t xml:space="preserve">Homes Victoria Ground Lease Model Project 2, the </w:t>
      </w:r>
      <w:r w:rsidRPr="00633128">
        <w:t>Metro Tunnel, the new Footscray Hospital, the</w:t>
      </w:r>
      <w:r>
        <w:t xml:space="preserve"> new Melton Hospital, </w:t>
      </w:r>
      <w:r w:rsidRPr="00633128">
        <w:t xml:space="preserve">North East Link – Primary Package (Tunnels), and the </w:t>
      </w:r>
      <w:r w:rsidRPr="00D00A91">
        <w:t>Nyaal Banyul Geelong Convention</w:t>
      </w:r>
      <w:r w:rsidRPr="00633128">
        <w:t xml:space="preserve"> and </w:t>
      </w:r>
      <w:r w:rsidRPr="00D00A91">
        <w:t>Event Centre.</w:t>
      </w:r>
    </w:p>
    <w:p w14:paraId="15C16720" w14:textId="77777777" w:rsidR="00157D02" w:rsidRDefault="00157D02" w:rsidP="009256ED">
      <w:pPr>
        <w:keepNext/>
      </w:pPr>
      <w:bookmarkStart w:id="43" w:name="_Hlk87365304"/>
      <w:bookmarkEnd w:id="42"/>
    </w:p>
    <w:p w14:paraId="7531A7E4" w14:textId="2DB1B6DF" w:rsidR="009256ED" w:rsidRPr="00633128" w:rsidRDefault="009256ED" w:rsidP="009256ED">
      <w:pPr>
        <w:keepNext/>
      </w:pPr>
      <w:r w:rsidRPr="00633128">
        <w:t xml:space="preserve">For the NFPS, the total net investment in fixed assets is projected to </w:t>
      </w:r>
      <w:r w:rsidRPr="005C45DD">
        <w:t>average $22.2 billion</w:t>
      </w:r>
      <w:r w:rsidRPr="00633128">
        <w:t xml:space="preserve"> a year over the budget and forward estimates and</w:t>
      </w:r>
      <w:r>
        <w:t xml:space="preserve">, in addition to the </w:t>
      </w:r>
      <w:r w:rsidRPr="00BF4249">
        <w:t>Government infrastructure investment</w:t>
      </w:r>
      <w:r>
        <w:t xml:space="preserve"> discussed earlier in this chapter,</w:t>
      </w:r>
      <w:r w:rsidRPr="00633128">
        <w:t xml:space="preserve"> includes:</w:t>
      </w:r>
    </w:p>
    <w:p w14:paraId="0D02C6C0" w14:textId="40F9AFCE" w:rsidR="009256ED" w:rsidRPr="00633128" w:rsidRDefault="009256ED" w:rsidP="00157D02">
      <w:pPr>
        <w:pStyle w:val="ListBullet"/>
        <w:ind w:right="-128"/>
      </w:pPr>
      <w:r w:rsidRPr="00633128">
        <w:t xml:space="preserve">investment in transport infrastructure and rolling stock to meet patronage </w:t>
      </w:r>
      <w:r>
        <w:t>levels</w:t>
      </w:r>
      <w:r w:rsidRPr="00633128">
        <w:t xml:space="preserve"> and improve network performance such as the new regional and metropolitan trains, Next</w:t>
      </w:r>
      <w:r w:rsidR="00157D02">
        <w:t> </w:t>
      </w:r>
      <w:r w:rsidRPr="00633128">
        <w:t>Generation Trams, Metro Tunnel infrastructure works and stabling and maintenance facilities for rolling stock</w:t>
      </w:r>
    </w:p>
    <w:p w14:paraId="3E8F5D09" w14:textId="77777777" w:rsidR="009256ED" w:rsidRPr="00633128" w:rsidRDefault="009256ED" w:rsidP="00157D02">
      <w:pPr>
        <w:pStyle w:val="ListBullet"/>
      </w:pPr>
      <w:r>
        <w:t>the State Electricity Commission’s investments in Renewable Energy Parks in Melbourne and Horsham</w:t>
      </w:r>
    </w:p>
    <w:p w14:paraId="1CF0FF55" w14:textId="77777777" w:rsidR="009256ED" w:rsidRPr="00546068" w:rsidRDefault="009256ED" w:rsidP="00157D02">
      <w:pPr>
        <w:pStyle w:val="ListBullet"/>
      </w:pPr>
      <w:r w:rsidRPr="00B63614">
        <w:t>various water and sewer related infrastructure projects, such as the Western Treatment Plant primary treatment capacity upgrade, rollout of digital water meters, various regional Water Treatment and Reclamation Plant upgrades including Bendigo, Gisborne, Wodonga and Warrnambool, and the East Grampians rural water supply project.</w:t>
      </w:r>
      <w:bookmarkEnd w:id="43"/>
    </w:p>
    <w:p w14:paraId="64802A48" w14:textId="77777777" w:rsidR="009256ED" w:rsidRDefault="009256ED" w:rsidP="009256ED">
      <w:pPr>
        <w:pStyle w:val="Heading10"/>
      </w:pPr>
      <w:bookmarkStart w:id="44" w:name="_Toc179455714"/>
      <w:bookmarkStart w:id="45" w:name="_Toc184198771"/>
      <w:bookmarkStart w:id="46" w:name="_Toc184299444"/>
      <w:r>
        <w:t>Non</w:t>
      </w:r>
      <w:r>
        <w:noBreakHyphen/>
        <w:t>financial public sector net debt and net financial liabilities</w:t>
      </w:r>
      <w:bookmarkEnd w:id="44"/>
      <w:bookmarkEnd w:id="45"/>
      <w:bookmarkEnd w:id="46"/>
    </w:p>
    <w:p w14:paraId="23E2F429" w14:textId="77777777" w:rsidR="009256ED" w:rsidRPr="00633128" w:rsidRDefault="009256ED" w:rsidP="009256ED">
      <w:pPr>
        <w:tabs>
          <w:tab w:val="left" w:pos="5316"/>
        </w:tabs>
      </w:pPr>
      <w:r>
        <w:t xml:space="preserve">Table 3.8 details NFPS net debt and </w:t>
      </w:r>
      <w:r w:rsidRPr="00633128">
        <w:t>financial liabilities.</w:t>
      </w:r>
    </w:p>
    <w:p w14:paraId="54BD80DD" w14:textId="77777777" w:rsidR="009256ED" w:rsidRPr="00E56DF7" w:rsidRDefault="009256ED" w:rsidP="00157D02">
      <w:pPr>
        <w:pStyle w:val="TableHeading"/>
        <w:rPr>
          <w:vertAlign w:val="superscript"/>
        </w:rPr>
      </w:pPr>
      <w:r w:rsidRPr="002547AD">
        <w:t>Table 3.8</w:t>
      </w:r>
      <w:r w:rsidRPr="00633128">
        <w:t>:</w:t>
      </w:r>
      <w:r w:rsidRPr="00633128">
        <w:tab/>
        <w:t>Non</w:t>
      </w:r>
      <w:r w:rsidRPr="00633128">
        <w:noBreakHyphen/>
        <w:t xml:space="preserve">financial public sector net debt and financial liabilities </w:t>
      </w:r>
      <w:r w:rsidRPr="00633128">
        <w:rPr>
          <w:vertAlign w:val="superscript"/>
        </w:rPr>
        <w:t>(a)</w:t>
      </w:r>
      <w:r>
        <w:rPr>
          <w:vertAlign w:val="superscript"/>
        </w:rPr>
        <w:tab/>
      </w:r>
      <w:r w:rsidRPr="00633128">
        <w:t>($ billion)</w:t>
      </w:r>
    </w:p>
    <w:tbl>
      <w:tblPr>
        <w:tblStyle w:val="DTFTableNumeric"/>
        <w:tblW w:w="7711" w:type="dxa"/>
        <w:tblLayout w:type="fixed"/>
        <w:tblLook w:val="06A0" w:firstRow="1" w:lastRow="0" w:firstColumn="1" w:lastColumn="0" w:noHBand="1" w:noVBand="1"/>
        <w:tblDescription w:val="Type:DtfTable|Workbook:https://vicgov.sharepoint.com/sites/VG002735/Budget%20Update/Chapter%203/Link_Chapter3_NFPS_WoG.xlsx|Table:NFPS_Ndebt_NFLi|MergedHeadingRow:1|TableGroup:Chapter 3 - WoG"/>
      </w:tblPr>
      <w:tblGrid>
        <w:gridCol w:w="4395"/>
        <w:gridCol w:w="829"/>
        <w:gridCol w:w="829"/>
        <w:gridCol w:w="829"/>
        <w:gridCol w:w="829"/>
      </w:tblGrid>
      <w:tr w:rsidR="009256ED" w14:paraId="119966CB" w14:textId="77777777" w:rsidTr="00157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Pr>
          <w:p w14:paraId="0505926E" w14:textId="77777777" w:rsidR="009256ED" w:rsidRDefault="009256ED" w:rsidP="008670FF">
            <w:pPr>
              <w:keepNext/>
            </w:pPr>
          </w:p>
        </w:tc>
        <w:tc>
          <w:tcPr>
            <w:tcW w:w="829" w:type="dxa"/>
          </w:tcPr>
          <w:p w14:paraId="41CF27E7"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29" w:type="dxa"/>
          </w:tcPr>
          <w:p w14:paraId="433AAD9F"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29" w:type="dxa"/>
          </w:tcPr>
          <w:p w14:paraId="3D238B66"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29" w:type="dxa"/>
          </w:tcPr>
          <w:p w14:paraId="17A78B58"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63B7CE56"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45093996" w14:textId="77777777" w:rsidR="009256ED" w:rsidRDefault="009256ED" w:rsidP="008670FF">
            <w:r>
              <w:rPr>
                <w:b/>
              </w:rPr>
              <w:t>Assets</w:t>
            </w:r>
          </w:p>
        </w:tc>
        <w:tc>
          <w:tcPr>
            <w:tcW w:w="829" w:type="dxa"/>
          </w:tcPr>
          <w:p w14:paraId="0DF3000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Pr>
          <w:p w14:paraId="3E55639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Pr>
          <w:p w14:paraId="6CDA572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Pr>
          <w:p w14:paraId="0F4EF91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17C6B0F1"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1D739C4D" w14:textId="77777777" w:rsidR="009256ED" w:rsidRDefault="009256ED" w:rsidP="008670FF">
            <w:r>
              <w:t>Cash and deposits</w:t>
            </w:r>
          </w:p>
        </w:tc>
        <w:tc>
          <w:tcPr>
            <w:tcW w:w="829" w:type="dxa"/>
          </w:tcPr>
          <w:p w14:paraId="773FEE6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12.8</w:t>
            </w:r>
          </w:p>
        </w:tc>
        <w:tc>
          <w:tcPr>
            <w:tcW w:w="829" w:type="dxa"/>
          </w:tcPr>
          <w:p w14:paraId="6AA969E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13.0</w:t>
            </w:r>
          </w:p>
        </w:tc>
        <w:tc>
          <w:tcPr>
            <w:tcW w:w="829" w:type="dxa"/>
          </w:tcPr>
          <w:p w14:paraId="00510BF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13.5</w:t>
            </w:r>
          </w:p>
        </w:tc>
        <w:tc>
          <w:tcPr>
            <w:tcW w:w="829" w:type="dxa"/>
          </w:tcPr>
          <w:p w14:paraId="4044503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14.4</w:t>
            </w:r>
          </w:p>
        </w:tc>
      </w:tr>
      <w:tr w:rsidR="009256ED" w14:paraId="29A95473"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3C7ED6AE" w14:textId="77777777" w:rsidR="009256ED" w:rsidRDefault="009256ED" w:rsidP="008670FF">
            <w:r>
              <w:t>Advances paid</w:t>
            </w:r>
          </w:p>
        </w:tc>
        <w:tc>
          <w:tcPr>
            <w:tcW w:w="829" w:type="dxa"/>
          </w:tcPr>
          <w:p w14:paraId="68FEB5D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0.4</w:t>
            </w:r>
          </w:p>
        </w:tc>
        <w:tc>
          <w:tcPr>
            <w:tcW w:w="829" w:type="dxa"/>
          </w:tcPr>
          <w:p w14:paraId="0E92D0C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0.4</w:t>
            </w:r>
          </w:p>
        </w:tc>
        <w:tc>
          <w:tcPr>
            <w:tcW w:w="829" w:type="dxa"/>
          </w:tcPr>
          <w:p w14:paraId="3160035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0.4</w:t>
            </w:r>
          </w:p>
        </w:tc>
        <w:tc>
          <w:tcPr>
            <w:tcW w:w="829" w:type="dxa"/>
          </w:tcPr>
          <w:p w14:paraId="4B6CD80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0.4</w:t>
            </w:r>
          </w:p>
        </w:tc>
      </w:tr>
      <w:tr w:rsidR="009256ED" w14:paraId="110EDB0E"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bottom w:val="single" w:sz="6" w:space="0" w:color="auto"/>
            </w:tcBorders>
          </w:tcPr>
          <w:p w14:paraId="60197E91" w14:textId="77777777" w:rsidR="009256ED" w:rsidRDefault="009256ED" w:rsidP="008670FF">
            <w:r>
              <w:t>Investments, loans and placements</w:t>
            </w:r>
          </w:p>
        </w:tc>
        <w:tc>
          <w:tcPr>
            <w:tcW w:w="829" w:type="dxa"/>
            <w:tcBorders>
              <w:bottom w:val="single" w:sz="6" w:space="0" w:color="auto"/>
            </w:tcBorders>
          </w:tcPr>
          <w:p w14:paraId="4D1962C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17.7</w:t>
            </w:r>
          </w:p>
        </w:tc>
        <w:tc>
          <w:tcPr>
            <w:tcW w:w="829" w:type="dxa"/>
            <w:tcBorders>
              <w:bottom w:val="single" w:sz="6" w:space="0" w:color="auto"/>
            </w:tcBorders>
          </w:tcPr>
          <w:p w14:paraId="61EE7D6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18.9</w:t>
            </w:r>
          </w:p>
        </w:tc>
        <w:tc>
          <w:tcPr>
            <w:tcW w:w="829" w:type="dxa"/>
            <w:tcBorders>
              <w:bottom w:val="single" w:sz="6" w:space="0" w:color="auto"/>
            </w:tcBorders>
          </w:tcPr>
          <w:p w14:paraId="154D927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20.3</w:t>
            </w:r>
          </w:p>
        </w:tc>
        <w:tc>
          <w:tcPr>
            <w:tcW w:w="829" w:type="dxa"/>
            <w:tcBorders>
              <w:bottom w:val="single" w:sz="6" w:space="0" w:color="auto"/>
            </w:tcBorders>
          </w:tcPr>
          <w:p w14:paraId="5BF9967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21.9</w:t>
            </w:r>
          </w:p>
        </w:tc>
      </w:tr>
      <w:tr w:rsidR="009256ED" w14:paraId="3DD5F216"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auto"/>
            </w:tcBorders>
          </w:tcPr>
          <w:p w14:paraId="01F670EC" w14:textId="77777777" w:rsidR="009256ED" w:rsidRDefault="009256ED" w:rsidP="008670FF">
            <w:r>
              <w:rPr>
                <w:b/>
              </w:rPr>
              <w:t>Total</w:t>
            </w:r>
          </w:p>
        </w:tc>
        <w:tc>
          <w:tcPr>
            <w:tcW w:w="829" w:type="dxa"/>
            <w:tcBorders>
              <w:top w:val="single" w:sz="6" w:space="0" w:color="auto"/>
            </w:tcBorders>
          </w:tcPr>
          <w:p w14:paraId="6656B02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30.9</w:t>
            </w:r>
          </w:p>
        </w:tc>
        <w:tc>
          <w:tcPr>
            <w:tcW w:w="829" w:type="dxa"/>
            <w:tcBorders>
              <w:top w:val="single" w:sz="6" w:space="0" w:color="auto"/>
            </w:tcBorders>
          </w:tcPr>
          <w:p w14:paraId="26AFA3C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32.2</w:t>
            </w:r>
          </w:p>
        </w:tc>
        <w:tc>
          <w:tcPr>
            <w:tcW w:w="829" w:type="dxa"/>
            <w:tcBorders>
              <w:top w:val="single" w:sz="6" w:space="0" w:color="auto"/>
            </w:tcBorders>
          </w:tcPr>
          <w:p w14:paraId="3B2AE63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34.2</w:t>
            </w:r>
          </w:p>
        </w:tc>
        <w:tc>
          <w:tcPr>
            <w:tcW w:w="829" w:type="dxa"/>
            <w:tcBorders>
              <w:top w:val="single" w:sz="6" w:space="0" w:color="auto"/>
            </w:tcBorders>
          </w:tcPr>
          <w:p w14:paraId="77CE3BB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36.6</w:t>
            </w:r>
          </w:p>
        </w:tc>
      </w:tr>
      <w:tr w:rsidR="009256ED" w14:paraId="6027A054"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53B513BA" w14:textId="77777777" w:rsidR="009256ED" w:rsidRDefault="009256ED" w:rsidP="008670FF">
            <w:r>
              <w:rPr>
                <w:b/>
              </w:rPr>
              <w:t>Liabilities</w:t>
            </w:r>
          </w:p>
        </w:tc>
        <w:tc>
          <w:tcPr>
            <w:tcW w:w="829" w:type="dxa"/>
          </w:tcPr>
          <w:p w14:paraId="64C2A95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Pr>
          <w:p w14:paraId="1AE6BE6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Pr>
          <w:p w14:paraId="21243D4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29" w:type="dxa"/>
          </w:tcPr>
          <w:p w14:paraId="0650ADC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74F120A2"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6B3EAC13" w14:textId="77777777" w:rsidR="009256ED" w:rsidRDefault="009256ED" w:rsidP="008670FF">
            <w:r>
              <w:t>Deposits held and advances received</w:t>
            </w:r>
          </w:p>
        </w:tc>
        <w:tc>
          <w:tcPr>
            <w:tcW w:w="829" w:type="dxa"/>
          </w:tcPr>
          <w:p w14:paraId="5E5C54E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1.7</w:t>
            </w:r>
          </w:p>
        </w:tc>
        <w:tc>
          <w:tcPr>
            <w:tcW w:w="829" w:type="dxa"/>
          </w:tcPr>
          <w:p w14:paraId="17311ED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1.7</w:t>
            </w:r>
          </w:p>
        </w:tc>
        <w:tc>
          <w:tcPr>
            <w:tcW w:w="829" w:type="dxa"/>
          </w:tcPr>
          <w:p w14:paraId="527A106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1.6</w:t>
            </w:r>
          </w:p>
        </w:tc>
        <w:tc>
          <w:tcPr>
            <w:tcW w:w="829" w:type="dxa"/>
          </w:tcPr>
          <w:p w14:paraId="2FD40C8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1.6</w:t>
            </w:r>
          </w:p>
        </w:tc>
      </w:tr>
      <w:tr w:rsidR="009256ED" w14:paraId="1B59A044"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bottom w:val="single" w:sz="6" w:space="0" w:color="auto"/>
            </w:tcBorders>
          </w:tcPr>
          <w:p w14:paraId="617DCA48" w14:textId="77777777" w:rsidR="009256ED" w:rsidRDefault="009256ED" w:rsidP="008670FF">
            <w:r>
              <w:t>Borrowings</w:t>
            </w:r>
          </w:p>
        </w:tc>
        <w:tc>
          <w:tcPr>
            <w:tcW w:w="829" w:type="dxa"/>
            <w:tcBorders>
              <w:bottom w:val="single" w:sz="6" w:space="0" w:color="auto"/>
            </w:tcBorders>
          </w:tcPr>
          <w:p w14:paraId="31C6077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210.9</w:t>
            </w:r>
          </w:p>
        </w:tc>
        <w:tc>
          <w:tcPr>
            <w:tcW w:w="829" w:type="dxa"/>
            <w:tcBorders>
              <w:bottom w:val="single" w:sz="6" w:space="0" w:color="auto"/>
            </w:tcBorders>
          </w:tcPr>
          <w:p w14:paraId="151A56B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229.5</w:t>
            </w:r>
          </w:p>
        </w:tc>
        <w:tc>
          <w:tcPr>
            <w:tcW w:w="829" w:type="dxa"/>
            <w:tcBorders>
              <w:bottom w:val="single" w:sz="6" w:space="0" w:color="auto"/>
            </w:tcBorders>
          </w:tcPr>
          <w:p w14:paraId="2E7DCAE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245.4</w:t>
            </w:r>
          </w:p>
        </w:tc>
        <w:tc>
          <w:tcPr>
            <w:tcW w:w="829" w:type="dxa"/>
            <w:tcBorders>
              <w:bottom w:val="single" w:sz="6" w:space="0" w:color="auto"/>
            </w:tcBorders>
          </w:tcPr>
          <w:p w14:paraId="2ADDD5A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258.5</w:t>
            </w:r>
          </w:p>
        </w:tc>
      </w:tr>
      <w:tr w:rsidR="009256ED" w14:paraId="26F7C18D"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auto"/>
            </w:tcBorders>
          </w:tcPr>
          <w:p w14:paraId="58660035" w14:textId="77777777" w:rsidR="009256ED" w:rsidRDefault="009256ED" w:rsidP="008670FF">
            <w:r>
              <w:rPr>
                <w:b/>
              </w:rPr>
              <w:t>Total</w:t>
            </w:r>
          </w:p>
        </w:tc>
        <w:tc>
          <w:tcPr>
            <w:tcW w:w="829" w:type="dxa"/>
            <w:tcBorders>
              <w:top w:val="single" w:sz="6" w:space="0" w:color="auto"/>
            </w:tcBorders>
          </w:tcPr>
          <w:p w14:paraId="5C22D13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212.6</w:t>
            </w:r>
          </w:p>
        </w:tc>
        <w:tc>
          <w:tcPr>
            <w:tcW w:w="829" w:type="dxa"/>
            <w:tcBorders>
              <w:top w:val="single" w:sz="6" w:space="0" w:color="auto"/>
            </w:tcBorders>
          </w:tcPr>
          <w:p w14:paraId="3EC1DEC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231.2</w:t>
            </w:r>
          </w:p>
        </w:tc>
        <w:tc>
          <w:tcPr>
            <w:tcW w:w="829" w:type="dxa"/>
            <w:tcBorders>
              <w:top w:val="single" w:sz="6" w:space="0" w:color="auto"/>
            </w:tcBorders>
          </w:tcPr>
          <w:p w14:paraId="2E8CA5C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247.1</w:t>
            </w:r>
          </w:p>
        </w:tc>
        <w:tc>
          <w:tcPr>
            <w:tcW w:w="829" w:type="dxa"/>
            <w:tcBorders>
              <w:top w:val="single" w:sz="6" w:space="0" w:color="auto"/>
            </w:tcBorders>
          </w:tcPr>
          <w:p w14:paraId="64BFA3B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260.2</w:t>
            </w:r>
          </w:p>
        </w:tc>
      </w:tr>
      <w:tr w:rsidR="009256ED" w14:paraId="7C8A1162"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09C9088E" w14:textId="77777777" w:rsidR="009256ED" w:rsidRDefault="009256ED" w:rsidP="008670FF">
            <w:r>
              <w:rPr>
                <w:b/>
              </w:rPr>
              <w:t xml:space="preserve">Net debt </w:t>
            </w:r>
            <w:r>
              <w:rPr>
                <w:b/>
                <w:vertAlign w:val="superscript"/>
              </w:rPr>
              <w:t>(b)</w:t>
            </w:r>
          </w:p>
        </w:tc>
        <w:tc>
          <w:tcPr>
            <w:tcW w:w="829" w:type="dxa"/>
          </w:tcPr>
          <w:p w14:paraId="0059EA4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181.8</w:t>
            </w:r>
          </w:p>
        </w:tc>
        <w:tc>
          <w:tcPr>
            <w:tcW w:w="829" w:type="dxa"/>
          </w:tcPr>
          <w:p w14:paraId="147CA21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199.0</w:t>
            </w:r>
          </w:p>
        </w:tc>
        <w:tc>
          <w:tcPr>
            <w:tcW w:w="829" w:type="dxa"/>
          </w:tcPr>
          <w:p w14:paraId="0C6259F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212.9</w:t>
            </w:r>
          </w:p>
        </w:tc>
        <w:tc>
          <w:tcPr>
            <w:tcW w:w="829" w:type="dxa"/>
          </w:tcPr>
          <w:p w14:paraId="34214CB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223.5</w:t>
            </w:r>
          </w:p>
        </w:tc>
      </w:tr>
      <w:tr w:rsidR="009256ED" w14:paraId="506F2780"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bottom w:val="single" w:sz="6" w:space="0" w:color="auto"/>
            </w:tcBorders>
          </w:tcPr>
          <w:p w14:paraId="57C9D263" w14:textId="77777777" w:rsidR="009256ED" w:rsidRDefault="009256ED" w:rsidP="008670FF">
            <w:r>
              <w:t>Superannuation liability</w:t>
            </w:r>
          </w:p>
        </w:tc>
        <w:tc>
          <w:tcPr>
            <w:tcW w:w="829" w:type="dxa"/>
            <w:tcBorders>
              <w:bottom w:val="single" w:sz="6" w:space="0" w:color="auto"/>
            </w:tcBorders>
          </w:tcPr>
          <w:p w14:paraId="74990E7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19.3</w:t>
            </w:r>
          </w:p>
        </w:tc>
        <w:tc>
          <w:tcPr>
            <w:tcW w:w="829" w:type="dxa"/>
            <w:tcBorders>
              <w:bottom w:val="single" w:sz="6" w:space="0" w:color="auto"/>
            </w:tcBorders>
          </w:tcPr>
          <w:p w14:paraId="2ECD81D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19.6</w:t>
            </w:r>
          </w:p>
        </w:tc>
        <w:tc>
          <w:tcPr>
            <w:tcW w:w="829" w:type="dxa"/>
            <w:tcBorders>
              <w:bottom w:val="single" w:sz="6" w:space="0" w:color="auto"/>
            </w:tcBorders>
          </w:tcPr>
          <w:p w14:paraId="1CF9EF9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19.8</w:t>
            </w:r>
          </w:p>
        </w:tc>
        <w:tc>
          <w:tcPr>
            <w:tcW w:w="829" w:type="dxa"/>
            <w:tcBorders>
              <w:bottom w:val="single" w:sz="6" w:space="0" w:color="auto"/>
            </w:tcBorders>
          </w:tcPr>
          <w:p w14:paraId="3B69445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18.7</w:t>
            </w:r>
          </w:p>
        </w:tc>
      </w:tr>
      <w:tr w:rsidR="009256ED" w14:paraId="6CE6229F"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auto"/>
            </w:tcBorders>
          </w:tcPr>
          <w:p w14:paraId="534B434C" w14:textId="77777777" w:rsidR="009256ED" w:rsidRDefault="009256ED" w:rsidP="008670FF">
            <w:r>
              <w:rPr>
                <w:b/>
              </w:rPr>
              <w:t>Net debt plus superannuation liability</w:t>
            </w:r>
          </w:p>
        </w:tc>
        <w:tc>
          <w:tcPr>
            <w:tcW w:w="829" w:type="dxa"/>
            <w:tcBorders>
              <w:top w:val="single" w:sz="6" w:space="0" w:color="auto"/>
            </w:tcBorders>
          </w:tcPr>
          <w:p w14:paraId="0961A6B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201.1</w:t>
            </w:r>
          </w:p>
        </w:tc>
        <w:tc>
          <w:tcPr>
            <w:tcW w:w="829" w:type="dxa"/>
            <w:tcBorders>
              <w:top w:val="single" w:sz="6" w:space="0" w:color="auto"/>
            </w:tcBorders>
          </w:tcPr>
          <w:p w14:paraId="024631E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218.6</w:t>
            </w:r>
          </w:p>
        </w:tc>
        <w:tc>
          <w:tcPr>
            <w:tcW w:w="829" w:type="dxa"/>
            <w:tcBorders>
              <w:top w:val="single" w:sz="6" w:space="0" w:color="auto"/>
            </w:tcBorders>
          </w:tcPr>
          <w:p w14:paraId="59F4EF7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232.7</w:t>
            </w:r>
          </w:p>
        </w:tc>
        <w:tc>
          <w:tcPr>
            <w:tcW w:w="829" w:type="dxa"/>
            <w:tcBorders>
              <w:top w:val="single" w:sz="6" w:space="0" w:color="auto"/>
            </w:tcBorders>
          </w:tcPr>
          <w:p w14:paraId="24946B5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242.2</w:t>
            </w:r>
          </w:p>
        </w:tc>
      </w:tr>
      <w:tr w:rsidR="009256ED" w14:paraId="2C4E734B"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bottom w:val="single" w:sz="6" w:space="0" w:color="auto"/>
            </w:tcBorders>
          </w:tcPr>
          <w:p w14:paraId="53CB14F0" w14:textId="77777777" w:rsidR="009256ED" w:rsidRDefault="009256ED" w:rsidP="008670FF">
            <w:r>
              <w:t xml:space="preserve">Other liabilities (net) </w:t>
            </w:r>
            <w:r>
              <w:rPr>
                <w:vertAlign w:val="superscript"/>
              </w:rPr>
              <w:t>(c)</w:t>
            </w:r>
          </w:p>
        </w:tc>
        <w:tc>
          <w:tcPr>
            <w:tcW w:w="829" w:type="dxa"/>
            <w:tcBorders>
              <w:bottom w:val="single" w:sz="6" w:space="0" w:color="auto"/>
            </w:tcBorders>
          </w:tcPr>
          <w:p w14:paraId="30EF19A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41.2</w:t>
            </w:r>
          </w:p>
        </w:tc>
        <w:tc>
          <w:tcPr>
            <w:tcW w:w="829" w:type="dxa"/>
            <w:tcBorders>
              <w:bottom w:val="single" w:sz="6" w:space="0" w:color="auto"/>
            </w:tcBorders>
          </w:tcPr>
          <w:p w14:paraId="5FB8B73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40.5</w:t>
            </w:r>
          </w:p>
        </w:tc>
        <w:tc>
          <w:tcPr>
            <w:tcW w:w="829" w:type="dxa"/>
            <w:tcBorders>
              <w:bottom w:val="single" w:sz="6" w:space="0" w:color="auto"/>
            </w:tcBorders>
          </w:tcPr>
          <w:p w14:paraId="4C58DF9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39.4</w:t>
            </w:r>
          </w:p>
        </w:tc>
        <w:tc>
          <w:tcPr>
            <w:tcW w:w="829" w:type="dxa"/>
            <w:tcBorders>
              <w:bottom w:val="single" w:sz="6" w:space="0" w:color="auto"/>
            </w:tcBorders>
          </w:tcPr>
          <w:p w14:paraId="0886895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38.6</w:t>
            </w:r>
          </w:p>
        </w:tc>
      </w:tr>
      <w:tr w:rsidR="009256ED" w14:paraId="5B42FE08"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top w:val="single" w:sz="6" w:space="0" w:color="auto"/>
              <w:bottom w:val="single" w:sz="6" w:space="0" w:color="auto"/>
            </w:tcBorders>
          </w:tcPr>
          <w:p w14:paraId="58A9C4AF" w14:textId="77777777" w:rsidR="009256ED" w:rsidRDefault="009256ED" w:rsidP="008670FF">
            <w:r>
              <w:rPr>
                <w:b/>
              </w:rPr>
              <w:t xml:space="preserve">Net financial liabilities </w:t>
            </w:r>
            <w:r>
              <w:rPr>
                <w:b/>
                <w:vertAlign w:val="superscript"/>
              </w:rPr>
              <w:t>(d)</w:t>
            </w:r>
          </w:p>
        </w:tc>
        <w:tc>
          <w:tcPr>
            <w:tcW w:w="829" w:type="dxa"/>
            <w:tcBorders>
              <w:top w:val="single" w:sz="6" w:space="0" w:color="auto"/>
              <w:bottom w:val="single" w:sz="6" w:space="0" w:color="auto"/>
            </w:tcBorders>
          </w:tcPr>
          <w:p w14:paraId="03EB4F8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242.3</w:t>
            </w:r>
          </w:p>
        </w:tc>
        <w:tc>
          <w:tcPr>
            <w:tcW w:w="829" w:type="dxa"/>
            <w:tcBorders>
              <w:top w:val="single" w:sz="6" w:space="0" w:color="auto"/>
              <w:bottom w:val="single" w:sz="6" w:space="0" w:color="auto"/>
            </w:tcBorders>
          </w:tcPr>
          <w:p w14:paraId="7555F13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259.1</w:t>
            </w:r>
          </w:p>
        </w:tc>
        <w:tc>
          <w:tcPr>
            <w:tcW w:w="829" w:type="dxa"/>
            <w:tcBorders>
              <w:top w:val="single" w:sz="6" w:space="0" w:color="auto"/>
              <w:bottom w:val="single" w:sz="6" w:space="0" w:color="auto"/>
            </w:tcBorders>
          </w:tcPr>
          <w:p w14:paraId="7D138D4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272.0</w:t>
            </w:r>
          </w:p>
        </w:tc>
        <w:tc>
          <w:tcPr>
            <w:tcW w:w="829" w:type="dxa"/>
            <w:tcBorders>
              <w:top w:val="single" w:sz="6" w:space="0" w:color="auto"/>
              <w:bottom w:val="single" w:sz="6" w:space="0" w:color="auto"/>
            </w:tcBorders>
          </w:tcPr>
          <w:p w14:paraId="722046A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Pr>
                <w:b/>
              </w:rPr>
              <w:t>280.8</w:t>
            </w:r>
          </w:p>
        </w:tc>
      </w:tr>
      <w:tr w:rsidR="009256ED" w14:paraId="283BCC3F" w14:textId="77777777" w:rsidTr="008670FF">
        <w:tc>
          <w:tcPr>
            <w:cnfStyle w:val="001000000000" w:firstRow="0" w:lastRow="0" w:firstColumn="1" w:lastColumn="0" w:oddVBand="0" w:evenVBand="0" w:oddHBand="0" w:evenHBand="0" w:firstRowFirstColumn="0" w:firstRowLastColumn="0" w:lastRowFirstColumn="0" w:lastRowLastColumn="0"/>
            <w:tcW w:w="7711" w:type="dxa"/>
            <w:gridSpan w:val="5"/>
            <w:tcBorders>
              <w:top w:val="single" w:sz="6" w:space="0" w:color="auto"/>
            </w:tcBorders>
          </w:tcPr>
          <w:p w14:paraId="34186DDF" w14:textId="77777777" w:rsidR="009256ED" w:rsidRDefault="009256ED" w:rsidP="00723C6B">
            <w:pPr>
              <w:pStyle w:val="TableHeading"/>
              <w:spacing w:before="120"/>
              <w:jc w:val="right"/>
            </w:pPr>
            <w:r w:rsidRPr="00813D6D">
              <w:t>(pe</w:t>
            </w:r>
            <w:r>
              <w:t>r</w:t>
            </w:r>
            <w:r w:rsidRPr="00813D6D">
              <w:t xml:space="preserve"> cent)</w:t>
            </w:r>
          </w:p>
        </w:tc>
      </w:tr>
      <w:tr w:rsidR="009256ED" w14:paraId="3C226E3D"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19174443" w14:textId="77777777" w:rsidR="009256ED" w:rsidRDefault="009256ED" w:rsidP="008670FF">
            <w:r>
              <w:t xml:space="preserve">Net debt to GSP </w:t>
            </w:r>
            <w:r>
              <w:rPr>
                <w:vertAlign w:val="superscript"/>
              </w:rPr>
              <w:t>(e)</w:t>
            </w:r>
          </w:p>
        </w:tc>
        <w:tc>
          <w:tcPr>
            <w:tcW w:w="829" w:type="dxa"/>
          </w:tcPr>
          <w:p w14:paraId="2CA27AB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28.4</w:t>
            </w:r>
          </w:p>
        </w:tc>
        <w:tc>
          <w:tcPr>
            <w:tcW w:w="829" w:type="dxa"/>
          </w:tcPr>
          <w:p w14:paraId="704B413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29.5</w:t>
            </w:r>
          </w:p>
        </w:tc>
        <w:tc>
          <w:tcPr>
            <w:tcW w:w="829" w:type="dxa"/>
          </w:tcPr>
          <w:p w14:paraId="12116FF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30.0</w:t>
            </w:r>
          </w:p>
        </w:tc>
        <w:tc>
          <w:tcPr>
            <w:tcW w:w="829" w:type="dxa"/>
          </w:tcPr>
          <w:p w14:paraId="420104D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29.9</w:t>
            </w:r>
          </w:p>
        </w:tc>
      </w:tr>
      <w:tr w:rsidR="009256ED" w14:paraId="1143BC4B"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0FEBE95D" w14:textId="77777777" w:rsidR="009256ED" w:rsidRDefault="009256ED" w:rsidP="008670FF">
            <w:r>
              <w:t xml:space="preserve">Net debt plus superannuation liability to GSP </w:t>
            </w:r>
            <w:r>
              <w:rPr>
                <w:vertAlign w:val="superscript"/>
              </w:rPr>
              <w:t>(e)</w:t>
            </w:r>
          </w:p>
        </w:tc>
        <w:tc>
          <w:tcPr>
            <w:tcW w:w="829" w:type="dxa"/>
          </w:tcPr>
          <w:p w14:paraId="6864480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31.4</w:t>
            </w:r>
          </w:p>
        </w:tc>
        <w:tc>
          <w:tcPr>
            <w:tcW w:w="829" w:type="dxa"/>
          </w:tcPr>
          <w:p w14:paraId="6A2C646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32.4</w:t>
            </w:r>
          </w:p>
        </w:tc>
        <w:tc>
          <w:tcPr>
            <w:tcW w:w="829" w:type="dxa"/>
          </w:tcPr>
          <w:p w14:paraId="441482C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32.8</w:t>
            </w:r>
          </w:p>
        </w:tc>
        <w:tc>
          <w:tcPr>
            <w:tcW w:w="829" w:type="dxa"/>
          </w:tcPr>
          <w:p w14:paraId="61EB0C4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32.4</w:t>
            </w:r>
          </w:p>
        </w:tc>
      </w:tr>
      <w:tr w:rsidR="009256ED" w14:paraId="3C231CB4"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6E9B464F" w14:textId="77777777" w:rsidR="009256ED" w:rsidRDefault="009256ED" w:rsidP="008670FF">
            <w:r>
              <w:t xml:space="preserve">Net financial liabilities to GSP </w:t>
            </w:r>
            <w:r>
              <w:rPr>
                <w:vertAlign w:val="superscript"/>
              </w:rPr>
              <w:t>(e)</w:t>
            </w:r>
          </w:p>
        </w:tc>
        <w:tc>
          <w:tcPr>
            <w:tcW w:w="829" w:type="dxa"/>
          </w:tcPr>
          <w:p w14:paraId="55E5465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37.8</w:t>
            </w:r>
          </w:p>
        </w:tc>
        <w:tc>
          <w:tcPr>
            <w:tcW w:w="829" w:type="dxa"/>
          </w:tcPr>
          <w:p w14:paraId="57C7C14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38.4</w:t>
            </w:r>
          </w:p>
        </w:tc>
        <w:tc>
          <w:tcPr>
            <w:tcW w:w="829" w:type="dxa"/>
          </w:tcPr>
          <w:p w14:paraId="254ECCE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38.3</w:t>
            </w:r>
          </w:p>
        </w:tc>
        <w:tc>
          <w:tcPr>
            <w:tcW w:w="829" w:type="dxa"/>
          </w:tcPr>
          <w:p w14:paraId="5B17D3B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37.5</w:t>
            </w:r>
          </w:p>
        </w:tc>
      </w:tr>
      <w:tr w:rsidR="009256ED" w14:paraId="72C306A6"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bottom w:val="single" w:sz="12" w:space="0" w:color="auto"/>
            </w:tcBorders>
          </w:tcPr>
          <w:p w14:paraId="2A1108D2" w14:textId="77777777" w:rsidR="009256ED" w:rsidRDefault="009256ED" w:rsidP="008670FF">
            <w:r>
              <w:t xml:space="preserve">Net debt plus superannuation liability to revenue </w:t>
            </w:r>
            <w:r>
              <w:rPr>
                <w:vertAlign w:val="superscript"/>
              </w:rPr>
              <w:t>(f)</w:t>
            </w:r>
          </w:p>
        </w:tc>
        <w:tc>
          <w:tcPr>
            <w:tcW w:w="829" w:type="dxa"/>
            <w:tcBorders>
              <w:bottom w:val="single" w:sz="12" w:space="0" w:color="auto"/>
            </w:tcBorders>
          </w:tcPr>
          <w:p w14:paraId="6A8C3B8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191.3</w:t>
            </w:r>
          </w:p>
        </w:tc>
        <w:tc>
          <w:tcPr>
            <w:tcW w:w="829" w:type="dxa"/>
            <w:tcBorders>
              <w:bottom w:val="single" w:sz="12" w:space="0" w:color="auto"/>
            </w:tcBorders>
          </w:tcPr>
          <w:p w14:paraId="20D5733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197.1</w:t>
            </w:r>
          </w:p>
        </w:tc>
        <w:tc>
          <w:tcPr>
            <w:tcW w:w="829" w:type="dxa"/>
            <w:tcBorders>
              <w:bottom w:val="single" w:sz="12" w:space="0" w:color="auto"/>
            </w:tcBorders>
          </w:tcPr>
          <w:p w14:paraId="37B169B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202.6</w:t>
            </w:r>
          </w:p>
        </w:tc>
        <w:tc>
          <w:tcPr>
            <w:tcW w:w="829" w:type="dxa"/>
            <w:tcBorders>
              <w:bottom w:val="single" w:sz="12" w:space="0" w:color="auto"/>
            </w:tcBorders>
          </w:tcPr>
          <w:p w14:paraId="2C311A1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204.5</w:t>
            </w:r>
          </w:p>
        </w:tc>
      </w:tr>
    </w:tbl>
    <w:p w14:paraId="3EE2F8C7" w14:textId="77777777" w:rsidR="009256ED" w:rsidRPr="00633128" w:rsidRDefault="009256ED" w:rsidP="009256ED">
      <w:pPr>
        <w:pStyle w:val="Note"/>
      </w:pPr>
      <w:r w:rsidRPr="00633128">
        <w:t>Notes:</w:t>
      </w:r>
    </w:p>
    <w:p w14:paraId="246EC87B" w14:textId="77777777" w:rsidR="009256ED" w:rsidRPr="00633128" w:rsidRDefault="009256ED" w:rsidP="009256ED">
      <w:pPr>
        <w:pStyle w:val="Note"/>
      </w:pPr>
      <w:r w:rsidRPr="00633128">
        <w:t>(a)</w:t>
      </w:r>
      <w:r w:rsidRPr="00633128">
        <w:tab/>
        <w:t>Figures in this table are subject to rounding to the nearest million and may not add up to totals.</w:t>
      </w:r>
    </w:p>
    <w:p w14:paraId="490DD686" w14:textId="77777777" w:rsidR="009256ED" w:rsidRPr="00633128" w:rsidRDefault="009256ED" w:rsidP="009256ED">
      <w:pPr>
        <w:pStyle w:val="Note"/>
      </w:pPr>
      <w:r w:rsidRPr="00633128">
        <w:t>(b)</w:t>
      </w:r>
      <w:r w:rsidRPr="00633128">
        <w:tab/>
        <w:t>Net debt is the sum of borrowings, deposits held and advances received less the sum of cash and deposits, advances paid, and investments, loans and placements.</w:t>
      </w:r>
    </w:p>
    <w:p w14:paraId="32EBA33B" w14:textId="77777777" w:rsidR="009256ED" w:rsidRPr="00633128" w:rsidRDefault="009256ED" w:rsidP="009256ED">
      <w:pPr>
        <w:pStyle w:val="Note"/>
      </w:pPr>
      <w:r w:rsidRPr="00633128">
        <w:t>(c)</w:t>
      </w:r>
      <w:r w:rsidRPr="00633128">
        <w:tab/>
        <w:t>Other liabilities include other employee entitlements and provisions and other non-equity liabilities, less other non-equity financial assets.</w:t>
      </w:r>
    </w:p>
    <w:p w14:paraId="14E1CC07" w14:textId="77777777" w:rsidR="009256ED" w:rsidRPr="00633128" w:rsidRDefault="009256ED" w:rsidP="009256ED">
      <w:pPr>
        <w:pStyle w:val="Note"/>
      </w:pPr>
      <w:r w:rsidRPr="00633128">
        <w:t>(d)</w:t>
      </w:r>
      <w:r w:rsidRPr="00633128">
        <w:tab/>
        <w:t>Net financial liabilities is total liabilities less financial assets (excluding investments in other sector entities).</w:t>
      </w:r>
    </w:p>
    <w:p w14:paraId="355CE7DC" w14:textId="77777777" w:rsidR="009256ED" w:rsidRPr="00633128" w:rsidRDefault="009256ED" w:rsidP="009256ED">
      <w:pPr>
        <w:pStyle w:val="Note"/>
      </w:pPr>
      <w:r w:rsidRPr="00633128">
        <w:t>(e)</w:t>
      </w:r>
      <w:r w:rsidRPr="00633128">
        <w:tab/>
        <w:t>The ratios to GSP may vary over time due to revisions to the Australian Bureau of Statistics GSP data.</w:t>
      </w:r>
    </w:p>
    <w:p w14:paraId="4837A90E" w14:textId="77777777" w:rsidR="009256ED" w:rsidRPr="00633128" w:rsidRDefault="009256ED" w:rsidP="009256ED">
      <w:pPr>
        <w:pStyle w:val="Note"/>
      </w:pPr>
      <w:r w:rsidRPr="00633128">
        <w:t>(f)</w:t>
      </w:r>
      <w:r w:rsidRPr="00633128">
        <w:tab/>
        <w:t>The sum of NFPS net debt plus the superannuation liability as a proportion of NFPS total operating revenue.</w:t>
      </w:r>
    </w:p>
    <w:p w14:paraId="1A5D5887" w14:textId="77777777" w:rsidR="009256ED" w:rsidRPr="00EE3E11" w:rsidRDefault="009256ED" w:rsidP="009256ED"/>
    <w:p w14:paraId="0A19EFBD" w14:textId="77777777" w:rsidR="009256ED" w:rsidRPr="00633128" w:rsidRDefault="009256ED" w:rsidP="009256ED">
      <w:r w:rsidRPr="00633128">
        <w:t xml:space="preserve">Due to ongoing investments in infrastructure projects over the budget and forward estimates, primarily in the general government sector, NFPS net debt is projected to increase to </w:t>
      </w:r>
      <w:r w:rsidRPr="002547AD">
        <w:t>$2</w:t>
      </w:r>
      <w:r w:rsidRPr="006E221B">
        <w:t>23</w:t>
      </w:r>
      <w:r w:rsidRPr="002547AD">
        <w:t>.5 billion by 2027-28</w:t>
      </w:r>
      <w:r w:rsidRPr="00633128">
        <w:t xml:space="preserve">. Given this, the NFPS net debt to GSP ratio is projected to increase from </w:t>
      </w:r>
      <w:r w:rsidRPr="002547AD">
        <w:t>28.</w:t>
      </w:r>
      <w:r>
        <w:t>4</w:t>
      </w:r>
      <w:r w:rsidRPr="002547AD">
        <w:t xml:space="preserve"> per cent in 2024-25 to </w:t>
      </w:r>
      <w:r>
        <w:t xml:space="preserve">30.0 per cent in 2026-27 before falling slightly to </w:t>
      </w:r>
      <w:r w:rsidRPr="002547AD">
        <w:t>29.</w:t>
      </w:r>
      <w:r>
        <w:t>9</w:t>
      </w:r>
      <w:r w:rsidRPr="002547AD">
        <w:t xml:space="preserve"> per cent in 2027-28</w:t>
      </w:r>
      <w:r w:rsidRPr="00633128">
        <w:t>.</w:t>
      </w:r>
    </w:p>
    <w:p w14:paraId="200EDE15" w14:textId="77777777" w:rsidR="009256ED" w:rsidRDefault="009256ED" w:rsidP="009256ED">
      <w:pPr>
        <w:keepLines w:val="0"/>
      </w:pPr>
      <w:r>
        <w:br w:type="page"/>
      </w:r>
    </w:p>
    <w:p w14:paraId="756A9CD9" w14:textId="77777777" w:rsidR="009256ED" w:rsidRDefault="009256ED" w:rsidP="009256ED">
      <w:pPr>
        <w:keepLines w:val="0"/>
      </w:pPr>
      <w:r w:rsidRPr="00633128">
        <w:t>Table 3.</w:t>
      </w:r>
      <w:r>
        <w:t>9</w:t>
      </w:r>
      <w:r w:rsidRPr="00633128">
        <w:t xml:space="preserve"> provides projections of several additional indicators of financial sustainability for the NFPS.</w:t>
      </w:r>
    </w:p>
    <w:p w14:paraId="16102D24" w14:textId="77777777" w:rsidR="009256ED" w:rsidRPr="00633128" w:rsidRDefault="009256ED" w:rsidP="00157D02">
      <w:pPr>
        <w:pStyle w:val="TableHeading"/>
      </w:pPr>
      <w:r w:rsidRPr="002547AD">
        <w:t>Table 3.9:</w:t>
      </w:r>
      <w:r w:rsidRPr="00633128">
        <w:tab/>
        <w:t>Indicators of financial sustainability of non</w:t>
      </w:r>
      <w:r w:rsidRPr="00633128">
        <w:noBreakHyphen/>
        <w:t>financial public sector</w:t>
      </w:r>
      <w:r w:rsidRPr="00633128">
        <w:tab/>
        <w:t>(per cent)</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3_NFPS_WoG.xlsx|Table:Ind_FSustainability|MergedHeadingRow:1|TableGroup:Chapter 3 - WoG"/>
      </w:tblPr>
      <w:tblGrid>
        <w:gridCol w:w="4395"/>
        <w:gridCol w:w="828"/>
        <w:gridCol w:w="829"/>
        <w:gridCol w:w="829"/>
        <w:gridCol w:w="829"/>
      </w:tblGrid>
      <w:tr w:rsidR="009256ED" w14:paraId="5761C6E4" w14:textId="77777777" w:rsidTr="00157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Pr>
          <w:p w14:paraId="05A07EBF" w14:textId="77777777" w:rsidR="009256ED" w:rsidRDefault="009256ED" w:rsidP="008670FF">
            <w:pPr>
              <w:keepNext/>
            </w:pPr>
          </w:p>
        </w:tc>
        <w:tc>
          <w:tcPr>
            <w:tcW w:w="828" w:type="dxa"/>
          </w:tcPr>
          <w:p w14:paraId="792B0F7E"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29" w:type="dxa"/>
          </w:tcPr>
          <w:p w14:paraId="03FE5820"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29" w:type="dxa"/>
          </w:tcPr>
          <w:p w14:paraId="4F878723"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29" w:type="dxa"/>
          </w:tcPr>
          <w:p w14:paraId="1D581672"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2A6CB4AA"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5D17EA80" w14:textId="77777777" w:rsidR="009256ED" w:rsidRDefault="009256ED" w:rsidP="008670FF">
            <w:r>
              <w:t>Operating cash flow surplus to revenue</w:t>
            </w:r>
          </w:p>
        </w:tc>
        <w:tc>
          <w:tcPr>
            <w:tcW w:w="828" w:type="dxa"/>
          </w:tcPr>
          <w:p w14:paraId="798C09E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2.2</w:t>
            </w:r>
          </w:p>
        </w:tc>
        <w:tc>
          <w:tcPr>
            <w:tcW w:w="829" w:type="dxa"/>
          </w:tcPr>
          <w:p w14:paraId="0C643E0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8.1</w:t>
            </w:r>
          </w:p>
        </w:tc>
        <w:tc>
          <w:tcPr>
            <w:tcW w:w="829" w:type="dxa"/>
          </w:tcPr>
          <w:p w14:paraId="7CAD6AD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7.7</w:t>
            </w:r>
          </w:p>
        </w:tc>
        <w:tc>
          <w:tcPr>
            <w:tcW w:w="829" w:type="dxa"/>
          </w:tcPr>
          <w:p w14:paraId="23E8861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6.9</w:t>
            </w:r>
          </w:p>
        </w:tc>
      </w:tr>
      <w:tr w:rsidR="009256ED" w14:paraId="06A96EF7" w14:textId="77777777" w:rsidTr="00157D02">
        <w:tc>
          <w:tcPr>
            <w:cnfStyle w:val="001000000000" w:firstRow="0" w:lastRow="0" w:firstColumn="1" w:lastColumn="0" w:oddVBand="0" w:evenVBand="0" w:oddHBand="0" w:evenHBand="0" w:firstRowFirstColumn="0" w:firstRowLastColumn="0" w:lastRowFirstColumn="0" w:lastRowLastColumn="0"/>
            <w:tcW w:w="4395" w:type="dxa"/>
          </w:tcPr>
          <w:p w14:paraId="275B99DA" w14:textId="77777777" w:rsidR="009256ED" w:rsidRDefault="009256ED" w:rsidP="008670FF">
            <w:r>
              <w:t xml:space="preserve">Gross debt to revenue </w:t>
            </w:r>
            <w:r>
              <w:rPr>
                <w:vertAlign w:val="superscript"/>
              </w:rPr>
              <w:t>(a)</w:t>
            </w:r>
          </w:p>
        </w:tc>
        <w:tc>
          <w:tcPr>
            <w:tcW w:w="828" w:type="dxa"/>
          </w:tcPr>
          <w:p w14:paraId="002A0D9A"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202.3</w:t>
            </w:r>
          </w:p>
        </w:tc>
        <w:tc>
          <w:tcPr>
            <w:tcW w:w="829" w:type="dxa"/>
          </w:tcPr>
          <w:p w14:paraId="6858726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208.5</w:t>
            </w:r>
          </w:p>
        </w:tc>
        <w:tc>
          <w:tcPr>
            <w:tcW w:w="829" w:type="dxa"/>
          </w:tcPr>
          <w:p w14:paraId="2429F91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215.2</w:t>
            </w:r>
          </w:p>
        </w:tc>
        <w:tc>
          <w:tcPr>
            <w:tcW w:w="829" w:type="dxa"/>
          </w:tcPr>
          <w:p w14:paraId="7945D28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219.7</w:t>
            </w:r>
          </w:p>
        </w:tc>
      </w:tr>
      <w:tr w:rsidR="009256ED" w14:paraId="71D2C0A6" w14:textId="77777777" w:rsidTr="00157D02">
        <w:tc>
          <w:tcPr>
            <w:cnfStyle w:val="001000000000" w:firstRow="0" w:lastRow="0" w:firstColumn="1" w:lastColumn="0" w:oddVBand="0" w:evenVBand="0" w:oddHBand="0" w:evenHBand="0" w:firstRowFirstColumn="0" w:firstRowLastColumn="0" w:lastRowFirstColumn="0" w:lastRowLastColumn="0"/>
            <w:tcW w:w="4395" w:type="dxa"/>
            <w:tcBorders>
              <w:bottom w:val="single" w:sz="12" w:space="0" w:color="auto"/>
            </w:tcBorders>
          </w:tcPr>
          <w:p w14:paraId="2D12B3F4" w14:textId="77777777" w:rsidR="009256ED" w:rsidRDefault="009256ED" w:rsidP="008670FF">
            <w:r>
              <w:t>Interest expense to revenue</w:t>
            </w:r>
          </w:p>
        </w:tc>
        <w:tc>
          <w:tcPr>
            <w:tcW w:w="828" w:type="dxa"/>
            <w:tcBorders>
              <w:bottom w:val="single" w:sz="12" w:space="0" w:color="auto"/>
            </w:tcBorders>
          </w:tcPr>
          <w:p w14:paraId="418E504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6.8</w:t>
            </w:r>
          </w:p>
        </w:tc>
        <w:tc>
          <w:tcPr>
            <w:tcW w:w="829" w:type="dxa"/>
            <w:tcBorders>
              <w:bottom w:val="single" w:sz="12" w:space="0" w:color="auto"/>
            </w:tcBorders>
          </w:tcPr>
          <w:p w14:paraId="0BAAE6A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7.4</w:t>
            </w:r>
          </w:p>
        </w:tc>
        <w:tc>
          <w:tcPr>
            <w:tcW w:w="829" w:type="dxa"/>
            <w:tcBorders>
              <w:bottom w:val="single" w:sz="12" w:space="0" w:color="auto"/>
            </w:tcBorders>
          </w:tcPr>
          <w:p w14:paraId="365F37E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8.1</w:t>
            </w:r>
          </w:p>
        </w:tc>
        <w:tc>
          <w:tcPr>
            <w:tcW w:w="829" w:type="dxa"/>
            <w:tcBorders>
              <w:bottom w:val="single" w:sz="12" w:space="0" w:color="auto"/>
            </w:tcBorders>
          </w:tcPr>
          <w:p w14:paraId="7DEFC12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8.8</w:t>
            </w:r>
          </w:p>
        </w:tc>
      </w:tr>
    </w:tbl>
    <w:p w14:paraId="3D359053" w14:textId="77777777" w:rsidR="009256ED" w:rsidRPr="00633128" w:rsidRDefault="009256ED" w:rsidP="009256ED">
      <w:pPr>
        <w:pStyle w:val="Note"/>
        <w:ind w:left="0" w:firstLine="0"/>
      </w:pPr>
      <w:r w:rsidRPr="00633128">
        <w:t>Note:</w:t>
      </w:r>
    </w:p>
    <w:p w14:paraId="4AEE88E8" w14:textId="77777777" w:rsidR="009256ED" w:rsidRPr="00633128" w:rsidRDefault="009256ED" w:rsidP="009256ED">
      <w:pPr>
        <w:pStyle w:val="Note"/>
      </w:pPr>
      <w:r w:rsidRPr="00633128">
        <w:t>(a)</w:t>
      </w:r>
      <w:r w:rsidRPr="00633128">
        <w:tab/>
        <w:t>Gross debt includes borrowings, deposits held, and advances received.</w:t>
      </w:r>
    </w:p>
    <w:p w14:paraId="6D803419" w14:textId="77777777" w:rsidR="00157D02" w:rsidRDefault="00157D02" w:rsidP="009256ED"/>
    <w:p w14:paraId="3C07146F" w14:textId="10E648B6" w:rsidR="009256ED" w:rsidRPr="00633128" w:rsidRDefault="009256ED" w:rsidP="009256ED">
      <w:r w:rsidRPr="00633128">
        <w:t xml:space="preserve">The operating cash flow surplus to revenue ratio indicates the proportion of cash generated from operations that can be used to fund infrastructure. Due to improvements in the general government sector operating cash position, this ratio is forecast to increase from </w:t>
      </w:r>
      <w:r w:rsidRPr="002547AD">
        <w:t>2.2 per cent in 2024-25 to 6.9 per cent by 2027-28</w:t>
      </w:r>
      <w:r w:rsidRPr="00633128">
        <w:t>.</w:t>
      </w:r>
    </w:p>
    <w:p w14:paraId="76A7AC3B" w14:textId="77777777" w:rsidR="009256ED" w:rsidRPr="00633128" w:rsidRDefault="009256ED" w:rsidP="009256ED">
      <w:r w:rsidRPr="00633128">
        <w:t xml:space="preserve">The ratio of gross debt to revenue, which indicates the overall debt burden, is estimated to be </w:t>
      </w:r>
      <w:r w:rsidRPr="002547AD">
        <w:t>202.3 per cent in 2024-25 and increase to 219.7 per cent in 2027-28.</w:t>
      </w:r>
    </w:p>
    <w:p w14:paraId="19873F55" w14:textId="77777777" w:rsidR="009256ED" w:rsidRPr="007460D2" w:rsidRDefault="009256ED" w:rsidP="009256ED">
      <w:r w:rsidRPr="00633128">
        <w:t xml:space="preserve">The NFPS interest expense to revenue ratio, which is a measure of the </w:t>
      </w:r>
      <w:r>
        <w:t>S</w:t>
      </w:r>
      <w:r w:rsidRPr="00633128">
        <w:t>tate’s debt service burden, is also expected to increase over the budget and forward estimates period. This increase is driven by increases in debt and the higher interest rate environment</w:t>
      </w:r>
      <w:r>
        <w:t>.</w:t>
      </w:r>
    </w:p>
    <w:p w14:paraId="749568EE" w14:textId="77777777" w:rsidR="009256ED" w:rsidRDefault="009256ED" w:rsidP="009256ED">
      <w:pPr>
        <w:keepLines w:val="0"/>
        <w:rPr>
          <w:rFonts w:asciiTheme="majorHAnsi" w:eastAsiaTheme="majorEastAsia" w:hAnsiTheme="majorHAnsi" w:cstheme="majorBidi"/>
          <w:b/>
          <w:caps/>
          <w:sz w:val="27"/>
          <w:szCs w:val="40"/>
        </w:rPr>
      </w:pPr>
      <w:r>
        <w:br w:type="page"/>
      </w:r>
    </w:p>
    <w:p w14:paraId="22E7767D" w14:textId="77777777" w:rsidR="009256ED" w:rsidRDefault="009256ED" w:rsidP="009256ED">
      <w:pPr>
        <w:pStyle w:val="Heading10"/>
      </w:pPr>
      <w:bookmarkStart w:id="47" w:name="_Toc179455715"/>
      <w:bookmarkStart w:id="48" w:name="_Toc184198772"/>
      <w:bookmarkStart w:id="49" w:name="_Toc184299445"/>
      <w:r>
        <w:t>State of Victoria</w:t>
      </w:r>
      <w:bookmarkEnd w:id="47"/>
      <w:bookmarkEnd w:id="48"/>
      <w:bookmarkEnd w:id="49"/>
    </w:p>
    <w:p w14:paraId="24B94EFC" w14:textId="77777777" w:rsidR="009256ED" w:rsidRDefault="009256ED" w:rsidP="00723C6B">
      <w:pPr>
        <w:spacing w:before="80"/>
      </w:pPr>
      <w:r w:rsidRPr="009013AB">
        <w:t>The State of Victoria financial results are obtained by consolidating the public financial corporations (PFC) sector with the NFPS. PFCs can be categorised into two broad types: those that provide services to the general public and businesses (such as WorkSafe Victoria, the Transport Accident Commission, Breakthrough Victoria and State Trustees Limited), and those that predominantly provide financial services to other government entities (such as the Victorian Funds Management Corporation, Treasury Corporation of Victoria and the Victorian Managed Insurance Authority).</w:t>
      </w:r>
    </w:p>
    <w:p w14:paraId="7417EE83" w14:textId="77777777" w:rsidR="009256ED" w:rsidRDefault="009256ED" w:rsidP="00157D02">
      <w:pPr>
        <w:pStyle w:val="TableHeading"/>
      </w:pPr>
      <w:r w:rsidRPr="002547AD">
        <w:t xml:space="preserve">Table 3.10: </w:t>
      </w:r>
      <w:r w:rsidRPr="002547AD">
        <w:tab/>
        <w:t xml:space="preserve">Summary operating statement of the State of Victoria </w:t>
      </w:r>
      <w:r w:rsidRPr="002547AD">
        <w:rPr>
          <w:vertAlign w:val="superscript"/>
        </w:rPr>
        <w:t>(a)</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3_NFPS_WoG.xlsx|Table:VIC_OpSt|MergedHeadingRow:1|TableGroup:Chapter 3 - WoG"/>
      </w:tblPr>
      <w:tblGrid>
        <w:gridCol w:w="4253"/>
        <w:gridCol w:w="864"/>
        <w:gridCol w:w="864"/>
        <w:gridCol w:w="864"/>
        <w:gridCol w:w="865"/>
      </w:tblGrid>
      <w:tr w:rsidR="009256ED" w14:paraId="14B54A3F" w14:textId="77777777" w:rsidTr="00157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14:paraId="5526170B" w14:textId="77777777" w:rsidR="009256ED" w:rsidRDefault="009256ED" w:rsidP="00157D02">
            <w:pPr>
              <w:keepNext/>
              <w:spacing w:after="0"/>
            </w:pPr>
          </w:p>
        </w:tc>
        <w:tc>
          <w:tcPr>
            <w:tcW w:w="864" w:type="dxa"/>
          </w:tcPr>
          <w:p w14:paraId="314ED9CA" w14:textId="77777777" w:rsidR="009256ED" w:rsidRDefault="009256ED" w:rsidP="00157D02">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64" w:type="dxa"/>
          </w:tcPr>
          <w:p w14:paraId="3905D73A" w14:textId="77777777" w:rsidR="009256ED" w:rsidRDefault="009256ED" w:rsidP="00157D02">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64" w:type="dxa"/>
          </w:tcPr>
          <w:p w14:paraId="301E926E" w14:textId="77777777" w:rsidR="009256ED" w:rsidRDefault="009256ED" w:rsidP="00157D02">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65" w:type="dxa"/>
          </w:tcPr>
          <w:p w14:paraId="1FE44EF2" w14:textId="77777777" w:rsidR="009256ED" w:rsidRDefault="009256ED" w:rsidP="00157D02">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33F55086"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09EE0C6F" w14:textId="77777777" w:rsidR="009256ED" w:rsidRDefault="009256ED" w:rsidP="00157D02">
            <w:pPr>
              <w:spacing w:after="0"/>
            </w:pPr>
            <w:r>
              <w:rPr>
                <w:b/>
              </w:rPr>
              <w:t>Revenue and income from transactions</w:t>
            </w:r>
          </w:p>
        </w:tc>
        <w:tc>
          <w:tcPr>
            <w:tcW w:w="864" w:type="dxa"/>
          </w:tcPr>
          <w:p w14:paraId="0C5FC4FC"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p>
        </w:tc>
        <w:tc>
          <w:tcPr>
            <w:tcW w:w="864" w:type="dxa"/>
          </w:tcPr>
          <w:p w14:paraId="5114B60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p>
        </w:tc>
        <w:tc>
          <w:tcPr>
            <w:tcW w:w="864" w:type="dxa"/>
          </w:tcPr>
          <w:p w14:paraId="229863D8"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p>
        </w:tc>
        <w:tc>
          <w:tcPr>
            <w:tcW w:w="865" w:type="dxa"/>
          </w:tcPr>
          <w:p w14:paraId="4B3B1083"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p>
        </w:tc>
      </w:tr>
      <w:tr w:rsidR="009256ED" w14:paraId="15B9D0A5"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651F03D6" w14:textId="77777777" w:rsidR="009256ED" w:rsidRDefault="009256ED" w:rsidP="00157D02">
            <w:pPr>
              <w:spacing w:after="0"/>
            </w:pPr>
            <w:r>
              <w:t>Taxation</w:t>
            </w:r>
          </w:p>
        </w:tc>
        <w:tc>
          <w:tcPr>
            <w:tcW w:w="864" w:type="dxa"/>
          </w:tcPr>
          <w:p w14:paraId="71E31CCE"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38 576</w:t>
            </w:r>
          </w:p>
        </w:tc>
        <w:tc>
          <w:tcPr>
            <w:tcW w:w="864" w:type="dxa"/>
          </w:tcPr>
          <w:p w14:paraId="30D4F28A"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40 954</w:t>
            </w:r>
          </w:p>
        </w:tc>
        <w:tc>
          <w:tcPr>
            <w:tcW w:w="864" w:type="dxa"/>
          </w:tcPr>
          <w:p w14:paraId="74695A97"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43 142</w:t>
            </w:r>
          </w:p>
        </w:tc>
        <w:tc>
          <w:tcPr>
            <w:tcW w:w="865" w:type="dxa"/>
          </w:tcPr>
          <w:p w14:paraId="08C5577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45 124</w:t>
            </w:r>
          </w:p>
        </w:tc>
      </w:tr>
      <w:tr w:rsidR="009256ED" w14:paraId="2807F969"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1485FDF2" w14:textId="77777777" w:rsidR="009256ED" w:rsidRDefault="009256ED" w:rsidP="00157D02">
            <w:pPr>
              <w:spacing w:after="0"/>
            </w:pPr>
            <w:r>
              <w:t>Dividends and interest</w:t>
            </w:r>
          </w:p>
        </w:tc>
        <w:tc>
          <w:tcPr>
            <w:tcW w:w="864" w:type="dxa"/>
          </w:tcPr>
          <w:p w14:paraId="736BE2A3"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5 409</w:t>
            </w:r>
          </w:p>
        </w:tc>
        <w:tc>
          <w:tcPr>
            <w:tcW w:w="864" w:type="dxa"/>
          </w:tcPr>
          <w:p w14:paraId="0CE26A20"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5 222</w:t>
            </w:r>
          </w:p>
        </w:tc>
        <w:tc>
          <w:tcPr>
            <w:tcW w:w="864" w:type="dxa"/>
          </w:tcPr>
          <w:p w14:paraId="650DF81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5 555</w:t>
            </w:r>
          </w:p>
        </w:tc>
        <w:tc>
          <w:tcPr>
            <w:tcW w:w="865" w:type="dxa"/>
          </w:tcPr>
          <w:p w14:paraId="63F423A2"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5 774</w:t>
            </w:r>
          </w:p>
        </w:tc>
      </w:tr>
      <w:tr w:rsidR="009256ED" w14:paraId="6945AE09"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54F7F8C6" w14:textId="77777777" w:rsidR="009256ED" w:rsidRDefault="009256ED" w:rsidP="00157D02">
            <w:pPr>
              <w:spacing w:after="0"/>
            </w:pPr>
            <w:r>
              <w:t>Sales of goods and services</w:t>
            </w:r>
          </w:p>
        </w:tc>
        <w:tc>
          <w:tcPr>
            <w:tcW w:w="864" w:type="dxa"/>
          </w:tcPr>
          <w:p w14:paraId="480FB6A5"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21 476</w:t>
            </w:r>
          </w:p>
        </w:tc>
        <w:tc>
          <w:tcPr>
            <w:tcW w:w="864" w:type="dxa"/>
          </w:tcPr>
          <w:p w14:paraId="1DDEB54E"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22 454</w:t>
            </w:r>
          </w:p>
        </w:tc>
        <w:tc>
          <w:tcPr>
            <w:tcW w:w="864" w:type="dxa"/>
          </w:tcPr>
          <w:p w14:paraId="03DE3141"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23 284</w:t>
            </w:r>
          </w:p>
        </w:tc>
        <w:tc>
          <w:tcPr>
            <w:tcW w:w="865" w:type="dxa"/>
          </w:tcPr>
          <w:p w14:paraId="7E143BC3"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24 034</w:t>
            </w:r>
          </w:p>
        </w:tc>
      </w:tr>
      <w:tr w:rsidR="009256ED" w14:paraId="4B091A79"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31327566" w14:textId="77777777" w:rsidR="009256ED" w:rsidRDefault="009256ED" w:rsidP="00157D02">
            <w:pPr>
              <w:spacing w:after="0"/>
            </w:pPr>
            <w:r>
              <w:t>Grants</w:t>
            </w:r>
          </w:p>
        </w:tc>
        <w:tc>
          <w:tcPr>
            <w:tcW w:w="864" w:type="dxa"/>
          </w:tcPr>
          <w:p w14:paraId="77CE93A2"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44 994</w:t>
            </w:r>
          </w:p>
        </w:tc>
        <w:tc>
          <w:tcPr>
            <w:tcW w:w="864" w:type="dxa"/>
          </w:tcPr>
          <w:p w14:paraId="4B0295ED"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47 951</w:t>
            </w:r>
          </w:p>
        </w:tc>
        <w:tc>
          <w:tcPr>
            <w:tcW w:w="864" w:type="dxa"/>
          </w:tcPr>
          <w:p w14:paraId="3D3E8A7A"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49 528</w:t>
            </w:r>
          </w:p>
        </w:tc>
        <w:tc>
          <w:tcPr>
            <w:tcW w:w="865" w:type="dxa"/>
          </w:tcPr>
          <w:p w14:paraId="23533AF2"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49 797</w:t>
            </w:r>
          </w:p>
        </w:tc>
      </w:tr>
      <w:tr w:rsidR="009256ED" w14:paraId="06C5563B"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bottom w:val="single" w:sz="6" w:space="0" w:color="auto"/>
            </w:tcBorders>
          </w:tcPr>
          <w:p w14:paraId="37497584" w14:textId="77777777" w:rsidR="009256ED" w:rsidRDefault="009256ED" w:rsidP="00157D02">
            <w:pPr>
              <w:spacing w:after="0"/>
            </w:pPr>
            <w:r>
              <w:t>Other revenue and income</w:t>
            </w:r>
          </w:p>
        </w:tc>
        <w:tc>
          <w:tcPr>
            <w:tcW w:w="864" w:type="dxa"/>
            <w:tcBorders>
              <w:bottom w:val="single" w:sz="6" w:space="0" w:color="auto"/>
            </w:tcBorders>
          </w:tcPr>
          <w:p w14:paraId="182E0F77"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4 458</w:t>
            </w:r>
          </w:p>
        </w:tc>
        <w:tc>
          <w:tcPr>
            <w:tcW w:w="864" w:type="dxa"/>
            <w:tcBorders>
              <w:bottom w:val="single" w:sz="6" w:space="0" w:color="auto"/>
            </w:tcBorders>
          </w:tcPr>
          <w:p w14:paraId="3A13F8C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4 075</w:t>
            </w:r>
          </w:p>
        </w:tc>
        <w:tc>
          <w:tcPr>
            <w:tcW w:w="864" w:type="dxa"/>
            <w:tcBorders>
              <w:bottom w:val="single" w:sz="6" w:space="0" w:color="auto"/>
            </w:tcBorders>
          </w:tcPr>
          <w:p w14:paraId="2B3C057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4 333</w:t>
            </w:r>
          </w:p>
        </w:tc>
        <w:tc>
          <w:tcPr>
            <w:tcW w:w="865" w:type="dxa"/>
            <w:tcBorders>
              <w:bottom w:val="single" w:sz="6" w:space="0" w:color="auto"/>
            </w:tcBorders>
          </w:tcPr>
          <w:p w14:paraId="38AAAD41"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4 415</w:t>
            </w:r>
          </w:p>
        </w:tc>
      </w:tr>
      <w:tr w:rsidR="009256ED" w14:paraId="565E8D83"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tcBorders>
          </w:tcPr>
          <w:p w14:paraId="5B89D113" w14:textId="77777777" w:rsidR="009256ED" w:rsidRDefault="009256ED" w:rsidP="00157D02">
            <w:pPr>
              <w:spacing w:after="0"/>
            </w:pPr>
            <w:r>
              <w:rPr>
                <w:b/>
              </w:rPr>
              <w:t>Total revenue and income from transactions</w:t>
            </w:r>
          </w:p>
        </w:tc>
        <w:tc>
          <w:tcPr>
            <w:tcW w:w="864" w:type="dxa"/>
            <w:tcBorders>
              <w:top w:val="single" w:sz="6" w:space="0" w:color="auto"/>
            </w:tcBorders>
          </w:tcPr>
          <w:p w14:paraId="5126B638"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114 912</w:t>
            </w:r>
          </w:p>
        </w:tc>
        <w:tc>
          <w:tcPr>
            <w:tcW w:w="864" w:type="dxa"/>
            <w:tcBorders>
              <w:top w:val="single" w:sz="6" w:space="0" w:color="auto"/>
            </w:tcBorders>
          </w:tcPr>
          <w:p w14:paraId="552966E6"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120 656</w:t>
            </w:r>
          </w:p>
        </w:tc>
        <w:tc>
          <w:tcPr>
            <w:tcW w:w="864" w:type="dxa"/>
            <w:tcBorders>
              <w:top w:val="single" w:sz="6" w:space="0" w:color="auto"/>
            </w:tcBorders>
          </w:tcPr>
          <w:p w14:paraId="305D5641"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125 841</w:t>
            </w:r>
          </w:p>
        </w:tc>
        <w:tc>
          <w:tcPr>
            <w:tcW w:w="865" w:type="dxa"/>
            <w:tcBorders>
              <w:top w:val="single" w:sz="6" w:space="0" w:color="auto"/>
            </w:tcBorders>
          </w:tcPr>
          <w:p w14:paraId="07C2C725"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129 144</w:t>
            </w:r>
          </w:p>
        </w:tc>
      </w:tr>
      <w:tr w:rsidR="009256ED" w14:paraId="6A18779B"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0467C7D7" w14:textId="77777777" w:rsidR="009256ED" w:rsidRDefault="009256ED" w:rsidP="00157D02">
            <w:pPr>
              <w:spacing w:after="0"/>
            </w:pPr>
            <w:r>
              <w:rPr>
                <w:i/>
              </w:rPr>
              <w:t xml:space="preserve">% change </w:t>
            </w:r>
            <w:r>
              <w:rPr>
                <w:i/>
                <w:vertAlign w:val="superscript"/>
              </w:rPr>
              <w:t>(b)</w:t>
            </w:r>
          </w:p>
        </w:tc>
        <w:tc>
          <w:tcPr>
            <w:tcW w:w="864" w:type="dxa"/>
          </w:tcPr>
          <w:p w14:paraId="1C6A302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i/>
              </w:rPr>
              <w:t>6.8</w:t>
            </w:r>
          </w:p>
        </w:tc>
        <w:tc>
          <w:tcPr>
            <w:tcW w:w="864" w:type="dxa"/>
          </w:tcPr>
          <w:p w14:paraId="30C58EED"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i/>
              </w:rPr>
              <w:t>5.0</w:t>
            </w:r>
          </w:p>
        </w:tc>
        <w:tc>
          <w:tcPr>
            <w:tcW w:w="864" w:type="dxa"/>
          </w:tcPr>
          <w:p w14:paraId="2608D64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i/>
              </w:rPr>
              <w:t>4.3</w:t>
            </w:r>
          </w:p>
        </w:tc>
        <w:tc>
          <w:tcPr>
            <w:tcW w:w="865" w:type="dxa"/>
          </w:tcPr>
          <w:p w14:paraId="3C10C313"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i/>
              </w:rPr>
              <w:t>2.6</w:t>
            </w:r>
          </w:p>
        </w:tc>
      </w:tr>
      <w:tr w:rsidR="009256ED" w14:paraId="72C80A33"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47B16EFE" w14:textId="77777777" w:rsidR="009256ED" w:rsidRDefault="009256ED" w:rsidP="00723C6B">
            <w:pPr>
              <w:spacing w:before="80" w:after="0"/>
            </w:pPr>
            <w:r>
              <w:rPr>
                <w:b/>
              </w:rPr>
              <w:t>Expenses from transactions</w:t>
            </w:r>
          </w:p>
        </w:tc>
        <w:tc>
          <w:tcPr>
            <w:tcW w:w="864" w:type="dxa"/>
          </w:tcPr>
          <w:p w14:paraId="7CFBDF82"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c>
          <w:tcPr>
            <w:tcW w:w="864" w:type="dxa"/>
          </w:tcPr>
          <w:p w14:paraId="65BA8B3D"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c>
          <w:tcPr>
            <w:tcW w:w="864" w:type="dxa"/>
          </w:tcPr>
          <w:p w14:paraId="407C9DAB"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c>
          <w:tcPr>
            <w:tcW w:w="865" w:type="dxa"/>
          </w:tcPr>
          <w:p w14:paraId="07B9824A" w14:textId="77777777" w:rsidR="009256ED" w:rsidRDefault="009256ED" w:rsidP="00723C6B">
            <w:pPr>
              <w:spacing w:before="80" w:after="0"/>
              <w:cnfStyle w:val="000000000000" w:firstRow="0" w:lastRow="0" w:firstColumn="0" w:lastColumn="0" w:oddVBand="0" w:evenVBand="0" w:oddHBand="0" w:evenHBand="0" w:firstRowFirstColumn="0" w:firstRowLastColumn="0" w:lastRowFirstColumn="0" w:lastRowLastColumn="0"/>
            </w:pPr>
          </w:p>
        </w:tc>
      </w:tr>
      <w:tr w:rsidR="009256ED" w14:paraId="7C51117A"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7F3C4501" w14:textId="77777777" w:rsidR="009256ED" w:rsidRDefault="009256ED" w:rsidP="00157D02">
            <w:pPr>
              <w:spacing w:after="0"/>
            </w:pPr>
            <w:r>
              <w:t>Employee expenses</w:t>
            </w:r>
          </w:p>
        </w:tc>
        <w:tc>
          <w:tcPr>
            <w:tcW w:w="864" w:type="dxa"/>
          </w:tcPr>
          <w:p w14:paraId="4630289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39 047</w:t>
            </w:r>
          </w:p>
        </w:tc>
        <w:tc>
          <w:tcPr>
            <w:tcW w:w="864" w:type="dxa"/>
          </w:tcPr>
          <w:p w14:paraId="4091A14A"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40 057</w:t>
            </w:r>
          </w:p>
        </w:tc>
        <w:tc>
          <w:tcPr>
            <w:tcW w:w="864" w:type="dxa"/>
          </w:tcPr>
          <w:p w14:paraId="2DE56076"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41 736</w:t>
            </w:r>
          </w:p>
        </w:tc>
        <w:tc>
          <w:tcPr>
            <w:tcW w:w="865" w:type="dxa"/>
          </w:tcPr>
          <w:p w14:paraId="53B25AC5"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42 976</w:t>
            </w:r>
          </w:p>
        </w:tc>
      </w:tr>
      <w:tr w:rsidR="009256ED" w14:paraId="1A9FD2EE"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4D187453" w14:textId="77777777" w:rsidR="009256ED" w:rsidRDefault="009256ED" w:rsidP="00157D02">
            <w:pPr>
              <w:spacing w:after="0"/>
            </w:pPr>
            <w:r>
              <w:t xml:space="preserve">Superannuation </w:t>
            </w:r>
            <w:r>
              <w:rPr>
                <w:vertAlign w:val="superscript"/>
              </w:rPr>
              <w:t>(c)</w:t>
            </w:r>
          </w:p>
        </w:tc>
        <w:tc>
          <w:tcPr>
            <w:tcW w:w="864" w:type="dxa"/>
          </w:tcPr>
          <w:p w14:paraId="3E33697F"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5 156</w:t>
            </w:r>
          </w:p>
        </w:tc>
        <w:tc>
          <w:tcPr>
            <w:tcW w:w="864" w:type="dxa"/>
          </w:tcPr>
          <w:p w14:paraId="556302B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5 216</w:t>
            </w:r>
          </w:p>
        </w:tc>
        <w:tc>
          <w:tcPr>
            <w:tcW w:w="864" w:type="dxa"/>
          </w:tcPr>
          <w:p w14:paraId="526B9DDD"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5 352</w:t>
            </w:r>
          </w:p>
        </w:tc>
        <w:tc>
          <w:tcPr>
            <w:tcW w:w="865" w:type="dxa"/>
          </w:tcPr>
          <w:p w14:paraId="05940566"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5 513</w:t>
            </w:r>
          </w:p>
        </w:tc>
      </w:tr>
      <w:tr w:rsidR="009256ED" w14:paraId="49FFEEEB"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006BA2C5" w14:textId="77777777" w:rsidR="009256ED" w:rsidRDefault="009256ED" w:rsidP="00157D02">
            <w:pPr>
              <w:spacing w:after="0"/>
            </w:pPr>
            <w:r>
              <w:t>Depreciation</w:t>
            </w:r>
          </w:p>
        </w:tc>
        <w:tc>
          <w:tcPr>
            <w:tcW w:w="864" w:type="dxa"/>
          </w:tcPr>
          <w:p w14:paraId="3C501CC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8 971</w:t>
            </w:r>
          </w:p>
        </w:tc>
        <w:tc>
          <w:tcPr>
            <w:tcW w:w="864" w:type="dxa"/>
          </w:tcPr>
          <w:p w14:paraId="686D0DD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9 622</w:t>
            </w:r>
          </w:p>
        </w:tc>
        <w:tc>
          <w:tcPr>
            <w:tcW w:w="864" w:type="dxa"/>
          </w:tcPr>
          <w:p w14:paraId="3AB970C3"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10 009</w:t>
            </w:r>
          </w:p>
        </w:tc>
        <w:tc>
          <w:tcPr>
            <w:tcW w:w="865" w:type="dxa"/>
          </w:tcPr>
          <w:p w14:paraId="7727B962"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10 189</w:t>
            </w:r>
          </w:p>
        </w:tc>
      </w:tr>
      <w:tr w:rsidR="009256ED" w14:paraId="56143B6F"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7A7D9332" w14:textId="77777777" w:rsidR="009256ED" w:rsidRDefault="009256ED" w:rsidP="00157D02">
            <w:pPr>
              <w:spacing w:after="0"/>
            </w:pPr>
            <w:r>
              <w:t>Interest expense</w:t>
            </w:r>
          </w:p>
        </w:tc>
        <w:tc>
          <w:tcPr>
            <w:tcW w:w="864" w:type="dxa"/>
          </w:tcPr>
          <w:p w14:paraId="3E84DF9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7 924</w:t>
            </w:r>
          </w:p>
        </w:tc>
        <w:tc>
          <w:tcPr>
            <w:tcW w:w="864" w:type="dxa"/>
          </w:tcPr>
          <w:p w14:paraId="0A82C2EF"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8 881</w:t>
            </w:r>
          </w:p>
        </w:tc>
        <w:tc>
          <w:tcPr>
            <w:tcW w:w="864" w:type="dxa"/>
          </w:tcPr>
          <w:p w14:paraId="557CEFD6"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9 962</w:t>
            </w:r>
          </w:p>
        </w:tc>
        <w:tc>
          <w:tcPr>
            <w:tcW w:w="865" w:type="dxa"/>
          </w:tcPr>
          <w:p w14:paraId="3509DA9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11 074</w:t>
            </w:r>
          </w:p>
        </w:tc>
      </w:tr>
      <w:tr w:rsidR="009256ED" w14:paraId="05F36BDF"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6138E3F8" w14:textId="77777777" w:rsidR="009256ED" w:rsidRDefault="009256ED" w:rsidP="00157D02">
            <w:pPr>
              <w:spacing w:after="0"/>
            </w:pPr>
            <w:r>
              <w:t>Grant expense</w:t>
            </w:r>
          </w:p>
        </w:tc>
        <w:tc>
          <w:tcPr>
            <w:tcW w:w="864" w:type="dxa"/>
          </w:tcPr>
          <w:p w14:paraId="5E8E8858"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15 403</w:t>
            </w:r>
          </w:p>
        </w:tc>
        <w:tc>
          <w:tcPr>
            <w:tcW w:w="864" w:type="dxa"/>
          </w:tcPr>
          <w:p w14:paraId="1D117D5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15 671</w:t>
            </w:r>
          </w:p>
        </w:tc>
        <w:tc>
          <w:tcPr>
            <w:tcW w:w="864" w:type="dxa"/>
          </w:tcPr>
          <w:p w14:paraId="43028FF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15 641</w:t>
            </w:r>
          </w:p>
        </w:tc>
        <w:tc>
          <w:tcPr>
            <w:tcW w:w="865" w:type="dxa"/>
          </w:tcPr>
          <w:p w14:paraId="54596E90"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15 765</w:t>
            </w:r>
          </w:p>
        </w:tc>
      </w:tr>
      <w:tr w:rsidR="009256ED" w14:paraId="2393CFF7" w14:textId="77777777" w:rsidTr="00723C6B">
        <w:tc>
          <w:tcPr>
            <w:cnfStyle w:val="001000000000" w:firstRow="0" w:lastRow="0" w:firstColumn="1" w:lastColumn="0" w:oddVBand="0" w:evenVBand="0" w:oddHBand="0" w:evenHBand="0" w:firstRowFirstColumn="0" w:firstRowLastColumn="0" w:lastRowFirstColumn="0" w:lastRowLastColumn="0"/>
            <w:tcW w:w="0" w:type="dxa"/>
            <w:tcBorders>
              <w:bottom w:val="single" w:sz="6" w:space="0" w:color="auto"/>
            </w:tcBorders>
          </w:tcPr>
          <w:p w14:paraId="667E1084" w14:textId="77777777" w:rsidR="009256ED" w:rsidRDefault="009256ED" w:rsidP="00157D02">
            <w:pPr>
              <w:spacing w:after="0"/>
            </w:pPr>
            <w:r>
              <w:t>Other operating expenses</w:t>
            </w:r>
          </w:p>
        </w:tc>
        <w:tc>
          <w:tcPr>
            <w:tcW w:w="0" w:type="dxa"/>
            <w:tcBorders>
              <w:bottom w:val="single" w:sz="6" w:space="0" w:color="auto"/>
            </w:tcBorders>
          </w:tcPr>
          <w:p w14:paraId="0D4C953D"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45 353</w:t>
            </w:r>
          </w:p>
        </w:tc>
        <w:tc>
          <w:tcPr>
            <w:tcW w:w="0" w:type="dxa"/>
            <w:tcBorders>
              <w:bottom w:val="single" w:sz="6" w:space="0" w:color="auto"/>
            </w:tcBorders>
          </w:tcPr>
          <w:p w14:paraId="4E05ED3F"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44 115</w:t>
            </w:r>
          </w:p>
        </w:tc>
        <w:tc>
          <w:tcPr>
            <w:tcW w:w="0" w:type="dxa"/>
            <w:tcBorders>
              <w:bottom w:val="single" w:sz="6" w:space="0" w:color="auto"/>
            </w:tcBorders>
          </w:tcPr>
          <w:p w14:paraId="546B6A8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45 403</w:t>
            </w:r>
          </w:p>
        </w:tc>
        <w:tc>
          <w:tcPr>
            <w:tcW w:w="0" w:type="dxa"/>
            <w:tcBorders>
              <w:bottom w:val="single" w:sz="6" w:space="0" w:color="auto"/>
            </w:tcBorders>
          </w:tcPr>
          <w:p w14:paraId="37E33C79"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47 059</w:t>
            </w:r>
          </w:p>
        </w:tc>
      </w:tr>
      <w:tr w:rsidR="009256ED" w14:paraId="0301BC7D" w14:textId="77777777" w:rsidTr="00723C6B">
        <w:tc>
          <w:tcPr>
            <w:cnfStyle w:val="001000000000" w:firstRow="0" w:lastRow="0" w:firstColumn="1" w:lastColumn="0" w:oddVBand="0" w:evenVBand="0" w:oddHBand="0" w:evenHBand="0" w:firstRowFirstColumn="0" w:firstRowLastColumn="0" w:lastRowFirstColumn="0" w:lastRowLastColumn="0"/>
            <w:tcW w:w="0" w:type="dxa"/>
            <w:tcBorders>
              <w:top w:val="single" w:sz="6" w:space="0" w:color="auto"/>
              <w:bottom w:val="nil"/>
            </w:tcBorders>
          </w:tcPr>
          <w:p w14:paraId="789E00AE" w14:textId="77777777" w:rsidR="009256ED" w:rsidRDefault="009256ED" w:rsidP="00157D02">
            <w:pPr>
              <w:spacing w:after="0"/>
            </w:pPr>
            <w:r>
              <w:rPr>
                <w:b/>
              </w:rPr>
              <w:t>Total expenses from transactions</w:t>
            </w:r>
          </w:p>
        </w:tc>
        <w:tc>
          <w:tcPr>
            <w:tcW w:w="0" w:type="dxa"/>
            <w:tcBorders>
              <w:top w:val="single" w:sz="6" w:space="0" w:color="auto"/>
              <w:bottom w:val="nil"/>
            </w:tcBorders>
          </w:tcPr>
          <w:p w14:paraId="608D1E20"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121 855</w:t>
            </w:r>
          </w:p>
        </w:tc>
        <w:tc>
          <w:tcPr>
            <w:tcW w:w="0" w:type="dxa"/>
            <w:tcBorders>
              <w:top w:val="single" w:sz="6" w:space="0" w:color="auto"/>
              <w:bottom w:val="nil"/>
            </w:tcBorders>
          </w:tcPr>
          <w:p w14:paraId="20C9A8D7"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123 562</w:t>
            </w:r>
          </w:p>
        </w:tc>
        <w:tc>
          <w:tcPr>
            <w:tcW w:w="0" w:type="dxa"/>
            <w:tcBorders>
              <w:top w:val="single" w:sz="6" w:space="0" w:color="auto"/>
              <w:bottom w:val="nil"/>
            </w:tcBorders>
          </w:tcPr>
          <w:p w14:paraId="735EF33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128 102</w:t>
            </w:r>
          </w:p>
        </w:tc>
        <w:tc>
          <w:tcPr>
            <w:tcW w:w="0" w:type="dxa"/>
            <w:tcBorders>
              <w:top w:val="single" w:sz="6" w:space="0" w:color="auto"/>
              <w:bottom w:val="nil"/>
            </w:tcBorders>
          </w:tcPr>
          <w:p w14:paraId="1CA50D73"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132 576</w:t>
            </w:r>
          </w:p>
        </w:tc>
      </w:tr>
      <w:tr w:rsidR="009256ED" w14:paraId="49DD1E8C" w14:textId="77777777" w:rsidTr="00723C6B">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6" w:space="0" w:color="auto"/>
            </w:tcBorders>
          </w:tcPr>
          <w:p w14:paraId="74A8B45D" w14:textId="77777777" w:rsidR="009256ED" w:rsidRDefault="009256ED" w:rsidP="00723C6B">
            <w:pPr>
              <w:spacing w:after="80"/>
            </w:pPr>
            <w:r>
              <w:rPr>
                <w:i/>
              </w:rPr>
              <w:t xml:space="preserve">% change </w:t>
            </w:r>
            <w:r>
              <w:rPr>
                <w:i/>
                <w:vertAlign w:val="superscript"/>
              </w:rPr>
              <w:t>(b)</w:t>
            </w:r>
          </w:p>
        </w:tc>
        <w:tc>
          <w:tcPr>
            <w:tcW w:w="0" w:type="dxa"/>
            <w:tcBorders>
              <w:top w:val="nil"/>
              <w:bottom w:val="single" w:sz="6" w:space="0" w:color="auto"/>
            </w:tcBorders>
          </w:tcPr>
          <w:p w14:paraId="071C5365"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5.0</w:t>
            </w:r>
          </w:p>
        </w:tc>
        <w:tc>
          <w:tcPr>
            <w:tcW w:w="0" w:type="dxa"/>
            <w:tcBorders>
              <w:top w:val="nil"/>
              <w:bottom w:val="single" w:sz="6" w:space="0" w:color="auto"/>
            </w:tcBorders>
          </w:tcPr>
          <w:p w14:paraId="64B7FA9E"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1.4</w:t>
            </w:r>
          </w:p>
        </w:tc>
        <w:tc>
          <w:tcPr>
            <w:tcW w:w="0" w:type="dxa"/>
            <w:tcBorders>
              <w:top w:val="nil"/>
              <w:bottom w:val="single" w:sz="6" w:space="0" w:color="auto"/>
            </w:tcBorders>
          </w:tcPr>
          <w:p w14:paraId="011670B2"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3.7</w:t>
            </w:r>
          </w:p>
        </w:tc>
        <w:tc>
          <w:tcPr>
            <w:tcW w:w="0" w:type="dxa"/>
            <w:tcBorders>
              <w:top w:val="nil"/>
              <w:bottom w:val="single" w:sz="6" w:space="0" w:color="auto"/>
            </w:tcBorders>
          </w:tcPr>
          <w:p w14:paraId="54EE025A" w14:textId="77777777" w:rsidR="009256ED" w:rsidRDefault="009256ED" w:rsidP="00723C6B">
            <w:pPr>
              <w:spacing w:after="80"/>
              <w:cnfStyle w:val="000000000000" w:firstRow="0" w:lastRow="0" w:firstColumn="0" w:lastColumn="0" w:oddVBand="0" w:evenVBand="0" w:oddHBand="0" w:evenHBand="0" w:firstRowFirstColumn="0" w:firstRowLastColumn="0" w:lastRowFirstColumn="0" w:lastRowLastColumn="0"/>
            </w:pPr>
            <w:r>
              <w:rPr>
                <w:i/>
              </w:rPr>
              <w:t>3.5</w:t>
            </w:r>
          </w:p>
        </w:tc>
      </w:tr>
      <w:tr w:rsidR="009256ED" w14:paraId="704C4F31"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bottom w:val="single" w:sz="6" w:space="0" w:color="auto"/>
            </w:tcBorders>
          </w:tcPr>
          <w:p w14:paraId="42E9BCB9" w14:textId="77777777" w:rsidR="009256ED" w:rsidRDefault="009256ED" w:rsidP="00157D02">
            <w:pPr>
              <w:spacing w:after="0"/>
            </w:pPr>
            <w:r>
              <w:rPr>
                <w:b/>
              </w:rPr>
              <w:t>Net result from transactions</w:t>
            </w:r>
          </w:p>
        </w:tc>
        <w:tc>
          <w:tcPr>
            <w:tcW w:w="864" w:type="dxa"/>
            <w:tcBorders>
              <w:top w:val="single" w:sz="6" w:space="0" w:color="auto"/>
              <w:bottom w:val="single" w:sz="6" w:space="0" w:color="auto"/>
            </w:tcBorders>
          </w:tcPr>
          <w:p w14:paraId="1BF9D336"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(6 943)</w:t>
            </w:r>
          </w:p>
        </w:tc>
        <w:tc>
          <w:tcPr>
            <w:tcW w:w="864" w:type="dxa"/>
            <w:tcBorders>
              <w:top w:val="single" w:sz="6" w:space="0" w:color="auto"/>
              <w:bottom w:val="single" w:sz="6" w:space="0" w:color="auto"/>
            </w:tcBorders>
          </w:tcPr>
          <w:p w14:paraId="5A287577"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(2 907)</w:t>
            </w:r>
          </w:p>
        </w:tc>
        <w:tc>
          <w:tcPr>
            <w:tcW w:w="864" w:type="dxa"/>
            <w:tcBorders>
              <w:top w:val="single" w:sz="6" w:space="0" w:color="auto"/>
              <w:bottom w:val="single" w:sz="6" w:space="0" w:color="auto"/>
            </w:tcBorders>
          </w:tcPr>
          <w:p w14:paraId="5D2F2E92"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(2 261)</w:t>
            </w:r>
          </w:p>
        </w:tc>
        <w:tc>
          <w:tcPr>
            <w:tcW w:w="865" w:type="dxa"/>
            <w:tcBorders>
              <w:top w:val="single" w:sz="6" w:space="0" w:color="auto"/>
              <w:bottom w:val="single" w:sz="6" w:space="0" w:color="auto"/>
            </w:tcBorders>
          </w:tcPr>
          <w:p w14:paraId="761A76C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(3 432)</w:t>
            </w:r>
          </w:p>
        </w:tc>
      </w:tr>
      <w:tr w:rsidR="009256ED" w14:paraId="254E5611"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bottom w:val="single" w:sz="6" w:space="0" w:color="auto"/>
            </w:tcBorders>
          </w:tcPr>
          <w:p w14:paraId="3A86F7F9" w14:textId="77777777" w:rsidR="009256ED" w:rsidRDefault="009256ED" w:rsidP="00157D02">
            <w:pPr>
              <w:spacing w:after="0"/>
            </w:pPr>
            <w:r>
              <w:t>Total other economic flows included in net result</w:t>
            </w:r>
          </w:p>
        </w:tc>
        <w:tc>
          <w:tcPr>
            <w:tcW w:w="864" w:type="dxa"/>
            <w:tcBorders>
              <w:top w:val="single" w:sz="6" w:space="0" w:color="auto"/>
              <w:bottom w:val="single" w:sz="6" w:space="0" w:color="auto"/>
            </w:tcBorders>
          </w:tcPr>
          <w:p w14:paraId="66E3D7F5"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(1 907)</w:t>
            </w:r>
          </w:p>
        </w:tc>
        <w:tc>
          <w:tcPr>
            <w:tcW w:w="864" w:type="dxa"/>
            <w:tcBorders>
              <w:top w:val="single" w:sz="6" w:space="0" w:color="auto"/>
              <w:bottom w:val="single" w:sz="6" w:space="0" w:color="auto"/>
            </w:tcBorders>
          </w:tcPr>
          <w:p w14:paraId="4DE0BD4D"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1 452</w:t>
            </w:r>
          </w:p>
        </w:tc>
        <w:tc>
          <w:tcPr>
            <w:tcW w:w="864" w:type="dxa"/>
            <w:tcBorders>
              <w:top w:val="single" w:sz="6" w:space="0" w:color="auto"/>
              <w:bottom w:val="single" w:sz="6" w:space="0" w:color="auto"/>
            </w:tcBorders>
          </w:tcPr>
          <w:p w14:paraId="41CB1102"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1 643</w:t>
            </w:r>
          </w:p>
        </w:tc>
        <w:tc>
          <w:tcPr>
            <w:tcW w:w="865" w:type="dxa"/>
            <w:tcBorders>
              <w:top w:val="single" w:sz="6" w:space="0" w:color="auto"/>
              <w:bottom w:val="single" w:sz="6" w:space="0" w:color="auto"/>
            </w:tcBorders>
          </w:tcPr>
          <w:p w14:paraId="265851FE"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t>2 722</w:t>
            </w:r>
          </w:p>
        </w:tc>
      </w:tr>
      <w:tr w:rsidR="009256ED" w14:paraId="76BC6BB2"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bottom w:val="single" w:sz="12" w:space="0" w:color="auto"/>
            </w:tcBorders>
          </w:tcPr>
          <w:p w14:paraId="49488704" w14:textId="77777777" w:rsidR="009256ED" w:rsidRDefault="009256ED" w:rsidP="00157D02">
            <w:pPr>
              <w:spacing w:after="0"/>
            </w:pPr>
            <w:r>
              <w:rPr>
                <w:b/>
              </w:rPr>
              <w:t>Net result</w:t>
            </w:r>
          </w:p>
        </w:tc>
        <w:tc>
          <w:tcPr>
            <w:tcW w:w="864" w:type="dxa"/>
            <w:tcBorders>
              <w:top w:val="single" w:sz="6" w:space="0" w:color="auto"/>
              <w:bottom w:val="single" w:sz="12" w:space="0" w:color="auto"/>
            </w:tcBorders>
          </w:tcPr>
          <w:p w14:paraId="7E70912C"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(8 850)</w:t>
            </w:r>
          </w:p>
        </w:tc>
        <w:tc>
          <w:tcPr>
            <w:tcW w:w="864" w:type="dxa"/>
            <w:tcBorders>
              <w:top w:val="single" w:sz="6" w:space="0" w:color="auto"/>
              <w:bottom w:val="single" w:sz="12" w:space="0" w:color="auto"/>
            </w:tcBorders>
          </w:tcPr>
          <w:p w14:paraId="3F7E3454"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(1 454)</w:t>
            </w:r>
          </w:p>
        </w:tc>
        <w:tc>
          <w:tcPr>
            <w:tcW w:w="864" w:type="dxa"/>
            <w:tcBorders>
              <w:top w:val="single" w:sz="6" w:space="0" w:color="auto"/>
              <w:bottom w:val="single" w:sz="12" w:space="0" w:color="auto"/>
            </w:tcBorders>
          </w:tcPr>
          <w:p w14:paraId="67AA515B"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(619)</w:t>
            </w:r>
          </w:p>
        </w:tc>
        <w:tc>
          <w:tcPr>
            <w:tcW w:w="865" w:type="dxa"/>
            <w:tcBorders>
              <w:top w:val="single" w:sz="6" w:space="0" w:color="auto"/>
              <w:bottom w:val="single" w:sz="12" w:space="0" w:color="auto"/>
            </w:tcBorders>
          </w:tcPr>
          <w:p w14:paraId="0BFFFDE8" w14:textId="77777777" w:rsidR="009256ED" w:rsidRDefault="009256ED" w:rsidP="00157D02">
            <w:pPr>
              <w:spacing w:after="0"/>
              <w:cnfStyle w:val="000000000000" w:firstRow="0" w:lastRow="0" w:firstColumn="0" w:lastColumn="0" w:oddVBand="0" w:evenVBand="0" w:oddHBand="0" w:evenHBand="0" w:firstRowFirstColumn="0" w:firstRowLastColumn="0" w:lastRowFirstColumn="0" w:lastRowLastColumn="0"/>
            </w:pPr>
            <w:r>
              <w:rPr>
                <w:b/>
              </w:rPr>
              <w:t>(710)</w:t>
            </w:r>
          </w:p>
        </w:tc>
      </w:tr>
    </w:tbl>
    <w:p w14:paraId="357C7145" w14:textId="77777777" w:rsidR="009256ED" w:rsidRDefault="009256ED" w:rsidP="009256ED">
      <w:pPr>
        <w:pStyle w:val="Note"/>
      </w:pPr>
      <w:r>
        <w:t>Notes:</w:t>
      </w:r>
    </w:p>
    <w:p w14:paraId="0212233C" w14:textId="77777777" w:rsidR="009256ED" w:rsidRDefault="009256ED" w:rsidP="009256ED">
      <w:pPr>
        <w:pStyle w:val="Note"/>
      </w:pPr>
      <w:r>
        <w:t>(a)</w:t>
      </w:r>
      <w:r>
        <w:tab/>
        <w:t xml:space="preserve">This is a summary operating statement. The comprehensive operating statement is presented </w:t>
      </w:r>
      <w:r w:rsidRPr="0034141D">
        <w:t>in Chapter</w:t>
      </w:r>
      <w:r>
        <w:t xml:space="preserve"> 5. Figures in this table are subject to rounding to the nearest million and may not add up to totals. </w:t>
      </w:r>
    </w:p>
    <w:p w14:paraId="0CDE6CFF" w14:textId="77777777" w:rsidR="009256ED" w:rsidRDefault="009256ED" w:rsidP="009256ED">
      <w:pPr>
        <w:pStyle w:val="Note"/>
      </w:pPr>
      <w:r>
        <w:t>(b)</w:t>
      </w:r>
      <w:r>
        <w:tab/>
        <w:t xml:space="preserve">The revenue and expense growth for 2024-25 is based on published figures in the </w:t>
      </w:r>
      <w:r w:rsidRPr="00F0090C">
        <w:rPr>
          <w:i w:val="0"/>
        </w:rPr>
        <w:t>202</w:t>
      </w:r>
      <w:r>
        <w:rPr>
          <w:i w:val="0"/>
        </w:rPr>
        <w:t>3</w:t>
      </w:r>
      <w:r w:rsidRPr="00F0090C">
        <w:rPr>
          <w:i w:val="0"/>
        </w:rPr>
        <w:t>-2</w:t>
      </w:r>
      <w:r>
        <w:rPr>
          <w:i w:val="0"/>
        </w:rPr>
        <w:t>4</w:t>
      </w:r>
      <w:r w:rsidRPr="00F0090C">
        <w:rPr>
          <w:i w:val="0"/>
        </w:rPr>
        <w:t xml:space="preserve"> Financial Report</w:t>
      </w:r>
      <w:r>
        <w:t>.</w:t>
      </w:r>
    </w:p>
    <w:p w14:paraId="4C082EF5" w14:textId="77777777" w:rsidR="009256ED" w:rsidRDefault="009256ED" w:rsidP="009256ED">
      <w:pPr>
        <w:pStyle w:val="Note"/>
      </w:pPr>
      <w:r>
        <w:t>(c)</w:t>
      </w:r>
      <w:r>
        <w:tab/>
        <w:t>Comprises superannuation interest expense and other superannuation expenses.</w:t>
      </w:r>
    </w:p>
    <w:p w14:paraId="70FE3FF0" w14:textId="77777777" w:rsidR="009256ED" w:rsidRPr="00633128" w:rsidRDefault="009256ED" w:rsidP="00723C6B">
      <w:pPr>
        <w:ind w:right="57"/>
      </w:pPr>
      <w:r w:rsidRPr="00633128">
        <w:t>Table 3.</w:t>
      </w:r>
      <w:r>
        <w:t>10</w:t>
      </w:r>
      <w:r w:rsidRPr="00633128">
        <w:t xml:space="preserve"> shows that the State’s net result from transactions is projected to improve from a deficit of </w:t>
      </w:r>
      <w:r w:rsidRPr="002547AD">
        <w:t>$6.9 billion in 2024-25 to a deficit of $3.4 billion in 2027-28</w:t>
      </w:r>
      <w:r w:rsidRPr="00633128">
        <w:t xml:space="preserve">. </w:t>
      </w:r>
      <w:r w:rsidRPr="002547AD">
        <w:t xml:space="preserve">This improvement is primarily due to </w:t>
      </w:r>
      <w:r>
        <w:t xml:space="preserve">the </w:t>
      </w:r>
      <w:r w:rsidRPr="002547AD">
        <w:t xml:space="preserve">general government sector </w:t>
      </w:r>
      <w:r>
        <w:t xml:space="preserve">result </w:t>
      </w:r>
      <w:r w:rsidRPr="002547AD">
        <w:t>which is explained earlier in this chapter.</w:t>
      </w:r>
    </w:p>
    <w:p w14:paraId="64E7CE06" w14:textId="77777777" w:rsidR="009256ED" w:rsidRPr="00633128" w:rsidRDefault="009256ED" w:rsidP="00723C6B">
      <w:pPr>
        <w:spacing w:before="80"/>
      </w:pPr>
      <w:r w:rsidRPr="00633128">
        <w:t xml:space="preserve">The net result from transactions excludes other economic flows such as capital gains on the investments held by the State’s insurance agencies, movements in deferred tax assets, risk margins and claims handling expenses. Other economic flows are projected to average </w:t>
      </w:r>
      <w:r w:rsidRPr="002547AD">
        <w:t>$1</w:t>
      </w:r>
      <w:r w:rsidRPr="00633128">
        <w:t xml:space="preserve"> billion a year over the budget and forward estimates noting that the annual figure varies between </w:t>
      </w:r>
      <w:r w:rsidRPr="002547AD">
        <w:t>a deficit of $1.9 billion in 2024-25 and a surplus of $2.7 billion in 2027-28</w:t>
      </w:r>
      <w:r w:rsidRPr="00633128">
        <w:t>.</w:t>
      </w:r>
    </w:p>
    <w:p w14:paraId="2BD7B57D" w14:textId="77777777" w:rsidR="009256ED" w:rsidRPr="00633128" w:rsidRDefault="009256ED" w:rsidP="00723C6B">
      <w:pPr>
        <w:spacing w:before="80"/>
      </w:pPr>
      <w:r w:rsidRPr="00633128">
        <w:t xml:space="preserve">When other economic flows are included, the State’s net result improves from a deficit of </w:t>
      </w:r>
      <w:r w:rsidRPr="002547AD">
        <w:t>$8.9 billion in 2024-25 to a deficit of $0.7 billion in 2027-28</w:t>
      </w:r>
      <w:r w:rsidRPr="00633128">
        <w:t>.</w:t>
      </w:r>
    </w:p>
    <w:p w14:paraId="0D5A592D" w14:textId="77777777" w:rsidR="009256ED" w:rsidRPr="00633128" w:rsidRDefault="009256ED" w:rsidP="00157D02">
      <w:pPr>
        <w:pStyle w:val="TableHeading"/>
      </w:pPr>
      <w:r w:rsidRPr="002547AD">
        <w:t xml:space="preserve">Table 3.11: </w:t>
      </w:r>
      <w:r w:rsidRPr="002547AD">
        <w:tab/>
        <w:t>Summary balance sheet for the State of Victoria</w:t>
      </w:r>
      <w:r w:rsidRPr="002547AD">
        <w:rPr>
          <w:vertAlign w:val="superscript"/>
        </w:rPr>
        <w:t xml:space="preserve"> (a)</w:t>
      </w:r>
      <w:r w:rsidRPr="00633128">
        <w:tab/>
        <w:t>($ billion)</w:t>
      </w:r>
    </w:p>
    <w:tbl>
      <w:tblPr>
        <w:tblStyle w:val="DTFTableNumeric"/>
        <w:tblW w:w="7710" w:type="dxa"/>
        <w:tblLayout w:type="fixed"/>
        <w:tblLook w:val="06A0" w:firstRow="1" w:lastRow="0" w:firstColumn="1" w:lastColumn="0" w:noHBand="1" w:noVBand="1"/>
        <w:tblDescription w:val="Type:DtfTable|Workbook:https://vicgov.sharepoint.com/sites/VG002735/Budget%20Update/Chapter%203/Link_Chapter3_NFPS_WoG.xlsx|Table:VIC_BS|MergedHeadingRow:1|TableGroup:Chapter 3 - WoG"/>
      </w:tblPr>
      <w:tblGrid>
        <w:gridCol w:w="4253"/>
        <w:gridCol w:w="864"/>
        <w:gridCol w:w="864"/>
        <w:gridCol w:w="864"/>
        <w:gridCol w:w="865"/>
      </w:tblGrid>
      <w:tr w:rsidR="009256ED" w14:paraId="6F22BA84" w14:textId="77777777" w:rsidTr="00157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14:paraId="5E1BC1E0" w14:textId="77777777" w:rsidR="009256ED" w:rsidRDefault="009256ED" w:rsidP="008670FF">
            <w:pPr>
              <w:keepNext/>
            </w:pPr>
          </w:p>
        </w:tc>
        <w:tc>
          <w:tcPr>
            <w:tcW w:w="864" w:type="dxa"/>
          </w:tcPr>
          <w:p w14:paraId="69E9A6DC"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64" w:type="dxa"/>
          </w:tcPr>
          <w:p w14:paraId="43B322C2"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64" w:type="dxa"/>
          </w:tcPr>
          <w:p w14:paraId="4A494857"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65" w:type="dxa"/>
          </w:tcPr>
          <w:p w14:paraId="7868FF9A" w14:textId="77777777" w:rsidR="009256ED" w:rsidRDefault="009256ED"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9256ED" w14:paraId="2F9A1D01"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225A58A9" w14:textId="77777777" w:rsidR="009256ED" w:rsidRDefault="009256ED" w:rsidP="008670FF">
            <w:r>
              <w:rPr>
                <w:b/>
              </w:rPr>
              <w:t>Assets</w:t>
            </w:r>
          </w:p>
        </w:tc>
        <w:tc>
          <w:tcPr>
            <w:tcW w:w="864" w:type="dxa"/>
          </w:tcPr>
          <w:p w14:paraId="7F0804D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64" w:type="dxa"/>
          </w:tcPr>
          <w:p w14:paraId="71AF785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64" w:type="dxa"/>
          </w:tcPr>
          <w:p w14:paraId="73A8645D"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c>
          <w:tcPr>
            <w:tcW w:w="865" w:type="dxa"/>
          </w:tcPr>
          <w:p w14:paraId="1E1F3DF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p>
        </w:tc>
      </w:tr>
      <w:tr w:rsidR="009256ED" w14:paraId="022D6A57"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46578023" w14:textId="77777777" w:rsidR="009256ED" w:rsidRDefault="009256ED" w:rsidP="008670FF">
            <w:r>
              <w:t>Total financial assets</w:t>
            </w:r>
            <w:r>
              <w:rPr>
                <w:vertAlign w:val="superscript"/>
              </w:rPr>
              <w:t xml:space="preserve"> (b)</w:t>
            </w:r>
          </w:p>
        </w:tc>
        <w:tc>
          <w:tcPr>
            <w:tcW w:w="864" w:type="dxa"/>
          </w:tcPr>
          <w:p w14:paraId="25DB913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119.3</w:t>
            </w:r>
          </w:p>
        </w:tc>
        <w:tc>
          <w:tcPr>
            <w:tcW w:w="864" w:type="dxa"/>
          </w:tcPr>
          <w:p w14:paraId="735E9DE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124.8</w:t>
            </w:r>
          </w:p>
        </w:tc>
        <w:tc>
          <w:tcPr>
            <w:tcW w:w="864" w:type="dxa"/>
          </w:tcPr>
          <w:p w14:paraId="0FDDA11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131.7</w:t>
            </w:r>
          </w:p>
        </w:tc>
        <w:tc>
          <w:tcPr>
            <w:tcW w:w="865" w:type="dxa"/>
          </w:tcPr>
          <w:p w14:paraId="4479729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138.4</w:t>
            </w:r>
          </w:p>
        </w:tc>
      </w:tr>
      <w:tr w:rsidR="009256ED" w14:paraId="29BF6FA7"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bottom w:val="single" w:sz="6" w:space="0" w:color="auto"/>
            </w:tcBorders>
          </w:tcPr>
          <w:p w14:paraId="23554587" w14:textId="77777777" w:rsidR="009256ED" w:rsidRDefault="009256ED" w:rsidP="008670FF">
            <w:r>
              <w:t>Total non</w:t>
            </w:r>
            <w:r>
              <w:noBreakHyphen/>
              <w:t>financial assets</w:t>
            </w:r>
            <w:r>
              <w:rPr>
                <w:vertAlign w:val="superscript"/>
              </w:rPr>
              <w:t xml:space="preserve"> (c)</w:t>
            </w:r>
          </w:p>
        </w:tc>
        <w:tc>
          <w:tcPr>
            <w:tcW w:w="864" w:type="dxa"/>
            <w:tcBorders>
              <w:bottom w:val="single" w:sz="6" w:space="0" w:color="auto"/>
            </w:tcBorders>
          </w:tcPr>
          <w:p w14:paraId="19590F2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473.0</w:t>
            </w:r>
          </w:p>
        </w:tc>
        <w:tc>
          <w:tcPr>
            <w:tcW w:w="864" w:type="dxa"/>
            <w:tcBorders>
              <w:bottom w:val="single" w:sz="6" w:space="0" w:color="auto"/>
            </w:tcBorders>
          </w:tcPr>
          <w:p w14:paraId="08A83EF7"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499.</w:t>
            </w:r>
            <w:r w:rsidRPr="009B532C">
              <w:t>6</w:t>
            </w:r>
          </w:p>
        </w:tc>
        <w:tc>
          <w:tcPr>
            <w:tcW w:w="864" w:type="dxa"/>
            <w:tcBorders>
              <w:bottom w:val="single" w:sz="6" w:space="0" w:color="auto"/>
            </w:tcBorders>
          </w:tcPr>
          <w:p w14:paraId="398448BF"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518.</w:t>
            </w:r>
            <w:r w:rsidRPr="009B532C">
              <w:t>9</w:t>
            </w:r>
          </w:p>
        </w:tc>
        <w:tc>
          <w:tcPr>
            <w:tcW w:w="865" w:type="dxa"/>
            <w:tcBorders>
              <w:bottom w:val="single" w:sz="6" w:space="0" w:color="auto"/>
            </w:tcBorders>
          </w:tcPr>
          <w:p w14:paraId="22E7980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537.</w:t>
            </w:r>
            <w:r w:rsidRPr="009B532C">
              <w:t>5</w:t>
            </w:r>
          </w:p>
        </w:tc>
      </w:tr>
      <w:tr w:rsidR="009256ED" w14:paraId="082937A0"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tcBorders>
          </w:tcPr>
          <w:p w14:paraId="302B14DD" w14:textId="77777777" w:rsidR="009256ED" w:rsidRDefault="009256ED" w:rsidP="008670FF">
            <w:r>
              <w:rPr>
                <w:b/>
              </w:rPr>
              <w:t>Total assets</w:t>
            </w:r>
          </w:p>
        </w:tc>
        <w:tc>
          <w:tcPr>
            <w:tcW w:w="864" w:type="dxa"/>
            <w:tcBorders>
              <w:top w:val="single" w:sz="6" w:space="0" w:color="auto"/>
            </w:tcBorders>
          </w:tcPr>
          <w:p w14:paraId="7FCC28CA"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592.4</w:t>
            </w:r>
          </w:p>
        </w:tc>
        <w:tc>
          <w:tcPr>
            <w:tcW w:w="864" w:type="dxa"/>
            <w:tcBorders>
              <w:top w:val="single" w:sz="6" w:space="0" w:color="auto"/>
            </w:tcBorders>
          </w:tcPr>
          <w:p w14:paraId="5645CAA9"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624.4</w:t>
            </w:r>
          </w:p>
        </w:tc>
        <w:tc>
          <w:tcPr>
            <w:tcW w:w="864" w:type="dxa"/>
            <w:tcBorders>
              <w:top w:val="single" w:sz="6" w:space="0" w:color="auto"/>
            </w:tcBorders>
          </w:tcPr>
          <w:p w14:paraId="4E7CAA35"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650</w:t>
            </w:r>
            <w:r>
              <w:rPr>
                <w:b/>
              </w:rPr>
              <w:t>.6</w:t>
            </w:r>
          </w:p>
        </w:tc>
        <w:tc>
          <w:tcPr>
            <w:tcW w:w="865" w:type="dxa"/>
            <w:tcBorders>
              <w:top w:val="single" w:sz="6" w:space="0" w:color="auto"/>
            </w:tcBorders>
          </w:tcPr>
          <w:p w14:paraId="1F9A93EA"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675.9</w:t>
            </w:r>
          </w:p>
        </w:tc>
      </w:tr>
      <w:tr w:rsidR="009256ED" w14:paraId="35BAA061"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3047B0C5" w14:textId="77777777" w:rsidR="009256ED" w:rsidRDefault="009256ED" w:rsidP="008670FF">
            <w:r>
              <w:rPr>
                <w:b/>
              </w:rPr>
              <w:t>Liabilities</w:t>
            </w:r>
          </w:p>
        </w:tc>
        <w:tc>
          <w:tcPr>
            <w:tcW w:w="864" w:type="dxa"/>
          </w:tcPr>
          <w:p w14:paraId="49553F8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 xml:space="preserve"> </w:t>
            </w:r>
          </w:p>
        </w:tc>
        <w:tc>
          <w:tcPr>
            <w:tcW w:w="864" w:type="dxa"/>
          </w:tcPr>
          <w:p w14:paraId="6672B5DE"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 xml:space="preserve"> </w:t>
            </w:r>
          </w:p>
        </w:tc>
        <w:tc>
          <w:tcPr>
            <w:tcW w:w="864" w:type="dxa"/>
          </w:tcPr>
          <w:p w14:paraId="59B7FCB5"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 xml:space="preserve"> </w:t>
            </w:r>
          </w:p>
        </w:tc>
        <w:tc>
          <w:tcPr>
            <w:tcW w:w="865" w:type="dxa"/>
          </w:tcPr>
          <w:p w14:paraId="02669DA6"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 xml:space="preserve"> </w:t>
            </w:r>
          </w:p>
        </w:tc>
      </w:tr>
      <w:tr w:rsidR="009256ED" w14:paraId="651D2578"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53A7701F" w14:textId="77777777" w:rsidR="009256ED" w:rsidRDefault="009256ED" w:rsidP="008670FF">
            <w:r>
              <w:t>Superannuation</w:t>
            </w:r>
          </w:p>
        </w:tc>
        <w:tc>
          <w:tcPr>
            <w:tcW w:w="864" w:type="dxa"/>
          </w:tcPr>
          <w:p w14:paraId="59853FA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19.3</w:t>
            </w:r>
          </w:p>
        </w:tc>
        <w:tc>
          <w:tcPr>
            <w:tcW w:w="864" w:type="dxa"/>
          </w:tcPr>
          <w:p w14:paraId="67E80D8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19.6</w:t>
            </w:r>
          </w:p>
        </w:tc>
        <w:tc>
          <w:tcPr>
            <w:tcW w:w="864" w:type="dxa"/>
          </w:tcPr>
          <w:p w14:paraId="4C5C2420"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19.8</w:t>
            </w:r>
          </w:p>
        </w:tc>
        <w:tc>
          <w:tcPr>
            <w:tcW w:w="865" w:type="dxa"/>
          </w:tcPr>
          <w:p w14:paraId="05E2B3E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18.7</w:t>
            </w:r>
          </w:p>
        </w:tc>
      </w:tr>
      <w:tr w:rsidR="009256ED" w14:paraId="64BD20DB"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2A336A66" w14:textId="77777777" w:rsidR="009256ED" w:rsidRDefault="009256ED" w:rsidP="008670FF">
            <w:r>
              <w:t>Borrowings</w:t>
            </w:r>
          </w:p>
        </w:tc>
        <w:tc>
          <w:tcPr>
            <w:tcW w:w="864" w:type="dxa"/>
          </w:tcPr>
          <w:p w14:paraId="1185A3EC"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222.3</w:t>
            </w:r>
          </w:p>
        </w:tc>
        <w:tc>
          <w:tcPr>
            <w:tcW w:w="864" w:type="dxa"/>
          </w:tcPr>
          <w:p w14:paraId="4EEE588B"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241.4</w:t>
            </w:r>
          </w:p>
        </w:tc>
        <w:tc>
          <w:tcPr>
            <w:tcW w:w="864" w:type="dxa"/>
          </w:tcPr>
          <w:p w14:paraId="28C7B51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257.8</w:t>
            </w:r>
          </w:p>
        </w:tc>
        <w:tc>
          <w:tcPr>
            <w:tcW w:w="865" w:type="dxa"/>
          </w:tcPr>
          <w:p w14:paraId="107B497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271.4</w:t>
            </w:r>
          </w:p>
        </w:tc>
      </w:tr>
      <w:tr w:rsidR="009256ED" w14:paraId="0555C6B0" w14:textId="77777777" w:rsidTr="00157D02">
        <w:tc>
          <w:tcPr>
            <w:cnfStyle w:val="001000000000" w:firstRow="0" w:lastRow="0" w:firstColumn="1" w:lastColumn="0" w:oddVBand="0" w:evenVBand="0" w:oddHBand="0" w:evenHBand="0" w:firstRowFirstColumn="0" w:firstRowLastColumn="0" w:lastRowFirstColumn="0" w:lastRowLastColumn="0"/>
            <w:tcW w:w="4253" w:type="dxa"/>
          </w:tcPr>
          <w:p w14:paraId="46A2633A" w14:textId="77777777" w:rsidR="009256ED" w:rsidRDefault="009256ED" w:rsidP="008670FF">
            <w:r>
              <w:t>Deposits held and advances received</w:t>
            </w:r>
          </w:p>
        </w:tc>
        <w:tc>
          <w:tcPr>
            <w:tcW w:w="864" w:type="dxa"/>
          </w:tcPr>
          <w:p w14:paraId="5EC57099"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w:t>
            </w:r>
            <w:r w:rsidRPr="009B532C">
              <w:t>9</w:t>
            </w:r>
          </w:p>
        </w:tc>
        <w:tc>
          <w:tcPr>
            <w:tcW w:w="864" w:type="dxa"/>
          </w:tcPr>
          <w:p w14:paraId="577D973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w:t>
            </w:r>
            <w:r w:rsidRPr="009B532C">
              <w:t>8</w:t>
            </w:r>
          </w:p>
        </w:tc>
        <w:tc>
          <w:tcPr>
            <w:tcW w:w="864" w:type="dxa"/>
          </w:tcPr>
          <w:p w14:paraId="081E0513"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w:t>
            </w:r>
            <w:r w:rsidRPr="009B532C">
              <w:t>8</w:t>
            </w:r>
          </w:p>
        </w:tc>
        <w:tc>
          <w:tcPr>
            <w:tcW w:w="865" w:type="dxa"/>
          </w:tcPr>
          <w:p w14:paraId="02B56E5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t>1.</w:t>
            </w:r>
            <w:r w:rsidRPr="009B532C">
              <w:t>8</w:t>
            </w:r>
          </w:p>
        </w:tc>
      </w:tr>
      <w:tr w:rsidR="009256ED" w14:paraId="2A833762"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bottom w:val="single" w:sz="6" w:space="0" w:color="auto"/>
            </w:tcBorders>
          </w:tcPr>
          <w:p w14:paraId="46B3F653" w14:textId="77777777" w:rsidR="009256ED" w:rsidRDefault="009256ED" w:rsidP="008670FF">
            <w:r>
              <w:t xml:space="preserve">Other liabilities </w:t>
            </w:r>
            <w:r>
              <w:rPr>
                <w:vertAlign w:val="superscript"/>
              </w:rPr>
              <w:t>(d)</w:t>
            </w:r>
          </w:p>
        </w:tc>
        <w:tc>
          <w:tcPr>
            <w:tcW w:w="864" w:type="dxa"/>
            <w:tcBorders>
              <w:bottom w:val="single" w:sz="6" w:space="0" w:color="auto"/>
            </w:tcBorders>
          </w:tcPr>
          <w:p w14:paraId="00FDBB51"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111</w:t>
            </w:r>
            <w:r>
              <w:t>.3</w:t>
            </w:r>
          </w:p>
        </w:tc>
        <w:tc>
          <w:tcPr>
            <w:tcW w:w="864" w:type="dxa"/>
            <w:tcBorders>
              <w:bottom w:val="single" w:sz="6" w:space="0" w:color="auto"/>
            </w:tcBorders>
          </w:tcPr>
          <w:p w14:paraId="2107CF92"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115</w:t>
            </w:r>
            <w:r>
              <w:t>.2</w:t>
            </w:r>
          </w:p>
        </w:tc>
        <w:tc>
          <w:tcPr>
            <w:tcW w:w="864" w:type="dxa"/>
            <w:tcBorders>
              <w:bottom w:val="single" w:sz="6" w:space="0" w:color="auto"/>
            </w:tcBorders>
          </w:tcPr>
          <w:p w14:paraId="43B2CFE8"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118.6</w:t>
            </w:r>
          </w:p>
        </w:tc>
        <w:tc>
          <w:tcPr>
            <w:tcW w:w="865" w:type="dxa"/>
            <w:tcBorders>
              <w:bottom w:val="single" w:sz="6" w:space="0" w:color="auto"/>
            </w:tcBorders>
          </w:tcPr>
          <w:p w14:paraId="3DDEE1A4" w14:textId="77777777" w:rsidR="009256ED" w:rsidRDefault="009256ED" w:rsidP="008670FF">
            <w:pPr>
              <w:cnfStyle w:val="000000000000" w:firstRow="0" w:lastRow="0" w:firstColumn="0" w:lastColumn="0" w:oddVBand="0" w:evenVBand="0" w:oddHBand="0" w:evenHBand="0" w:firstRowFirstColumn="0" w:firstRowLastColumn="0" w:lastRowFirstColumn="0" w:lastRowLastColumn="0"/>
            </w:pPr>
            <w:r w:rsidRPr="009B532C">
              <w:t>122.5</w:t>
            </w:r>
          </w:p>
        </w:tc>
      </w:tr>
      <w:tr w:rsidR="009256ED" w14:paraId="5FB5F76A"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bottom w:val="single" w:sz="6" w:space="0" w:color="auto"/>
            </w:tcBorders>
          </w:tcPr>
          <w:p w14:paraId="06F0662C" w14:textId="77777777" w:rsidR="009256ED" w:rsidRDefault="009256ED" w:rsidP="008670FF">
            <w:r>
              <w:rPr>
                <w:b/>
              </w:rPr>
              <w:t>Total liabilities</w:t>
            </w:r>
          </w:p>
        </w:tc>
        <w:tc>
          <w:tcPr>
            <w:tcW w:w="864" w:type="dxa"/>
            <w:tcBorders>
              <w:top w:val="single" w:sz="6" w:space="0" w:color="auto"/>
              <w:bottom w:val="single" w:sz="6" w:space="0" w:color="auto"/>
            </w:tcBorders>
          </w:tcPr>
          <w:p w14:paraId="4F8C68F8"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354.8</w:t>
            </w:r>
          </w:p>
        </w:tc>
        <w:tc>
          <w:tcPr>
            <w:tcW w:w="864" w:type="dxa"/>
            <w:tcBorders>
              <w:top w:val="single" w:sz="6" w:space="0" w:color="auto"/>
              <w:bottom w:val="single" w:sz="6" w:space="0" w:color="auto"/>
            </w:tcBorders>
          </w:tcPr>
          <w:p w14:paraId="58A3DAC4"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378</w:t>
            </w:r>
            <w:r>
              <w:rPr>
                <w:b/>
              </w:rPr>
              <w:t>.0</w:t>
            </w:r>
          </w:p>
        </w:tc>
        <w:tc>
          <w:tcPr>
            <w:tcW w:w="864" w:type="dxa"/>
            <w:tcBorders>
              <w:top w:val="single" w:sz="6" w:space="0" w:color="auto"/>
              <w:bottom w:val="single" w:sz="6" w:space="0" w:color="auto"/>
            </w:tcBorders>
          </w:tcPr>
          <w:p w14:paraId="210C87E4"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398.0</w:t>
            </w:r>
          </w:p>
        </w:tc>
        <w:tc>
          <w:tcPr>
            <w:tcW w:w="865" w:type="dxa"/>
            <w:tcBorders>
              <w:top w:val="single" w:sz="6" w:space="0" w:color="auto"/>
              <w:bottom w:val="single" w:sz="6" w:space="0" w:color="auto"/>
            </w:tcBorders>
          </w:tcPr>
          <w:p w14:paraId="78C604E0"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414.3</w:t>
            </w:r>
          </w:p>
        </w:tc>
      </w:tr>
      <w:tr w:rsidR="009256ED" w14:paraId="73384888" w14:textId="77777777" w:rsidTr="00157D02">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bottom w:val="single" w:sz="12" w:space="0" w:color="auto"/>
            </w:tcBorders>
          </w:tcPr>
          <w:p w14:paraId="62E18907" w14:textId="77777777" w:rsidR="009256ED" w:rsidRDefault="009256ED" w:rsidP="008670FF">
            <w:r>
              <w:rPr>
                <w:b/>
              </w:rPr>
              <w:t>Net assets</w:t>
            </w:r>
          </w:p>
        </w:tc>
        <w:tc>
          <w:tcPr>
            <w:tcW w:w="864" w:type="dxa"/>
            <w:tcBorders>
              <w:top w:val="single" w:sz="6" w:space="0" w:color="auto"/>
              <w:bottom w:val="single" w:sz="12" w:space="0" w:color="auto"/>
            </w:tcBorders>
          </w:tcPr>
          <w:p w14:paraId="0152C47D"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237.5</w:t>
            </w:r>
          </w:p>
        </w:tc>
        <w:tc>
          <w:tcPr>
            <w:tcW w:w="864" w:type="dxa"/>
            <w:tcBorders>
              <w:top w:val="single" w:sz="6" w:space="0" w:color="auto"/>
              <w:bottom w:val="single" w:sz="12" w:space="0" w:color="auto"/>
            </w:tcBorders>
          </w:tcPr>
          <w:p w14:paraId="5F4894F3"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246.4</w:t>
            </w:r>
          </w:p>
        </w:tc>
        <w:tc>
          <w:tcPr>
            <w:tcW w:w="864" w:type="dxa"/>
            <w:tcBorders>
              <w:top w:val="single" w:sz="6" w:space="0" w:color="auto"/>
              <w:bottom w:val="single" w:sz="12" w:space="0" w:color="auto"/>
            </w:tcBorders>
          </w:tcPr>
          <w:p w14:paraId="7E870830"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252.5</w:t>
            </w:r>
          </w:p>
        </w:tc>
        <w:tc>
          <w:tcPr>
            <w:tcW w:w="865" w:type="dxa"/>
            <w:tcBorders>
              <w:top w:val="single" w:sz="6" w:space="0" w:color="auto"/>
              <w:bottom w:val="single" w:sz="12" w:space="0" w:color="auto"/>
            </w:tcBorders>
          </w:tcPr>
          <w:p w14:paraId="1D5223E8" w14:textId="77777777" w:rsidR="009256ED" w:rsidRPr="00D722EE" w:rsidRDefault="009256ED" w:rsidP="008670FF">
            <w:pPr>
              <w:cnfStyle w:val="000000000000" w:firstRow="0" w:lastRow="0" w:firstColumn="0" w:lastColumn="0" w:oddVBand="0" w:evenVBand="0" w:oddHBand="0" w:evenHBand="0" w:firstRowFirstColumn="0" w:firstRowLastColumn="0" w:lastRowFirstColumn="0" w:lastRowLastColumn="0"/>
              <w:rPr>
                <w:b/>
              </w:rPr>
            </w:pPr>
            <w:r w:rsidRPr="00D722EE">
              <w:rPr>
                <w:b/>
                <w:bCs/>
              </w:rPr>
              <w:t>261.6</w:t>
            </w:r>
          </w:p>
        </w:tc>
      </w:tr>
    </w:tbl>
    <w:p w14:paraId="51436DA9" w14:textId="77777777" w:rsidR="009256ED" w:rsidRPr="00633128" w:rsidRDefault="009256ED" w:rsidP="009256ED">
      <w:pPr>
        <w:pStyle w:val="Note"/>
      </w:pPr>
      <w:r w:rsidRPr="00633128">
        <w:t>Notes:</w:t>
      </w:r>
    </w:p>
    <w:p w14:paraId="22D2C7BC" w14:textId="77777777" w:rsidR="009256ED" w:rsidRPr="00633128" w:rsidRDefault="009256ED" w:rsidP="009256ED">
      <w:pPr>
        <w:pStyle w:val="Note"/>
      </w:pPr>
      <w:r w:rsidRPr="00633128">
        <w:t>(a)</w:t>
      </w:r>
      <w:r w:rsidRPr="00633128">
        <w:tab/>
        <w:t xml:space="preserve">This is a summary balance sheet. The comprehensive balance sheet is presented in </w:t>
      </w:r>
      <w:r w:rsidRPr="00976EF0">
        <w:t>Chapter 5</w:t>
      </w:r>
      <w:r w:rsidRPr="00633128">
        <w:t>. Figures in this table are subject to rounding to the nearest billion and may not add up to totals.</w:t>
      </w:r>
    </w:p>
    <w:p w14:paraId="0B453AE3" w14:textId="77777777" w:rsidR="009256ED" w:rsidRPr="00633128" w:rsidRDefault="009256ED" w:rsidP="009256ED">
      <w:pPr>
        <w:pStyle w:val="Note"/>
      </w:pPr>
      <w:r w:rsidRPr="00633128">
        <w:t>(b)</w:t>
      </w:r>
      <w:r w:rsidRPr="00633128">
        <w:tab/>
        <w:t>Financial assets include cash and deposits, advances paid, investments, loans and placements, receivables, and investments accounted for using the equity method.</w:t>
      </w:r>
    </w:p>
    <w:p w14:paraId="79F0C3CB" w14:textId="77777777" w:rsidR="009256ED" w:rsidRPr="00633128" w:rsidRDefault="009256ED" w:rsidP="009256ED">
      <w:pPr>
        <w:pStyle w:val="Note"/>
      </w:pPr>
      <w:r w:rsidRPr="00633128">
        <w:t>(c)</w:t>
      </w:r>
      <w:r w:rsidRPr="00633128">
        <w:tab/>
        <w:t>Non</w:t>
      </w:r>
      <w:r w:rsidRPr="00633128">
        <w:noBreakHyphen/>
        <w:t>financial assets include inventories, non</w:t>
      </w:r>
      <w:r w:rsidRPr="00633128">
        <w:noBreakHyphen/>
        <w:t>financial assets held for sale, land, buildings, infrastructure, plant and equipment, and other non</w:t>
      </w:r>
      <w:r w:rsidRPr="00633128">
        <w:noBreakHyphen/>
        <w:t>financial assets.</w:t>
      </w:r>
    </w:p>
    <w:p w14:paraId="24943ED4" w14:textId="77777777" w:rsidR="009256ED" w:rsidRPr="00633128" w:rsidRDefault="009256ED" w:rsidP="009256ED">
      <w:pPr>
        <w:pStyle w:val="Note"/>
      </w:pPr>
      <w:r w:rsidRPr="00633128">
        <w:t>(d)</w:t>
      </w:r>
      <w:r w:rsidRPr="00633128">
        <w:tab/>
        <w:t>Other liabilities consist of payables, employee benefits, other provisions and contract liabilities.</w:t>
      </w:r>
    </w:p>
    <w:p w14:paraId="2A00320B" w14:textId="77777777" w:rsidR="00157D02" w:rsidRDefault="00157D02" w:rsidP="00157D02">
      <w:pPr>
        <w:ind w:right="264"/>
      </w:pPr>
    </w:p>
    <w:p w14:paraId="04D6C4AF" w14:textId="2D978CC5" w:rsidR="009256ED" w:rsidRPr="00633128" w:rsidRDefault="009256ED" w:rsidP="00157D02">
      <w:pPr>
        <w:ind w:right="264"/>
      </w:pPr>
      <w:r w:rsidRPr="00633128">
        <w:t>Table 3.1</w:t>
      </w:r>
      <w:r>
        <w:t>1</w:t>
      </w:r>
      <w:r w:rsidRPr="00633128">
        <w:t xml:space="preserve"> shows that the state’s net assets are projected to increase over the budget and forward estimates, from $</w:t>
      </w:r>
      <w:r>
        <w:t>237.5</w:t>
      </w:r>
      <w:r w:rsidRPr="002547AD">
        <w:t xml:space="preserve"> billion in 2024-25 to $26</w:t>
      </w:r>
      <w:r>
        <w:t>1</w:t>
      </w:r>
      <w:r w:rsidRPr="002547AD">
        <w:t>.</w:t>
      </w:r>
      <w:r>
        <w:t>6</w:t>
      </w:r>
      <w:r w:rsidRPr="002547AD">
        <w:t xml:space="preserve"> billion by 2027-28</w:t>
      </w:r>
      <w:r w:rsidRPr="00633128">
        <w:t xml:space="preserve">. This reflects a forecast increase in total assets of </w:t>
      </w:r>
      <w:r w:rsidRPr="002547AD">
        <w:t>$</w:t>
      </w:r>
      <w:r>
        <w:t>83</w:t>
      </w:r>
      <w:r w:rsidRPr="002547AD">
        <w:t>.</w:t>
      </w:r>
      <w:r>
        <w:t>5</w:t>
      </w:r>
      <w:r w:rsidRPr="00633128">
        <w:t xml:space="preserve"> billion over this period, partly offset by a </w:t>
      </w:r>
      <w:r w:rsidRPr="002547AD">
        <w:t>$</w:t>
      </w:r>
      <w:r>
        <w:t>59.5</w:t>
      </w:r>
      <w:r w:rsidR="00157D02">
        <w:t> </w:t>
      </w:r>
      <w:r w:rsidRPr="00633128">
        <w:t>billion increase in liabilities.</w:t>
      </w:r>
    </w:p>
    <w:p w14:paraId="3E442732" w14:textId="77777777" w:rsidR="009256ED" w:rsidRPr="00633128" w:rsidRDefault="009256ED" w:rsidP="009256ED">
      <w:r w:rsidRPr="00633128">
        <w:t xml:space="preserve">The increase in total assets is largely due to the state’s non-financial assets, including infrastructure, being estimated to increase </w:t>
      </w:r>
      <w:r w:rsidRPr="002547AD">
        <w:t>from $47</w:t>
      </w:r>
      <w:r>
        <w:t>3</w:t>
      </w:r>
      <w:r w:rsidRPr="002547AD">
        <w:t>.</w:t>
      </w:r>
      <w:r>
        <w:t>0</w:t>
      </w:r>
      <w:r w:rsidRPr="002547AD">
        <w:t xml:space="preserve"> billion in 2024-25 to $537.</w:t>
      </w:r>
      <w:r>
        <w:t>5</w:t>
      </w:r>
      <w:r w:rsidRPr="002547AD">
        <w:t xml:space="preserve"> billion by 2027-28.</w:t>
      </w:r>
      <w:r w:rsidRPr="00633128">
        <w:t xml:space="preserve"> </w:t>
      </w:r>
    </w:p>
    <w:p w14:paraId="57A076CA" w14:textId="77777777" w:rsidR="009256ED" w:rsidRDefault="009256ED" w:rsidP="009256ED">
      <w:r w:rsidRPr="00633128">
        <w:t xml:space="preserve">The projected increase in total liabilities, from </w:t>
      </w:r>
      <w:r w:rsidRPr="002547AD">
        <w:t>$</w:t>
      </w:r>
      <w:r>
        <w:t>354.8</w:t>
      </w:r>
      <w:r w:rsidRPr="002547AD">
        <w:t xml:space="preserve"> billion in 2024-25 to $</w:t>
      </w:r>
      <w:r>
        <w:t>414.3 </w:t>
      </w:r>
      <w:r w:rsidRPr="002547AD">
        <w:t>billion</w:t>
      </w:r>
      <w:r w:rsidRPr="00633128">
        <w:t xml:space="preserve"> by 202</w:t>
      </w:r>
      <w:r>
        <w:t>7</w:t>
      </w:r>
      <w:r w:rsidRPr="00633128">
        <w:t>-2</w:t>
      </w:r>
      <w:r>
        <w:t>8</w:t>
      </w:r>
      <w:r w:rsidRPr="00633128">
        <w:t xml:space="preserve">, is largely due to borrowings increasing from </w:t>
      </w:r>
      <w:r w:rsidRPr="002547AD">
        <w:t>$2</w:t>
      </w:r>
      <w:r>
        <w:t>22</w:t>
      </w:r>
      <w:r w:rsidRPr="002547AD">
        <w:t>.</w:t>
      </w:r>
      <w:r>
        <w:t>3</w:t>
      </w:r>
      <w:r w:rsidRPr="002547AD">
        <w:t xml:space="preserve"> billion in 2024-25 to $2</w:t>
      </w:r>
      <w:r>
        <w:t>71</w:t>
      </w:r>
      <w:r w:rsidRPr="002547AD">
        <w:t>.</w:t>
      </w:r>
      <w:r>
        <w:t>4</w:t>
      </w:r>
      <w:r w:rsidRPr="002547AD">
        <w:t> billion by 2027-28.</w:t>
      </w:r>
    </w:p>
    <w:p w14:paraId="067BFCF1" w14:textId="7A4ADCD1" w:rsidR="00AB205D" w:rsidRDefault="00AB205D"/>
    <w:p w14:paraId="60683960" w14:textId="77777777" w:rsidR="00B84BA2" w:rsidRPr="00502202" w:rsidRDefault="00B84BA2"/>
    <w:p w14:paraId="6C6F9E03" w14:textId="345669E7" w:rsidR="002E50E8" w:rsidRDefault="002E50E8">
      <w:pPr>
        <w:keepLines w:val="0"/>
      </w:pPr>
      <w:r>
        <w:br w:type="page"/>
      </w:r>
    </w:p>
    <w:p w14:paraId="722989F3" w14:textId="77777777" w:rsidR="00341416" w:rsidRDefault="00341416" w:rsidP="00341416">
      <w:pPr>
        <w:keepLines w:val="0"/>
      </w:pPr>
    </w:p>
    <w:p w14:paraId="110DCCB5" w14:textId="77777777" w:rsidR="00341416" w:rsidRDefault="00341416" w:rsidP="00341416">
      <w:pPr>
        <w:sectPr w:rsidR="00341416" w:rsidSect="00570639">
          <w:headerReference w:type="even" r:id="rId34"/>
          <w:headerReference w:type="default" r:id="rId35"/>
          <w:footerReference w:type="even" r:id="rId36"/>
          <w:footerReference w:type="default" r:id="rId37"/>
          <w:headerReference w:type="first" r:id="rId38"/>
          <w:footerReference w:type="first" r:id="rId39"/>
          <w:pgSz w:w="9979" w:h="14175" w:code="34"/>
          <w:pgMar w:top="1134" w:right="1134" w:bottom="1134" w:left="1134" w:header="624" w:footer="567" w:gutter="0"/>
          <w:cols w:space="708"/>
          <w:docGrid w:linePitch="360"/>
        </w:sectPr>
      </w:pPr>
    </w:p>
    <w:p w14:paraId="608909D1" w14:textId="251A6481" w:rsidR="00AB205D" w:rsidRDefault="00471A3B">
      <w:pPr>
        <w:pStyle w:val="ChapterHeading"/>
      </w:pPr>
      <w:bookmarkStart w:id="50" w:name="_Toc184299446"/>
      <w:r>
        <w:t xml:space="preserve">Chapter 4 – Estimated </w:t>
      </w:r>
      <w:r w:rsidR="003C40DD">
        <w:t>f</w:t>
      </w:r>
      <w:r>
        <w:t xml:space="preserve">inancial </w:t>
      </w:r>
      <w:r w:rsidR="00A713BA">
        <w:t>s</w:t>
      </w:r>
      <w:r>
        <w:t xml:space="preserve">tatements and </w:t>
      </w:r>
      <w:r w:rsidR="00A713BA">
        <w:t>n</w:t>
      </w:r>
      <w:r>
        <w:t>otes</w:t>
      </w:r>
      <w:bookmarkEnd w:id="50"/>
    </w:p>
    <w:p w14:paraId="5EC45663" w14:textId="77777777" w:rsidR="004135EE" w:rsidRDefault="004135EE" w:rsidP="004135EE">
      <w:pPr>
        <w:pStyle w:val="Heading10"/>
      </w:pPr>
      <w:bookmarkStart w:id="51" w:name="_Toc152933032"/>
      <w:bookmarkStart w:id="52" w:name="_Toc179455717"/>
      <w:bookmarkStart w:id="53" w:name="_Toc184299447"/>
      <w:r>
        <w:t>Estimated consolidated general government sector comprehensive operating statement</w:t>
      </w:r>
      <w:bookmarkEnd w:id="51"/>
      <w:bookmarkEnd w:id="52"/>
      <w:bookmarkEnd w:id="53"/>
    </w:p>
    <w:p w14:paraId="2D32EE1B" w14:textId="77777777" w:rsidR="004135EE" w:rsidRDefault="004135EE" w:rsidP="004135EE">
      <w:pPr>
        <w:pStyle w:val="TableHeading"/>
      </w:pPr>
      <w:r>
        <w:t>For the financial year ended 30 June</w:t>
      </w:r>
      <w:r>
        <w:tab/>
        <w:t>($ million)</w:t>
      </w:r>
    </w:p>
    <w:tbl>
      <w:tblPr>
        <w:tblStyle w:val="DTFTableNumeric"/>
        <w:tblW w:w="7655" w:type="dxa"/>
        <w:tblLayout w:type="fixed"/>
        <w:tblLook w:val="06A0" w:firstRow="1" w:lastRow="0" w:firstColumn="1" w:lastColumn="0" w:noHBand="1" w:noVBand="1"/>
        <w:tblDescription w:val="Type:DtfTable|Workbook:https://vicgov.sharepoint.com/sites/VG002735/Budget%20Update/Financial%20Statements/SRIMS%20exports/SRIMS_BU_EFS_OS.xlsx|Table:Cons_OS|MergedHeadingRow:1|LastRow:31"/>
      </w:tblPr>
      <w:tblGrid>
        <w:gridCol w:w="3248"/>
        <w:gridCol w:w="546"/>
        <w:gridCol w:w="738"/>
        <w:gridCol w:w="781"/>
        <w:gridCol w:w="780"/>
        <w:gridCol w:w="781"/>
        <w:gridCol w:w="781"/>
      </w:tblGrid>
      <w:tr w:rsidR="004135EE" w14:paraId="53C9BA2B"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8" w:type="dxa"/>
          </w:tcPr>
          <w:p w14:paraId="15E548FE" w14:textId="77777777" w:rsidR="004135EE" w:rsidRDefault="004135EE" w:rsidP="008670FF">
            <w:pPr>
              <w:keepNext/>
              <w:spacing w:after="0"/>
            </w:pPr>
          </w:p>
        </w:tc>
        <w:tc>
          <w:tcPr>
            <w:tcW w:w="546" w:type="dxa"/>
          </w:tcPr>
          <w:p w14:paraId="182E012E" w14:textId="77777777" w:rsidR="004135EE" w:rsidRDefault="004135EE" w:rsidP="008670FF">
            <w:pPr>
              <w:keepNext/>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38" w:type="dxa"/>
          </w:tcPr>
          <w:p w14:paraId="37F0116F"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81" w:type="dxa"/>
          </w:tcPr>
          <w:p w14:paraId="0FD9B35B"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80" w:type="dxa"/>
          </w:tcPr>
          <w:p w14:paraId="2DC27058"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81" w:type="dxa"/>
          </w:tcPr>
          <w:p w14:paraId="175CA1FC"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81" w:type="dxa"/>
          </w:tcPr>
          <w:p w14:paraId="57BEF4FF"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40A5F9F7"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7CF7F429" w14:textId="77777777" w:rsidR="004135EE" w:rsidRDefault="004135EE" w:rsidP="008670FF">
            <w:pPr>
              <w:spacing w:after="0"/>
            </w:pPr>
            <w:r>
              <w:rPr>
                <w:b/>
              </w:rPr>
              <w:t>Revenue and income from transactions</w:t>
            </w:r>
          </w:p>
        </w:tc>
        <w:tc>
          <w:tcPr>
            <w:tcW w:w="546" w:type="dxa"/>
          </w:tcPr>
          <w:p w14:paraId="4F5EC25A"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0152E17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63A08C3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212FE8B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6002F9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102D9B2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795C5293"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3A73478E" w14:textId="77777777" w:rsidR="004135EE" w:rsidRDefault="004135EE" w:rsidP="008670FF">
            <w:pPr>
              <w:spacing w:after="0"/>
            </w:pPr>
            <w:r>
              <w:t>Taxation</w:t>
            </w:r>
          </w:p>
        </w:tc>
        <w:tc>
          <w:tcPr>
            <w:tcW w:w="546" w:type="dxa"/>
          </w:tcPr>
          <w:p w14:paraId="738CEFB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4.2.1</w:t>
            </w:r>
          </w:p>
        </w:tc>
        <w:tc>
          <w:tcPr>
            <w:tcW w:w="738" w:type="dxa"/>
          </w:tcPr>
          <w:p w14:paraId="00D55D9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38 979</w:t>
            </w:r>
          </w:p>
        </w:tc>
        <w:tc>
          <w:tcPr>
            <w:tcW w:w="781" w:type="dxa"/>
          </w:tcPr>
          <w:p w14:paraId="1473DAC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39 152</w:t>
            </w:r>
          </w:p>
        </w:tc>
        <w:tc>
          <w:tcPr>
            <w:tcW w:w="780" w:type="dxa"/>
          </w:tcPr>
          <w:p w14:paraId="3B9D8A6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41 563</w:t>
            </w:r>
          </w:p>
        </w:tc>
        <w:tc>
          <w:tcPr>
            <w:tcW w:w="781" w:type="dxa"/>
          </w:tcPr>
          <w:p w14:paraId="25D3123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43 776</w:t>
            </w:r>
          </w:p>
        </w:tc>
        <w:tc>
          <w:tcPr>
            <w:tcW w:w="781" w:type="dxa"/>
          </w:tcPr>
          <w:p w14:paraId="2D6E3E6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45 788</w:t>
            </w:r>
          </w:p>
        </w:tc>
      </w:tr>
      <w:tr w:rsidR="004135EE" w14:paraId="36917D87"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65D8BFD8" w14:textId="77777777" w:rsidR="004135EE" w:rsidRDefault="004135EE" w:rsidP="008670FF">
            <w:pPr>
              <w:spacing w:after="0"/>
            </w:pPr>
            <w:r>
              <w:t>Interest income</w:t>
            </w:r>
          </w:p>
        </w:tc>
        <w:tc>
          <w:tcPr>
            <w:tcW w:w="546" w:type="dxa"/>
          </w:tcPr>
          <w:p w14:paraId="4744B7C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324B463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1 283</w:t>
            </w:r>
          </w:p>
        </w:tc>
        <w:tc>
          <w:tcPr>
            <w:tcW w:w="781" w:type="dxa"/>
          </w:tcPr>
          <w:p w14:paraId="0CD1FF5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1 396</w:t>
            </w:r>
          </w:p>
        </w:tc>
        <w:tc>
          <w:tcPr>
            <w:tcW w:w="780" w:type="dxa"/>
          </w:tcPr>
          <w:p w14:paraId="6F3E093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1 077</w:t>
            </w:r>
          </w:p>
        </w:tc>
        <w:tc>
          <w:tcPr>
            <w:tcW w:w="781" w:type="dxa"/>
          </w:tcPr>
          <w:p w14:paraId="39F3936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1 084</w:t>
            </w:r>
          </w:p>
        </w:tc>
        <w:tc>
          <w:tcPr>
            <w:tcW w:w="781" w:type="dxa"/>
          </w:tcPr>
          <w:p w14:paraId="506B11A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1 096</w:t>
            </w:r>
          </w:p>
        </w:tc>
      </w:tr>
      <w:tr w:rsidR="004135EE" w14:paraId="595DEEEF"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0689648F" w14:textId="52218345" w:rsidR="004135EE" w:rsidRDefault="004135EE" w:rsidP="008670FF">
            <w:pPr>
              <w:spacing w:after="0"/>
            </w:pPr>
            <w:r>
              <w:t xml:space="preserve">Dividends, income tax equivalent and </w:t>
            </w:r>
            <w:r w:rsidR="00F46F28">
              <w:br/>
            </w:r>
            <w:r>
              <w:t>rate equivalent income</w:t>
            </w:r>
          </w:p>
        </w:tc>
        <w:tc>
          <w:tcPr>
            <w:tcW w:w="546" w:type="dxa"/>
          </w:tcPr>
          <w:p w14:paraId="5FE3847C"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4.2.2</w:t>
            </w:r>
          </w:p>
        </w:tc>
        <w:tc>
          <w:tcPr>
            <w:tcW w:w="738" w:type="dxa"/>
          </w:tcPr>
          <w:p w14:paraId="365E6E4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1 015</w:t>
            </w:r>
          </w:p>
        </w:tc>
        <w:tc>
          <w:tcPr>
            <w:tcW w:w="781" w:type="dxa"/>
          </w:tcPr>
          <w:p w14:paraId="5FB95C7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1 127</w:t>
            </w:r>
          </w:p>
        </w:tc>
        <w:tc>
          <w:tcPr>
            <w:tcW w:w="780" w:type="dxa"/>
          </w:tcPr>
          <w:p w14:paraId="651DA77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1 187</w:t>
            </w:r>
          </w:p>
        </w:tc>
        <w:tc>
          <w:tcPr>
            <w:tcW w:w="781" w:type="dxa"/>
          </w:tcPr>
          <w:p w14:paraId="3DAF20D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1 250</w:t>
            </w:r>
          </w:p>
        </w:tc>
        <w:tc>
          <w:tcPr>
            <w:tcW w:w="781" w:type="dxa"/>
          </w:tcPr>
          <w:p w14:paraId="028C3F1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1 303</w:t>
            </w:r>
          </w:p>
        </w:tc>
      </w:tr>
      <w:tr w:rsidR="004135EE" w14:paraId="5A5C06CD"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03A437E6" w14:textId="77777777" w:rsidR="004135EE" w:rsidRDefault="004135EE" w:rsidP="008670FF">
            <w:pPr>
              <w:spacing w:after="0"/>
            </w:pPr>
            <w:r>
              <w:t>Sales of goods and services</w:t>
            </w:r>
          </w:p>
        </w:tc>
        <w:tc>
          <w:tcPr>
            <w:tcW w:w="546" w:type="dxa"/>
          </w:tcPr>
          <w:p w14:paraId="4E011A57"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4.2.3</w:t>
            </w:r>
          </w:p>
        </w:tc>
        <w:tc>
          <w:tcPr>
            <w:tcW w:w="738" w:type="dxa"/>
          </w:tcPr>
          <w:p w14:paraId="1B5C66C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6 794</w:t>
            </w:r>
          </w:p>
        </w:tc>
        <w:tc>
          <w:tcPr>
            <w:tcW w:w="781" w:type="dxa"/>
          </w:tcPr>
          <w:p w14:paraId="42DECA3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7 080</w:t>
            </w:r>
          </w:p>
        </w:tc>
        <w:tc>
          <w:tcPr>
            <w:tcW w:w="780" w:type="dxa"/>
          </w:tcPr>
          <w:p w14:paraId="78005A1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7 165</w:t>
            </w:r>
          </w:p>
        </w:tc>
        <w:tc>
          <w:tcPr>
            <w:tcW w:w="781" w:type="dxa"/>
          </w:tcPr>
          <w:p w14:paraId="408E55A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7 252</w:t>
            </w:r>
          </w:p>
        </w:tc>
        <w:tc>
          <w:tcPr>
            <w:tcW w:w="781" w:type="dxa"/>
          </w:tcPr>
          <w:p w14:paraId="2F79451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7 317</w:t>
            </w:r>
          </w:p>
        </w:tc>
      </w:tr>
      <w:tr w:rsidR="004135EE" w14:paraId="6ABE940C"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177DCDF4" w14:textId="77777777" w:rsidR="004135EE" w:rsidRDefault="004135EE" w:rsidP="008670FF">
            <w:pPr>
              <w:spacing w:after="0"/>
            </w:pPr>
            <w:r>
              <w:t>Grants</w:t>
            </w:r>
          </w:p>
        </w:tc>
        <w:tc>
          <w:tcPr>
            <w:tcW w:w="546" w:type="dxa"/>
          </w:tcPr>
          <w:p w14:paraId="5052B732"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4.2.4</w:t>
            </w:r>
          </w:p>
        </w:tc>
        <w:tc>
          <w:tcPr>
            <w:tcW w:w="738" w:type="dxa"/>
          </w:tcPr>
          <w:p w14:paraId="104AE3C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44 812</w:t>
            </w:r>
          </w:p>
        </w:tc>
        <w:tc>
          <w:tcPr>
            <w:tcW w:w="781" w:type="dxa"/>
          </w:tcPr>
          <w:p w14:paraId="2411821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45 598</w:t>
            </w:r>
          </w:p>
        </w:tc>
        <w:tc>
          <w:tcPr>
            <w:tcW w:w="780" w:type="dxa"/>
          </w:tcPr>
          <w:p w14:paraId="4EB79D2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49 165</w:t>
            </w:r>
          </w:p>
        </w:tc>
        <w:tc>
          <w:tcPr>
            <w:tcW w:w="781" w:type="dxa"/>
          </w:tcPr>
          <w:p w14:paraId="7515500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49 861</w:t>
            </w:r>
          </w:p>
        </w:tc>
        <w:tc>
          <w:tcPr>
            <w:tcW w:w="781" w:type="dxa"/>
          </w:tcPr>
          <w:p w14:paraId="4DAC6C2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51 325</w:t>
            </w:r>
          </w:p>
        </w:tc>
      </w:tr>
      <w:tr w:rsidR="004135EE" w14:paraId="3498CBF8"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2C4275D0" w14:textId="77777777" w:rsidR="004135EE" w:rsidRDefault="004135EE" w:rsidP="008670FF">
            <w:pPr>
              <w:spacing w:after="0"/>
            </w:pPr>
            <w:r>
              <w:t>Other revenue and income</w:t>
            </w:r>
          </w:p>
        </w:tc>
        <w:tc>
          <w:tcPr>
            <w:tcW w:w="546" w:type="dxa"/>
            <w:tcBorders>
              <w:bottom w:val="single" w:sz="6" w:space="0" w:color="auto"/>
            </w:tcBorders>
          </w:tcPr>
          <w:p w14:paraId="0CAE842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4.2.5</w:t>
            </w:r>
          </w:p>
        </w:tc>
        <w:tc>
          <w:tcPr>
            <w:tcW w:w="738" w:type="dxa"/>
            <w:tcBorders>
              <w:bottom w:val="single" w:sz="6" w:space="0" w:color="auto"/>
            </w:tcBorders>
          </w:tcPr>
          <w:p w14:paraId="1E10B2F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3 201</w:t>
            </w:r>
          </w:p>
        </w:tc>
        <w:tc>
          <w:tcPr>
            <w:tcW w:w="781" w:type="dxa"/>
            <w:tcBorders>
              <w:bottom w:val="single" w:sz="6" w:space="0" w:color="auto"/>
            </w:tcBorders>
          </w:tcPr>
          <w:p w14:paraId="01AEB60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3 706</w:t>
            </w:r>
          </w:p>
        </w:tc>
        <w:tc>
          <w:tcPr>
            <w:tcW w:w="780" w:type="dxa"/>
            <w:tcBorders>
              <w:bottom w:val="single" w:sz="6" w:space="0" w:color="auto"/>
            </w:tcBorders>
          </w:tcPr>
          <w:p w14:paraId="2689ED8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3 269</w:t>
            </w:r>
          </w:p>
        </w:tc>
        <w:tc>
          <w:tcPr>
            <w:tcW w:w="781" w:type="dxa"/>
            <w:tcBorders>
              <w:bottom w:val="single" w:sz="6" w:space="0" w:color="auto"/>
            </w:tcBorders>
          </w:tcPr>
          <w:p w14:paraId="146A3CB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3 813</w:t>
            </w:r>
          </w:p>
        </w:tc>
        <w:tc>
          <w:tcPr>
            <w:tcW w:w="781" w:type="dxa"/>
            <w:tcBorders>
              <w:bottom w:val="single" w:sz="6" w:space="0" w:color="auto"/>
            </w:tcBorders>
          </w:tcPr>
          <w:p w14:paraId="4AA8462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3 536</w:t>
            </w:r>
          </w:p>
        </w:tc>
      </w:tr>
      <w:tr w:rsidR="004135EE" w14:paraId="2ADB8712"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tcBorders>
          </w:tcPr>
          <w:p w14:paraId="64D5B598" w14:textId="77777777" w:rsidR="004135EE" w:rsidRDefault="004135EE" w:rsidP="008670FF">
            <w:pPr>
              <w:spacing w:after="0"/>
            </w:pPr>
            <w:r>
              <w:rPr>
                <w:b/>
              </w:rPr>
              <w:t>Total revenue and income from transactions</w:t>
            </w:r>
          </w:p>
        </w:tc>
        <w:tc>
          <w:tcPr>
            <w:tcW w:w="546" w:type="dxa"/>
            <w:tcBorders>
              <w:top w:val="single" w:sz="6" w:space="0" w:color="auto"/>
            </w:tcBorders>
          </w:tcPr>
          <w:p w14:paraId="75A47383"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tcBorders>
          </w:tcPr>
          <w:p w14:paraId="40F06CF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96 084</w:t>
            </w:r>
          </w:p>
        </w:tc>
        <w:tc>
          <w:tcPr>
            <w:tcW w:w="781" w:type="dxa"/>
            <w:tcBorders>
              <w:top w:val="single" w:sz="6" w:space="0" w:color="auto"/>
            </w:tcBorders>
          </w:tcPr>
          <w:p w14:paraId="6291FE4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98 059</w:t>
            </w:r>
          </w:p>
        </w:tc>
        <w:tc>
          <w:tcPr>
            <w:tcW w:w="780" w:type="dxa"/>
            <w:tcBorders>
              <w:top w:val="single" w:sz="6" w:space="0" w:color="auto"/>
            </w:tcBorders>
          </w:tcPr>
          <w:p w14:paraId="15D3BD0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103 426</w:t>
            </w:r>
          </w:p>
        </w:tc>
        <w:tc>
          <w:tcPr>
            <w:tcW w:w="781" w:type="dxa"/>
            <w:tcBorders>
              <w:top w:val="single" w:sz="6" w:space="0" w:color="auto"/>
            </w:tcBorders>
          </w:tcPr>
          <w:p w14:paraId="7706D4C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107 036</w:t>
            </w:r>
          </w:p>
        </w:tc>
        <w:tc>
          <w:tcPr>
            <w:tcW w:w="781" w:type="dxa"/>
            <w:tcBorders>
              <w:top w:val="single" w:sz="6" w:space="0" w:color="auto"/>
            </w:tcBorders>
          </w:tcPr>
          <w:p w14:paraId="5C1EF64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110 364</w:t>
            </w:r>
          </w:p>
        </w:tc>
      </w:tr>
      <w:tr w:rsidR="004135EE" w14:paraId="429766BD"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42D97FA0" w14:textId="77777777" w:rsidR="004135EE" w:rsidRDefault="004135EE" w:rsidP="008670FF">
            <w:pPr>
              <w:spacing w:after="0"/>
            </w:pPr>
            <w:r>
              <w:rPr>
                <w:b/>
              </w:rPr>
              <w:t>Expenses from transactions</w:t>
            </w:r>
          </w:p>
        </w:tc>
        <w:tc>
          <w:tcPr>
            <w:tcW w:w="546" w:type="dxa"/>
          </w:tcPr>
          <w:p w14:paraId="2D01FEE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409CE5B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5E24A83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3F563BE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6A457C7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06C4AFC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1D193EDC"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454D4284" w14:textId="77777777" w:rsidR="004135EE" w:rsidRDefault="004135EE" w:rsidP="008670FF">
            <w:pPr>
              <w:spacing w:after="0"/>
            </w:pPr>
            <w:r>
              <w:t>Employee expenses</w:t>
            </w:r>
          </w:p>
        </w:tc>
        <w:tc>
          <w:tcPr>
            <w:tcW w:w="546" w:type="dxa"/>
          </w:tcPr>
          <w:p w14:paraId="3FFDA456"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4.3.1</w:t>
            </w:r>
          </w:p>
        </w:tc>
        <w:tc>
          <w:tcPr>
            <w:tcW w:w="738" w:type="dxa"/>
          </w:tcPr>
          <w:p w14:paraId="00963DA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36 538</w:t>
            </w:r>
          </w:p>
        </w:tc>
        <w:tc>
          <w:tcPr>
            <w:tcW w:w="781" w:type="dxa"/>
          </w:tcPr>
          <w:p w14:paraId="1EC8E5C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37 526</w:t>
            </w:r>
          </w:p>
        </w:tc>
        <w:tc>
          <w:tcPr>
            <w:tcW w:w="780" w:type="dxa"/>
          </w:tcPr>
          <w:p w14:paraId="1C2495A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38 433</w:t>
            </w:r>
          </w:p>
        </w:tc>
        <w:tc>
          <w:tcPr>
            <w:tcW w:w="781" w:type="dxa"/>
          </w:tcPr>
          <w:p w14:paraId="428F1FF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40 046</w:t>
            </w:r>
          </w:p>
        </w:tc>
        <w:tc>
          <w:tcPr>
            <w:tcW w:w="781" w:type="dxa"/>
          </w:tcPr>
          <w:p w14:paraId="07CB4B6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41 233</w:t>
            </w:r>
          </w:p>
        </w:tc>
      </w:tr>
      <w:tr w:rsidR="004135EE" w14:paraId="3C0A6B4E"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6C8D427B" w14:textId="77777777" w:rsidR="004135EE" w:rsidRDefault="004135EE" w:rsidP="008670FF">
            <w:pPr>
              <w:spacing w:after="0"/>
            </w:pPr>
            <w:r>
              <w:t>Net superannuation interest expense</w:t>
            </w:r>
          </w:p>
        </w:tc>
        <w:tc>
          <w:tcPr>
            <w:tcW w:w="546" w:type="dxa"/>
          </w:tcPr>
          <w:p w14:paraId="023C4A3F"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4.3.2</w:t>
            </w:r>
          </w:p>
        </w:tc>
        <w:tc>
          <w:tcPr>
            <w:tcW w:w="738" w:type="dxa"/>
          </w:tcPr>
          <w:p w14:paraId="5DF8F32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774</w:t>
            </w:r>
          </w:p>
        </w:tc>
        <w:tc>
          <w:tcPr>
            <w:tcW w:w="781" w:type="dxa"/>
          </w:tcPr>
          <w:p w14:paraId="3296109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783</w:t>
            </w:r>
          </w:p>
        </w:tc>
        <w:tc>
          <w:tcPr>
            <w:tcW w:w="780" w:type="dxa"/>
          </w:tcPr>
          <w:p w14:paraId="420667E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787</w:t>
            </w:r>
          </w:p>
        </w:tc>
        <w:tc>
          <w:tcPr>
            <w:tcW w:w="781" w:type="dxa"/>
          </w:tcPr>
          <w:p w14:paraId="0ACC47C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796</w:t>
            </w:r>
          </w:p>
        </w:tc>
        <w:tc>
          <w:tcPr>
            <w:tcW w:w="781" w:type="dxa"/>
          </w:tcPr>
          <w:p w14:paraId="59EB899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785</w:t>
            </w:r>
          </w:p>
        </w:tc>
      </w:tr>
      <w:tr w:rsidR="004135EE" w14:paraId="34B5B49D"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76C35611" w14:textId="77777777" w:rsidR="004135EE" w:rsidRDefault="004135EE" w:rsidP="008670FF">
            <w:pPr>
              <w:spacing w:after="0"/>
            </w:pPr>
            <w:r>
              <w:t>Other superannuation</w:t>
            </w:r>
          </w:p>
        </w:tc>
        <w:tc>
          <w:tcPr>
            <w:tcW w:w="546" w:type="dxa"/>
          </w:tcPr>
          <w:p w14:paraId="3EC9B5FF"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4.3.2</w:t>
            </w:r>
          </w:p>
        </w:tc>
        <w:tc>
          <w:tcPr>
            <w:tcW w:w="738" w:type="dxa"/>
          </w:tcPr>
          <w:p w14:paraId="5B57E02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3 872</w:t>
            </w:r>
          </w:p>
        </w:tc>
        <w:tc>
          <w:tcPr>
            <w:tcW w:w="781" w:type="dxa"/>
          </w:tcPr>
          <w:p w14:paraId="553F6DA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4 084</w:t>
            </w:r>
          </w:p>
        </w:tc>
        <w:tc>
          <w:tcPr>
            <w:tcW w:w="780" w:type="dxa"/>
          </w:tcPr>
          <w:p w14:paraId="7D5E2A3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4 126</w:t>
            </w:r>
          </w:p>
        </w:tc>
        <w:tc>
          <w:tcPr>
            <w:tcW w:w="781" w:type="dxa"/>
          </w:tcPr>
          <w:p w14:paraId="20870AB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4 245</w:t>
            </w:r>
          </w:p>
        </w:tc>
        <w:tc>
          <w:tcPr>
            <w:tcW w:w="781" w:type="dxa"/>
          </w:tcPr>
          <w:p w14:paraId="77B34D9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4 408</w:t>
            </w:r>
          </w:p>
        </w:tc>
      </w:tr>
      <w:tr w:rsidR="004135EE" w14:paraId="4C5FB151"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39DEBB95" w14:textId="77777777" w:rsidR="004135EE" w:rsidRDefault="004135EE" w:rsidP="008670FF">
            <w:pPr>
              <w:spacing w:after="0"/>
            </w:pPr>
            <w:r>
              <w:t>Depreciation</w:t>
            </w:r>
          </w:p>
        </w:tc>
        <w:tc>
          <w:tcPr>
            <w:tcW w:w="546" w:type="dxa"/>
          </w:tcPr>
          <w:p w14:paraId="30CF2716"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4.4.2</w:t>
            </w:r>
          </w:p>
        </w:tc>
        <w:tc>
          <w:tcPr>
            <w:tcW w:w="738" w:type="dxa"/>
          </w:tcPr>
          <w:p w14:paraId="161B364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5 234</w:t>
            </w:r>
          </w:p>
        </w:tc>
        <w:tc>
          <w:tcPr>
            <w:tcW w:w="781" w:type="dxa"/>
          </w:tcPr>
          <w:p w14:paraId="2CFF3AD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5 512</w:t>
            </w:r>
          </w:p>
        </w:tc>
        <w:tc>
          <w:tcPr>
            <w:tcW w:w="780" w:type="dxa"/>
          </w:tcPr>
          <w:p w14:paraId="5680D7D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5 840</w:t>
            </w:r>
          </w:p>
        </w:tc>
        <w:tc>
          <w:tcPr>
            <w:tcW w:w="781" w:type="dxa"/>
          </w:tcPr>
          <w:p w14:paraId="27E44FF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6 040</w:t>
            </w:r>
          </w:p>
        </w:tc>
        <w:tc>
          <w:tcPr>
            <w:tcW w:w="781" w:type="dxa"/>
          </w:tcPr>
          <w:p w14:paraId="7CDD2EF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6 177</w:t>
            </w:r>
          </w:p>
        </w:tc>
      </w:tr>
      <w:tr w:rsidR="004135EE" w14:paraId="5E7C20FB"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0E22465F" w14:textId="77777777" w:rsidR="004135EE" w:rsidRDefault="004135EE" w:rsidP="008670FF">
            <w:pPr>
              <w:spacing w:after="0"/>
            </w:pPr>
            <w:r>
              <w:t>Interest expense</w:t>
            </w:r>
          </w:p>
        </w:tc>
        <w:tc>
          <w:tcPr>
            <w:tcW w:w="546" w:type="dxa"/>
          </w:tcPr>
          <w:p w14:paraId="53F26B1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4.5.3</w:t>
            </w:r>
          </w:p>
        </w:tc>
        <w:tc>
          <w:tcPr>
            <w:tcW w:w="738" w:type="dxa"/>
          </w:tcPr>
          <w:p w14:paraId="16038DF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6 502</w:t>
            </w:r>
          </w:p>
        </w:tc>
        <w:tc>
          <w:tcPr>
            <w:tcW w:w="781" w:type="dxa"/>
          </w:tcPr>
          <w:p w14:paraId="2169846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6 582</w:t>
            </w:r>
          </w:p>
        </w:tc>
        <w:tc>
          <w:tcPr>
            <w:tcW w:w="780" w:type="dxa"/>
          </w:tcPr>
          <w:p w14:paraId="68088D0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7 410</w:t>
            </w:r>
          </w:p>
        </w:tc>
        <w:tc>
          <w:tcPr>
            <w:tcW w:w="781" w:type="dxa"/>
          </w:tcPr>
          <w:p w14:paraId="2B170ED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8 345</w:t>
            </w:r>
          </w:p>
        </w:tc>
        <w:tc>
          <w:tcPr>
            <w:tcW w:w="781" w:type="dxa"/>
          </w:tcPr>
          <w:p w14:paraId="2EA080D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9 317</w:t>
            </w:r>
          </w:p>
        </w:tc>
      </w:tr>
      <w:tr w:rsidR="004135EE" w14:paraId="54C559AC"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5B0A2BB4" w14:textId="77777777" w:rsidR="004135EE" w:rsidRDefault="004135EE" w:rsidP="008670FF">
            <w:pPr>
              <w:spacing w:after="0"/>
            </w:pPr>
            <w:r>
              <w:t>Grant expense</w:t>
            </w:r>
          </w:p>
        </w:tc>
        <w:tc>
          <w:tcPr>
            <w:tcW w:w="546" w:type="dxa"/>
          </w:tcPr>
          <w:p w14:paraId="303B6F2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4.3.4</w:t>
            </w:r>
          </w:p>
        </w:tc>
        <w:tc>
          <w:tcPr>
            <w:tcW w:w="738" w:type="dxa"/>
          </w:tcPr>
          <w:p w14:paraId="7324386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17 619</w:t>
            </w:r>
          </w:p>
        </w:tc>
        <w:tc>
          <w:tcPr>
            <w:tcW w:w="781" w:type="dxa"/>
          </w:tcPr>
          <w:p w14:paraId="4F94D6A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17 728</w:t>
            </w:r>
          </w:p>
        </w:tc>
        <w:tc>
          <w:tcPr>
            <w:tcW w:w="780" w:type="dxa"/>
          </w:tcPr>
          <w:p w14:paraId="1BFCB67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17 483</w:t>
            </w:r>
          </w:p>
        </w:tc>
        <w:tc>
          <w:tcPr>
            <w:tcW w:w="781" w:type="dxa"/>
          </w:tcPr>
          <w:p w14:paraId="48EFCFB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17 362</w:t>
            </w:r>
          </w:p>
        </w:tc>
        <w:tc>
          <w:tcPr>
            <w:tcW w:w="781" w:type="dxa"/>
          </w:tcPr>
          <w:p w14:paraId="3301527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17 497</w:t>
            </w:r>
          </w:p>
        </w:tc>
      </w:tr>
      <w:tr w:rsidR="004135EE" w14:paraId="29AE44BA"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320E0F66" w14:textId="77777777" w:rsidR="004135EE" w:rsidRDefault="004135EE" w:rsidP="008670FF">
            <w:pPr>
              <w:spacing w:after="0"/>
            </w:pPr>
            <w:r>
              <w:t>Other operating expenses</w:t>
            </w:r>
          </w:p>
        </w:tc>
        <w:tc>
          <w:tcPr>
            <w:tcW w:w="546" w:type="dxa"/>
            <w:tcBorders>
              <w:bottom w:val="single" w:sz="6" w:space="0" w:color="auto"/>
            </w:tcBorders>
          </w:tcPr>
          <w:p w14:paraId="607195D1"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4.3.5</w:t>
            </w:r>
          </w:p>
        </w:tc>
        <w:tc>
          <w:tcPr>
            <w:tcW w:w="738" w:type="dxa"/>
            <w:tcBorders>
              <w:bottom w:val="single" w:sz="6" w:space="0" w:color="auto"/>
            </w:tcBorders>
          </w:tcPr>
          <w:p w14:paraId="008D63F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27 737</w:t>
            </w:r>
          </w:p>
        </w:tc>
        <w:tc>
          <w:tcPr>
            <w:tcW w:w="781" w:type="dxa"/>
            <w:tcBorders>
              <w:bottom w:val="single" w:sz="6" w:space="0" w:color="auto"/>
            </w:tcBorders>
          </w:tcPr>
          <w:p w14:paraId="4B41E4C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29 438</w:t>
            </w:r>
          </w:p>
        </w:tc>
        <w:tc>
          <w:tcPr>
            <w:tcW w:w="780" w:type="dxa"/>
            <w:tcBorders>
              <w:bottom w:val="single" w:sz="6" w:space="0" w:color="auto"/>
            </w:tcBorders>
          </w:tcPr>
          <w:p w14:paraId="39F2C0D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27 769</w:t>
            </w:r>
          </w:p>
        </w:tc>
        <w:tc>
          <w:tcPr>
            <w:tcW w:w="781" w:type="dxa"/>
            <w:tcBorders>
              <w:bottom w:val="single" w:sz="6" w:space="0" w:color="auto"/>
            </w:tcBorders>
          </w:tcPr>
          <w:p w14:paraId="30DE05C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28 486</w:t>
            </w:r>
          </w:p>
        </w:tc>
        <w:tc>
          <w:tcPr>
            <w:tcW w:w="781" w:type="dxa"/>
            <w:tcBorders>
              <w:bottom w:val="single" w:sz="6" w:space="0" w:color="auto"/>
            </w:tcBorders>
          </w:tcPr>
          <w:p w14:paraId="508F6F5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28 993</w:t>
            </w:r>
          </w:p>
        </w:tc>
      </w:tr>
      <w:tr w:rsidR="004135EE" w14:paraId="34266253"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6" w:space="0" w:color="auto"/>
            </w:tcBorders>
          </w:tcPr>
          <w:p w14:paraId="1D8F664B" w14:textId="77777777" w:rsidR="004135EE" w:rsidRDefault="004135EE" w:rsidP="008670FF">
            <w:pPr>
              <w:spacing w:after="0"/>
            </w:pPr>
            <w:r>
              <w:rPr>
                <w:b/>
              </w:rPr>
              <w:t>Total expenses from transactions</w:t>
            </w:r>
          </w:p>
        </w:tc>
        <w:tc>
          <w:tcPr>
            <w:tcW w:w="546" w:type="dxa"/>
            <w:tcBorders>
              <w:top w:val="single" w:sz="6" w:space="0" w:color="auto"/>
              <w:bottom w:val="single" w:sz="6" w:space="0" w:color="auto"/>
            </w:tcBorders>
          </w:tcPr>
          <w:p w14:paraId="2154131B"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4.3.7</w:t>
            </w:r>
          </w:p>
        </w:tc>
        <w:tc>
          <w:tcPr>
            <w:tcW w:w="738" w:type="dxa"/>
            <w:tcBorders>
              <w:top w:val="single" w:sz="6" w:space="0" w:color="auto"/>
              <w:bottom w:val="single" w:sz="6" w:space="0" w:color="auto"/>
            </w:tcBorders>
          </w:tcPr>
          <w:p w14:paraId="316DADB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98 276</w:t>
            </w:r>
          </w:p>
        </w:tc>
        <w:tc>
          <w:tcPr>
            <w:tcW w:w="781" w:type="dxa"/>
            <w:tcBorders>
              <w:top w:val="single" w:sz="6" w:space="0" w:color="auto"/>
              <w:bottom w:val="single" w:sz="6" w:space="0" w:color="auto"/>
            </w:tcBorders>
          </w:tcPr>
          <w:p w14:paraId="57ADA36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101 653</w:t>
            </w:r>
          </w:p>
        </w:tc>
        <w:tc>
          <w:tcPr>
            <w:tcW w:w="780" w:type="dxa"/>
            <w:tcBorders>
              <w:top w:val="single" w:sz="6" w:space="0" w:color="auto"/>
              <w:bottom w:val="single" w:sz="6" w:space="0" w:color="auto"/>
            </w:tcBorders>
          </w:tcPr>
          <w:p w14:paraId="3B61F45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101 847</w:t>
            </w:r>
          </w:p>
        </w:tc>
        <w:tc>
          <w:tcPr>
            <w:tcW w:w="781" w:type="dxa"/>
            <w:tcBorders>
              <w:top w:val="single" w:sz="6" w:space="0" w:color="auto"/>
              <w:bottom w:val="single" w:sz="6" w:space="0" w:color="auto"/>
            </w:tcBorders>
          </w:tcPr>
          <w:p w14:paraId="37E8871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105 318</w:t>
            </w:r>
          </w:p>
        </w:tc>
        <w:tc>
          <w:tcPr>
            <w:tcW w:w="781" w:type="dxa"/>
            <w:tcBorders>
              <w:top w:val="single" w:sz="6" w:space="0" w:color="auto"/>
              <w:bottom w:val="single" w:sz="6" w:space="0" w:color="auto"/>
            </w:tcBorders>
          </w:tcPr>
          <w:p w14:paraId="6E93B8D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108 410</w:t>
            </w:r>
          </w:p>
        </w:tc>
      </w:tr>
      <w:tr w:rsidR="004135EE" w14:paraId="3D490479"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3F96E4BE" w14:textId="117A20DB" w:rsidR="004135EE" w:rsidRDefault="004135EE" w:rsidP="008670FF">
            <w:pPr>
              <w:spacing w:after="0"/>
            </w:pPr>
            <w:r>
              <w:rPr>
                <w:b/>
              </w:rPr>
              <w:t xml:space="preserve">Net result from transactions – </w:t>
            </w:r>
            <w:r w:rsidR="00F46F28">
              <w:rPr>
                <w:b/>
              </w:rPr>
              <w:br/>
            </w:r>
            <w:r>
              <w:rPr>
                <w:b/>
              </w:rPr>
              <w:t>Net operating balance</w:t>
            </w:r>
          </w:p>
        </w:tc>
        <w:tc>
          <w:tcPr>
            <w:tcW w:w="546" w:type="dxa"/>
            <w:tcBorders>
              <w:top w:val="single" w:sz="6" w:space="0" w:color="auto"/>
              <w:bottom w:val="single" w:sz="12" w:space="0" w:color="auto"/>
            </w:tcBorders>
          </w:tcPr>
          <w:p w14:paraId="1AD217A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08E2383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(2 191)</w:t>
            </w:r>
          </w:p>
        </w:tc>
        <w:tc>
          <w:tcPr>
            <w:tcW w:w="781" w:type="dxa"/>
            <w:tcBorders>
              <w:top w:val="single" w:sz="6" w:space="0" w:color="auto"/>
              <w:bottom w:val="single" w:sz="12" w:space="0" w:color="auto"/>
            </w:tcBorders>
          </w:tcPr>
          <w:p w14:paraId="6993419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(3 595)</w:t>
            </w:r>
          </w:p>
        </w:tc>
        <w:tc>
          <w:tcPr>
            <w:tcW w:w="780" w:type="dxa"/>
            <w:tcBorders>
              <w:top w:val="single" w:sz="6" w:space="0" w:color="auto"/>
              <w:bottom w:val="single" w:sz="12" w:space="0" w:color="auto"/>
            </w:tcBorders>
          </w:tcPr>
          <w:p w14:paraId="51480CC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1 579</w:t>
            </w:r>
          </w:p>
        </w:tc>
        <w:tc>
          <w:tcPr>
            <w:tcW w:w="781" w:type="dxa"/>
            <w:tcBorders>
              <w:top w:val="single" w:sz="6" w:space="0" w:color="auto"/>
              <w:bottom w:val="single" w:sz="12" w:space="0" w:color="auto"/>
            </w:tcBorders>
          </w:tcPr>
          <w:p w14:paraId="541E2C3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1 718</w:t>
            </w:r>
          </w:p>
        </w:tc>
        <w:tc>
          <w:tcPr>
            <w:tcW w:w="781" w:type="dxa"/>
            <w:tcBorders>
              <w:top w:val="single" w:sz="6" w:space="0" w:color="auto"/>
              <w:bottom w:val="single" w:sz="12" w:space="0" w:color="auto"/>
            </w:tcBorders>
          </w:tcPr>
          <w:p w14:paraId="24932D9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1 954</w:t>
            </w:r>
          </w:p>
        </w:tc>
      </w:tr>
      <w:tr w:rsidR="004135EE" w14:paraId="069475C3"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tcBorders>
          </w:tcPr>
          <w:p w14:paraId="353D7125" w14:textId="77777777" w:rsidR="004135EE" w:rsidRDefault="004135EE" w:rsidP="008670FF">
            <w:pPr>
              <w:spacing w:after="0"/>
            </w:pPr>
            <w:r>
              <w:rPr>
                <w:b/>
              </w:rPr>
              <w:t>Other economic flows included in net result</w:t>
            </w:r>
          </w:p>
        </w:tc>
        <w:tc>
          <w:tcPr>
            <w:tcW w:w="546" w:type="dxa"/>
            <w:tcBorders>
              <w:top w:val="single" w:sz="6" w:space="0" w:color="auto"/>
            </w:tcBorders>
          </w:tcPr>
          <w:p w14:paraId="112A7475"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tcBorders>
          </w:tcPr>
          <w:p w14:paraId="24C2621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50396E3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0" w:type="dxa"/>
            <w:tcBorders>
              <w:top w:val="single" w:sz="6" w:space="0" w:color="auto"/>
            </w:tcBorders>
          </w:tcPr>
          <w:p w14:paraId="4646CCE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252EF92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161A35F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3DACD22F"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08765C16" w14:textId="77777777" w:rsidR="004135EE" w:rsidRDefault="004135EE" w:rsidP="008670FF">
            <w:pPr>
              <w:spacing w:after="0"/>
            </w:pPr>
            <w:r>
              <w:t>Net gain/(loss) on disposal of non</w:t>
            </w:r>
            <w:r>
              <w:noBreakHyphen/>
              <w:t>financial assets</w:t>
            </w:r>
          </w:p>
        </w:tc>
        <w:tc>
          <w:tcPr>
            <w:tcW w:w="546" w:type="dxa"/>
          </w:tcPr>
          <w:p w14:paraId="3FB76BD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7AB10B9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w:t>
            </w:r>
          </w:p>
        </w:tc>
        <w:tc>
          <w:tcPr>
            <w:tcW w:w="781" w:type="dxa"/>
          </w:tcPr>
          <w:p w14:paraId="7517978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10</w:t>
            </w:r>
          </w:p>
        </w:tc>
        <w:tc>
          <w:tcPr>
            <w:tcW w:w="780" w:type="dxa"/>
          </w:tcPr>
          <w:p w14:paraId="251DA61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16</w:t>
            </w:r>
          </w:p>
        </w:tc>
        <w:tc>
          <w:tcPr>
            <w:tcW w:w="781" w:type="dxa"/>
          </w:tcPr>
          <w:p w14:paraId="7D7A48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13</w:t>
            </w:r>
          </w:p>
        </w:tc>
        <w:tc>
          <w:tcPr>
            <w:tcW w:w="781" w:type="dxa"/>
          </w:tcPr>
          <w:p w14:paraId="5735954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13</w:t>
            </w:r>
          </w:p>
        </w:tc>
      </w:tr>
      <w:tr w:rsidR="004135EE" w14:paraId="1B6ECD37"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2A08258D" w14:textId="77777777" w:rsidR="004135EE" w:rsidRDefault="004135EE" w:rsidP="008670FF">
            <w:pPr>
              <w:spacing w:after="0"/>
            </w:pPr>
            <w:r>
              <w:t>Net gain/(loss) on financial assets or liabilities at fair value</w:t>
            </w:r>
          </w:p>
        </w:tc>
        <w:tc>
          <w:tcPr>
            <w:tcW w:w="546" w:type="dxa"/>
          </w:tcPr>
          <w:p w14:paraId="159548D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1B18704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80</w:t>
            </w:r>
          </w:p>
        </w:tc>
        <w:tc>
          <w:tcPr>
            <w:tcW w:w="781" w:type="dxa"/>
          </w:tcPr>
          <w:p w14:paraId="1397CCD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238</w:t>
            </w:r>
          </w:p>
        </w:tc>
        <w:tc>
          <w:tcPr>
            <w:tcW w:w="780" w:type="dxa"/>
          </w:tcPr>
          <w:p w14:paraId="4199989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158</w:t>
            </w:r>
          </w:p>
        </w:tc>
        <w:tc>
          <w:tcPr>
            <w:tcW w:w="781" w:type="dxa"/>
          </w:tcPr>
          <w:p w14:paraId="3C80905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245</w:t>
            </w:r>
          </w:p>
        </w:tc>
        <w:tc>
          <w:tcPr>
            <w:tcW w:w="781" w:type="dxa"/>
          </w:tcPr>
          <w:p w14:paraId="2B2DE9C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273</w:t>
            </w:r>
          </w:p>
        </w:tc>
      </w:tr>
      <w:tr w:rsidR="004135EE" w14:paraId="2EA0FC03"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04C380DD" w14:textId="77777777" w:rsidR="004135EE" w:rsidRDefault="004135EE" w:rsidP="008670FF">
            <w:pPr>
              <w:spacing w:after="0"/>
            </w:pPr>
            <w:r>
              <w:t>Share of net profit/(loss) from associates/joint venture entities</w:t>
            </w:r>
          </w:p>
        </w:tc>
        <w:tc>
          <w:tcPr>
            <w:tcW w:w="546" w:type="dxa"/>
          </w:tcPr>
          <w:p w14:paraId="5B335582"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5B64310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32</w:t>
            </w:r>
          </w:p>
        </w:tc>
        <w:tc>
          <w:tcPr>
            <w:tcW w:w="781" w:type="dxa"/>
          </w:tcPr>
          <w:p w14:paraId="2DBA648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w:t>
            </w:r>
          </w:p>
        </w:tc>
        <w:tc>
          <w:tcPr>
            <w:tcW w:w="780" w:type="dxa"/>
          </w:tcPr>
          <w:p w14:paraId="62AED68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w:t>
            </w:r>
          </w:p>
        </w:tc>
        <w:tc>
          <w:tcPr>
            <w:tcW w:w="781" w:type="dxa"/>
          </w:tcPr>
          <w:p w14:paraId="6869945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w:t>
            </w:r>
          </w:p>
        </w:tc>
        <w:tc>
          <w:tcPr>
            <w:tcW w:w="781" w:type="dxa"/>
          </w:tcPr>
          <w:p w14:paraId="356CEBD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w:t>
            </w:r>
          </w:p>
        </w:tc>
      </w:tr>
      <w:tr w:rsidR="004135EE" w14:paraId="1C484860"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70F0D58E" w14:textId="77777777" w:rsidR="004135EE" w:rsidRDefault="004135EE" w:rsidP="008670FF">
            <w:pPr>
              <w:spacing w:after="0"/>
            </w:pPr>
            <w:r>
              <w:t>Other gains/(losses) from other economic flows</w:t>
            </w:r>
          </w:p>
        </w:tc>
        <w:tc>
          <w:tcPr>
            <w:tcW w:w="546" w:type="dxa"/>
            <w:tcBorders>
              <w:bottom w:val="single" w:sz="6" w:space="0" w:color="auto"/>
            </w:tcBorders>
          </w:tcPr>
          <w:p w14:paraId="623D99F3"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4.6.1</w:t>
            </w:r>
          </w:p>
        </w:tc>
        <w:tc>
          <w:tcPr>
            <w:tcW w:w="738" w:type="dxa"/>
            <w:tcBorders>
              <w:bottom w:val="single" w:sz="6" w:space="0" w:color="auto"/>
            </w:tcBorders>
          </w:tcPr>
          <w:p w14:paraId="7047F8B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(459)</w:t>
            </w:r>
          </w:p>
        </w:tc>
        <w:tc>
          <w:tcPr>
            <w:tcW w:w="781" w:type="dxa"/>
            <w:tcBorders>
              <w:bottom w:val="single" w:sz="6" w:space="0" w:color="auto"/>
            </w:tcBorders>
          </w:tcPr>
          <w:p w14:paraId="141E2EF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(452)</w:t>
            </w:r>
          </w:p>
        </w:tc>
        <w:tc>
          <w:tcPr>
            <w:tcW w:w="780" w:type="dxa"/>
            <w:tcBorders>
              <w:bottom w:val="single" w:sz="6" w:space="0" w:color="auto"/>
            </w:tcBorders>
          </w:tcPr>
          <w:p w14:paraId="64FDB94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(411)</w:t>
            </w:r>
          </w:p>
        </w:tc>
        <w:tc>
          <w:tcPr>
            <w:tcW w:w="781" w:type="dxa"/>
            <w:tcBorders>
              <w:bottom w:val="single" w:sz="6" w:space="0" w:color="auto"/>
            </w:tcBorders>
          </w:tcPr>
          <w:p w14:paraId="74BA1EC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(441)</w:t>
            </w:r>
          </w:p>
        </w:tc>
        <w:tc>
          <w:tcPr>
            <w:tcW w:w="781" w:type="dxa"/>
            <w:tcBorders>
              <w:bottom w:val="single" w:sz="6" w:space="0" w:color="auto"/>
            </w:tcBorders>
          </w:tcPr>
          <w:p w14:paraId="233AA7E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(399)</w:t>
            </w:r>
          </w:p>
        </w:tc>
      </w:tr>
      <w:tr w:rsidR="004135EE" w14:paraId="71A53F24"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6" w:space="0" w:color="auto"/>
            </w:tcBorders>
          </w:tcPr>
          <w:p w14:paraId="1C0D3D3B" w14:textId="44F8658C" w:rsidR="004135EE" w:rsidRDefault="004135EE" w:rsidP="008670FF">
            <w:pPr>
              <w:spacing w:after="0"/>
            </w:pPr>
            <w:r>
              <w:rPr>
                <w:b/>
              </w:rPr>
              <w:t xml:space="preserve">Total other economic flows included in </w:t>
            </w:r>
            <w:r w:rsidR="00F46F28">
              <w:rPr>
                <w:b/>
              </w:rPr>
              <w:br/>
            </w:r>
            <w:r>
              <w:rPr>
                <w:b/>
              </w:rPr>
              <w:t>net result</w:t>
            </w:r>
          </w:p>
        </w:tc>
        <w:tc>
          <w:tcPr>
            <w:tcW w:w="546" w:type="dxa"/>
            <w:tcBorders>
              <w:top w:val="single" w:sz="6" w:space="0" w:color="auto"/>
              <w:bottom w:val="single" w:sz="6" w:space="0" w:color="auto"/>
            </w:tcBorders>
          </w:tcPr>
          <w:p w14:paraId="42F2B64F"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6" w:space="0" w:color="auto"/>
            </w:tcBorders>
          </w:tcPr>
          <w:p w14:paraId="7448BF2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(336)</w:t>
            </w:r>
          </w:p>
        </w:tc>
        <w:tc>
          <w:tcPr>
            <w:tcW w:w="781" w:type="dxa"/>
            <w:tcBorders>
              <w:top w:val="single" w:sz="6" w:space="0" w:color="auto"/>
              <w:bottom w:val="single" w:sz="6" w:space="0" w:color="auto"/>
            </w:tcBorders>
          </w:tcPr>
          <w:p w14:paraId="25DB105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(248)</w:t>
            </w:r>
          </w:p>
        </w:tc>
        <w:tc>
          <w:tcPr>
            <w:tcW w:w="780" w:type="dxa"/>
            <w:tcBorders>
              <w:top w:val="single" w:sz="6" w:space="0" w:color="auto"/>
              <w:bottom w:val="single" w:sz="6" w:space="0" w:color="auto"/>
            </w:tcBorders>
          </w:tcPr>
          <w:p w14:paraId="600DCDB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(283)</w:t>
            </w:r>
          </w:p>
        </w:tc>
        <w:tc>
          <w:tcPr>
            <w:tcW w:w="781" w:type="dxa"/>
            <w:tcBorders>
              <w:top w:val="single" w:sz="6" w:space="0" w:color="auto"/>
              <w:bottom w:val="single" w:sz="6" w:space="0" w:color="auto"/>
            </w:tcBorders>
          </w:tcPr>
          <w:p w14:paraId="0C99BA9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(228)</w:t>
            </w:r>
          </w:p>
        </w:tc>
        <w:tc>
          <w:tcPr>
            <w:tcW w:w="781" w:type="dxa"/>
            <w:tcBorders>
              <w:top w:val="single" w:sz="6" w:space="0" w:color="auto"/>
              <w:bottom w:val="single" w:sz="6" w:space="0" w:color="auto"/>
            </w:tcBorders>
          </w:tcPr>
          <w:p w14:paraId="0098669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(158)</w:t>
            </w:r>
          </w:p>
        </w:tc>
      </w:tr>
      <w:tr w:rsidR="004135EE" w14:paraId="5DE9ED55"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6B744B6D" w14:textId="77777777" w:rsidR="004135EE" w:rsidRDefault="004135EE" w:rsidP="008670FF">
            <w:pPr>
              <w:spacing w:after="0"/>
            </w:pPr>
            <w:r>
              <w:rPr>
                <w:b/>
              </w:rPr>
              <w:t>Net result</w:t>
            </w:r>
          </w:p>
        </w:tc>
        <w:tc>
          <w:tcPr>
            <w:tcW w:w="546" w:type="dxa"/>
            <w:tcBorders>
              <w:top w:val="single" w:sz="6" w:space="0" w:color="auto"/>
              <w:bottom w:val="single" w:sz="12" w:space="0" w:color="auto"/>
            </w:tcBorders>
          </w:tcPr>
          <w:p w14:paraId="677E8A02"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7C8160D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(2 527)</w:t>
            </w:r>
          </w:p>
        </w:tc>
        <w:tc>
          <w:tcPr>
            <w:tcW w:w="781" w:type="dxa"/>
            <w:tcBorders>
              <w:top w:val="single" w:sz="6" w:space="0" w:color="auto"/>
              <w:bottom w:val="single" w:sz="12" w:space="0" w:color="auto"/>
            </w:tcBorders>
          </w:tcPr>
          <w:p w14:paraId="0A6D0A7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(3 843)</w:t>
            </w:r>
          </w:p>
        </w:tc>
        <w:tc>
          <w:tcPr>
            <w:tcW w:w="780" w:type="dxa"/>
            <w:tcBorders>
              <w:top w:val="single" w:sz="6" w:space="0" w:color="auto"/>
              <w:bottom w:val="single" w:sz="12" w:space="0" w:color="auto"/>
            </w:tcBorders>
          </w:tcPr>
          <w:p w14:paraId="1436987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1 296</w:t>
            </w:r>
          </w:p>
        </w:tc>
        <w:tc>
          <w:tcPr>
            <w:tcW w:w="781" w:type="dxa"/>
            <w:tcBorders>
              <w:top w:val="single" w:sz="6" w:space="0" w:color="auto"/>
              <w:bottom w:val="single" w:sz="12" w:space="0" w:color="auto"/>
            </w:tcBorders>
          </w:tcPr>
          <w:p w14:paraId="0D832FE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1 490</w:t>
            </w:r>
          </w:p>
        </w:tc>
        <w:tc>
          <w:tcPr>
            <w:tcW w:w="781" w:type="dxa"/>
            <w:tcBorders>
              <w:top w:val="single" w:sz="6" w:space="0" w:color="auto"/>
              <w:bottom w:val="single" w:sz="12" w:space="0" w:color="auto"/>
            </w:tcBorders>
          </w:tcPr>
          <w:p w14:paraId="7CD04B6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1 796</w:t>
            </w:r>
          </w:p>
        </w:tc>
      </w:tr>
    </w:tbl>
    <w:p w14:paraId="7242CF2F" w14:textId="40B795D9" w:rsidR="004135EE" w:rsidRPr="009733FF" w:rsidRDefault="00DE43C4" w:rsidP="004135EE">
      <w:pPr>
        <w:rPr>
          <w:rFonts w:asciiTheme="majorHAnsi" w:hAnsiTheme="majorHAnsi" w:cstheme="majorHAnsi"/>
          <w:b/>
          <w:bCs/>
          <w:sz w:val="27"/>
          <w:szCs w:val="27"/>
        </w:rPr>
      </w:pPr>
      <w:bookmarkStart w:id="54" w:name="_Toc152933033"/>
      <w:r w:rsidRPr="009733FF">
        <w:rPr>
          <w:rFonts w:asciiTheme="majorHAnsi" w:hAnsiTheme="majorHAnsi" w:cstheme="majorHAnsi"/>
          <w:b/>
          <w:bCs/>
          <w:sz w:val="27"/>
          <w:szCs w:val="27"/>
        </w:rPr>
        <w:t xml:space="preserve">ESTIMATED CONSOLIDATED GENERAL GOVERNMENT SECTOR COMPREHENSIVE OPERATING STATEMENT </w:t>
      </w:r>
      <w:r w:rsidRPr="009733FF">
        <w:rPr>
          <w:rFonts w:asciiTheme="majorHAnsi" w:hAnsiTheme="majorHAnsi" w:cstheme="majorHAnsi"/>
          <w:b/>
          <w:bCs/>
          <w:i/>
          <w:iCs/>
        </w:rPr>
        <w:t>(CONTINUED)</w:t>
      </w:r>
      <w:bookmarkEnd w:id="54"/>
    </w:p>
    <w:p w14:paraId="08134134" w14:textId="77777777" w:rsidR="004135EE" w:rsidRDefault="004135EE" w:rsidP="004135EE">
      <w:pPr>
        <w:pStyle w:val="TableHeading"/>
      </w:pPr>
      <w:r>
        <w:t>For the financial year ended 30 June</w:t>
      </w:r>
      <w:r>
        <w:tab/>
        <w:t>($ million)</w:t>
      </w:r>
    </w:p>
    <w:tbl>
      <w:tblPr>
        <w:tblStyle w:val="DTFTableNumeric"/>
        <w:tblW w:w="7655" w:type="dxa"/>
        <w:tblLayout w:type="fixed"/>
        <w:tblLook w:val="06A0" w:firstRow="1" w:lastRow="0" w:firstColumn="1" w:lastColumn="0" w:noHBand="1" w:noVBand="1"/>
        <w:tblDescription w:val="Type:DtfTable|Workbook:https://vicgov.sharepoint.com/sites/VG002735/Budget%20Update/Financial%20Statements/SRIMS%20exports/SRIMS_BU_EFS_OS.xlsx|Table:Cons_OS|MergedHeadingRow:1|FirstRow:32"/>
      </w:tblPr>
      <w:tblGrid>
        <w:gridCol w:w="3248"/>
        <w:gridCol w:w="546"/>
        <w:gridCol w:w="738"/>
        <w:gridCol w:w="781"/>
        <w:gridCol w:w="780"/>
        <w:gridCol w:w="781"/>
        <w:gridCol w:w="781"/>
      </w:tblGrid>
      <w:tr w:rsidR="004135EE" w14:paraId="4AA6330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8" w:type="dxa"/>
          </w:tcPr>
          <w:p w14:paraId="65B91692" w14:textId="77777777" w:rsidR="004135EE" w:rsidRDefault="004135EE" w:rsidP="008670FF">
            <w:pPr>
              <w:keepNext/>
              <w:spacing w:after="0"/>
            </w:pPr>
          </w:p>
        </w:tc>
        <w:tc>
          <w:tcPr>
            <w:tcW w:w="546" w:type="dxa"/>
          </w:tcPr>
          <w:p w14:paraId="08A3BF1A" w14:textId="77777777" w:rsidR="004135EE" w:rsidRDefault="004135EE" w:rsidP="008670FF">
            <w:pPr>
              <w:keepNext/>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38" w:type="dxa"/>
          </w:tcPr>
          <w:p w14:paraId="0CE6F6AE"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81" w:type="dxa"/>
          </w:tcPr>
          <w:p w14:paraId="13922776"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80" w:type="dxa"/>
          </w:tcPr>
          <w:p w14:paraId="6900A0D2"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81" w:type="dxa"/>
          </w:tcPr>
          <w:p w14:paraId="58269904"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81" w:type="dxa"/>
          </w:tcPr>
          <w:p w14:paraId="5BC90A8A"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605C0721"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tcBorders>
          </w:tcPr>
          <w:p w14:paraId="6500D77A" w14:textId="03028BE0" w:rsidR="004135EE" w:rsidRDefault="004135EE" w:rsidP="008670FF">
            <w:pPr>
              <w:rPr>
                <w:b/>
              </w:rPr>
            </w:pPr>
            <w:r>
              <w:rPr>
                <w:b/>
              </w:rPr>
              <w:t xml:space="preserve">Other economic flows – </w:t>
            </w:r>
            <w:r w:rsidR="00F46F28">
              <w:rPr>
                <w:b/>
              </w:rPr>
              <w:br/>
            </w:r>
            <w:r>
              <w:rPr>
                <w:b/>
              </w:rPr>
              <w:t>Other comprehensive income</w:t>
            </w:r>
          </w:p>
        </w:tc>
        <w:tc>
          <w:tcPr>
            <w:tcW w:w="546" w:type="dxa"/>
            <w:tcBorders>
              <w:top w:val="single" w:sz="6" w:space="0" w:color="auto"/>
            </w:tcBorders>
          </w:tcPr>
          <w:p w14:paraId="6C576325"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tcBorders>
          </w:tcPr>
          <w:p w14:paraId="6F837DF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22858DB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80" w:type="dxa"/>
            <w:tcBorders>
              <w:top w:val="single" w:sz="6" w:space="0" w:color="auto"/>
            </w:tcBorders>
          </w:tcPr>
          <w:p w14:paraId="789A2C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4D9C8E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81" w:type="dxa"/>
            <w:tcBorders>
              <w:top w:val="single" w:sz="6" w:space="0" w:color="auto"/>
            </w:tcBorders>
          </w:tcPr>
          <w:p w14:paraId="0A00EBA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479D1A09"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458A6B0F" w14:textId="4E8D21D3" w:rsidR="004135EE" w:rsidRDefault="004135EE" w:rsidP="008670FF">
            <w:pPr>
              <w:rPr>
                <w:b/>
              </w:rPr>
            </w:pPr>
            <w:r>
              <w:rPr>
                <w:b/>
              </w:rPr>
              <w:t xml:space="preserve">Items that will not be reclassified to </w:t>
            </w:r>
            <w:r w:rsidR="009F6EE2">
              <w:rPr>
                <w:b/>
              </w:rPr>
              <w:br/>
            </w:r>
            <w:r>
              <w:rPr>
                <w:b/>
              </w:rPr>
              <w:t>net result</w:t>
            </w:r>
          </w:p>
        </w:tc>
        <w:tc>
          <w:tcPr>
            <w:tcW w:w="546" w:type="dxa"/>
          </w:tcPr>
          <w:p w14:paraId="6A39F1C4" w14:textId="1A6A6A9D"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4BFCEBC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0EF247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3157A36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0A24980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38E86CA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79662CBE"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70FC9D2A" w14:textId="77777777" w:rsidR="004135EE" w:rsidRDefault="004135EE" w:rsidP="008670FF">
            <w:pPr>
              <w:spacing w:after="0"/>
            </w:pPr>
            <w:r>
              <w:t>Changes in non</w:t>
            </w:r>
            <w:r>
              <w:noBreakHyphen/>
              <w:t>financial assets revaluation surplus</w:t>
            </w:r>
          </w:p>
        </w:tc>
        <w:tc>
          <w:tcPr>
            <w:tcW w:w="546" w:type="dxa"/>
          </w:tcPr>
          <w:p w14:paraId="2626428E"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24D4037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6 787</w:t>
            </w:r>
          </w:p>
        </w:tc>
        <w:tc>
          <w:tcPr>
            <w:tcW w:w="781" w:type="dxa"/>
          </w:tcPr>
          <w:p w14:paraId="74951FA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6 760</w:t>
            </w:r>
          </w:p>
        </w:tc>
        <w:tc>
          <w:tcPr>
            <w:tcW w:w="780" w:type="dxa"/>
          </w:tcPr>
          <w:p w14:paraId="17EC317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8 694</w:t>
            </w:r>
          </w:p>
        </w:tc>
        <w:tc>
          <w:tcPr>
            <w:tcW w:w="781" w:type="dxa"/>
          </w:tcPr>
          <w:p w14:paraId="5B31ABE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5 809</w:t>
            </w:r>
          </w:p>
        </w:tc>
        <w:tc>
          <w:tcPr>
            <w:tcW w:w="781" w:type="dxa"/>
          </w:tcPr>
          <w:p w14:paraId="1B9D377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8 979</w:t>
            </w:r>
          </w:p>
        </w:tc>
      </w:tr>
      <w:tr w:rsidR="004135EE" w14:paraId="4BC2E977"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5FCF64AA" w14:textId="77777777" w:rsidR="004135EE" w:rsidRDefault="004135EE" w:rsidP="008670FF">
            <w:pPr>
              <w:spacing w:after="0"/>
            </w:pPr>
            <w:r>
              <w:t>Remeasurement of superannuation defined benefit plans</w:t>
            </w:r>
          </w:p>
        </w:tc>
        <w:tc>
          <w:tcPr>
            <w:tcW w:w="546" w:type="dxa"/>
          </w:tcPr>
          <w:p w14:paraId="3255C07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4.3.2</w:t>
            </w:r>
          </w:p>
        </w:tc>
        <w:tc>
          <w:tcPr>
            <w:tcW w:w="738" w:type="dxa"/>
          </w:tcPr>
          <w:p w14:paraId="1EC5BF5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725</w:t>
            </w:r>
          </w:p>
        </w:tc>
        <w:tc>
          <w:tcPr>
            <w:tcW w:w="781" w:type="dxa"/>
          </w:tcPr>
          <w:p w14:paraId="23496CB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(520)</w:t>
            </w:r>
          </w:p>
        </w:tc>
        <w:tc>
          <w:tcPr>
            <w:tcW w:w="780" w:type="dxa"/>
          </w:tcPr>
          <w:p w14:paraId="52DC0CE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718</w:t>
            </w:r>
          </w:p>
        </w:tc>
        <w:tc>
          <w:tcPr>
            <w:tcW w:w="781" w:type="dxa"/>
          </w:tcPr>
          <w:p w14:paraId="5EE8001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702</w:t>
            </w:r>
          </w:p>
        </w:tc>
        <w:tc>
          <w:tcPr>
            <w:tcW w:w="781" w:type="dxa"/>
          </w:tcPr>
          <w:p w14:paraId="05593E9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702</w:t>
            </w:r>
          </w:p>
        </w:tc>
      </w:tr>
      <w:tr w:rsidR="004135EE" w14:paraId="67A81F0A"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0F83666E" w14:textId="77777777" w:rsidR="004135EE" w:rsidRDefault="004135EE" w:rsidP="008670FF">
            <w:pPr>
              <w:spacing w:after="0"/>
            </w:pPr>
            <w:r>
              <w:t>Other movements in equity</w:t>
            </w:r>
          </w:p>
        </w:tc>
        <w:tc>
          <w:tcPr>
            <w:tcW w:w="546" w:type="dxa"/>
          </w:tcPr>
          <w:p w14:paraId="3EFD4887"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15D4303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13</w:t>
            </w:r>
          </w:p>
        </w:tc>
        <w:tc>
          <w:tcPr>
            <w:tcW w:w="781" w:type="dxa"/>
          </w:tcPr>
          <w:p w14:paraId="084AB1A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252</w:t>
            </w:r>
          </w:p>
        </w:tc>
        <w:tc>
          <w:tcPr>
            <w:tcW w:w="780" w:type="dxa"/>
          </w:tcPr>
          <w:p w14:paraId="348D4CC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15</w:t>
            </w:r>
          </w:p>
        </w:tc>
        <w:tc>
          <w:tcPr>
            <w:tcW w:w="781" w:type="dxa"/>
          </w:tcPr>
          <w:p w14:paraId="2BC809C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w:t>
            </w:r>
          </w:p>
        </w:tc>
        <w:tc>
          <w:tcPr>
            <w:tcW w:w="781" w:type="dxa"/>
          </w:tcPr>
          <w:p w14:paraId="342AC3D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20</w:t>
            </w:r>
          </w:p>
        </w:tc>
      </w:tr>
      <w:tr w:rsidR="004135EE" w14:paraId="4B528EA7"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37BBC037" w14:textId="77777777" w:rsidR="004135EE" w:rsidRDefault="004135EE" w:rsidP="008670FF">
            <w:pPr>
              <w:rPr>
                <w:b/>
              </w:rPr>
            </w:pPr>
            <w:r>
              <w:rPr>
                <w:b/>
              </w:rPr>
              <w:t>Items that may be reclassified subsequently to net result</w:t>
            </w:r>
          </w:p>
        </w:tc>
        <w:tc>
          <w:tcPr>
            <w:tcW w:w="546" w:type="dxa"/>
          </w:tcPr>
          <w:p w14:paraId="38C9C1F1"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2F220AB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480242A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0" w:type="dxa"/>
          </w:tcPr>
          <w:p w14:paraId="19C5077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36BD576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81" w:type="dxa"/>
          </w:tcPr>
          <w:p w14:paraId="18CEA9B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6F7229C1"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39377216" w14:textId="77777777" w:rsidR="004135EE" w:rsidRDefault="004135EE" w:rsidP="008670FF">
            <w:pPr>
              <w:spacing w:after="0"/>
            </w:pPr>
            <w:r>
              <w:t>Net gain/(loss) on financial assets at fair value</w:t>
            </w:r>
          </w:p>
        </w:tc>
        <w:tc>
          <w:tcPr>
            <w:tcW w:w="546" w:type="dxa"/>
          </w:tcPr>
          <w:p w14:paraId="1F209288"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3FA22B6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25</w:t>
            </w:r>
          </w:p>
        </w:tc>
        <w:tc>
          <w:tcPr>
            <w:tcW w:w="781" w:type="dxa"/>
          </w:tcPr>
          <w:p w14:paraId="4B67A02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w:t>
            </w:r>
          </w:p>
        </w:tc>
        <w:tc>
          <w:tcPr>
            <w:tcW w:w="780" w:type="dxa"/>
          </w:tcPr>
          <w:p w14:paraId="6178BA0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w:t>
            </w:r>
          </w:p>
        </w:tc>
        <w:tc>
          <w:tcPr>
            <w:tcW w:w="781" w:type="dxa"/>
          </w:tcPr>
          <w:p w14:paraId="6F86B7E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w:t>
            </w:r>
          </w:p>
        </w:tc>
        <w:tc>
          <w:tcPr>
            <w:tcW w:w="781" w:type="dxa"/>
          </w:tcPr>
          <w:p w14:paraId="1E48F1D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w:t>
            </w:r>
          </w:p>
        </w:tc>
      </w:tr>
      <w:tr w:rsidR="004135EE" w14:paraId="69FC7F1F"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09B8C5DB" w14:textId="77777777" w:rsidR="004135EE" w:rsidRDefault="004135EE" w:rsidP="008670FF">
            <w:pPr>
              <w:spacing w:after="0"/>
            </w:pPr>
            <w:r>
              <w:t>Net gain/(loss) on equity investments in other sector entities at proportional share of the carrying amount of net assets</w:t>
            </w:r>
            <w:r>
              <w:rPr>
                <w:vertAlign w:val="superscript"/>
              </w:rPr>
              <w:t xml:space="preserve"> (a)</w:t>
            </w:r>
          </w:p>
        </w:tc>
        <w:tc>
          <w:tcPr>
            <w:tcW w:w="546" w:type="dxa"/>
            <w:tcBorders>
              <w:bottom w:val="single" w:sz="6" w:space="0" w:color="auto"/>
            </w:tcBorders>
          </w:tcPr>
          <w:p w14:paraId="108B160A"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4.4.6</w:t>
            </w:r>
          </w:p>
        </w:tc>
        <w:tc>
          <w:tcPr>
            <w:tcW w:w="738" w:type="dxa"/>
            <w:tcBorders>
              <w:bottom w:val="single" w:sz="6" w:space="0" w:color="auto"/>
            </w:tcBorders>
          </w:tcPr>
          <w:p w14:paraId="42D928F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(4 143)</w:t>
            </w:r>
          </w:p>
        </w:tc>
        <w:tc>
          <w:tcPr>
            <w:tcW w:w="781" w:type="dxa"/>
            <w:tcBorders>
              <w:bottom w:val="single" w:sz="6" w:space="0" w:color="auto"/>
            </w:tcBorders>
          </w:tcPr>
          <w:p w14:paraId="20047EF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(8 421)</w:t>
            </w:r>
          </w:p>
        </w:tc>
        <w:tc>
          <w:tcPr>
            <w:tcW w:w="780" w:type="dxa"/>
            <w:tcBorders>
              <w:bottom w:val="single" w:sz="6" w:space="0" w:color="auto"/>
            </w:tcBorders>
          </w:tcPr>
          <w:p w14:paraId="6786B1C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(19 852)</w:t>
            </w:r>
          </w:p>
        </w:tc>
        <w:tc>
          <w:tcPr>
            <w:tcW w:w="781" w:type="dxa"/>
            <w:tcBorders>
              <w:bottom w:val="single" w:sz="6" w:space="0" w:color="auto"/>
            </w:tcBorders>
          </w:tcPr>
          <w:p w14:paraId="355EEB0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(830)</w:t>
            </w:r>
          </w:p>
        </w:tc>
        <w:tc>
          <w:tcPr>
            <w:tcW w:w="781" w:type="dxa"/>
            <w:tcBorders>
              <w:bottom w:val="single" w:sz="6" w:space="0" w:color="auto"/>
            </w:tcBorders>
          </w:tcPr>
          <w:p w14:paraId="156BF75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(1 010)</w:t>
            </w:r>
          </w:p>
        </w:tc>
      </w:tr>
      <w:tr w:rsidR="004135EE" w14:paraId="64D1F13C"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6" w:space="0" w:color="auto"/>
            </w:tcBorders>
          </w:tcPr>
          <w:p w14:paraId="16A5C326" w14:textId="2A279544" w:rsidR="004135EE" w:rsidRDefault="004135EE" w:rsidP="008670FF">
            <w:pPr>
              <w:spacing w:after="0"/>
            </w:pPr>
            <w:r>
              <w:rPr>
                <w:b/>
              </w:rPr>
              <w:t xml:space="preserve">Total other economic flows – </w:t>
            </w:r>
            <w:r w:rsidR="00F46F28">
              <w:rPr>
                <w:b/>
              </w:rPr>
              <w:br/>
            </w:r>
            <w:r>
              <w:rPr>
                <w:b/>
              </w:rPr>
              <w:t>Other comprehensive income</w:t>
            </w:r>
          </w:p>
        </w:tc>
        <w:tc>
          <w:tcPr>
            <w:tcW w:w="546" w:type="dxa"/>
            <w:tcBorders>
              <w:top w:val="single" w:sz="6" w:space="0" w:color="auto"/>
              <w:bottom w:val="single" w:sz="6" w:space="0" w:color="auto"/>
            </w:tcBorders>
          </w:tcPr>
          <w:p w14:paraId="703C3815"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6" w:space="0" w:color="auto"/>
            </w:tcBorders>
          </w:tcPr>
          <w:p w14:paraId="51406F1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3 407</w:t>
            </w:r>
          </w:p>
        </w:tc>
        <w:tc>
          <w:tcPr>
            <w:tcW w:w="781" w:type="dxa"/>
            <w:tcBorders>
              <w:top w:val="single" w:sz="6" w:space="0" w:color="auto"/>
              <w:bottom w:val="single" w:sz="6" w:space="0" w:color="auto"/>
            </w:tcBorders>
          </w:tcPr>
          <w:p w14:paraId="2FF1DFA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(1 927)</w:t>
            </w:r>
          </w:p>
        </w:tc>
        <w:tc>
          <w:tcPr>
            <w:tcW w:w="780" w:type="dxa"/>
            <w:tcBorders>
              <w:top w:val="single" w:sz="6" w:space="0" w:color="auto"/>
              <w:bottom w:val="single" w:sz="6" w:space="0" w:color="auto"/>
            </w:tcBorders>
          </w:tcPr>
          <w:p w14:paraId="6D1EDD6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(10 423)</w:t>
            </w:r>
          </w:p>
        </w:tc>
        <w:tc>
          <w:tcPr>
            <w:tcW w:w="781" w:type="dxa"/>
            <w:tcBorders>
              <w:top w:val="single" w:sz="6" w:space="0" w:color="auto"/>
              <w:bottom w:val="single" w:sz="6" w:space="0" w:color="auto"/>
            </w:tcBorders>
          </w:tcPr>
          <w:p w14:paraId="5420349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5 701</w:t>
            </w:r>
          </w:p>
        </w:tc>
        <w:tc>
          <w:tcPr>
            <w:tcW w:w="781" w:type="dxa"/>
            <w:tcBorders>
              <w:top w:val="single" w:sz="6" w:space="0" w:color="auto"/>
              <w:bottom w:val="single" w:sz="6" w:space="0" w:color="auto"/>
            </w:tcBorders>
          </w:tcPr>
          <w:p w14:paraId="728EA16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8 694</w:t>
            </w:r>
          </w:p>
        </w:tc>
      </w:tr>
      <w:tr w:rsidR="004135EE" w14:paraId="092CE086"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65207352" w14:textId="500AF21C" w:rsidR="004135EE" w:rsidRDefault="004135EE" w:rsidP="008670FF">
            <w:pPr>
              <w:spacing w:after="0"/>
            </w:pPr>
            <w:r>
              <w:rPr>
                <w:b/>
              </w:rPr>
              <w:t xml:space="preserve">Comprehensive result – </w:t>
            </w:r>
            <w:r w:rsidR="00F46F28">
              <w:rPr>
                <w:b/>
              </w:rPr>
              <w:br/>
            </w:r>
            <w:r>
              <w:rPr>
                <w:b/>
              </w:rPr>
              <w:t>Total change in net worth</w:t>
            </w:r>
          </w:p>
        </w:tc>
        <w:tc>
          <w:tcPr>
            <w:tcW w:w="546" w:type="dxa"/>
            <w:tcBorders>
              <w:top w:val="single" w:sz="6" w:space="0" w:color="auto"/>
              <w:bottom w:val="single" w:sz="12" w:space="0" w:color="auto"/>
            </w:tcBorders>
          </w:tcPr>
          <w:p w14:paraId="28F4F98A"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5915FA6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880</w:t>
            </w:r>
          </w:p>
        </w:tc>
        <w:tc>
          <w:tcPr>
            <w:tcW w:w="781" w:type="dxa"/>
            <w:tcBorders>
              <w:top w:val="single" w:sz="6" w:space="0" w:color="auto"/>
              <w:bottom w:val="single" w:sz="12" w:space="0" w:color="auto"/>
            </w:tcBorders>
          </w:tcPr>
          <w:p w14:paraId="3B34F28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(5 770)</w:t>
            </w:r>
          </w:p>
        </w:tc>
        <w:tc>
          <w:tcPr>
            <w:tcW w:w="780" w:type="dxa"/>
            <w:tcBorders>
              <w:top w:val="single" w:sz="6" w:space="0" w:color="auto"/>
              <w:bottom w:val="single" w:sz="12" w:space="0" w:color="auto"/>
            </w:tcBorders>
          </w:tcPr>
          <w:p w14:paraId="7948F11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(9 127)</w:t>
            </w:r>
          </w:p>
        </w:tc>
        <w:tc>
          <w:tcPr>
            <w:tcW w:w="781" w:type="dxa"/>
            <w:tcBorders>
              <w:top w:val="single" w:sz="6" w:space="0" w:color="auto"/>
              <w:bottom w:val="single" w:sz="12" w:space="0" w:color="auto"/>
            </w:tcBorders>
          </w:tcPr>
          <w:p w14:paraId="7E560D9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7 191</w:t>
            </w:r>
          </w:p>
        </w:tc>
        <w:tc>
          <w:tcPr>
            <w:tcW w:w="781" w:type="dxa"/>
            <w:tcBorders>
              <w:top w:val="single" w:sz="6" w:space="0" w:color="auto"/>
              <w:bottom w:val="single" w:sz="12" w:space="0" w:color="auto"/>
            </w:tcBorders>
          </w:tcPr>
          <w:p w14:paraId="46536A9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10 490</w:t>
            </w:r>
          </w:p>
        </w:tc>
      </w:tr>
      <w:tr w:rsidR="004135EE" w14:paraId="4B48C397"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19AE3AF7" w14:textId="77777777" w:rsidR="004135EE" w:rsidRDefault="004135EE" w:rsidP="00723C6B">
            <w:pPr>
              <w:spacing w:before="120" w:after="0"/>
            </w:pPr>
            <w:r>
              <w:rPr>
                <w:b/>
              </w:rPr>
              <w:t>KEY FISCAL AGGREGATES</w:t>
            </w:r>
            <w:r>
              <w:rPr>
                <w:b/>
                <w:vertAlign w:val="superscript"/>
              </w:rPr>
              <w:t xml:space="preserve"> (b)</w:t>
            </w:r>
          </w:p>
        </w:tc>
        <w:tc>
          <w:tcPr>
            <w:tcW w:w="546" w:type="dxa"/>
          </w:tcPr>
          <w:p w14:paraId="4C18D7BE" w14:textId="77777777" w:rsidR="004135EE" w:rsidRDefault="004135EE" w:rsidP="00723C6B">
            <w:pPr>
              <w:spacing w:before="120"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70196ED5" w14:textId="77777777" w:rsidR="004135EE" w:rsidRDefault="004135EE" w:rsidP="00723C6B">
            <w:pPr>
              <w:spacing w:before="120" w:after="0"/>
              <w:cnfStyle w:val="000000000000" w:firstRow="0" w:lastRow="0" w:firstColumn="0" w:lastColumn="0" w:oddVBand="0" w:evenVBand="0" w:oddHBand="0" w:evenHBand="0" w:firstRowFirstColumn="0" w:firstRowLastColumn="0" w:lastRowFirstColumn="0" w:lastRowLastColumn="0"/>
            </w:pPr>
          </w:p>
        </w:tc>
        <w:tc>
          <w:tcPr>
            <w:tcW w:w="781" w:type="dxa"/>
          </w:tcPr>
          <w:p w14:paraId="1ABDE747" w14:textId="77777777" w:rsidR="004135EE" w:rsidRDefault="004135EE" w:rsidP="00723C6B">
            <w:pPr>
              <w:spacing w:before="120" w:after="0"/>
              <w:cnfStyle w:val="000000000000" w:firstRow="0" w:lastRow="0" w:firstColumn="0" w:lastColumn="0" w:oddVBand="0" w:evenVBand="0" w:oddHBand="0" w:evenHBand="0" w:firstRowFirstColumn="0" w:firstRowLastColumn="0" w:lastRowFirstColumn="0" w:lastRowLastColumn="0"/>
            </w:pPr>
          </w:p>
        </w:tc>
        <w:tc>
          <w:tcPr>
            <w:tcW w:w="780" w:type="dxa"/>
          </w:tcPr>
          <w:p w14:paraId="025E590D" w14:textId="77777777" w:rsidR="004135EE" w:rsidRDefault="004135EE" w:rsidP="00723C6B">
            <w:pPr>
              <w:spacing w:before="120" w:after="0"/>
              <w:cnfStyle w:val="000000000000" w:firstRow="0" w:lastRow="0" w:firstColumn="0" w:lastColumn="0" w:oddVBand="0" w:evenVBand="0" w:oddHBand="0" w:evenHBand="0" w:firstRowFirstColumn="0" w:firstRowLastColumn="0" w:lastRowFirstColumn="0" w:lastRowLastColumn="0"/>
            </w:pPr>
          </w:p>
        </w:tc>
        <w:tc>
          <w:tcPr>
            <w:tcW w:w="781" w:type="dxa"/>
          </w:tcPr>
          <w:p w14:paraId="788AFB6C" w14:textId="77777777" w:rsidR="004135EE" w:rsidRDefault="004135EE" w:rsidP="00723C6B">
            <w:pPr>
              <w:spacing w:before="120" w:after="0"/>
              <w:cnfStyle w:val="000000000000" w:firstRow="0" w:lastRow="0" w:firstColumn="0" w:lastColumn="0" w:oddVBand="0" w:evenVBand="0" w:oddHBand="0" w:evenHBand="0" w:firstRowFirstColumn="0" w:firstRowLastColumn="0" w:lastRowFirstColumn="0" w:lastRowLastColumn="0"/>
            </w:pPr>
          </w:p>
        </w:tc>
        <w:tc>
          <w:tcPr>
            <w:tcW w:w="781" w:type="dxa"/>
          </w:tcPr>
          <w:p w14:paraId="06DC44D1" w14:textId="77777777" w:rsidR="004135EE" w:rsidRDefault="004135EE" w:rsidP="00723C6B">
            <w:pPr>
              <w:spacing w:before="120" w:after="0"/>
              <w:cnfStyle w:val="000000000000" w:firstRow="0" w:lastRow="0" w:firstColumn="0" w:lastColumn="0" w:oddVBand="0" w:evenVBand="0" w:oddHBand="0" w:evenHBand="0" w:firstRowFirstColumn="0" w:firstRowLastColumn="0" w:lastRowFirstColumn="0" w:lastRowLastColumn="0"/>
            </w:pPr>
          </w:p>
        </w:tc>
      </w:tr>
      <w:tr w:rsidR="004135EE" w14:paraId="025F5AB6" w14:textId="77777777" w:rsidTr="008670FF">
        <w:tc>
          <w:tcPr>
            <w:cnfStyle w:val="001000000000" w:firstRow="0" w:lastRow="0" w:firstColumn="1" w:lastColumn="0" w:oddVBand="0" w:evenVBand="0" w:oddHBand="0" w:evenHBand="0" w:firstRowFirstColumn="0" w:firstRowLastColumn="0" w:lastRowFirstColumn="0" w:lastRowLastColumn="0"/>
            <w:tcW w:w="3248" w:type="dxa"/>
          </w:tcPr>
          <w:p w14:paraId="41846480" w14:textId="77777777" w:rsidR="004135EE" w:rsidRDefault="004135EE" w:rsidP="008670FF">
            <w:pPr>
              <w:spacing w:after="0"/>
            </w:pPr>
            <w:r>
              <w:rPr>
                <w:b/>
              </w:rPr>
              <w:t>Net operating balance</w:t>
            </w:r>
          </w:p>
        </w:tc>
        <w:tc>
          <w:tcPr>
            <w:tcW w:w="546" w:type="dxa"/>
          </w:tcPr>
          <w:p w14:paraId="0F106AE1"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Pr>
          <w:p w14:paraId="03E0EE3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(2 191)</w:t>
            </w:r>
          </w:p>
        </w:tc>
        <w:tc>
          <w:tcPr>
            <w:tcW w:w="781" w:type="dxa"/>
          </w:tcPr>
          <w:p w14:paraId="671E86F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(3 595)</w:t>
            </w:r>
          </w:p>
        </w:tc>
        <w:tc>
          <w:tcPr>
            <w:tcW w:w="780" w:type="dxa"/>
          </w:tcPr>
          <w:p w14:paraId="192CC8A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1 579</w:t>
            </w:r>
          </w:p>
        </w:tc>
        <w:tc>
          <w:tcPr>
            <w:tcW w:w="781" w:type="dxa"/>
          </w:tcPr>
          <w:p w14:paraId="6619E84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1 718</w:t>
            </w:r>
          </w:p>
        </w:tc>
        <w:tc>
          <w:tcPr>
            <w:tcW w:w="781" w:type="dxa"/>
          </w:tcPr>
          <w:p w14:paraId="0AF2096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1 954</w:t>
            </w:r>
          </w:p>
        </w:tc>
      </w:tr>
      <w:tr w:rsidR="004135EE" w14:paraId="5815934D"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bottom w:val="single" w:sz="6" w:space="0" w:color="auto"/>
            </w:tcBorders>
          </w:tcPr>
          <w:p w14:paraId="1F27A4A0" w14:textId="77777777" w:rsidR="004135EE" w:rsidRDefault="004135EE" w:rsidP="008670FF">
            <w:pPr>
              <w:spacing w:after="0"/>
            </w:pPr>
            <w:r>
              <w:t>Less: Net acquisition of non</w:t>
            </w:r>
            <w:r>
              <w:noBreakHyphen/>
              <w:t>financial assets from transactions</w:t>
            </w:r>
            <w:r>
              <w:rPr>
                <w:vertAlign w:val="superscript"/>
              </w:rPr>
              <w:t xml:space="preserve"> (c)</w:t>
            </w:r>
          </w:p>
        </w:tc>
        <w:tc>
          <w:tcPr>
            <w:tcW w:w="546" w:type="dxa"/>
            <w:tcBorders>
              <w:bottom w:val="single" w:sz="6" w:space="0" w:color="auto"/>
            </w:tcBorders>
          </w:tcPr>
          <w:p w14:paraId="4EE363EB"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4.3.9</w:t>
            </w:r>
          </w:p>
        </w:tc>
        <w:tc>
          <w:tcPr>
            <w:tcW w:w="738" w:type="dxa"/>
            <w:tcBorders>
              <w:bottom w:val="single" w:sz="6" w:space="0" w:color="auto"/>
            </w:tcBorders>
          </w:tcPr>
          <w:p w14:paraId="047D1E6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9 088</w:t>
            </w:r>
          </w:p>
        </w:tc>
        <w:tc>
          <w:tcPr>
            <w:tcW w:w="781" w:type="dxa"/>
            <w:tcBorders>
              <w:bottom w:val="single" w:sz="6" w:space="0" w:color="auto"/>
            </w:tcBorders>
          </w:tcPr>
          <w:p w14:paraId="4F03AB0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7 621</w:t>
            </w:r>
          </w:p>
        </w:tc>
        <w:tc>
          <w:tcPr>
            <w:tcW w:w="780" w:type="dxa"/>
            <w:tcBorders>
              <w:bottom w:val="single" w:sz="6" w:space="0" w:color="auto"/>
            </w:tcBorders>
          </w:tcPr>
          <w:p w14:paraId="5AC44CE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(9 232)</w:t>
            </w:r>
          </w:p>
        </w:tc>
        <w:tc>
          <w:tcPr>
            <w:tcW w:w="781" w:type="dxa"/>
            <w:tcBorders>
              <w:bottom w:val="single" w:sz="6" w:space="0" w:color="auto"/>
            </w:tcBorders>
          </w:tcPr>
          <w:p w14:paraId="37C750A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7 881</w:t>
            </w:r>
          </w:p>
        </w:tc>
        <w:tc>
          <w:tcPr>
            <w:tcW w:w="781" w:type="dxa"/>
            <w:tcBorders>
              <w:bottom w:val="single" w:sz="6" w:space="0" w:color="auto"/>
            </w:tcBorders>
          </w:tcPr>
          <w:p w14:paraId="746EC20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4 886</w:t>
            </w:r>
          </w:p>
        </w:tc>
      </w:tr>
      <w:tr w:rsidR="004135EE" w14:paraId="326C8F3F" w14:textId="77777777" w:rsidTr="008670FF">
        <w:tc>
          <w:tcPr>
            <w:cnfStyle w:val="001000000000" w:firstRow="0" w:lastRow="0" w:firstColumn="1" w:lastColumn="0" w:oddVBand="0" w:evenVBand="0" w:oddHBand="0" w:evenHBand="0" w:firstRowFirstColumn="0" w:firstRowLastColumn="0" w:lastRowFirstColumn="0" w:lastRowLastColumn="0"/>
            <w:tcW w:w="3248" w:type="dxa"/>
            <w:tcBorders>
              <w:top w:val="single" w:sz="6" w:space="0" w:color="auto"/>
              <w:bottom w:val="single" w:sz="12" w:space="0" w:color="auto"/>
            </w:tcBorders>
          </w:tcPr>
          <w:p w14:paraId="4EC0E363" w14:textId="77777777" w:rsidR="004135EE" w:rsidRDefault="004135EE" w:rsidP="008670FF">
            <w:pPr>
              <w:spacing w:after="0"/>
            </w:pPr>
            <w:r>
              <w:rPr>
                <w:b/>
              </w:rPr>
              <w:t>Net lending/(borrowing)</w:t>
            </w:r>
          </w:p>
        </w:tc>
        <w:tc>
          <w:tcPr>
            <w:tcW w:w="546" w:type="dxa"/>
            <w:tcBorders>
              <w:top w:val="single" w:sz="6" w:space="0" w:color="auto"/>
              <w:bottom w:val="single" w:sz="12" w:space="0" w:color="auto"/>
            </w:tcBorders>
          </w:tcPr>
          <w:p w14:paraId="58E034D0"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38" w:type="dxa"/>
            <w:tcBorders>
              <w:top w:val="single" w:sz="6" w:space="0" w:color="auto"/>
              <w:bottom w:val="single" w:sz="12" w:space="0" w:color="auto"/>
            </w:tcBorders>
          </w:tcPr>
          <w:p w14:paraId="2C5706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(11 279)</w:t>
            </w:r>
          </w:p>
        </w:tc>
        <w:tc>
          <w:tcPr>
            <w:tcW w:w="781" w:type="dxa"/>
            <w:tcBorders>
              <w:top w:val="single" w:sz="6" w:space="0" w:color="auto"/>
              <w:bottom w:val="single" w:sz="12" w:space="0" w:color="auto"/>
            </w:tcBorders>
          </w:tcPr>
          <w:p w14:paraId="219A742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(11 216)</w:t>
            </w:r>
          </w:p>
        </w:tc>
        <w:tc>
          <w:tcPr>
            <w:tcW w:w="780" w:type="dxa"/>
            <w:tcBorders>
              <w:top w:val="single" w:sz="6" w:space="0" w:color="auto"/>
              <w:bottom w:val="single" w:sz="12" w:space="0" w:color="auto"/>
            </w:tcBorders>
          </w:tcPr>
          <w:p w14:paraId="3D67838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10 810</w:t>
            </w:r>
          </w:p>
        </w:tc>
        <w:tc>
          <w:tcPr>
            <w:tcW w:w="781" w:type="dxa"/>
            <w:tcBorders>
              <w:top w:val="single" w:sz="6" w:space="0" w:color="auto"/>
              <w:bottom w:val="single" w:sz="12" w:space="0" w:color="auto"/>
            </w:tcBorders>
          </w:tcPr>
          <w:p w14:paraId="472E30E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(6 163)</w:t>
            </w:r>
          </w:p>
        </w:tc>
        <w:tc>
          <w:tcPr>
            <w:tcW w:w="781" w:type="dxa"/>
            <w:tcBorders>
              <w:top w:val="single" w:sz="6" w:space="0" w:color="auto"/>
              <w:bottom w:val="single" w:sz="12" w:space="0" w:color="auto"/>
            </w:tcBorders>
          </w:tcPr>
          <w:p w14:paraId="5216093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(2 933)</w:t>
            </w:r>
          </w:p>
        </w:tc>
      </w:tr>
    </w:tbl>
    <w:p w14:paraId="09C03EEE" w14:textId="77777777" w:rsidR="004135EE" w:rsidRDefault="004135EE" w:rsidP="004135EE">
      <w:pPr>
        <w:pStyle w:val="Source"/>
      </w:pPr>
      <w:r w:rsidRPr="001722A8">
        <w:t>The accompanying notes form part of these Estimated Financial Statements.</w:t>
      </w:r>
    </w:p>
    <w:p w14:paraId="2F3AD82D" w14:textId="77777777" w:rsidR="004135EE" w:rsidRDefault="004135EE" w:rsidP="004135EE">
      <w:pPr>
        <w:pStyle w:val="Note"/>
      </w:pPr>
      <w:r>
        <w:t>Notes:</w:t>
      </w:r>
    </w:p>
    <w:p w14:paraId="7F83F429" w14:textId="2308AEDC" w:rsidR="004135EE" w:rsidRPr="001244AB" w:rsidRDefault="004135EE" w:rsidP="004135EE">
      <w:pPr>
        <w:pStyle w:val="Note"/>
      </w:pPr>
      <w:r>
        <w:t>(a)</w:t>
      </w:r>
      <w:r>
        <w:tab/>
        <w:t xml:space="preserve">The movement in 2025-26 primarily reflects the derecognition of completed Metro Tunnel assets transferred to VicTrack, as required under AASB 16 </w:t>
      </w:r>
      <w:r w:rsidRPr="004135EE">
        <w:rPr>
          <w:rFonts w:ascii="Calibri" w:hAnsi="Calibri" w:cs="Calibri"/>
          <w:i w:val="0"/>
          <w:iCs/>
        </w:rPr>
        <w:t>Leases</w:t>
      </w:r>
      <w:r>
        <w:rPr>
          <w:rFonts w:ascii="Calibri" w:hAnsi="Calibri" w:cs="Calibri"/>
        </w:rPr>
        <w:t>.</w:t>
      </w:r>
    </w:p>
    <w:p w14:paraId="043AC37B" w14:textId="2B0D2D7A" w:rsidR="004135EE" w:rsidRDefault="004135EE" w:rsidP="004135EE">
      <w:pPr>
        <w:pStyle w:val="Note"/>
      </w:pPr>
      <w:r>
        <w:t>(b)</w:t>
      </w:r>
      <w:r>
        <w:tab/>
        <w:t xml:space="preserve">The fiscal aggregates are defined in Note 9.9 of the </w:t>
      </w:r>
      <w:r w:rsidRPr="004135EE">
        <w:rPr>
          <w:rFonts w:ascii="Calibri" w:hAnsi="Calibri" w:cs="Calibri"/>
          <w:i w:val="0"/>
          <w:iCs/>
        </w:rPr>
        <w:t>2023-24 Financial Report</w:t>
      </w:r>
      <w:r>
        <w:t>.</w:t>
      </w:r>
    </w:p>
    <w:p w14:paraId="4679E0B4" w14:textId="33F3DFE3" w:rsidR="004135EE" w:rsidRPr="00CB6D20" w:rsidRDefault="004135EE" w:rsidP="004135EE">
      <w:pPr>
        <w:pStyle w:val="Note"/>
      </w:pPr>
      <w:r>
        <w:t>(c)</w:t>
      </w:r>
      <w:r>
        <w:tab/>
        <w:t>The movement in 2025-26 primarily reflects the transfer of the Metro Tunnel assets from the Department of Transport and Planning in the general government sector to VicTrack in the public non-financial corporations sector upon its completion.</w:t>
      </w:r>
    </w:p>
    <w:p w14:paraId="4CAE31E1" w14:textId="77777777" w:rsidR="004135EE" w:rsidRDefault="004135EE" w:rsidP="004135EE"/>
    <w:p w14:paraId="51BC726F" w14:textId="77777777" w:rsidR="004135EE" w:rsidRDefault="004135EE" w:rsidP="004135EE">
      <w:pPr>
        <w:pStyle w:val="Heading10"/>
        <w:pageBreakBefore/>
      </w:pPr>
      <w:bookmarkStart w:id="55" w:name="_Toc152933034"/>
      <w:bookmarkStart w:id="56" w:name="_Toc179455718"/>
      <w:bookmarkStart w:id="57" w:name="_Toc184299448"/>
      <w:r>
        <w:t>Estimated consolidated general government sector</w:t>
      </w:r>
      <w:r>
        <w:br/>
        <w:t>balance sheet</w:t>
      </w:r>
      <w:bookmarkEnd w:id="55"/>
      <w:bookmarkEnd w:id="56"/>
      <w:bookmarkEnd w:id="57"/>
      <w:r>
        <w:t xml:space="preserve"> </w:t>
      </w:r>
    </w:p>
    <w:p w14:paraId="457EE32B" w14:textId="77777777" w:rsidR="004135EE" w:rsidRDefault="004135EE" w:rsidP="004135EE">
      <w:pPr>
        <w:pStyle w:val="TableHeading"/>
      </w:pPr>
      <w:r>
        <w:t>As at 30 June</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BS.xlsx|Table:Manual_GG_BS|MergedHeadingRow:1"/>
      </w:tblPr>
      <w:tblGrid>
        <w:gridCol w:w="3173"/>
        <w:gridCol w:w="567"/>
        <w:gridCol w:w="794"/>
        <w:gridCol w:w="794"/>
        <w:gridCol w:w="794"/>
        <w:gridCol w:w="794"/>
        <w:gridCol w:w="794"/>
      </w:tblGrid>
      <w:tr w:rsidR="004135EE" w14:paraId="046F5D22"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2FDDB01B" w14:textId="77777777" w:rsidR="004135EE" w:rsidRDefault="004135EE" w:rsidP="008670FF">
            <w:pPr>
              <w:keepNext/>
            </w:pPr>
          </w:p>
        </w:tc>
        <w:tc>
          <w:tcPr>
            <w:tcW w:w="567" w:type="dxa"/>
          </w:tcPr>
          <w:p w14:paraId="66B9BA39" w14:textId="77777777" w:rsidR="004135EE" w:rsidRDefault="004135EE" w:rsidP="008670FF">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7E2A024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r>
              <w:rPr>
                <w:vertAlign w:val="superscript"/>
              </w:rPr>
              <w:t xml:space="preserve"> (a)</w:t>
            </w:r>
          </w:p>
        </w:tc>
        <w:tc>
          <w:tcPr>
            <w:tcW w:w="794" w:type="dxa"/>
          </w:tcPr>
          <w:p w14:paraId="2CA7763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2F6F6DB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60D07C0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393369D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28360C55"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F548B89" w14:textId="77777777" w:rsidR="004135EE" w:rsidRDefault="004135EE" w:rsidP="008670FF">
            <w:r>
              <w:rPr>
                <w:b/>
              </w:rPr>
              <w:t>Assets</w:t>
            </w:r>
          </w:p>
        </w:tc>
        <w:tc>
          <w:tcPr>
            <w:tcW w:w="567" w:type="dxa"/>
          </w:tcPr>
          <w:p w14:paraId="2979EABA"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52EA0E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8DEEA9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ADACA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68504E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818BD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1D7ABE80"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C83EED2" w14:textId="77777777" w:rsidR="004135EE" w:rsidRDefault="004135EE" w:rsidP="008670FF">
            <w:r>
              <w:rPr>
                <w:b/>
              </w:rPr>
              <w:t>Financial assets</w:t>
            </w:r>
          </w:p>
        </w:tc>
        <w:tc>
          <w:tcPr>
            <w:tcW w:w="567" w:type="dxa"/>
          </w:tcPr>
          <w:p w14:paraId="2C6DD53E"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C9A750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C886E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909BF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60D323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34C34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09718FB"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8EAFCA9" w14:textId="77777777" w:rsidR="004135EE" w:rsidRDefault="004135EE" w:rsidP="008670FF">
            <w:r>
              <w:t>Cash and deposits</w:t>
            </w:r>
          </w:p>
        </w:tc>
        <w:tc>
          <w:tcPr>
            <w:tcW w:w="567" w:type="dxa"/>
          </w:tcPr>
          <w:p w14:paraId="39EBA6CD"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06AE44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14 784</w:t>
            </w:r>
          </w:p>
        </w:tc>
        <w:tc>
          <w:tcPr>
            <w:tcW w:w="794" w:type="dxa"/>
          </w:tcPr>
          <w:p w14:paraId="3FC487E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11 224</w:t>
            </w:r>
          </w:p>
        </w:tc>
        <w:tc>
          <w:tcPr>
            <w:tcW w:w="794" w:type="dxa"/>
          </w:tcPr>
          <w:p w14:paraId="719DA7E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11 716</w:t>
            </w:r>
          </w:p>
        </w:tc>
        <w:tc>
          <w:tcPr>
            <w:tcW w:w="794" w:type="dxa"/>
          </w:tcPr>
          <w:p w14:paraId="483EB7E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12 279</w:t>
            </w:r>
          </w:p>
        </w:tc>
        <w:tc>
          <w:tcPr>
            <w:tcW w:w="794" w:type="dxa"/>
          </w:tcPr>
          <w:p w14:paraId="292236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12 915</w:t>
            </w:r>
          </w:p>
        </w:tc>
      </w:tr>
      <w:tr w:rsidR="004135EE" w14:paraId="058CB421"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5FA62222" w14:textId="77777777" w:rsidR="004135EE" w:rsidRDefault="004135EE" w:rsidP="008670FF">
            <w:r>
              <w:t>Advances paid</w:t>
            </w:r>
          </w:p>
        </w:tc>
        <w:tc>
          <w:tcPr>
            <w:tcW w:w="567" w:type="dxa"/>
          </w:tcPr>
          <w:p w14:paraId="03786119"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4.5.2</w:t>
            </w:r>
          </w:p>
        </w:tc>
        <w:tc>
          <w:tcPr>
            <w:tcW w:w="794" w:type="dxa"/>
          </w:tcPr>
          <w:p w14:paraId="3C31C1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6 342</w:t>
            </w:r>
          </w:p>
        </w:tc>
        <w:tc>
          <w:tcPr>
            <w:tcW w:w="794" w:type="dxa"/>
          </w:tcPr>
          <w:p w14:paraId="5BD4F3D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6 342</w:t>
            </w:r>
          </w:p>
        </w:tc>
        <w:tc>
          <w:tcPr>
            <w:tcW w:w="794" w:type="dxa"/>
          </w:tcPr>
          <w:p w14:paraId="139B692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6 348</w:t>
            </w:r>
          </w:p>
        </w:tc>
        <w:tc>
          <w:tcPr>
            <w:tcW w:w="794" w:type="dxa"/>
          </w:tcPr>
          <w:p w14:paraId="4C1CF1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6 366</w:t>
            </w:r>
          </w:p>
        </w:tc>
        <w:tc>
          <w:tcPr>
            <w:tcW w:w="794" w:type="dxa"/>
          </w:tcPr>
          <w:p w14:paraId="0D6F65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6 360</w:t>
            </w:r>
          </w:p>
        </w:tc>
      </w:tr>
      <w:tr w:rsidR="004135EE" w14:paraId="159F3AE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1E701FA" w14:textId="77777777" w:rsidR="004135EE" w:rsidRDefault="004135EE" w:rsidP="008670FF">
            <w:r>
              <w:t>Receivables and contract assets</w:t>
            </w:r>
          </w:p>
        </w:tc>
        <w:tc>
          <w:tcPr>
            <w:tcW w:w="567" w:type="dxa"/>
          </w:tcPr>
          <w:p w14:paraId="164378D6"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4.2.6</w:t>
            </w:r>
          </w:p>
        </w:tc>
        <w:tc>
          <w:tcPr>
            <w:tcW w:w="794" w:type="dxa"/>
          </w:tcPr>
          <w:p w14:paraId="357F79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10 738</w:t>
            </w:r>
          </w:p>
        </w:tc>
        <w:tc>
          <w:tcPr>
            <w:tcW w:w="794" w:type="dxa"/>
          </w:tcPr>
          <w:p w14:paraId="765B25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10 063</w:t>
            </w:r>
          </w:p>
        </w:tc>
        <w:tc>
          <w:tcPr>
            <w:tcW w:w="794" w:type="dxa"/>
          </w:tcPr>
          <w:p w14:paraId="21C041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10 629</w:t>
            </w:r>
          </w:p>
        </w:tc>
        <w:tc>
          <w:tcPr>
            <w:tcW w:w="794" w:type="dxa"/>
          </w:tcPr>
          <w:p w14:paraId="6793F61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11 197</w:t>
            </w:r>
          </w:p>
        </w:tc>
        <w:tc>
          <w:tcPr>
            <w:tcW w:w="794" w:type="dxa"/>
          </w:tcPr>
          <w:p w14:paraId="3255836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11 713</w:t>
            </w:r>
          </w:p>
        </w:tc>
      </w:tr>
      <w:tr w:rsidR="004135EE" w14:paraId="3D7A33EA"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8A4392B" w14:textId="77777777" w:rsidR="004135EE" w:rsidRDefault="004135EE" w:rsidP="008670FF">
            <w:r>
              <w:t>Investments, loans and placements</w:t>
            </w:r>
          </w:p>
        </w:tc>
        <w:tc>
          <w:tcPr>
            <w:tcW w:w="567" w:type="dxa"/>
          </w:tcPr>
          <w:p w14:paraId="6F31DA65"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4.5.2</w:t>
            </w:r>
          </w:p>
        </w:tc>
        <w:tc>
          <w:tcPr>
            <w:tcW w:w="794" w:type="dxa"/>
          </w:tcPr>
          <w:p w14:paraId="669442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16 407</w:t>
            </w:r>
          </w:p>
        </w:tc>
        <w:tc>
          <w:tcPr>
            <w:tcW w:w="794" w:type="dxa"/>
          </w:tcPr>
          <w:p w14:paraId="60BDE73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16 888</w:t>
            </w:r>
          </w:p>
        </w:tc>
        <w:tc>
          <w:tcPr>
            <w:tcW w:w="794" w:type="dxa"/>
          </w:tcPr>
          <w:p w14:paraId="705C06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17 941</w:t>
            </w:r>
          </w:p>
        </w:tc>
        <w:tc>
          <w:tcPr>
            <w:tcW w:w="794" w:type="dxa"/>
          </w:tcPr>
          <w:p w14:paraId="15779D5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19 410</w:t>
            </w:r>
          </w:p>
        </w:tc>
        <w:tc>
          <w:tcPr>
            <w:tcW w:w="794" w:type="dxa"/>
          </w:tcPr>
          <w:p w14:paraId="28DCE6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20 997</w:t>
            </w:r>
          </w:p>
        </w:tc>
      </w:tr>
      <w:tr w:rsidR="004135EE" w14:paraId="16D9311A"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4266BDB" w14:textId="77777777" w:rsidR="004135EE" w:rsidRDefault="004135EE" w:rsidP="008670FF">
            <w:r>
              <w:t>Investments accounted for using equity method</w:t>
            </w:r>
          </w:p>
        </w:tc>
        <w:tc>
          <w:tcPr>
            <w:tcW w:w="567" w:type="dxa"/>
          </w:tcPr>
          <w:p w14:paraId="21046DDA"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1F70E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1 222</w:t>
            </w:r>
          </w:p>
        </w:tc>
        <w:tc>
          <w:tcPr>
            <w:tcW w:w="794" w:type="dxa"/>
          </w:tcPr>
          <w:p w14:paraId="3DE0EC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1 166</w:t>
            </w:r>
          </w:p>
        </w:tc>
        <w:tc>
          <w:tcPr>
            <w:tcW w:w="794" w:type="dxa"/>
          </w:tcPr>
          <w:p w14:paraId="78E242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1 146</w:t>
            </w:r>
          </w:p>
        </w:tc>
        <w:tc>
          <w:tcPr>
            <w:tcW w:w="794" w:type="dxa"/>
          </w:tcPr>
          <w:p w14:paraId="1B17CE6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1 069</w:t>
            </w:r>
          </w:p>
        </w:tc>
        <w:tc>
          <w:tcPr>
            <w:tcW w:w="794" w:type="dxa"/>
          </w:tcPr>
          <w:p w14:paraId="7B556A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992</w:t>
            </w:r>
          </w:p>
        </w:tc>
      </w:tr>
      <w:tr w:rsidR="004135EE" w14:paraId="32796FB6"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253D7A01" w14:textId="77777777" w:rsidR="004135EE" w:rsidRDefault="004135EE" w:rsidP="008670FF">
            <w:r>
              <w:t>Investments in other sector entities</w:t>
            </w:r>
          </w:p>
        </w:tc>
        <w:tc>
          <w:tcPr>
            <w:tcW w:w="567" w:type="dxa"/>
            <w:tcBorders>
              <w:bottom w:val="single" w:sz="6" w:space="0" w:color="auto"/>
            </w:tcBorders>
          </w:tcPr>
          <w:p w14:paraId="427E3DBF"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4.4.6</w:t>
            </w:r>
          </w:p>
        </w:tc>
        <w:tc>
          <w:tcPr>
            <w:tcW w:w="794" w:type="dxa"/>
            <w:tcBorders>
              <w:bottom w:val="single" w:sz="6" w:space="0" w:color="auto"/>
            </w:tcBorders>
          </w:tcPr>
          <w:p w14:paraId="0013A9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101 916</w:t>
            </w:r>
          </w:p>
        </w:tc>
        <w:tc>
          <w:tcPr>
            <w:tcW w:w="794" w:type="dxa"/>
            <w:tcBorders>
              <w:bottom w:val="single" w:sz="6" w:space="0" w:color="auto"/>
            </w:tcBorders>
          </w:tcPr>
          <w:p w14:paraId="0D688F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99 515</w:t>
            </w:r>
          </w:p>
        </w:tc>
        <w:tc>
          <w:tcPr>
            <w:tcW w:w="794" w:type="dxa"/>
            <w:tcBorders>
              <w:bottom w:val="single" w:sz="6" w:space="0" w:color="auto"/>
            </w:tcBorders>
          </w:tcPr>
          <w:p w14:paraId="7F57EF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103 739</w:t>
            </w:r>
          </w:p>
        </w:tc>
        <w:tc>
          <w:tcPr>
            <w:tcW w:w="794" w:type="dxa"/>
            <w:tcBorders>
              <w:bottom w:val="single" w:sz="6" w:space="0" w:color="auto"/>
            </w:tcBorders>
          </w:tcPr>
          <w:p w14:paraId="6B82B9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107 028</w:t>
            </w:r>
          </w:p>
        </w:tc>
        <w:tc>
          <w:tcPr>
            <w:tcW w:w="794" w:type="dxa"/>
            <w:tcBorders>
              <w:bottom w:val="single" w:sz="6" w:space="0" w:color="auto"/>
            </w:tcBorders>
          </w:tcPr>
          <w:p w14:paraId="1102C6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110 111</w:t>
            </w:r>
          </w:p>
        </w:tc>
      </w:tr>
      <w:tr w:rsidR="004135EE" w14:paraId="5C6DCE6B"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7BF57E7" w14:textId="77777777" w:rsidR="004135EE" w:rsidRDefault="004135EE" w:rsidP="008670FF">
            <w:r>
              <w:rPr>
                <w:b/>
              </w:rPr>
              <w:t>Total financial assets</w:t>
            </w:r>
          </w:p>
        </w:tc>
        <w:tc>
          <w:tcPr>
            <w:tcW w:w="567" w:type="dxa"/>
            <w:tcBorders>
              <w:top w:val="single" w:sz="6" w:space="0" w:color="auto"/>
              <w:bottom w:val="single" w:sz="6" w:space="0" w:color="auto"/>
            </w:tcBorders>
          </w:tcPr>
          <w:p w14:paraId="029C415E"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3F845D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151 410</w:t>
            </w:r>
          </w:p>
        </w:tc>
        <w:tc>
          <w:tcPr>
            <w:tcW w:w="794" w:type="dxa"/>
            <w:tcBorders>
              <w:top w:val="single" w:sz="6" w:space="0" w:color="auto"/>
              <w:bottom w:val="single" w:sz="6" w:space="0" w:color="auto"/>
            </w:tcBorders>
          </w:tcPr>
          <w:p w14:paraId="540EA90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145 198</w:t>
            </w:r>
          </w:p>
        </w:tc>
        <w:tc>
          <w:tcPr>
            <w:tcW w:w="794" w:type="dxa"/>
            <w:tcBorders>
              <w:top w:val="single" w:sz="6" w:space="0" w:color="auto"/>
              <w:bottom w:val="single" w:sz="6" w:space="0" w:color="auto"/>
            </w:tcBorders>
          </w:tcPr>
          <w:p w14:paraId="517888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151 520</w:t>
            </w:r>
          </w:p>
        </w:tc>
        <w:tc>
          <w:tcPr>
            <w:tcW w:w="794" w:type="dxa"/>
            <w:tcBorders>
              <w:top w:val="single" w:sz="6" w:space="0" w:color="auto"/>
              <w:bottom w:val="single" w:sz="6" w:space="0" w:color="auto"/>
            </w:tcBorders>
          </w:tcPr>
          <w:p w14:paraId="1815BD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157 350</w:t>
            </w:r>
          </w:p>
        </w:tc>
        <w:tc>
          <w:tcPr>
            <w:tcW w:w="794" w:type="dxa"/>
            <w:tcBorders>
              <w:top w:val="single" w:sz="6" w:space="0" w:color="auto"/>
              <w:bottom w:val="single" w:sz="6" w:space="0" w:color="auto"/>
            </w:tcBorders>
          </w:tcPr>
          <w:p w14:paraId="15042E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163 087</w:t>
            </w:r>
          </w:p>
        </w:tc>
      </w:tr>
      <w:tr w:rsidR="004135EE" w14:paraId="3C179687"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B94C1EC" w14:textId="77777777" w:rsidR="004135EE" w:rsidRDefault="004135EE" w:rsidP="008670FF">
            <w:r>
              <w:rPr>
                <w:b/>
              </w:rPr>
              <w:t>Non</w:t>
            </w:r>
            <w:r>
              <w:rPr>
                <w:b/>
              </w:rPr>
              <w:noBreakHyphen/>
              <w:t>financial assets</w:t>
            </w:r>
          </w:p>
        </w:tc>
        <w:tc>
          <w:tcPr>
            <w:tcW w:w="567" w:type="dxa"/>
            <w:tcBorders>
              <w:top w:val="single" w:sz="6" w:space="0" w:color="auto"/>
            </w:tcBorders>
          </w:tcPr>
          <w:p w14:paraId="14E07FE3"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396D2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C126F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A5E39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BD313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B941C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1159E5E2"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FF67BF4" w14:textId="77777777" w:rsidR="004135EE" w:rsidRDefault="004135EE" w:rsidP="008670FF">
            <w:r>
              <w:t>Inventories</w:t>
            </w:r>
          </w:p>
        </w:tc>
        <w:tc>
          <w:tcPr>
            <w:tcW w:w="567" w:type="dxa"/>
          </w:tcPr>
          <w:p w14:paraId="5DFE2158"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95227C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372</w:t>
            </w:r>
          </w:p>
        </w:tc>
        <w:tc>
          <w:tcPr>
            <w:tcW w:w="794" w:type="dxa"/>
          </w:tcPr>
          <w:p w14:paraId="5FCCCB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370</w:t>
            </w:r>
          </w:p>
        </w:tc>
        <w:tc>
          <w:tcPr>
            <w:tcW w:w="794" w:type="dxa"/>
          </w:tcPr>
          <w:p w14:paraId="4EB9B8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343</w:t>
            </w:r>
          </w:p>
        </w:tc>
        <w:tc>
          <w:tcPr>
            <w:tcW w:w="794" w:type="dxa"/>
          </w:tcPr>
          <w:p w14:paraId="45E5AE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289</w:t>
            </w:r>
          </w:p>
        </w:tc>
        <w:tc>
          <w:tcPr>
            <w:tcW w:w="794" w:type="dxa"/>
          </w:tcPr>
          <w:p w14:paraId="176824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288</w:t>
            </w:r>
          </w:p>
        </w:tc>
      </w:tr>
      <w:tr w:rsidR="004135EE" w14:paraId="089F547B"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40D4D529" w14:textId="77777777" w:rsidR="004135EE" w:rsidRDefault="004135EE" w:rsidP="008670FF">
            <w:r>
              <w:t>Non</w:t>
            </w:r>
            <w:r>
              <w:noBreakHyphen/>
              <w:t>financial assets held for sale</w:t>
            </w:r>
          </w:p>
        </w:tc>
        <w:tc>
          <w:tcPr>
            <w:tcW w:w="567" w:type="dxa"/>
          </w:tcPr>
          <w:p w14:paraId="4002595D"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52B2B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228</w:t>
            </w:r>
          </w:p>
        </w:tc>
        <w:tc>
          <w:tcPr>
            <w:tcW w:w="794" w:type="dxa"/>
          </w:tcPr>
          <w:p w14:paraId="54425A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228</w:t>
            </w:r>
          </w:p>
        </w:tc>
        <w:tc>
          <w:tcPr>
            <w:tcW w:w="794" w:type="dxa"/>
          </w:tcPr>
          <w:p w14:paraId="10A159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229</w:t>
            </w:r>
          </w:p>
        </w:tc>
        <w:tc>
          <w:tcPr>
            <w:tcW w:w="794" w:type="dxa"/>
          </w:tcPr>
          <w:p w14:paraId="18E198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221</w:t>
            </w:r>
          </w:p>
        </w:tc>
        <w:tc>
          <w:tcPr>
            <w:tcW w:w="794" w:type="dxa"/>
          </w:tcPr>
          <w:p w14:paraId="21B06F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214</w:t>
            </w:r>
          </w:p>
        </w:tc>
      </w:tr>
      <w:tr w:rsidR="004135EE" w14:paraId="1FB13AB1"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378A15D" w14:textId="77777777" w:rsidR="004135EE" w:rsidRDefault="004135EE" w:rsidP="008670FF">
            <w:r>
              <w:t>Land, buildings, infrastructure, plant and equipment</w:t>
            </w:r>
          </w:p>
        </w:tc>
        <w:tc>
          <w:tcPr>
            <w:tcW w:w="567" w:type="dxa"/>
          </w:tcPr>
          <w:p w14:paraId="25D34CD8"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4.4.1 4.4.3</w:t>
            </w:r>
          </w:p>
        </w:tc>
        <w:tc>
          <w:tcPr>
            <w:tcW w:w="794" w:type="dxa"/>
          </w:tcPr>
          <w:p w14:paraId="3637CF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285 717</w:t>
            </w:r>
          </w:p>
        </w:tc>
        <w:tc>
          <w:tcPr>
            <w:tcW w:w="794" w:type="dxa"/>
          </w:tcPr>
          <w:p w14:paraId="160F756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283 908</w:t>
            </w:r>
          </w:p>
        </w:tc>
        <w:tc>
          <w:tcPr>
            <w:tcW w:w="794" w:type="dxa"/>
          </w:tcPr>
          <w:p w14:paraId="6A189D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283 663</w:t>
            </w:r>
          </w:p>
        </w:tc>
        <w:tc>
          <w:tcPr>
            <w:tcW w:w="794" w:type="dxa"/>
          </w:tcPr>
          <w:p w14:paraId="4D612A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297 607</w:t>
            </w:r>
          </w:p>
        </w:tc>
        <w:tc>
          <w:tcPr>
            <w:tcW w:w="794" w:type="dxa"/>
          </w:tcPr>
          <w:p w14:paraId="23B9885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311 594</w:t>
            </w:r>
          </w:p>
        </w:tc>
      </w:tr>
      <w:tr w:rsidR="004135EE" w14:paraId="01F5874B"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6D256925" w14:textId="77777777" w:rsidR="004135EE" w:rsidRDefault="004135EE" w:rsidP="008670FF">
            <w:r>
              <w:t>Other non</w:t>
            </w:r>
            <w:r>
              <w:noBreakHyphen/>
              <w:t>financial assets</w:t>
            </w:r>
          </w:p>
        </w:tc>
        <w:tc>
          <w:tcPr>
            <w:tcW w:w="567" w:type="dxa"/>
            <w:tcBorders>
              <w:bottom w:val="single" w:sz="6" w:space="0" w:color="auto"/>
            </w:tcBorders>
          </w:tcPr>
          <w:p w14:paraId="4F3FB045"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4.4.4</w:t>
            </w:r>
          </w:p>
        </w:tc>
        <w:tc>
          <w:tcPr>
            <w:tcW w:w="794" w:type="dxa"/>
            <w:tcBorders>
              <w:bottom w:val="single" w:sz="6" w:space="0" w:color="auto"/>
            </w:tcBorders>
          </w:tcPr>
          <w:p w14:paraId="595A1C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5 937</w:t>
            </w:r>
          </w:p>
        </w:tc>
        <w:tc>
          <w:tcPr>
            <w:tcW w:w="794" w:type="dxa"/>
            <w:tcBorders>
              <w:bottom w:val="single" w:sz="6" w:space="0" w:color="auto"/>
            </w:tcBorders>
          </w:tcPr>
          <w:p w14:paraId="7100BD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6 165</w:t>
            </w:r>
          </w:p>
        </w:tc>
        <w:tc>
          <w:tcPr>
            <w:tcW w:w="794" w:type="dxa"/>
            <w:tcBorders>
              <w:bottom w:val="single" w:sz="6" w:space="0" w:color="auto"/>
            </w:tcBorders>
          </w:tcPr>
          <w:p w14:paraId="447AD9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6 035</w:t>
            </w:r>
          </w:p>
        </w:tc>
        <w:tc>
          <w:tcPr>
            <w:tcW w:w="794" w:type="dxa"/>
            <w:tcBorders>
              <w:bottom w:val="single" w:sz="6" w:space="0" w:color="auto"/>
            </w:tcBorders>
          </w:tcPr>
          <w:p w14:paraId="37FA540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5 823</w:t>
            </w:r>
          </w:p>
        </w:tc>
        <w:tc>
          <w:tcPr>
            <w:tcW w:w="794" w:type="dxa"/>
            <w:tcBorders>
              <w:bottom w:val="single" w:sz="6" w:space="0" w:color="auto"/>
            </w:tcBorders>
          </w:tcPr>
          <w:p w14:paraId="1976E9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5 688</w:t>
            </w:r>
          </w:p>
        </w:tc>
      </w:tr>
      <w:tr w:rsidR="004135EE" w14:paraId="2FE8577B"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435405D6" w14:textId="77777777" w:rsidR="004135EE" w:rsidRDefault="004135EE" w:rsidP="008670FF">
            <w:r>
              <w:rPr>
                <w:b/>
              </w:rPr>
              <w:t>Total non</w:t>
            </w:r>
            <w:r>
              <w:rPr>
                <w:b/>
              </w:rPr>
              <w:noBreakHyphen/>
              <w:t>financial assets</w:t>
            </w:r>
          </w:p>
        </w:tc>
        <w:tc>
          <w:tcPr>
            <w:tcW w:w="567" w:type="dxa"/>
            <w:tcBorders>
              <w:top w:val="single" w:sz="6" w:space="0" w:color="auto"/>
              <w:bottom w:val="single" w:sz="6" w:space="0" w:color="auto"/>
            </w:tcBorders>
          </w:tcPr>
          <w:p w14:paraId="0970C86D"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46C5B4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292 254</w:t>
            </w:r>
          </w:p>
        </w:tc>
        <w:tc>
          <w:tcPr>
            <w:tcW w:w="794" w:type="dxa"/>
            <w:tcBorders>
              <w:top w:val="single" w:sz="6" w:space="0" w:color="auto"/>
              <w:bottom w:val="single" w:sz="6" w:space="0" w:color="auto"/>
            </w:tcBorders>
          </w:tcPr>
          <w:p w14:paraId="29A571E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290 672</w:t>
            </w:r>
          </w:p>
        </w:tc>
        <w:tc>
          <w:tcPr>
            <w:tcW w:w="794" w:type="dxa"/>
            <w:tcBorders>
              <w:top w:val="single" w:sz="6" w:space="0" w:color="auto"/>
              <w:bottom w:val="single" w:sz="6" w:space="0" w:color="auto"/>
            </w:tcBorders>
          </w:tcPr>
          <w:p w14:paraId="4B0ECEF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290 270</w:t>
            </w:r>
          </w:p>
        </w:tc>
        <w:tc>
          <w:tcPr>
            <w:tcW w:w="794" w:type="dxa"/>
            <w:tcBorders>
              <w:top w:val="single" w:sz="6" w:space="0" w:color="auto"/>
              <w:bottom w:val="single" w:sz="6" w:space="0" w:color="auto"/>
            </w:tcBorders>
          </w:tcPr>
          <w:p w14:paraId="122751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303 940</w:t>
            </w:r>
          </w:p>
        </w:tc>
        <w:tc>
          <w:tcPr>
            <w:tcW w:w="794" w:type="dxa"/>
            <w:tcBorders>
              <w:top w:val="single" w:sz="6" w:space="0" w:color="auto"/>
              <w:bottom w:val="single" w:sz="6" w:space="0" w:color="auto"/>
            </w:tcBorders>
          </w:tcPr>
          <w:p w14:paraId="097D88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317 784</w:t>
            </w:r>
          </w:p>
        </w:tc>
      </w:tr>
      <w:tr w:rsidR="004135EE" w14:paraId="04C17776"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F70C9E5" w14:textId="77777777" w:rsidR="004135EE" w:rsidRDefault="004135EE" w:rsidP="008670FF">
            <w:r>
              <w:rPr>
                <w:b/>
              </w:rPr>
              <w:t>Total assets</w:t>
            </w:r>
          </w:p>
        </w:tc>
        <w:tc>
          <w:tcPr>
            <w:tcW w:w="567" w:type="dxa"/>
            <w:tcBorders>
              <w:top w:val="single" w:sz="6" w:space="0" w:color="auto"/>
            </w:tcBorders>
          </w:tcPr>
          <w:p w14:paraId="24FE4995"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4.4.5</w:t>
            </w:r>
          </w:p>
        </w:tc>
        <w:tc>
          <w:tcPr>
            <w:tcW w:w="794" w:type="dxa"/>
            <w:tcBorders>
              <w:top w:val="single" w:sz="6" w:space="0" w:color="auto"/>
            </w:tcBorders>
          </w:tcPr>
          <w:p w14:paraId="4A59A87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443 664</w:t>
            </w:r>
          </w:p>
        </w:tc>
        <w:tc>
          <w:tcPr>
            <w:tcW w:w="794" w:type="dxa"/>
            <w:tcBorders>
              <w:top w:val="single" w:sz="6" w:space="0" w:color="auto"/>
            </w:tcBorders>
          </w:tcPr>
          <w:p w14:paraId="6CA137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435 869</w:t>
            </w:r>
          </w:p>
        </w:tc>
        <w:tc>
          <w:tcPr>
            <w:tcW w:w="794" w:type="dxa"/>
            <w:tcBorders>
              <w:top w:val="single" w:sz="6" w:space="0" w:color="auto"/>
            </w:tcBorders>
          </w:tcPr>
          <w:p w14:paraId="7FE940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441 790</w:t>
            </w:r>
          </w:p>
        </w:tc>
        <w:tc>
          <w:tcPr>
            <w:tcW w:w="794" w:type="dxa"/>
            <w:tcBorders>
              <w:top w:val="single" w:sz="6" w:space="0" w:color="auto"/>
            </w:tcBorders>
          </w:tcPr>
          <w:p w14:paraId="326B9E2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461 290</w:t>
            </w:r>
          </w:p>
        </w:tc>
        <w:tc>
          <w:tcPr>
            <w:tcW w:w="794" w:type="dxa"/>
            <w:tcBorders>
              <w:top w:val="single" w:sz="6" w:space="0" w:color="auto"/>
            </w:tcBorders>
          </w:tcPr>
          <w:p w14:paraId="659E4B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480 871</w:t>
            </w:r>
          </w:p>
        </w:tc>
      </w:tr>
      <w:tr w:rsidR="004135EE" w14:paraId="58B1B3C8"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D10A6F0" w14:textId="77777777" w:rsidR="004135EE" w:rsidRDefault="004135EE" w:rsidP="008670FF">
            <w:r>
              <w:rPr>
                <w:b/>
              </w:rPr>
              <w:t>Liabilities</w:t>
            </w:r>
          </w:p>
        </w:tc>
        <w:tc>
          <w:tcPr>
            <w:tcW w:w="567" w:type="dxa"/>
          </w:tcPr>
          <w:p w14:paraId="52E0FA16"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BE700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81D28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19EDA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63BB3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B61F9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5E61422D"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44ADEE4" w14:textId="77777777" w:rsidR="004135EE" w:rsidRDefault="004135EE" w:rsidP="008670FF">
            <w:r>
              <w:t>Deposits held and advances received</w:t>
            </w:r>
          </w:p>
        </w:tc>
        <w:tc>
          <w:tcPr>
            <w:tcW w:w="567" w:type="dxa"/>
          </w:tcPr>
          <w:p w14:paraId="3755A57F"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BBADC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1 520</w:t>
            </w:r>
          </w:p>
        </w:tc>
        <w:tc>
          <w:tcPr>
            <w:tcW w:w="794" w:type="dxa"/>
          </w:tcPr>
          <w:p w14:paraId="7AB241A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1 472</w:t>
            </w:r>
          </w:p>
        </w:tc>
        <w:tc>
          <w:tcPr>
            <w:tcW w:w="794" w:type="dxa"/>
          </w:tcPr>
          <w:p w14:paraId="238E8A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1 423</w:t>
            </w:r>
          </w:p>
        </w:tc>
        <w:tc>
          <w:tcPr>
            <w:tcW w:w="794" w:type="dxa"/>
          </w:tcPr>
          <w:p w14:paraId="2E7564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1 424</w:t>
            </w:r>
          </w:p>
        </w:tc>
        <w:tc>
          <w:tcPr>
            <w:tcW w:w="794" w:type="dxa"/>
          </w:tcPr>
          <w:p w14:paraId="68AD60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1 425</w:t>
            </w:r>
          </w:p>
        </w:tc>
      </w:tr>
      <w:tr w:rsidR="004135EE" w14:paraId="6FD7454A"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5434A6F1" w14:textId="77777777" w:rsidR="004135EE" w:rsidRDefault="004135EE" w:rsidP="008670FF">
            <w:r>
              <w:t>Payables</w:t>
            </w:r>
            <w:r>
              <w:rPr>
                <w:vertAlign w:val="superscript"/>
              </w:rPr>
              <w:t xml:space="preserve"> </w:t>
            </w:r>
          </w:p>
        </w:tc>
        <w:tc>
          <w:tcPr>
            <w:tcW w:w="567" w:type="dxa"/>
          </w:tcPr>
          <w:p w14:paraId="02F5494A"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4.3.6</w:t>
            </w:r>
          </w:p>
        </w:tc>
        <w:tc>
          <w:tcPr>
            <w:tcW w:w="794" w:type="dxa"/>
          </w:tcPr>
          <w:p w14:paraId="170958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7 444</w:t>
            </w:r>
          </w:p>
        </w:tc>
        <w:tc>
          <w:tcPr>
            <w:tcW w:w="794" w:type="dxa"/>
          </w:tcPr>
          <w:p w14:paraId="5C8C5E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6 498</w:t>
            </w:r>
          </w:p>
        </w:tc>
        <w:tc>
          <w:tcPr>
            <w:tcW w:w="794" w:type="dxa"/>
          </w:tcPr>
          <w:p w14:paraId="101A18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6 432</w:t>
            </w:r>
          </w:p>
        </w:tc>
        <w:tc>
          <w:tcPr>
            <w:tcW w:w="794" w:type="dxa"/>
          </w:tcPr>
          <w:p w14:paraId="541B68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6 426</w:t>
            </w:r>
          </w:p>
        </w:tc>
        <w:tc>
          <w:tcPr>
            <w:tcW w:w="794" w:type="dxa"/>
          </w:tcPr>
          <w:p w14:paraId="3A9136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6 422</w:t>
            </w:r>
          </w:p>
        </w:tc>
      </w:tr>
      <w:tr w:rsidR="004135EE" w14:paraId="4F6DC2C9"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08A20E5" w14:textId="77777777" w:rsidR="004135EE" w:rsidRDefault="004135EE" w:rsidP="008670FF">
            <w:r>
              <w:t>Borrowings</w:t>
            </w:r>
          </w:p>
        </w:tc>
        <w:tc>
          <w:tcPr>
            <w:tcW w:w="567" w:type="dxa"/>
          </w:tcPr>
          <w:p w14:paraId="3E1CB228"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4.5.1</w:t>
            </w:r>
          </w:p>
        </w:tc>
        <w:tc>
          <w:tcPr>
            <w:tcW w:w="794" w:type="dxa"/>
          </w:tcPr>
          <w:p w14:paraId="6DEB6E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189 574</w:t>
            </w:r>
          </w:p>
        </w:tc>
        <w:tc>
          <w:tcPr>
            <w:tcW w:w="794" w:type="dxa"/>
          </w:tcPr>
          <w:p w14:paraId="7BFB8A7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188 137</w:t>
            </w:r>
          </w:p>
        </w:tc>
        <w:tc>
          <w:tcPr>
            <w:tcW w:w="794" w:type="dxa"/>
          </w:tcPr>
          <w:p w14:paraId="7BFB6F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203 074</w:t>
            </w:r>
          </w:p>
        </w:tc>
        <w:tc>
          <w:tcPr>
            <w:tcW w:w="794" w:type="dxa"/>
          </w:tcPr>
          <w:p w14:paraId="77F1D9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215 657</w:t>
            </w:r>
          </w:p>
        </w:tc>
        <w:tc>
          <w:tcPr>
            <w:tcW w:w="794" w:type="dxa"/>
          </w:tcPr>
          <w:p w14:paraId="1438505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226 131</w:t>
            </w:r>
          </w:p>
        </w:tc>
      </w:tr>
      <w:tr w:rsidR="004135EE" w14:paraId="0AA3E7E4"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40D67BED" w14:textId="77777777" w:rsidR="004135EE" w:rsidRDefault="004135EE" w:rsidP="008670FF">
            <w:r>
              <w:t>Employee benefits</w:t>
            </w:r>
          </w:p>
        </w:tc>
        <w:tc>
          <w:tcPr>
            <w:tcW w:w="567" w:type="dxa"/>
          </w:tcPr>
          <w:p w14:paraId="7F5D03F1"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4.3.1</w:t>
            </w:r>
          </w:p>
        </w:tc>
        <w:tc>
          <w:tcPr>
            <w:tcW w:w="794" w:type="dxa"/>
          </w:tcPr>
          <w:p w14:paraId="2E6D346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11 105</w:t>
            </w:r>
          </w:p>
        </w:tc>
        <w:tc>
          <w:tcPr>
            <w:tcW w:w="794" w:type="dxa"/>
          </w:tcPr>
          <w:p w14:paraId="2E7F42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11 473</w:t>
            </w:r>
          </w:p>
        </w:tc>
        <w:tc>
          <w:tcPr>
            <w:tcW w:w="794" w:type="dxa"/>
          </w:tcPr>
          <w:p w14:paraId="632A23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11 826</w:t>
            </w:r>
          </w:p>
        </w:tc>
        <w:tc>
          <w:tcPr>
            <w:tcW w:w="794" w:type="dxa"/>
          </w:tcPr>
          <w:p w14:paraId="62A84E2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12 180</w:t>
            </w:r>
          </w:p>
        </w:tc>
        <w:tc>
          <w:tcPr>
            <w:tcW w:w="794" w:type="dxa"/>
          </w:tcPr>
          <w:p w14:paraId="6DCA72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12 540</w:t>
            </w:r>
          </w:p>
        </w:tc>
      </w:tr>
      <w:tr w:rsidR="004135EE" w14:paraId="797B3DE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4D03C435" w14:textId="77777777" w:rsidR="004135EE" w:rsidRDefault="004135EE" w:rsidP="008670FF">
            <w:r>
              <w:t>Superannuation</w:t>
            </w:r>
          </w:p>
        </w:tc>
        <w:tc>
          <w:tcPr>
            <w:tcW w:w="567" w:type="dxa"/>
          </w:tcPr>
          <w:p w14:paraId="248B0FCE"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4.3.3</w:t>
            </w:r>
          </w:p>
        </w:tc>
        <w:tc>
          <w:tcPr>
            <w:tcW w:w="794" w:type="dxa"/>
          </w:tcPr>
          <w:p w14:paraId="05EA10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18 122</w:t>
            </w:r>
          </w:p>
        </w:tc>
        <w:tc>
          <w:tcPr>
            <w:tcW w:w="794" w:type="dxa"/>
          </w:tcPr>
          <w:p w14:paraId="7F89CC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19 346</w:t>
            </w:r>
          </w:p>
        </w:tc>
        <w:tc>
          <w:tcPr>
            <w:tcW w:w="794" w:type="dxa"/>
          </w:tcPr>
          <w:p w14:paraId="6470D44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19 642</w:t>
            </w:r>
          </w:p>
        </w:tc>
        <w:tc>
          <w:tcPr>
            <w:tcW w:w="794" w:type="dxa"/>
          </w:tcPr>
          <w:p w14:paraId="578CD4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19 792</w:t>
            </w:r>
          </w:p>
        </w:tc>
        <w:tc>
          <w:tcPr>
            <w:tcW w:w="794" w:type="dxa"/>
          </w:tcPr>
          <w:p w14:paraId="50C6E6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18 656</w:t>
            </w:r>
          </w:p>
        </w:tc>
      </w:tr>
      <w:tr w:rsidR="004135EE" w14:paraId="14BE7717"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803746F" w14:textId="77777777" w:rsidR="004135EE" w:rsidRDefault="004135EE" w:rsidP="008670FF">
            <w:r>
              <w:t>Other provisions</w:t>
            </w:r>
          </w:p>
        </w:tc>
        <w:tc>
          <w:tcPr>
            <w:tcW w:w="567" w:type="dxa"/>
          </w:tcPr>
          <w:p w14:paraId="079676CE"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258845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3 026</w:t>
            </w:r>
          </w:p>
        </w:tc>
        <w:tc>
          <w:tcPr>
            <w:tcW w:w="794" w:type="dxa"/>
          </w:tcPr>
          <w:p w14:paraId="08D8FC3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2 840</w:t>
            </w:r>
          </w:p>
        </w:tc>
        <w:tc>
          <w:tcPr>
            <w:tcW w:w="794" w:type="dxa"/>
          </w:tcPr>
          <w:p w14:paraId="07503C7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2 880</w:t>
            </w:r>
          </w:p>
        </w:tc>
        <w:tc>
          <w:tcPr>
            <w:tcW w:w="794" w:type="dxa"/>
          </w:tcPr>
          <w:p w14:paraId="2C2D93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2 963</w:t>
            </w:r>
          </w:p>
        </w:tc>
        <w:tc>
          <w:tcPr>
            <w:tcW w:w="794" w:type="dxa"/>
          </w:tcPr>
          <w:p w14:paraId="6B78CF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3 097</w:t>
            </w:r>
          </w:p>
        </w:tc>
      </w:tr>
      <w:tr w:rsidR="004135EE" w14:paraId="219BDB1D"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69EB695F" w14:textId="77777777" w:rsidR="004135EE" w:rsidRDefault="004135EE" w:rsidP="008670FF">
            <w:r>
              <w:t>Other liabilities</w:t>
            </w:r>
            <w:r>
              <w:rPr>
                <w:vertAlign w:val="superscript"/>
              </w:rPr>
              <w:t xml:space="preserve"> </w:t>
            </w:r>
          </w:p>
        </w:tc>
        <w:tc>
          <w:tcPr>
            <w:tcW w:w="567" w:type="dxa"/>
            <w:tcBorders>
              <w:bottom w:val="single" w:sz="6" w:space="0" w:color="auto"/>
            </w:tcBorders>
          </w:tcPr>
          <w:p w14:paraId="07364E50"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r>
              <w:t>4.2.7</w:t>
            </w:r>
          </w:p>
        </w:tc>
        <w:tc>
          <w:tcPr>
            <w:tcW w:w="794" w:type="dxa"/>
            <w:tcBorders>
              <w:bottom w:val="single" w:sz="6" w:space="0" w:color="auto"/>
            </w:tcBorders>
          </w:tcPr>
          <w:p w14:paraId="4966FC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22 176</w:t>
            </w:r>
          </w:p>
        </w:tc>
        <w:tc>
          <w:tcPr>
            <w:tcW w:w="794" w:type="dxa"/>
            <w:tcBorders>
              <w:bottom w:val="single" w:sz="6" w:space="0" w:color="auto"/>
            </w:tcBorders>
          </w:tcPr>
          <w:p w14:paraId="0EF73EE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22 056</w:t>
            </w:r>
          </w:p>
        </w:tc>
        <w:tc>
          <w:tcPr>
            <w:tcW w:w="794" w:type="dxa"/>
            <w:tcBorders>
              <w:bottom w:val="single" w:sz="6" w:space="0" w:color="auto"/>
            </w:tcBorders>
          </w:tcPr>
          <w:p w14:paraId="3E33F7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21 592</w:t>
            </w:r>
          </w:p>
        </w:tc>
        <w:tc>
          <w:tcPr>
            <w:tcW w:w="794" w:type="dxa"/>
            <w:tcBorders>
              <w:bottom w:val="single" w:sz="6" w:space="0" w:color="auto"/>
            </w:tcBorders>
          </w:tcPr>
          <w:p w14:paraId="6AB0D1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20 736</w:t>
            </w:r>
          </w:p>
        </w:tc>
        <w:tc>
          <w:tcPr>
            <w:tcW w:w="794" w:type="dxa"/>
            <w:tcBorders>
              <w:bottom w:val="single" w:sz="6" w:space="0" w:color="auto"/>
            </w:tcBorders>
          </w:tcPr>
          <w:p w14:paraId="1C631E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20 000</w:t>
            </w:r>
          </w:p>
        </w:tc>
      </w:tr>
      <w:tr w:rsidR="004135EE" w14:paraId="7415C710"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331B755" w14:textId="77777777" w:rsidR="004135EE" w:rsidRDefault="004135EE" w:rsidP="008670FF">
            <w:r>
              <w:rPr>
                <w:b/>
              </w:rPr>
              <w:t>Total liabilities</w:t>
            </w:r>
          </w:p>
        </w:tc>
        <w:tc>
          <w:tcPr>
            <w:tcW w:w="567" w:type="dxa"/>
            <w:tcBorders>
              <w:top w:val="single" w:sz="6" w:space="0" w:color="auto"/>
              <w:bottom w:val="single" w:sz="6" w:space="0" w:color="auto"/>
            </w:tcBorders>
          </w:tcPr>
          <w:p w14:paraId="555322E0"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716DD3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252 966</w:t>
            </w:r>
          </w:p>
        </w:tc>
        <w:tc>
          <w:tcPr>
            <w:tcW w:w="794" w:type="dxa"/>
            <w:tcBorders>
              <w:top w:val="single" w:sz="6" w:space="0" w:color="auto"/>
              <w:bottom w:val="single" w:sz="6" w:space="0" w:color="auto"/>
            </w:tcBorders>
          </w:tcPr>
          <w:p w14:paraId="1D6707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251 822</w:t>
            </w:r>
          </w:p>
        </w:tc>
        <w:tc>
          <w:tcPr>
            <w:tcW w:w="794" w:type="dxa"/>
            <w:tcBorders>
              <w:top w:val="single" w:sz="6" w:space="0" w:color="auto"/>
              <w:bottom w:val="single" w:sz="6" w:space="0" w:color="auto"/>
            </w:tcBorders>
          </w:tcPr>
          <w:p w14:paraId="149012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266 869</w:t>
            </w:r>
          </w:p>
        </w:tc>
        <w:tc>
          <w:tcPr>
            <w:tcW w:w="794" w:type="dxa"/>
            <w:tcBorders>
              <w:top w:val="single" w:sz="6" w:space="0" w:color="auto"/>
              <w:bottom w:val="single" w:sz="6" w:space="0" w:color="auto"/>
            </w:tcBorders>
          </w:tcPr>
          <w:p w14:paraId="762D35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279 179</w:t>
            </w:r>
          </w:p>
        </w:tc>
        <w:tc>
          <w:tcPr>
            <w:tcW w:w="794" w:type="dxa"/>
            <w:tcBorders>
              <w:top w:val="single" w:sz="6" w:space="0" w:color="auto"/>
              <w:bottom w:val="single" w:sz="6" w:space="0" w:color="auto"/>
            </w:tcBorders>
          </w:tcPr>
          <w:p w14:paraId="3F5D29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288 271</w:t>
            </w:r>
          </w:p>
        </w:tc>
      </w:tr>
      <w:tr w:rsidR="004135EE" w14:paraId="2DADB58B"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0282A781" w14:textId="77777777" w:rsidR="004135EE" w:rsidRDefault="004135EE" w:rsidP="008670FF">
            <w:r>
              <w:rPr>
                <w:b/>
              </w:rPr>
              <w:t>Net assets</w:t>
            </w:r>
          </w:p>
        </w:tc>
        <w:tc>
          <w:tcPr>
            <w:tcW w:w="567" w:type="dxa"/>
            <w:tcBorders>
              <w:top w:val="single" w:sz="6" w:space="0" w:color="auto"/>
              <w:bottom w:val="single" w:sz="12" w:space="0" w:color="auto"/>
            </w:tcBorders>
          </w:tcPr>
          <w:p w14:paraId="6960A88C"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3C2EF4E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190 698</w:t>
            </w:r>
          </w:p>
        </w:tc>
        <w:tc>
          <w:tcPr>
            <w:tcW w:w="794" w:type="dxa"/>
            <w:tcBorders>
              <w:top w:val="single" w:sz="6" w:space="0" w:color="auto"/>
              <w:bottom w:val="single" w:sz="12" w:space="0" w:color="auto"/>
            </w:tcBorders>
          </w:tcPr>
          <w:p w14:paraId="70761D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184 047</w:t>
            </w:r>
          </w:p>
        </w:tc>
        <w:tc>
          <w:tcPr>
            <w:tcW w:w="794" w:type="dxa"/>
            <w:tcBorders>
              <w:top w:val="single" w:sz="6" w:space="0" w:color="auto"/>
              <w:bottom w:val="single" w:sz="12" w:space="0" w:color="auto"/>
            </w:tcBorders>
          </w:tcPr>
          <w:p w14:paraId="7E670F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174 920</w:t>
            </w:r>
          </w:p>
        </w:tc>
        <w:tc>
          <w:tcPr>
            <w:tcW w:w="794" w:type="dxa"/>
            <w:tcBorders>
              <w:top w:val="single" w:sz="6" w:space="0" w:color="auto"/>
              <w:bottom w:val="single" w:sz="12" w:space="0" w:color="auto"/>
            </w:tcBorders>
          </w:tcPr>
          <w:p w14:paraId="52C691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182 111</w:t>
            </w:r>
          </w:p>
        </w:tc>
        <w:tc>
          <w:tcPr>
            <w:tcW w:w="794" w:type="dxa"/>
            <w:tcBorders>
              <w:top w:val="single" w:sz="6" w:space="0" w:color="auto"/>
              <w:bottom w:val="single" w:sz="12" w:space="0" w:color="auto"/>
            </w:tcBorders>
          </w:tcPr>
          <w:p w14:paraId="26B94C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192 601</w:t>
            </w:r>
          </w:p>
        </w:tc>
      </w:tr>
      <w:tr w:rsidR="004135EE" w14:paraId="48A31ABC"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C1A6DFC" w14:textId="77777777" w:rsidR="004135EE" w:rsidRDefault="004135EE" w:rsidP="008670FF">
            <w:r>
              <w:t>Accumulated surplus/(deficit)</w:t>
            </w:r>
          </w:p>
        </w:tc>
        <w:tc>
          <w:tcPr>
            <w:tcW w:w="567" w:type="dxa"/>
            <w:tcBorders>
              <w:top w:val="single" w:sz="6" w:space="0" w:color="auto"/>
            </w:tcBorders>
          </w:tcPr>
          <w:p w14:paraId="1CFA4A3F"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8FF03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41 565</w:t>
            </w:r>
          </w:p>
        </w:tc>
        <w:tc>
          <w:tcPr>
            <w:tcW w:w="794" w:type="dxa"/>
            <w:tcBorders>
              <w:top w:val="single" w:sz="6" w:space="0" w:color="auto"/>
            </w:tcBorders>
          </w:tcPr>
          <w:p w14:paraId="7A30F4A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39 242</w:t>
            </w:r>
          </w:p>
        </w:tc>
        <w:tc>
          <w:tcPr>
            <w:tcW w:w="794" w:type="dxa"/>
            <w:tcBorders>
              <w:top w:val="single" w:sz="6" w:space="0" w:color="auto"/>
            </w:tcBorders>
          </w:tcPr>
          <w:p w14:paraId="4325A9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41 616</w:t>
            </w:r>
          </w:p>
        </w:tc>
        <w:tc>
          <w:tcPr>
            <w:tcW w:w="794" w:type="dxa"/>
            <w:tcBorders>
              <w:top w:val="single" w:sz="6" w:space="0" w:color="auto"/>
            </w:tcBorders>
          </w:tcPr>
          <w:p w14:paraId="16DB7B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43 825</w:t>
            </w:r>
          </w:p>
        </w:tc>
        <w:tc>
          <w:tcPr>
            <w:tcW w:w="794" w:type="dxa"/>
            <w:tcBorders>
              <w:top w:val="single" w:sz="6" w:space="0" w:color="auto"/>
            </w:tcBorders>
          </w:tcPr>
          <w:p w14:paraId="7D1924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46 344</w:t>
            </w:r>
          </w:p>
        </w:tc>
      </w:tr>
      <w:tr w:rsidR="004135EE" w14:paraId="1BCD97BF"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3445816E" w14:textId="77777777" w:rsidR="004135EE" w:rsidRDefault="004135EE" w:rsidP="008670FF">
            <w:r>
              <w:t>Reserves</w:t>
            </w:r>
          </w:p>
        </w:tc>
        <w:tc>
          <w:tcPr>
            <w:tcW w:w="567" w:type="dxa"/>
            <w:tcBorders>
              <w:bottom w:val="single" w:sz="6" w:space="0" w:color="auto"/>
            </w:tcBorders>
          </w:tcPr>
          <w:p w14:paraId="69831859"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654A01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149 133</w:t>
            </w:r>
          </w:p>
        </w:tc>
        <w:tc>
          <w:tcPr>
            <w:tcW w:w="794" w:type="dxa"/>
            <w:tcBorders>
              <w:bottom w:val="single" w:sz="6" w:space="0" w:color="auto"/>
            </w:tcBorders>
          </w:tcPr>
          <w:p w14:paraId="6333C56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144 805</w:t>
            </w:r>
          </w:p>
        </w:tc>
        <w:tc>
          <w:tcPr>
            <w:tcW w:w="794" w:type="dxa"/>
            <w:tcBorders>
              <w:bottom w:val="single" w:sz="6" w:space="0" w:color="auto"/>
            </w:tcBorders>
          </w:tcPr>
          <w:p w14:paraId="5429CA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133 304</w:t>
            </w:r>
          </w:p>
        </w:tc>
        <w:tc>
          <w:tcPr>
            <w:tcW w:w="794" w:type="dxa"/>
            <w:tcBorders>
              <w:bottom w:val="single" w:sz="6" w:space="0" w:color="auto"/>
            </w:tcBorders>
          </w:tcPr>
          <w:p w14:paraId="623849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138 286</w:t>
            </w:r>
          </w:p>
        </w:tc>
        <w:tc>
          <w:tcPr>
            <w:tcW w:w="794" w:type="dxa"/>
            <w:tcBorders>
              <w:bottom w:val="single" w:sz="6" w:space="0" w:color="auto"/>
            </w:tcBorders>
          </w:tcPr>
          <w:p w14:paraId="247446D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146 257</w:t>
            </w:r>
          </w:p>
        </w:tc>
      </w:tr>
      <w:tr w:rsidR="004135EE" w14:paraId="036D9C27"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3943295E" w14:textId="77777777" w:rsidR="004135EE" w:rsidRDefault="004135EE" w:rsidP="008670FF">
            <w:r>
              <w:rPr>
                <w:b/>
              </w:rPr>
              <w:t>Net worth</w:t>
            </w:r>
          </w:p>
        </w:tc>
        <w:tc>
          <w:tcPr>
            <w:tcW w:w="567" w:type="dxa"/>
            <w:tcBorders>
              <w:top w:val="single" w:sz="6" w:space="0" w:color="auto"/>
              <w:bottom w:val="single" w:sz="12" w:space="0" w:color="auto"/>
            </w:tcBorders>
          </w:tcPr>
          <w:p w14:paraId="6096D0B7"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14D1E6F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190 698</w:t>
            </w:r>
          </w:p>
        </w:tc>
        <w:tc>
          <w:tcPr>
            <w:tcW w:w="794" w:type="dxa"/>
            <w:tcBorders>
              <w:top w:val="single" w:sz="6" w:space="0" w:color="auto"/>
              <w:bottom w:val="single" w:sz="12" w:space="0" w:color="auto"/>
            </w:tcBorders>
          </w:tcPr>
          <w:p w14:paraId="5395FC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184 047</w:t>
            </w:r>
          </w:p>
        </w:tc>
        <w:tc>
          <w:tcPr>
            <w:tcW w:w="794" w:type="dxa"/>
            <w:tcBorders>
              <w:top w:val="single" w:sz="6" w:space="0" w:color="auto"/>
              <w:bottom w:val="single" w:sz="12" w:space="0" w:color="auto"/>
            </w:tcBorders>
          </w:tcPr>
          <w:p w14:paraId="3C0E30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174 920</w:t>
            </w:r>
          </w:p>
        </w:tc>
        <w:tc>
          <w:tcPr>
            <w:tcW w:w="794" w:type="dxa"/>
            <w:tcBorders>
              <w:top w:val="single" w:sz="6" w:space="0" w:color="auto"/>
              <w:bottom w:val="single" w:sz="12" w:space="0" w:color="auto"/>
            </w:tcBorders>
          </w:tcPr>
          <w:p w14:paraId="077A08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182 111</w:t>
            </w:r>
          </w:p>
        </w:tc>
        <w:tc>
          <w:tcPr>
            <w:tcW w:w="794" w:type="dxa"/>
            <w:tcBorders>
              <w:top w:val="single" w:sz="6" w:space="0" w:color="auto"/>
              <w:bottom w:val="single" w:sz="12" w:space="0" w:color="auto"/>
            </w:tcBorders>
          </w:tcPr>
          <w:p w14:paraId="6F9A09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192 601</w:t>
            </w:r>
          </w:p>
        </w:tc>
      </w:tr>
      <w:tr w:rsidR="004135EE" w14:paraId="6F5E83C2"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1F0C388C" w14:textId="77777777" w:rsidR="004135EE" w:rsidRDefault="004135EE" w:rsidP="008670FF"/>
        </w:tc>
        <w:tc>
          <w:tcPr>
            <w:tcW w:w="567" w:type="dxa"/>
            <w:tcBorders>
              <w:top w:val="single" w:sz="6" w:space="0" w:color="auto"/>
            </w:tcBorders>
          </w:tcPr>
          <w:p w14:paraId="32E20510"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3E905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D75FC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25B37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79C7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AEC89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64F2EE63"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7F1948D" w14:textId="77777777" w:rsidR="004135EE" w:rsidRDefault="004135EE" w:rsidP="008670FF">
            <w:r>
              <w:rPr>
                <w:b/>
              </w:rPr>
              <w:t>FISCAL AGGREGATES</w:t>
            </w:r>
            <w:r>
              <w:rPr>
                <w:b/>
                <w:vertAlign w:val="superscript"/>
              </w:rPr>
              <w:t xml:space="preserve"> (b)</w:t>
            </w:r>
          </w:p>
        </w:tc>
        <w:tc>
          <w:tcPr>
            <w:tcW w:w="567" w:type="dxa"/>
          </w:tcPr>
          <w:p w14:paraId="29DCAE6E"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21C77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9158CB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AC3E9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8F0F6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F3A91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0F621BC7"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56B03EAE" w14:textId="77777777" w:rsidR="004135EE" w:rsidRDefault="004135EE" w:rsidP="008670FF">
            <w:r>
              <w:t>Net financial worth</w:t>
            </w:r>
          </w:p>
        </w:tc>
        <w:tc>
          <w:tcPr>
            <w:tcW w:w="567" w:type="dxa"/>
          </w:tcPr>
          <w:p w14:paraId="42617692"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300EA5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(101 556)</w:t>
            </w:r>
          </w:p>
        </w:tc>
        <w:tc>
          <w:tcPr>
            <w:tcW w:w="794" w:type="dxa"/>
          </w:tcPr>
          <w:p w14:paraId="3CE8EB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(106 624)</w:t>
            </w:r>
          </w:p>
        </w:tc>
        <w:tc>
          <w:tcPr>
            <w:tcW w:w="794" w:type="dxa"/>
          </w:tcPr>
          <w:p w14:paraId="4EB05C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(115 350)</w:t>
            </w:r>
          </w:p>
        </w:tc>
        <w:tc>
          <w:tcPr>
            <w:tcW w:w="794" w:type="dxa"/>
          </w:tcPr>
          <w:p w14:paraId="5ED501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(121 829)</w:t>
            </w:r>
          </w:p>
        </w:tc>
        <w:tc>
          <w:tcPr>
            <w:tcW w:w="794" w:type="dxa"/>
          </w:tcPr>
          <w:p w14:paraId="2CAD4C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(125 184)</w:t>
            </w:r>
          </w:p>
        </w:tc>
      </w:tr>
      <w:tr w:rsidR="004135EE" w14:paraId="65639C6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41D05FDC" w14:textId="77777777" w:rsidR="004135EE" w:rsidRDefault="004135EE" w:rsidP="008670FF">
            <w:r>
              <w:t>Net financial liabilities</w:t>
            </w:r>
          </w:p>
        </w:tc>
        <w:tc>
          <w:tcPr>
            <w:tcW w:w="567" w:type="dxa"/>
          </w:tcPr>
          <w:p w14:paraId="71FA4818"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9ACC4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203 472</w:t>
            </w:r>
          </w:p>
        </w:tc>
        <w:tc>
          <w:tcPr>
            <w:tcW w:w="794" w:type="dxa"/>
          </w:tcPr>
          <w:p w14:paraId="63F629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206 139</w:t>
            </w:r>
          </w:p>
        </w:tc>
        <w:tc>
          <w:tcPr>
            <w:tcW w:w="794" w:type="dxa"/>
          </w:tcPr>
          <w:p w14:paraId="75A429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219 089</w:t>
            </w:r>
          </w:p>
        </w:tc>
        <w:tc>
          <w:tcPr>
            <w:tcW w:w="794" w:type="dxa"/>
          </w:tcPr>
          <w:p w14:paraId="35C633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228 857</w:t>
            </w:r>
          </w:p>
        </w:tc>
        <w:tc>
          <w:tcPr>
            <w:tcW w:w="794" w:type="dxa"/>
          </w:tcPr>
          <w:p w14:paraId="0FAFC6A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235 295</w:t>
            </w:r>
          </w:p>
        </w:tc>
      </w:tr>
      <w:tr w:rsidR="004135EE" w14:paraId="75C7D9F1"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12" w:space="0" w:color="auto"/>
            </w:tcBorders>
          </w:tcPr>
          <w:p w14:paraId="3974D332" w14:textId="77777777" w:rsidR="004135EE" w:rsidRDefault="004135EE" w:rsidP="008670FF">
            <w:r>
              <w:t>Net debt</w:t>
            </w:r>
          </w:p>
        </w:tc>
        <w:tc>
          <w:tcPr>
            <w:tcW w:w="567" w:type="dxa"/>
            <w:tcBorders>
              <w:bottom w:val="single" w:sz="12" w:space="0" w:color="auto"/>
            </w:tcBorders>
          </w:tcPr>
          <w:p w14:paraId="51D6F796" w14:textId="77777777" w:rsidR="004135EE" w:rsidRDefault="004135EE" w:rsidP="008670FF">
            <w:pPr>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12" w:space="0" w:color="auto"/>
            </w:tcBorders>
          </w:tcPr>
          <w:p w14:paraId="3EE507D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153 559</w:t>
            </w:r>
          </w:p>
        </w:tc>
        <w:tc>
          <w:tcPr>
            <w:tcW w:w="794" w:type="dxa"/>
            <w:tcBorders>
              <w:bottom w:val="single" w:sz="12" w:space="0" w:color="auto"/>
            </w:tcBorders>
          </w:tcPr>
          <w:p w14:paraId="736A8E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155 155</w:t>
            </w:r>
          </w:p>
        </w:tc>
        <w:tc>
          <w:tcPr>
            <w:tcW w:w="794" w:type="dxa"/>
            <w:tcBorders>
              <w:bottom w:val="single" w:sz="12" w:space="0" w:color="auto"/>
            </w:tcBorders>
          </w:tcPr>
          <w:p w14:paraId="59E8FA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168 492</w:t>
            </w:r>
          </w:p>
        </w:tc>
        <w:tc>
          <w:tcPr>
            <w:tcW w:w="794" w:type="dxa"/>
            <w:tcBorders>
              <w:bottom w:val="single" w:sz="12" w:space="0" w:color="auto"/>
            </w:tcBorders>
          </w:tcPr>
          <w:p w14:paraId="59E09C0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179 025</w:t>
            </w:r>
          </w:p>
        </w:tc>
        <w:tc>
          <w:tcPr>
            <w:tcW w:w="794" w:type="dxa"/>
            <w:tcBorders>
              <w:bottom w:val="single" w:sz="12" w:space="0" w:color="auto"/>
            </w:tcBorders>
          </w:tcPr>
          <w:p w14:paraId="18CFC5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187 285</w:t>
            </w:r>
          </w:p>
        </w:tc>
      </w:tr>
    </w:tbl>
    <w:p w14:paraId="0F00D84F" w14:textId="77777777" w:rsidR="004135EE" w:rsidRDefault="004135EE" w:rsidP="004135EE">
      <w:pPr>
        <w:pStyle w:val="Source"/>
      </w:pPr>
      <w:r>
        <w:t>The accompanying notes form part of these Estimated Financial Statements.</w:t>
      </w:r>
    </w:p>
    <w:p w14:paraId="2E76F597" w14:textId="77777777" w:rsidR="004135EE" w:rsidRDefault="004135EE" w:rsidP="004135EE">
      <w:pPr>
        <w:pStyle w:val="Note"/>
      </w:pPr>
      <w:r>
        <w:t>Notes:</w:t>
      </w:r>
    </w:p>
    <w:p w14:paraId="24B85FC0" w14:textId="3A009BB1" w:rsidR="004135EE" w:rsidRPr="004135EE" w:rsidRDefault="004135EE" w:rsidP="004135EE">
      <w:pPr>
        <w:pStyle w:val="Note"/>
      </w:pPr>
      <w:r>
        <w:t>(a)</w:t>
      </w:r>
      <w:r>
        <w:tab/>
      </w:r>
      <w:r w:rsidRPr="004135EE">
        <w:t>Balances represent actual opening balances at 1 July 2024 plus 2024-25 budgeted movements.</w:t>
      </w:r>
    </w:p>
    <w:p w14:paraId="503DFD93" w14:textId="77777777" w:rsidR="004135EE" w:rsidRPr="004135EE" w:rsidRDefault="004135EE" w:rsidP="004135EE">
      <w:pPr>
        <w:pStyle w:val="Note"/>
      </w:pPr>
      <w:r w:rsidRPr="004135EE">
        <w:t>(b)</w:t>
      </w:r>
      <w:r w:rsidRPr="004135EE">
        <w:tab/>
        <w:t xml:space="preserve">The fiscal aggregates are defined in Note 9.9 of the </w:t>
      </w:r>
      <w:r w:rsidRPr="004135EE">
        <w:rPr>
          <w:i w:val="0"/>
          <w:iCs/>
        </w:rPr>
        <w:t>2023-24 Financial Report</w:t>
      </w:r>
      <w:r w:rsidRPr="004135EE">
        <w:t>.</w:t>
      </w:r>
    </w:p>
    <w:p w14:paraId="7535CC69" w14:textId="77777777" w:rsidR="004135EE" w:rsidRDefault="004135EE" w:rsidP="004135EE">
      <w:pPr>
        <w:pStyle w:val="Heading10"/>
      </w:pPr>
      <w:bookmarkStart w:id="58" w:name="_Toc152933035"/>
      <w:bookmarkStart w:id="59" w:name="_Toc179455719"/>
      <w:bookmarkStart w:id="60" w:name="_Toc184299449"/>
      <w:r>
        <w:t>Estimated consolidated general government sector</w:t>
      </w:r>
      <w:r>
        <w:br/>
        <w:t>cash flow statement</w:t>
      </w:r>
      <w:bookmarkEnd w:id="58"/>
      <w:bookmarkEnd w:id="59"/>
      <w:bookmarkEnd w:id="60"/>
    </w:p>
    <w:p w14:paraId="2BEFDA72" w14:textId="77777777" w:rsidR="004135EE" w:rsidRDefault="004135EE" w:rsidP="004135EE">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CF_SOCIE.xlsx|Table:Cash_Flow_Statement|LastRow:42|MergedHeadingRow:1"/>
      </w:tblPr>
      <w:tblGrid>
        <w:gridCol w:w="3173"/>
        <w:gridCol w:w="567"/>
        <w:gridCol w:w="794"/>
        <w:gridCol w:w="794"/>
        <w:gridCol w:w="794"/>
        <w:gridCol w:w="794"/>
        <w:gridCol w:w="794"/>
      </w:tblGrid>
      <w:tr w:rsidR="004135EE" w14:paraId="6196BBA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2B9C1C76" w14:textId="77777777" w:rsidR="004135EE" w:rsidRDefault="004135EE" w:rsidP="008670FF">
            <w:pPr>
              <w:keepNext/>
              <w:spacing w:after="0"/>
            </w:pPr>
          </w:p>
        </w:tc>
        <w:tc>
          <w:tcPr>
            <w:tcW w:w="567" w:type="dxa"/>
          </w:tcPr>
          <w:p w14:paraId="1EFC9490" w14:textId="77777777" w:rsidR="004135EE" w:rsidRDefault="004135EE" w:rsidP="008670FF">
            <w:pPr>
              <w:keepNext/>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5ADC2CE8"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BB39CE4"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4496C426"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6EFC02B"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16AC0DB6"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7657C320"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EAA133D" w14:textId="77777777" w:rsidR="004135EE" w:rsidRDefault="004135EE" w:rsidP="008670FF">
            <w:pPr>
              <w:spacing w:after="0"/>
            </w:pPr>
            <w:r>
              <w:rPr>
                <w:b/>
              </w:rPr>
              <w:t>Cash flows from operating activities</w:t>
            </w:r>
          </w:p>
        </w:tc>
        <w:tc>
          <w:tcPr>
            <w:tcW w:w="567" w:type="dxa"/>
          </w:tcPr>
          <w:p w14:paraId="0DB10AFE"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BFF614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F42D02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1395F2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1056C4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817064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795C71F5"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FE5A8D3" w14:textId="77777777" w:rsidR="004135EE" w:rsidRDefault="004135EE" w:rsidP="008670FF">
            <w:pPr>
              <w:spacing w:after="0"/>
            </w:pPr>
            <w:r>
              <w:rPr>
                <w:b/>
              </w:rPr>
              <w:t>Receipts</w:t>
            </w:r>
          </w:p>
        </w:tc>
        <w:tc>
          <w:tcPr>
            <w:tcW w:w="567" w:type="dxa"/>
          </w:tcPr>
          <w:p w14:paraId="488A666B"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087E07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7BA83D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961278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F352EB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64D2A4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5D92E072"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A8CC7BA" w14:textId="77777777" w:rsidR="004135EE" w:rsidRDefault="004135EE" w:rsidP="008670FF">
            <w:pPr>
              <w:spacing w:after="0"/>
            </w:pPr>
            <w:r>
              <w:t>Taxes received</w:t>
            </w:r>
          </w:p>
        </w:tc>
        <w:tc>
          <w:tcPr>
            <w:tcW w:w="567" w:type="dxa"/>
          </w:tcPr>
          <w:p w14:paraId="35D71100"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6B3EC1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38 488</w:t>
            </w:r>
          </w:p>
        </w:tc>
        <w:tc>
          <w:tcPr>
            <w:tcW w:w="794" w:type="dxa"/>
          </w:tcPr>
          <w:p w14:paraId="0F7505F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39 469</w:t>
            </w:r>
          </w:p>
        </w:tc>
        <w:tc>
          <w:tcPr>
            <w:tcW w:w="794" w:type="dxa"/>
          </w:tcPr>
          <w:p w14:paraId="1771FBB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41 058</w:t>
            </w:r>
          </w:p>
        </w:tc>
        <w:tc>
          <w:tcPr>
            <w:tcW w:w="794" w:type="dxa"/>
          </w:tcPr>
          <w:p w14:paraId="0AD27D6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43 290</w:t>
            </w:r>
          </w:p>
        </w:tc>
        <w:tc>
          <w:tcPr>
            <w:tcW w:w="794" w:type="dxa"/>
          </w:tcPr>
          <w:p w14:paraId="48220E7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45 474</w:t>
            </w:r>
          </w:p>
        </w:tc>
      </w:tr>
      <w:tr w:rsidR="004135EE" w14:paraId="4C7A4EA7"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6B96C19" w14:textId="77777777" w:rsidR="004135EE" w:rsidRDefault="004135EE" w:rsidP="008670FF">
            <w:pPr>
              <w:spacing w:after="0"/>
            </w:pPr>
            <w:r>
              <w:t>Grants</w:t>
            </w:r>
          </w:p>
        </w:tc>
        <w:tc>
          <w:tcPr>
            <w:tcW w:w="567" w:type="dxa"/>
          </w:tcPr>
          <w:p w14:paraId="7274F07E"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B3B03D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44 811</w:t>
            </w:r>
          </w:p>
        </w:tc>
        <w:tc>
          <w:tcPr>
            <w:tcW w:w="794" w:type="dxa"/>
          </w:tcPr>
          <w:p w14:paraId="720E2E1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45 454</w:t>
            </w:r>
          </w:p>
        </w:tc>
        <w:tc>
          <w:tcPr>
            <w:tcW w:w="794" w:type="dxa"/>
          </w:tcPr>
          <w:p w14:paraId="250ACE9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49 172</w:t>
            </w:r>
          </w:p>
        </w:tc>
        <w:tc>
          <w:tcPr>
            <w:tcW w:w="794" w:type="dxa"/>
          </w:tcPr>
          <w:p w14:paraId="2AA3831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49 861</w:t>
            </w:r>
          </w:p>
        </w:tc>
        <w:tc>
          <w:tcPr>
            <w:tcW w:w="794" w:type="dxa"/>
          </w:tcPr>
          <w:p w14:paraId="5DE8F13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51 325</w:t>
            </w:r>
          </w:p>
        </w:tc>
      </w:tr>
      <w:tr w:rsidR="004135EE" w14:paraId="4BEF50FE"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B2832B0" w14:textId="77777777" w:rsidR="004135EE" w:rsidRDefault="004135EE" w:rsidP="008670FF">
            <w:pPr>
              <w:spacing w:after="0"/>
            </w:pPr>
            <w:r>
              <w:t>Sales of goods and services</w:t>
            </w:r>
            <w:r>
              <w:rPr>
                <w:vertAlign w:val="superscript"/>
              </w:rPr>
              <w:t xml:space="preserve"> (a)</w:t>
            </w:r>
          </w:p>
        </w:tc>
        <w:tc>
          <w:tcPr>
            <w:tcW w:w="567" w:type="dxa"/>
          </w:tcPr>
          <w:p w14:paraId="202D517F"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59C3A8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7 389</w:t>
            </w:r>
          </w:p>
        </w:tc>
        <w:tc>
          <w:tcPr>
            <w:tcW w:w="794" w:type="dxa"/>
          </w:tcPr>
          <w:p w14:paraId="557DE1C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7 711</w:t>
            </w:r>
          </w:p>
        </w:tc>
        <w:tc>
          <w:tcPr>
            <w:tcW w:w="794" w:type="dxa"/>
          </w:tcPr>
          <w:p w14:paraId="594C350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7 800</w:t>
            </w:r>
          </w:p>
        </w:tc>
        <w:tc>
          <w:tcPr>
            <w:tcW w:w="794" w:type="dxa"/>
          </w:tcPr>
          <w:p w14:paraId="5B9A8F2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7 893</w:t>
            </w:r>
          </w:p>
        </w:tc>
        <w:tc>
          <w:tcPr>
            <w:tcW w:w="794" w:type="dxa"/>
          </w:tcPr>
          <w:p w14:paraId="5371B31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7 967</w:t>
            </w:r>
          </w:p>
        </w:tc>
      </w:tr>
      <w:tr w:rsidR="004135EE" w14:paraId="7E45FB8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702F47E" w14:textId="77777777" w:rsidR="004135EE" w:rsidRDefault="004135EE" w:rsidP="008670FF">
            <w:pPr>
              <w:spacing w:after="0"/>
            </w:pPr>
            <w:r>
              <w:t>Interest received</w:t>
            </w:r>
          </w:p>
        </w:tc>
        <w:tc>
          <w:tcPr>
            <w:tcW w:w="567" w:type="dxa"/>
          </w:tcPr>
          <w:p w14:paraId="076A65E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7D450D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1 121</w:t>
            </w:r>
          </w:p>
        </w:tc>
        <w:tc>
          <w:tcPr>
            <w:tcW w:w="794" w:type="dxa"/>
          </w:tcPr>
          <w:p w14:paraId="472E46F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1 246</w:t>
            </w:r>
          </w:p>
        </w:tc>
        <w:tc>
          <w:tcPr>
            <w:tcW w:w="794" w:type="dxa"/>
          </w:tcPr>
          <w:p w14:paraId="556512B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916</w:t>
            </w:r>
          </w:p>
        </w:tc>
        <w:tc>
          <w:tcPr>
            <w:tcW w:w="794" w:type="dxa"/>
          </w:tcPr>
          <w:p w14:paraId="218B33D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907</w:t>
            </w:r>
          </w:p>
        </w:tc>
        <w:tc>
          <w:tcPr>
            <w:tcW w:w="794" w:type="dxa"/>
          </w:tcPr>
          <w:p w14:paraId="7451B97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894</w:t>
            </w:r>
          </w:p>
        </w:tc>
      </w:tr>
      <w:tr w:rsidR="004135EE" w14:paraId="330C5B00"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5DD035E6" w14:textId="77777777" w:rsidR="004135EE" w:rsidRDefault="004135EE" w:rsidP="008670FF">
            <w:pPr>
              <w:spacing w:after="0"/>
            </w:pPr>
            <w:r>
              <w:t>Dividends, income tax equivalent and rate equivalent receipts</w:t>
            </w:r>
          </w:p>
        </w:tc>
        <w:tc>
          <w:tcPr>
            <w:tcW w:w="567" w:type="dxa"/>
          </w:tcPr>
          <w:p w14:paraId="17B0A521"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EBB9E0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1 043</w:t>
            </w:r>
          </w:p>
        </w:tc>
        <w:tc>
          <w:tcPr>
            <w:tcW w:w="794" w:type="dxa"/>
          </w:tcPr>
          <w:p w14:paraId="2EAA77D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1 183</w:t>
            </w:r>
          </w:p>
        </w:tc>
        <w:tc>
          <w:tcPr>
            <w:tcW w:w="794" w:type="dxa"/>
          </w:tcPr>
          <w:p w14:paraId="5CC4525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1 214</w:t>
            </w:r>
          </w:p>
        </w:tc>
        <w:tc>
          <w:tcPr>
            <w:tcW w:w="794" w:type="dxa"/>
          </w:tcPr>
          <w:p w14:paraId="7297A84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1 276</w:t>
            </w:r>
          </w:p>
        </w:tc>
        <w:tc>
          <w:tcPr>
            <w:tcW w:w="794" w:type="dxa"/>
          </w:tcPr>
          <w:p w14:paraId="3F1F690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1 330</w:t>
            </w:r>
          </w:p>
        </w:tc>
      </w:tr>
      <w:tr w:rsidR="004135EE" w14:paraId="26B9A73F"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C0BF0B4" w14:textId="77777777" w:rsidR="004135EE" w:rsidRDefault="004135EE" w:rsidP="008670FF">
            <w:pPr>
              <w:spacing w:after="0"/>
            </w:pPr>
            <w:r>
              <w:t>Other receipts</w:t>
            </w:r>
          </w:p>
        </w:tc>
        <w:tc>
          <w:tcPr>
            <w:tcW w:w="567" w:type="dxa"/>
            <w:tcBorders>
              <w:bottom w:val="single" w:sz="6" w:space="0" w:color="auto"/>
            </w:tcBorders>
          </w:tcPr>
          <w:p w14:paraId="711E2432"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2C5F874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2 097</w:t>
            </w:r>
          </w:p>
        </w:tc>
        <w:tc>
          <w:tcPr>
            <w:tcW w:w="794" w:type="dxa"/>
            <w:tcBorders>
              <w:bottom w:val="single" w:sz="6" w:space="0" w:color="auto"/>
            </w:tcBorders>
          </w:tcPr>
          <w:p w14:paraId="67D5850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2 073</w:t>
            </w:r>
          </w:p>
        </w:tc>
        <w:tc>
          <w:tcPr>
            <w:tcW w:w="794" w:type="dxa"/>
            <w:tcBorders>
              <w:bottom w:val="single" w:sz="6" w:space="0" w:color="auto"/>
            </w:tcBorders>
          </w:tcPr>
          <w:p w14:paraId="055D86B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2 233</w:t>
            </w:r>
          </w:p>
        </w:tc>
        <w:tc>
          <w:tcPr>
            <w:tcW w:w="794" w:type="dxa"/>
            <w:tcBorders>
              <w:bottom w:val="single" w:sz="6" w:space="0" w:color="auto"/>
            </w:tcBorders>
          </w:tcPr>
          <w:p w14:paraId="7006935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2 593</w:t>
            </w:r>
          </w:p>
        </w:tc>
        <w:tc>
          <w:tcPr>
            <w:tcW w:w="794" w:type="dxa"/>
            <w:tcBorders>
              <w:bottom w:val="single" w:sz="6" w:space="0" w:color="auto"/>
            </w:tcBorders>
          </w:tcPr>
          <w:p w14:paraId="474E6D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2 313</w:t>
            </w:r>
          </w:p>
        </w:tc>
      </w:tr>
      <w:tr w:rsidR="004135EE" w14:paraId="05E0D799"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3B51DF79" w14:textId="77777777" w:rsidR="004135EE" w:rsidRDefault="004135EE" w:rsidP="008670FF">
            <w:pPr>
              <w:spacing w:after="0"/>
            </w:pPr>
            <w:r>
              <w:rPr>
                <w:b/>
              </w:rPr>
              <w:t>Total receipts</w:t>
            </w:r>
          </w:p>
        </w:tc>
        <w:tc>
          <w:tcPr>
            <w:tcW w:w="567" w:type="dxa"/>
            <w:tcBorders>
              <w:top w:val="single" w:sz="6" w:space="0" w:color="auto"/>
            </w:tcBorders>
          </w:tcPr>
          <w:p w14:paraId="4EF6F8A7"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3ADF46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94 949</w:t>
            </w:r>
          </w:p>
        </w:tc>
        <w:tc>
          <w:tcPr>
            <w:tcW w:w="794" w:type="dxa"/>
            <w:tcBorders>
              <w:top w:val="single" w:sz="6" w:space="0" w:color="auto"/>
            </w:tcBorders>
          </w:tcPr>
          <w:p w14:paraId="73854C0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97 135</w:t>
            </w:r>
          </w:p>
        </w:tc>
        <w:tc>
          <w:tcPr>
            <w:tcW w:w="794" w:type="dxa"/>
            <w:tcBorders>
              <w:top w:val="single" w:sz="6" w:space="0" w:color="auto"/>
            </w:tcBorders>
          </w:tcPr>
          <w:p w14:paraId="5BC1E5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102 392</w:t>
            </w:r>
          </w:p>
        </w:tc>
        <w:tc>
          <w:tcPr>
            <w:tcW w:w="794" w:type="dxa"/>
            <w:tcBorders>
              <w:top w:val="single" w:sz="6" w:space="0" w:color="auto"/>
            </w:tcBorders>
          </w:tcPr>
          <w:p w14:paraId="387C4AE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105 821</w:t>
            </w:r>
          </w:p>
        </w:tc>
        <w:tc>
          <w:tcPr>
            <w:tcW w:w="794" w:type="dxa"/>
            <w:tcBorders>
              <w:top w:val="single" w:sz="6" w:space="0" w:color="auto"/>
            </w:tcBorders>
          </w:tcPr>
          <w:p w14:paraId="1353834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109 302</w:t>
            </w:r>
          </w:p>
        </w:tc>
      </w:tr>
      <w:tr w:rsidR="004135EE" w14:paraId="1BEA1C43"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DBBCC05" w14:textId="77777777" w:rsidR="004135EE" w:rsidRDefault="004135EE" w:rsidP="008670FF">
            <w:pPr>
              <w:spacing w:after="0"/>
            </w:pPr>
            <w:r>
              <w:rPr>
                <w:b/>
              </w:rPr>
              <w:t>Payments</w:t>
            </w:r>
          </w:p>
        </w:tc>
        <w:tc>
          <w:tcPr>
            <w:tcW w:w="567" w:type="dxa"/>
          </w:tcPr>
          <w:p w14:paraId="488EA193"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2D9625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89F5B1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476118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08BBDF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C03769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513686C2"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7F4AE4CB" w14:textId="77777777" w:rsidR="004135EE" w:rsidRDefault="004135EE" w:rsidP="008670FF">
            <w:pPr>
              <w:spacing w:after="0"/>
            </w:pPr>
            <w:r>
              <w:t>Payments for employees</w:t>
            </w:r>
          </w:p>
        </w:tc>
        <w:tc>
          <w:tcPr>
            <w:tcW w:w="567" w:type="dxa"/>
          </w:tcPr>
          <w:p w14:paraId="77383142"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1C6B85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(36 567)</w:t>
            </w:r>
          </w:p>
        </w:tc>
        <w:tc>
          <w:tcPr>
            <w:tcW w:w="794" w:type="dxa"/>
          </w:tcPr>
          <w:p w14:paraId="7F9BF70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(37 187)</w:t>
            </w:r>
          </w:p>
        </w:tc>
        <w:tc>
          <w:tcPr>
            <w:tcW w:w="794" w:type="dxa"/>
          </w:tcPr>
          <w:p w14:paraId="1D61355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(38 093)</w:t>
            </w:r>
          </w:p>
        </w:tc>
        <w:tc>
          <w:tcPr>
            <w:tcW w:w="794" w:type="dxa"/>
          </w:tcPr>
          <w:p w14:paraId="35491F0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(39 705)</w:t>
            </w:r>
          </w:p>
        </w:tc>
        <w:tc>
          <w:tcPr>
            <w:tcW w:w="794" w:type="dxa"/>
          </w:tcPr>
          <w:p w14:paraId="51374A9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(40 886)</w:t>
            </w:r>
          </w:p>
        </w:tc>
      </w:tr>
      <w:tr w:rsidR="004135EE" w14:paraId="623FF800"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3DCA7E1" w14:textId="77777777" w:rsidR="004135EE" w:rsidRDefault="004135EE" w:rsidP="008670FF">
            <w:pPr>
              <w:spacing w:after="0"/>
            </w:pPr>
            <w:r>
              <w:t>Superannuation</w:t>
            </w:r>
          </w:p>
        </w:tc>
        <w:tc>
          <w:tcPr>
            <w:tcW w:w="567" w:type="dxa"/>
          </w:tcPr>
          <w:p w14:paraId="33212FB1"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B2F61A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(4 025)</w:t>
            </w:r>
          </w:p>
        </w:tc>
        <w:tc>
          <w:tcPr>
            <w:tcW w:w="794" w:type="dxa"/>
          </w:tcPr>
          <w:p w14:paraId="03C33BE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(4 267)</w:t>
            </w:r>
          </w:p>
        </w:tc>
        <w:tc>
          <w:tcPr>
            <w:tcW w:w="794" w:type="dxa"/>
          </w:tcPr>
          <w:p w14:paraId="73DD279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(3 900)</w:t>
            </w:r>
          </w:p>
        </w:tc>
        <w:tc>
          <w:tcPr>
            <w:tcW w:w="794" w:type="dxa"/>
          </w:tcPr>
          <w:p w14:paraId="06459C1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(4 188)</w:t>
            </w:r>
          </w:p>
        </w:tc>
        <w:tc>
          <w:tcPr>
            <w:tcW w:w="794" w:type="dxa"/>
          </w:tcPr>
          <w:p w14:paraId="3780C63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(5 626)</w:t>
            </w:r>
          </w:p>
        </w:tc>
      </w:tr>
      <w:tr w:rsidR="004135EE" w14:paraId="571E2F83"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4B1A0CAA" w14:textId="77777777" w:rsidR="004135EE" w:rsidRDefault="004135EE" w:rsidP="008670FF">
            <w:pPr>
              <w:spacing w:after="0"/>
            </w:pPr>
            <w:r>
              <w:t>Interest paid</w:t>
            </w:r>
          </w:p>
        </w:tc>
        <w:tc>
          <w:tcPr>
            <w:tcW w:w="567" w:type="dxa"/>
          </w:tcPr>
          <w:p w14:paraId="4164A87B"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DA03E8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(6 258)</w:t>
            </w:r>
          </w:p>
        </w:tc>
        <w:tc>
          <w:tcPr>
            <w:tcW w:w="794" w:type="dxa"/>
          </w:tcPr>
          <w:p w14:paraId="178C156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(6 340)</w:t>
            </w:r>
          </w:p>
        </w:tc>
        <w:tc>
          <w:tcPr>
            <w:tcW w:w="794" w:type="dxa"/>
          </w:tcPr>
          <w:p w14:paraId="741D6E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(7 257)</w:t>
            </w:r>
          </w:p>
        </w:tc>
        <w:tc>
          <w:tcPr>
            <w:tcW w:w="794" w:type="dxa"/>
          </w:tcPr>
          <w:p w14:paraId="281E4D8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(8 319)</w:t>
            </w:r>
          </w:p>
        </w:tc>
        <w:tc>
          <w:tcPr>
            <w:tcW w:w="794" w:type="dxa"/>
          </w:tcPr>
          <w:p w14:paraId="2D920D8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(9 272)</w:t>
            </w:r>
          </w:p>
        </w:tc>
      </w:tr>
      <w:tr w:rsidR="004135EE" w14:paraId="4FE79221"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C11A043" w14:textId="77777777" w:rsidR="004135EE" w:rsidRDefault="004135EE" w:rsidP="008670FF">
            <w:pPr>
              <w:spacing w:after="0"/>
            </w:pPr>
            <w:r>
              <w:t>Grants and subsidies</w:t>
            </w:r>
          </w:p>
        </w:tc>
        <w:tc>
          <w:tcPr>
            <w:tcW w:w="567" w:type="dxa"/>
          </w:tcPr>
          <w:p w14:paraId="0B3E04DB"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54D093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(17 485)</w:t>
            </w:r>
          </w:p>
        </w:tc>
        <w:tc>
          <w:tcPr>
            <w:tcW w:w="794" w:type="dxa"/>
          </w:tcPr>
          <w:p w14:paraId="5767840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(18 263)</w:t>
            </w:r>
          </w:p>
        </w:tc>
        <w:tc>
          <w:tcPr>
            <w:tcW w:w="794" w:type="dxa"/>
          </w:tcPr>
          <w:p w14:paraId="394012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(17 389)</w:t>
            </w:r>
          </w:p>
        </w:tc>
        <w:tc>
          <w:tcPr>
            <w:tcW w:w="794" w:type="dxa"/>
          </w:tcPr>
          <w:p w14:paraId="6A0BCC9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(17 338)</w:t>
            </w:r>
          </w:p>
        </w:tc>
        <w:tc>
          <w:tcPr>
            <w:tcW w:w="794" w:type="dxa"/>
          </w:tcPr>
          <w:p w14:paraId="61B3F5B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(17 487)</w:t>
            </w:r>
          </w:p>
        </w:tc>
      </w:tr>
      <w:tr w:rsidR="004135EE" w14:paraId="508E32B0"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1DDCB7E" w14:textId="77777777" w:rsidR="004135EE" w:rsidRDefault="004135EE" w:rsidP="008670FF">
            <w:pPr>
              <w:spacing w:after="0"/>
            </w:pPr>
            <w:r>
              <w:t>Goods and services</w:t>
            </w:r>
            <w:r>
              <w:rPr>
                <w:vertAlign w:val="superscript"/>
              </w:rPr>
              <w:t xml:space="preserve"> (a)</w:t>
            </w:r>
          </w:p>
        </w:tc>
        <w:tc>
          <w:tcPr>
            <w:tcW w:w="567" w:type="dxa"/>
          </w:tcPr>
          <w:p w14:paraId="34D4498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4F15DF6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(27 756)</w:t>
            </w:r>
          </w:p>
        </w:tc>
        <w:tc>
          <w:tcPr>
            <w:tcW w:w="794" w:type="dxa"/>
          </w:tcPr>
          <w:p w14:paraId="1528E3C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(28 943)</w:t>
            </w:r>
          </w:p>
        </w:tc>
        <w:tc>
          <w:tcPr>
            <w:tcW w:w="794" w:type="dxa"/>
          </w:tcPr>
          <w:p w14:paraId="5CB68C2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(27 280)</w:t>
            </w:r>
          </w:p>
        </w:tc>
        <w:tc>
          <w:tcPr>
            <w:tcW w:w="794" w:type="dxa"/>
          </w:tcPr>
          <w:p w14:paraId="622B859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(28 073)</w:t>
            </w:r>
          </w:p>
        </w:tc>
        <w:tc>
          <w:tcPr>
            <w:tcW w:w="794" w:type="dxa"/>
          </w:tcPr>
          <w:p w14:paraId="3AB1C2E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(28 496)</w:t>
            </w:r>
          </w:p>
        </w:tc>
      </w:tr>
      <w:tr w:rsidR="004135EE" w14:paraId="596BC1E0"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7A3B7AED" w14:textId="77777777" w:rsidR="004135EE" w:rsidRDefault="004135EE" w:rsidP="008670FF">
            <w:pPr>
              <w:spacing w:after="0"/>
            </w:pPr>
            <w:r>
              <w:t>Other payments</w:t>
            </w:r>
          </w:p>
        </w:tc>
        <w:tc>
          <w:tcPr>
            <w:tcW w:w="567" w:type="dxa"/>
            <w:tcBorders>
              <w:bottom w:val="single" w:sz="6" w:space="0" w:color="auto"/>
            </w:tcBorders>
          </w:tcPr>
          <w:p w14:paraId="56E7D301"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6969F6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(1 060)</w:t>
            </w:r>
          </w:p>
        </w:tc>
        <w:tc>
          <w:tcPr>
            <w:tcW w:w="794" w:type="dxa"/>
            <w:tcBorders>
              <w:bottom w:val="single" w:sz="6" w:space="0" w:color="auto"/>
            </w:tcBorders>
          </w:tcPr>
          <w:p w14:paraId="2B6E550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(1 727)</w:t>
            </w:r>
          </w:p>
        </w:tc>
        <w:tc>
          <w:tcPr>
            <w:tcW w:w="794" w:type="dxa"/>
            <w:tcBorders>
              <w:bottom w:val="single" w:sz="6" w:space="0" w:color="auto"/>
            </w:tcBorders>
          </w:tcPr>
          <w:p w14:paraId="42C0341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(1 230)</w:t>
            </w:r>
          </w:p>
        </w:tc>
        <w:tc>
          <w:tcPr>
            <w:tcW w:w="794" w:type="dxa"/>
            <w:tcBorders>
              <w:bottom w:val="single" w:sz="6" w:space="0" w:color="auto"/>
            </w:tcBorders>
          </w:tcPr>
          <w:p w14:paraId="629A8A8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(1 061)</w:t>
            </w:r>
          </w:p>
        </w:tc>
        <w:tc>
          <w:tcPr>
            <w:tcW w:w="794" w:type="dxa"/>
            <w:tcBorders>
              <w:bottom w:val="single" w:sz="6" w:space="0" w:color="auto"/>
            </w:tcBorders>
          </w:tcPr>
          <w:p w14:paraId="5DC13DC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(1 111)</w:t>
            </w:r>
          </w:p>
        </w:tc>
      </w:tr>
      <w:tr w:rsidR="004135EE" w14:paraId="683FCCC3"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15F98C43" w14:textId="77777777" w:rsidR="004135EE" w:rsidRDefault="004135EE" w:rsidP="008670FF">
            <w:pPr>
              <w:spacing w:after="0"/>
            </w:pPr>
            <w:r>
              <w:rPr>
                <w:b/>
              </w:rPr>
              <w:t>Total payments</w:t>
            </w:r>
          </w:p>
        </w:tc>
        <w:tc>
          <w:tcPr>
            <w:tcW w:w="567" w:type="dxa"/>
            <w:tcBorders>
              <w:top w:val="single" w:sz="6" w:space="0" w:color="auto"/>
              <w:bottom w:val="single" w:sz="6" w:space="0" w:color="auto"/>
            </w:tcBorders>
          </w:tcPr>
          <w:p w14:paraId="2186B0AC"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4734712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(93 152)</w:t>
            </w:r>
          </w:p>
        </w:tc>
        <w:tc>
          <w:tcPr>
            <w:tcW w:w="794" w:type="dxa"/>
            <w:tcBorders>
              <w:top w:val="single" w:sz="6" w:space="0" w:color="auto"/>
              <w:bottom w:val="single" w:sz="6" w:space="0" w:color="auto"/>
            </w:tcBorders>
          </w:tcPr>
          <w:p w14:paraId="41E5C7A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(96 728)</w:t>
            </w:r>
          </w:p>
        </w:tc>
        <w:tc>
          <w:tcPr>
            <w:tcW w:w="794" w:type="dxa"/>
            <w:tcBorders>
              <w:top w:val="single" w:sz="6" w:space="0" w:color="auto"/>
              <w:bottom w:val="single" w:sz="6" w:space="0" w:color="auto"/>
            </w:tcBorders>
          </w:tcPr>
          <w:p w14:paraId="2728128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(95 148)</w:t>
            </w:r>
          </w:p>
        </w:tc>
        <w:tc>
          <w:tcPr>
            <w:tcW w:w="794" w:type="dxa"/>
            <w:tcBorders>
              <w:top w:val="single" w:sz="6" w:space="0" w:color="auto"/>
              <w:bottom w:val="single" w:sz="6" w:space="0" w:color="auto"/>
            </w:tcBorders>
          </w:tcPr>
          <w:p w14:paraId="475B90D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(98 685)</w:t>
            </w:r>
          </w:p>
        </w:tc>
        <w:tc>
          <w:tcPr>
            <w:tcW w:w="794" w:type="dxa"/>
            <w:tcBorders>
              <w:top w:val="single" w:sz="6" w:space="0" w:color="auto"/>
              <w:bottom w:val="single" w:sz="6" w:space="0" w:color="auto"/>
            </w:tcBorders>
          </w:tcPr>
          <w:p w14:paraId="1ED18DF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(102 878)</w:t>
            </w:r>
          </w:p>
        </w:tc>
      </w:tr>
      <w:tr w:rsidR="004135EE" w14:paraId="5AB5F775"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729F5018" w14:textId="77777777" w:rsidR="004135EE" w:rsidRDefault="004135EE" w:rsidP="008670FF">
            <w:pPr>
              <w:spacing w:after="0"/>
            </w:pPr>
            <w:r>
              <w:rPr>
                <w:b/>
              </w:rPr>
              <w:t>Net cash flows from operating activities</w:t>
            </w:r>
          </w:p>
        </w:tc>
        <w:tc>
          <w:tcPr>
            <w:tcW w:w="567" w:type="dxa"/>
            <w:tcBorders>
              <w:top w:val="single" w:sz="6" w:space="0" w:color="auto"/>
            </w:tcBorders>
          </w:tcPr>
          <w:p w14:paraId="64D0A134"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2C524B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1 797</w:t>
            </w:r>
          </w:p>
        </w:tc>
        <w:tc>
          <w:tcPr>
            <w:tcW w:w="794" w:type="dxa"/>
            <w:tcBorders>
              <w:top w:val="single" w:sz="6" w:space="0" w:color="auto"/>
            </w:tcBorders>
          </w:tcPr>
          <w:p w14:paraId="501ECF6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407</w:t>
            </w:r>
          </w:p>
        </w:tc>
        <w:tc>
          <w:tcPr>
            <w:tcW w:w="794" w:type="dxa"/>
            <w:tcBorders>
              <w:top w:val="single" w:sz="6" w:space="0" w:color="auto"/>
            </w:tcBorders>
          </w:tcPr>
          <w:p w14:paraId="4908A3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7 244</w:t>
            </w:r>
          </w:p>
        </w:tc>
        <w:tc>
          <w:tcPr>
            <w:tcW w:w="794" w:type="dxa"/>
            <w:tcBorders>
              <w:top w:val="single" w:sz="6" w:space="0" w:color="auto"/>
            </w:tcBorders>
          </w:tcPr>
          <w:p w14:paraId="6B6E845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7 136</w:t>
            </w:r>
          </w:p>
        </w:tc>
        <w:tc>
          <w:tcPr>
            <w:tcW w:w="794" w:type="dxa"/>
            <w:tcBorders>
              <w:top w:val="single" w:sz="6" w:space="0" w:color="auto"/>
            </w:tcBorders>
          </w:tcPr>
          <w:p w14:paraId="09D8BC2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6 424</w:t>
            </w:r>
          </w:p>
        </w:tc>
      </w:tr>
      <w:tr w:rsidR="004135EE" w14:paraId="769DB7F5"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1E3298F" w14:textId="77777777" w:rsidR="004135EE" w:rsidRDefault="004135EE" w:rsidP="008670FF">
            <w:pPr>
              <w:spacing w:after="0"/>
            </w:pPr>
            <w:r>
              <w:rPr>
                <w:b/>
              </w:rPr>
              <w:t>Cash flows from investing activities</w:t>
            </w:r>
          </w:p>
        </w:tc>
        <w:tc>
          <w:tcPr>
            <w:tcW w:w="567" w:type="dxa"/>
          </w:tcPr>
          <w:p w14:paraId="52BE158F"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14DFB2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7A89F6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AF6CCB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1917593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FC6BF1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3435981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1BA733B5" w14:textId="77777777" w:rsidR="004135EE" w:rsidRDefault="004135EE" w:rsidP="008670FF">
            <w:pPr>
              <w:spacing w:after="0"/>
            </w:pPr>
            <w:r>
              <w:rPr>
                <w:b/>
              </w:rPr>
              <w:t>Cash flows from investments in non</w:t>
            </w:r>
            <w:r>
              <w:rPr>
                <w:b/>
              </w:rPr>
              <w:noBreakHyphen/>
              <w:t>financial assets</w:t>
            </w:r>
          </w:p>
        </w:tc>
        <w:tc>
          <w:tcPr>
            <w:tcW w:w="567" w:type="dxa"/>
          </w:tcPr>
          <w:p w14:paraId="78776A6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183A3F2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0D964CB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A0A824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035415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7618E5D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771AEFD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7193687" w14:textId="77777777" w:rsidR="004135EE" w:rsidRDefault="004135EE" w:rsidP="008670FF">
            <w:pPr>
              <w:spacing w:after="0"/>
            </w:pPr>
            <w:r>
              <w:t>Purchases of non</w:t>
            </w:r>
            <w:r>
              <w:noBreakHyphen/>
              <w:t>financial assets</w:t>
            </w:r>
          </w:p>
        </w:tc>
        <w:tc>
          <w:tcPr>
            <w:tcW w:w="567" w:type="dxa"/>
          </w:tcPr>
          <w:p w14:paraId="6D4D900A"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r>
              <w:t>4.3.8</w:t>
            </w:r>
          </w:p>
        </w:tc>
        <w:tc>
          <w:tcPr>
            <w:tcW w:w="794" w:type="dxa"/>
          </w:tcPr>
          <w:p w14:paraId="539BB5E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(17 669)</w:t>
            </w:r>
          </w:p>
        </w:tc>
        <w:tc>
          <w:tcPr>
            <w:tcW w:w="794" w:type="dxa"/>
          </w:tcPr>
          <w:p w14:paraId="179E833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(16 391)</w:t>
            </w:r>
          </w:p>
        </w:tc>
        <w:tc>
          <w:tcPr>
            <w:tcW w:w="794" w:type="dxa"/>
          </w:tcPr>
          <w:p w14:paraId="371D7B9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(17 661)</w:t>
            </w:r>
          </w:p>
        </w:tc>
        <w:tc>
          <w:tcPr>
            <w:tcW w:w="794" w:type="dxa"/>
          </w:tcPr>
          <w:p w14:paraId="011B7E8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(15 579)</w:t>
            </w:r>
          </w:p>
        </w:tc>
        <w:tc>
          <w:tcPr>
            <w:tcW w:w="794" w:type="dxa"/>
          </w:tcPr>
          <w:p w14:paraId="16D150F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(13 780)</w:t>
            </w:r>
          </w:p>
        </w:tc>
      </w:tr>
      <w:tr w:rsidR="004135EE" w14:paraId="6F897D91"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5F70CD1C" w14:textId="77777777" w:rsidR="004135EE" w:rsidRDefault="004135EE" w:rsidP="008670FF">
            <w:pPr>
              <w:spacing w:after="0"/>
            </w:pPr>
            <w:r>
              <w:t>Sales of non</w:t>
            </w:r>
            <w:r>
              <w:noBreakHyphen/>
              <w:t>financial assets</w:t>
            </w:r>
          </w:p>
        </w:tc>
        <w:tc>
          <w:tcPr>
            <w:tcW w:w="567" w:type="dxa"/>
            <w:tcBorders>
              <w:bottom w:val="single" w:sz="6" w:space="0" w:color="auto"/>
            </w:tcBorders>
          </w:tcPr>
          <w:p w14:paraId="057988E9"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22860F0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677</w:t>
            </w:r>
          </w:p>
        </w:tc>
        <w:tc>
          <w:tcPr>
            <w:tcW w:w="794" w:type="dxa"/>
            <w:tcBorders>
              <w:bottom w:val="single" w:sz="6" w:space="0" w:color="auto"/>
            </w:tcBorders>
          </w:tcPr>
          <w:p w14:paraId="0BFBB58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620</w:t>
            </w:r>
          </w:p>
        </w:tc>
        <w:tc>
          <w:tcPr>
            <w:tcW w:w="794" w:type="dxa"/>
            <w:tcBorders>
              <w:bottom w:val="single" w:sz="6" w:space="0" w:color="auto"/>
            </w:tcBorders>
          </w:tcPr>
          <w:p w14:paraId="5270773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1 055</w:t>
            </w:r>
          </w:p>
        </w:tc>
        <w:tc>
          <w:tcPr>
            <w:tcW w:w="794" w:type="dxa"/>
            <w:tcBorders>
              <w:bottom w:val="single" w:sz="6" w:space="0" w:color="auto"/>
            </w:tcBorders>
          </w:tcPr>
          <w:p w14:paraId="3F99DA5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704</w:t>
            </w:r>
          </w:p>
        </w:tc>
        <w:tc>
          <w:tcPr>
            <w:tcW w:w="794" w:type="dxa"/>
            <w:tcBorders>
              <w:bottom w:val="single" w:sz="6" w:space="0" w:color="auto"/>
            </w:tcBorders>
          </w:tcPr>
          <w:p w14:paraId="0C59E3E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536</w:t>
            </w:r>
          </w:p>
        </w:tc>
      </w:tr>
      <w:tr w:rsidR="004135EE" w14:paraId="1043860A"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08A323A8" w14:textId="77777777" w:rsidR="004135EE" w:rsidRDefault="004135EE" w:rsidP="008670FF">
            <w:pPr>
              <w:spacing w:after="0"/>
            </w:pPr>
            <w:r>
              <w:rPr>
                <w:b/>
              </w:rPr>
              <w:t>Net cash flows from investments in non</w:t>
            </w:r>
            <w:r>
              <w:rPr>
                <w:b/>
              </w:rPr>
              <w:noBreakHyphen/>
              <w:t>financial assets</w:t>
            </w:r>
          </w:p>
        </w:tc>
        <w:tc>
          <w:tcPr>
            <w:tcW w:w="567" w:type="dxa"/>
            <w:tcBorders>
              <w:top w:val="single" w:sz="6" w:space="0" w:color="auto"/>
            </w:tcBorders>
          </w:tcPr>
          <w:p w14:paraId="759BA0CC"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E7497D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(16 991)</w:t>
            </w:r>
          </w:p>
        </w:tc>
        <w:tc>
          <w:tcPr>
            <w:tcW w:w="794" w:type="dxa"/>
            <w:tcBorders>
              <w:top w:val="single" w:sz="6" w:space="0" w:color="auto"/>
            </w:tcBorders>
          </w:tcPr>
          <w:p w14:paraId="09F2C68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(15 772)</w:t>
            </w:r>
          </w:p>
        </w:tc>
        <w:tc>
          <w:tcPr>
            <w:tcW w:w="794" w:type="dxa"/>
            <w:tcBorders>
              <w:top w:val="single" w:sz="6" w:space="0" w:color="auto"/>
            </w:tcBorders>
          </w:tcPr>
          <w:p w14:paraId="41B75A1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(16 605)</w:t>
            </w:r>
          </w:p>
        </w:tc>
        <w:tc>
          <w:tcPr>
            <w:tcW w:w="794" w:type="dxa"/>
            <w:tcBorders>
              <w:top w:val="single" w:sz="6" w:space="0" w:color="auto"/>
            </w:tcBorders>
          </w:tcPr>
          <w:p w14:paraId="3208533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(14 874)</w:t>
            </w:r>
          </w:p>
        </w:tc>
        <w:tc>
          <w:tcPr>
            <w:tcW w:w="794" w:type="dxa"/>
            <w:tcBorders>
              <w:top w:val="single" w:sz="6" w:space="0" w:color="auto"/>
            </w:tcBorders>
          </w:tcPr>
          <w:p w14:paraId="046E230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(13 244)</w:t>
            </w:r>
          </w:p>
        </w:tc>
      </w:tr>
      <w:tr w:rsidR="004135EE" w14:paraId="2EFC9DC0"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979D8B8" w14:textId="77777777" w:rsidR="004135EE" w:rsidRDefault="004135EE" w:rsidP="008670FF">
            <w:pPr>
              <w:spacing w:after="0"/>
            </w:pPr>
            <w:r>
              <w:t>Net cash flows from investments in financial assets for policy purposes</w:t>
            </w:r>
          </w:p>
        </w:tc>
        <w:tc>
          <w:tcPr>
            <w:tcW w:w="567" w:type="dxa"/>
            <w:tcBorders>
              <w:bottom w:val="single" w:sz="6" w:space="0" w:color="auto"/>
            </w:tcBorders>
          </w:tcPr>
          <w:p w14:paraId="227BCF55"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02CDA41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(3 552)</w:t>
            </w:r>
          </w:p>
        </w:tc>
        <w:tc>
          <w:tcPr>
            <w:tcW w:w="794" w:type="dxa"/>
            <w:tcBorders>
              <w:bottom w:val="single" w:sz="6" w:space="0" w:color="auto"/>
            </w:tcBorders>
          </w:tcPr>
          <w:p w14:paraId="261D6A7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(4 029)</w:t>
            </w:r>
          </w:p>
        </w:tc>
        <w:tc>
          <w:tcPr>
            <w:tcW w:w="794" w:type="dxa"/>
            <w:tcBorders>
              <w:bottom w:val="single" w:sz="6" w:space="0" w:color="auto"/>
            </w:tcBorders>
          </w:tcPr>
          <w:p w14:paraId="5189213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(3 136)</w:t>
            </w:r>
          </w:p>
        </w:tc>
        <w:tc>
          <w:tcPr>
            <w:tcW w:w="794" w:type="dxa"/>
            <w:tcBorders>
              <w:bottom w:val="single" w:sz="6" w:space="0" w:color="auto"/>
            </w:tcBorders>
          </w:tcPr>
          <w:p w14:paraId="14CCBD6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(2 588)</w:t>
            </w:r>
          </w:p>
        </w:tc>
        <w:tc>
          <w:tcPr>
            <w:tcW w:w="794" w:type="dxa"/>
            <w:tcBorders>
              <w:bottom w:val="single" w:sz="6" w:space="0" w:color="auto"/>
            </w:tcBorders>
          </w:tcPr>
          <w:p w14:paraId="0D8B2AF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(1 168)</w:t>
            </w:r>
          </w:p>
        </w:tc>
      </w:tr>
      <w:tr w:rsidR="004135EE" w14:paraId="7CA446B7"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2C3C9BED" w14:textId="77777777" w:rsidR="004135EE" w:rsidRDefault="004135EE" w:rsidP="008670FF">
            <w:pPr>
              <w:spacing w:after="0"/>
            </w:pPr>
            <w:r>
              <w:rPr>
                <w:b/>
              </w:rPr>
              <w:t>Subtotal</w:t>
            </w:r>
          </w:p>
        </w:tc>
        <w:tc>
          <w:tcPr>
            <w:tcW w:w="567" w:type="dxa"/>
            <w:tcBorders>
              <w:top w:val="single" w:sz="6" w:space="0" w:color="auto"/>
            </w:tcBorders>
          </w:tcPr>
          <w:p w14:paraId="2C36B063"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9197EE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(20 544)</w:t>
            </w:r>
          </w:p>
        </w:tc>
        <w:tc>
          <w:tcPr>
            <w:tcW w:w="794" w:type="dxa"/>
            <w:tcBorders>
              <w:top w:val="single" w:sz="6" w:space="0" w:color="auto"/>
            </w:tcBorders>
          </w:tcPr>
          <w:p w14:paraId="72268C4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(19 801)</w:t>
            </w:r>
          </w:p>
        </w:tc>
        <w:tc>
          <w:tcPr>
            <w:tcW w:w="794" w:type="dxa"/>
            <w:tcBorders>
              <w:top w:val="single" w:sz="6" w:space="0" w:color="auto"/>
            </w:tcBorders>
          </w:tcPr>
          <w:p w14:paraId="4BE0859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(19 742)</w:t>
            </w:r>
          </w:p>
        </w:tc>
        <w:tc>
          <w:tcPr>
            <w:tcW w:w="794" w:type="dxa"/>
            <w:tcBorders>
              <w:top w:val="single" w:sz="6" w:space="0" w:color="auto"/>
            </w:tcBorders>
          </w:tcPr>
          <w:p w14:paraId="7F72C1C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(17 462)</w:t>
            </w:r>
          </w:p>
        </w:tc>
        <w:tc>
          <w:tcPr>
            <w:tcW w:w="794" w:type="dxa"/>
            <w:tcBorders>
              <w:top w:val="single" w:sz="6" w:space="0" w:color="auto"/>
            </w:tcBorders>
          </w:tcPr>
          <w:p w14:paraId="708014A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(14 412)</w:t>
            </w:r>
          </w:p>
        </w:tc>
      </w:tr>
      <w:tr w:rsidR="004135EE" w14:paraId="2BE9CDB0"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4539DFC7" w14:textId="77777777" w:rsidR="004135EE" w:rsidRDefault="004135EE" w:rsidP="008670FF">
            <w:pPr>
              <w:spacing w:after="0"/>
            </w:pPr>
            <w:r>
              <w:t>Net cash flows from investment in financial assets for liquidity management purposes</w:t>
            </w:r>
          </w:p>
        </w:tc>
        <w:tc>
          <w:tcPr>
            <w:tcW w:w="567" w:type="dxa"/>
            <w:tcBorders>
              <w:bottom w:val="single" w:sz="6" w:space="0" w:color="auto"/>
            </w:tcBorders>
          </w:tcPr>
          <w:p w14:paraId="584AB487"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44FC73B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(1 487)</w:t>
            </w:r>
          </w:p>
        </w:tc>
        <w:tc>
          <w:tcPr>
            <w:tcW w:w="794" w:type="dxa"/>
            <w:tcBorders>
              <w:bottom w:val="single" w:sz="6" w:space="0" w:color="auto"/>
            </w:tcBorders>
          </w:tcPr>
          <w:p w14:paraId="23EFF0B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(1 843)</w:t>
            </w:r>
          </w:p>
        </w:tc>
        <w:tc>
          <w:tcPr>
            <w:tcW w:w="794" w:type="dxa"/>
            <w:tcBorders>
              <w:bottom w:val="single" w:sz="6" w:space="0" w:color="auto"/>
            </w:tcBorders>
          </w:tcPr>
          <w:p w14:paraId="46F1C5D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(951)</w:t>
            </w:r>
          </w:p>
        </w:tc>
        <w:tc>
          <w:tcPr>
            <w:tcW w:w="794" w:type="dxa"/>
            <w:tcBorders>
              <w:bottom w:val="single" w:sz="6" w:space="0" w:color="auto"/>
            </w:tcBorders>
          </w:tcPr>
          <w:p w14:paraId="44408A0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(1 241)</w:t>
            </w:r>
          </w:p>
        </w:tc>
        <w:tc>
          <w:tcPr>
            <w:tcW w:w="794" w:type="dxa"/>
            <w:tcBorders>
              <w:bottom w:val="single" w:sz="6" w:space="0" w:color="auto"/>
            </w:tcBorders>
          </w:tcPr>
          <w:p w14:paraId="7AFBE0B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(1 223)</w:t>
            </w:r>
          </w:p>
        </w:tc>
      </w:tr>
      <w:tr w:rsidR="004135EE" w14:paraId="09BCC1F6"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4384ABBC" w14:textId="77777777" w:rsidR="004135EE" w:rsidRDefault="004135EE" w:rsidP="008670FF">
            <w:pPr>
              <w:spacing w:after="0"/>
            </w:pPr>
            <w:r>
              <w:rPr>
                <w:b/>
              </w:rPr>
              <w:t>Net cash flows from investing activities</w:t>
            </w:r>
          </w:p>
        </w:tc>
        <w:tc>
          <w:tcPr>
            <w:tcW w:w="567" w:type="dxa"/>
            <w:tcBorders>
              <w:top w:val="single" w:sz="6" w:space="0" w:color="auto"/>
            </w:tcBorders>
          </w:tcPr>
          <w:p w14:paraId="53BD1A1F"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89FF46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(22 031)</w:t>
            </w:r>
          </w:p>
        </w:tc>
        <w:tc>
          <w:tcPr>
            <w:tcW w:w="794" w:type="dxa"/>
            <w:tcBorders>
              <w:top w:val="single" w:sz="6" w:space="0" w:color="auto"/>
            </w:tcBorders>
          </w:tcPr>
          <w:p w14:paraId="4B6FBE6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(21 644)</w:t>
            </w:r>
          </w:p>
        </w:tc>
        <w:tc>
          <w:tcPr>
            <w:tcW w:w="794" w:type="dxa"/>
            <w:tcBorders>
              <w:top w:val="single" w:sz="6" w:space="0" w:color="auto"/>
            </w:tcBorders>
          </w:tcPr>
          <w:p w14:paraId="18E93F7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(20 693)</w:t>
            </w:r>
          </w:p>
        </w:tc>
        <w:tc>
          <w:tcPr>
            <w:tcW w:w="794" w:type="dxa"/>
            <w:tcBorders>
              <w:top w:val="single" w:sz="6" w:space="0" w:color="auto"/>
            </w:tcBorders>
          </w:tcPr>
          <w:p w14:paraId="47350A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(18 704)</w:t>
            </w:r>
          </w:p>
        </w:tc>
        <w:tc>
          <w:tcPr>
            <w:tcW w:w="794" w:type="dxa"/>
            <w:tcBorders>
              <w:top w:val="single" w:sz="6" w:space="0" w:color="auto"/>
            </w:tcBorders>
          </w:tcPr>
          <w:p w14:paraId="58CE9F2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(15 635)</w:t>
            </w:r>
          </w:p>
        </w:tc>
      </w:tr>
      <w:tr w:rsidR="004135EE" w14:paraId="38A9ED0E"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2969BA95" w14:textId="77777777" w:rsidR="004135EE" w:rsidRDefault="004135EE" w:rsidP="008670FF">
            <w:pPr>
              <w:spacing w:after="0"/>
            </w:pPr>
            <w:r>
              <w:rPr>
                <w:b/>
              </w:rPr>
              <w:t>Cash flows from financing activities</w:t>
            </w:r>
          </w:p>
        </w:tc>
        <w:tc>
          <w:tcPr>
            <w:tcW w:w="567" w:type="dxa"/>
          </w:tcPr>
          <w:p w14:paraId="5827B327"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0610D4E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EC3A34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25C28C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6494F41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41641C9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1403AE9C"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9F7F2E6" w14:textId="77777777" w:rsidR="004135EE" w:rsidRDefault="004135EE" w:rsidP="008670FF">
            <w:pPr>
              <w:spacing w:after="0"/>
            </w:pPr>
            <w:r>
              <w:t>Advances received (net)</w:t>
            </w:r>
          </w:p>
        </w:tc>
        <w:tc>
          <w:tcPr>
            <w:tcW w:w="567" w:type="dxa"/>
          </w:tcPr>
          <w:p w14:paraId="682E3FF6"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5158BB7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w:t>
            </w:r>
          </w:p>
        </w:tc>
        <w:tc>
          <w:tcPr>
            <w:tcW w:w="794" w:type="dxa"/>
          </w:tcPr>
          <w:p w14:paraId="541CFB8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(5)</w:t>
            </w:r>
          </w:p>
        </w:tc>
        <w:tc>
          <w:tcPr>
            <w:tcW w:w="794" w:type="dxa"/>
          </w:tcPr>
          <w:p w14:paraId="76E968F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(60)</w:t>
            </w:r>
          </w:p>
        </w:tc>
        <w:tc>
          <w:tcPr>
            <w:tcW w:w="794" w:type="dxa"/>
          </w:tcPr>
          <w:p w14:paraId="736BC0A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w:t>
            </w:r>
          </w:p>
        </w:tc>
        <w:tc>
          <w:tcPr>
            <w:tcW w:w="794" w:type="dxa"/>
          </w:tcPr>
          <w:p w14:paraId="07CB0EC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(10)</w:t>
            </w:r>
          </w:p>
        </w:tc>
      </w:tr>
      <w:tr w:rsidR="004135EE" w14:paraId="15128868"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6C4E4BDE" w14:textId="77777777" w:rsidR="004135EE" w:rsidRDefault="004135EE" w:rsidP="008670FF">
            <w:pPr>
              <w:spacing w:after="0"/>
            </w:pPr>
            <w:r>
              <w:t>Net borrowings</w:t>
            </w:r>
          </w:p>
        </w:tc>
        <w:tc>
          <w:tcPr>
            <w:tcW w:w="567" w:type="dxa"/>
          </w:tcPr>
          <w:p w14:paraId="12C18281"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24B8564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20 713</w:t>
            </w:r>
          </w:p>
        </w:tc>
        <w:tc>
          <w:tcPr>
            <w:tcW w:w="794" w:type="dxa"/>
          </w:tcPr>
          <w:p w14:paraId="4ED272E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18 204</w:t>
            </w:r>
          </w:p>
        </w:tc>
        <w:tc>
          <w:tcPr>
            <w:tcW w:w="794" w:type="dxa"/>
          </w:tcPr>
          <w:p w14:paraId="7A8DE51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13 989</w:t>
            </w:r>
          </w:p>
        </w:tc>
        <w:tc>
          <w:tcPr>
            <w:tcW w:w="794" w:type="dxa"/>
          </w:tcPr>
          <w:p w14:paraId="309AD53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12 129</w:t>
            </w:r>
          </w:p>
        </w:tc>
        <w:tc>
          <w:tcPr>
            <w:tcW w:w="794" w:type="dxa"/>
          </w:tcPr>
          <w:p w14:paraId="3EF3410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9 846</w:t>
            </w:r>
          </w:p>
        </w:tc>
      </w:tr>
      <w:tr w:rsidR="004135EE" w14:paraId="2F1ACFFF"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0307AF9D" w14:textId="77777777" w:rsidR="004135EE" w:rsidRDefault="004135EE" w:rsidP="008670FF">
            <w:pPr>
              <w:spacing w:after="0"/>
            </w:pPr>
            <w:r>
              <w:t>Deposits received (net)</w:t>
            </w:r>
          </w:p>
        </w:tc>
        <w:tc>
          <w:tcPr>
            <w:tcW w:w="567" w:type="dxa"/>
          </w:tcPr>
          <w:p w14:paraId="58E8C57E"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74ED5A1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w:t>
            </w:r>
          </w:p>
        </w:tc>
        <w:tc>
          <w:tcPr>
            <w:tcW w:w="794" w:type="dxa"/>
          </w:tcPr>
          <w:p w14:paraId="50A6746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(48)</w:t>
            </w:r>
          </w:p>
        </w:tc>
        <w:tc>
          <w:tcPr>
            <w:tcW w:w="794" w:type="dxa"/>
          </w:tcPr>
          <w:p w14:paraId="1CCD89D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w:t>
            </w:r>
          </w:p>
        </w:tc>
        <w:tc>
          <w:tcPr>
            <w:tcW w:w="794" w:type="dxa"/>
          </w:tcPr>
          <w:p w14:paraId="142DA37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w:t>
            </w:r>
          </w:p>
        </w:tc>
        <w:tc>
          <w:tcPr>
            <w:tcW w:w="794" w:type="dxa"/>
          </w:tcPr>
          <w:p w14:paraId="35E50C6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w:t>
            </w:r>
          </w:p>
        </w:tc>
      </w:tr>
      <w:tr w:rsidR="004135EE" w14:paraId="17FAAF19"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32AA4307" w14:textId="77777777" w:rsidR="004135EE" w:rsidRDefault="004135EE" w:rsidP="008670FF">
            <w:pPr>
              <w:spacing w:after="0"/>
            </w:pPr>
            <w:r>
              <w:rPr>
                <w:b/>
              </w:rPr>
              <w:t>Net cash flows from financing activities</w:t>
            </w:r>
          </w:p>
        </w:tc>
        <w:tc>
          <w:tcPr>
            <w:tcW w:w="567" w:type="dxa"/>
            <w:tcBorders>
              <w:top w:val="single" w:sz="6" w:space="0" w:color="auto"/>
              <w:bottom w:val="single" w:sz="6" w:space="0" w:color="auto"/>
            </w:tcBorders>
          </w:tcPr>
          <w:p w14:paraId="48DA31C5"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75B41E5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20 707</w:t>
            </w:r>
          </w:p>
        </w:tc>
        <w:tc>
          <w:tcPr>
            <w:tcW w:w="794" w:type="dxa"/>
            <w:tcBorders>
              <w:top w:val="single" w:sz="6" w:space="0" w:color="auto"/>
              <w:bottom w:val="single" w:sz="6" w:space="0" w:color="auto"/>
            </w:tcBorders>
          </w:tcPr>
          <w:p w14:paraId="19FBFBC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18 151</w:t>
            </w:r>
          </w:p>
        </w:tc>
        <w:tc>
          <w:tcPr>
            <w:tcW w:w="794" w:type="dxa"/>
            <w:tcBorders>
              <w:top w:val="single" w:sz="6" w:space="0" w:color="auto"/>
              <w:bottom w:val="single" w:sz="6" w:space="0" w:color="auto"/>
            </w:tcBorders>
          </w:tcPr>
          <w:p w14:paraId="72F66F3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13 940</w:t>
            </w:r>
          </w:p>
        </w:tc>
        <w:tc>
          <w:tcPr>
            <w:tcW w:w="794" w:type="dxa"/>
            <w:tcBorders>
              <w:top w:val="single" w:sz="6" w:space="0" w:color="auto"/>
              <w:bottom w:val="single" w:sz="6" w:space="0" w:color="auto"/>
            </w:tcBorders>
          </w:tcPr>
          <w:p w14:paraId="7316334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12 130</w:t>
            </w:r>
          </w:p>
        </w:tc>
        <w:tc>
          <w:tcPr>
            <w:tcW w:w="794" w:type="dxa"/>
            <w:tcBorders>
              <w:top w:val="single" w:sz="6" w:space="0" w:color="auto"/>
              <w:bottom w:val="single" w:sz="6" w:space="0" w:color="auto"/>
            </w:tcBorders>
          </w:tcPr>
          <w:p w14:paraId="35B9122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9 847</w:t>
            </w:r>
          </w:p>
        </w:tc>
      </w:tr>
      <w:tr w:rsidR="004135EE" w14:paraId="6D20FB25"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tcBorders>
          </w:tcPr>
          <w:p w14:paraId="071C23C2" w14:textId="419FEB6B" w:rsidR="004135EE" w:rsidRDefault="004135EE" w:rsidP="008670FF">
            <w:pPr>
              <w:spacing w:after="0"/>
            </w:pPr>
            <w:r>
              <w:rPr>
                <w:b/>
              </w:rPr>
              <w:t xml:space="preserve">Net increase/(decrease) in cash and </w:t>
            </w:r>
            <w:r w:rsidR="00816D77">
              <w:rPr>
                <w:b/>
              </w:rPr>
              <w:br/>
            </w:r>
            <w:r>
              <w:rPr>
                <w:b/>
              </w:rPr>
              <w:t>cash equivalents</w:t>
            </w:r>
          </w:p>
        </w:tc>
        <w:tc>
          <w:tcPr>
            <w:tcW w:w="567" w:type="dxa"/>
            <w:tcBorders>
              <w:top w:val="single" w:sz="6" w:space="0" w:color="auto"/>
            </w:tcBorders>
          </w:tcPr>
          <w:p w14:paraId="5D947C80"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4792F1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474</w:t>
            </w:r>
          </w:p>
        </w:tc>
        <w:tc>
          <w:tcPr>
            <w:tcW w:w="794" w:type="dxa"/>
            <w:tcBorders>
              <w:top w:val="single" w:sz="6" w:space="0" w:color="auto"/>
            </w:tcBorders>
          </w:tcPr>
          <w:p w14:paraId="5810511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(3 086)</w:t>
            </w:r>
          </w:p>
        </w:tc>
        <w:tc>
          <w:tcPr>
            <w:tcW w:w="794" w:type="dxa"/>
            <w:tcBorders>
              <w:top w:val="single" w:sz="6" w:space="0" w:color="auto"/>
            </w:tcBorders>
          </w:tcPr>
          <w:p w14:paraId="05046B2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492</w:t>
            </w:r>
          </w:p>
        </w:tc>
        <w:tc>
          <w:tcPr>
            <w:tcW w:w="794" w:type="dxa"/>
            <w:tcBorders>
              <w:top w:val="single" w:sz="6" w:space="0" w:color="auto"/>
            </w:tcBorders>
          </w:tcPr>
          <w:p w14:paraId="158F71B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562</w:t>
            </w:r>
          </w:p>
        </w:tc>
        <w:tc>
          <w:tcPr>
            <w:tcW w:w="794" w:type="dxa"/>
            <w:tcBorders>
              <w:top w:val="single" w:sz="6" w:space="0" w:color="auto"/>
            </w:tcBorders>
          </w:tcPr>
          <w:p w14:paraId="3B09417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635</w:t>
            </w:r>
          </w:p>
        </w:tc>
      </w:tr>
      <w:tr w:rsidR="004135EE" w14:paraId="03EE8524"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254FABE3" w14:textId="77777777" w:rsidR="004135EE" w:rsidRDefault="004135EE" w:rsidP="008670FF">
            <w:pPr>
              <w:spacing w:after="0"/>
            </w:pPr>
            <w:r>
              <w:t>Cash and cash equivalents at beginning of reporting period</w:t>
            </w:r>
            <w:r>
              <w:rPr>
                <w:vertAlign w:val="superscript"/>
              </w:rPr>
              <w:t xml:space="preserve"> (b)</w:t>
            </w:r>
          </w:p>
        </w:tc>
        <w:tc>
          <w:tcPr>
            <w:tcW w:w="567" w:type="dxa"/>
            <w:tcBorders>
              <w:bottom w:val="single" w:sz="6" w:space="0" w:color="auto"/>
            </w:tcBorders>
          </w:tcPr>
          <w:p w14:paraId="7C81D73D"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1C2B2CB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14 310</w:t>
            </w:r>
          </w:p>
        </w:tc>
        <w:tc>
          <w:tcPr>
            <w:tcW w:w="794" w:type="dxa"/>
            <w:tcBorders>
              <w:bottom w:val="single" w:sz="6" w:space="0" w:color="auto"/>
            </w:tcBorders>
          </w:tcPr>
          <w:p w14:paraId="3F5EE4C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14 310</w:t>
            </w:r>
          </w:p>
        </w:tc>
        <w:tc>
          <w:tcPr>
            <w:tcW w:w="794" w:type="dxa"/>
            <w:tcBorders>
              <w:bottom w:val="single" w:sz="6" w:space="0" w:color="auto"/>
            </w:tcBorders>
          </w:tcPr>
          <w:p w14:paraId="367CB6D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11 224</w:t>
            </w:r>
          </w:p>
        </w:tc>
        <w:tc>
          <w:tcPr>
            <w:tcW w:w="794" w:type="dxa"/>
            <w:tcBorders>
              <w:bottom w:val="single" w:sz="6" w:space="0" w:color="auto"/>
            </w:tcBorders>
          </w:tcPr>
          <w:p w14:paraId="697FF1B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11 716</w:t>
            </w:r>
          </w:p>
        </w:tc>
        <w:tc>
          <w:tcPr>
            <w:tcW w:w="794" w:type="dxa"/>
            <w:tcBorders>
              <w:bottom w:val="single" w:sz="6" w:space="0" w:color="auto"/>
            </w:tcBorders>
          </w:tcPr>
          <w:p w14:paraId="6C689A2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12 278</w:t>
            </w:r>
          </w:p>
        </w:tc>
      </w:tr>
      <w:tr w:rsidR="004135EE" w14:paraId="2A8DF7CA"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6" w:space="0" w:color="auto"/>
            </w:tcBorders>
          </w:tcPr>
          <w:p w14:paraId="707667C1" w14:textId="77777777" w:rsidR="004135EE" w:rsidRDefault="004135EE" w:rsidP="008670FF">
            <w:pPr>
              <w:spacing w:after="0"/>
            </w:pPr>
            <w:r>
              <w:rPr>
                <w:b/>
              </w:rPr>
              <w:t>Cash and cash equivalents at end of reporting period</w:t>
            </w:r>
            <w:r>
              <w:rPr>
                <w:b/>
                <w:vertAlign w:val="superscript"/>
              </w:rPr>
              <w:t xml:space="preserve"> (b)(c)</w:t>
            </w:r>
          </w:p>
        </w:tc>
        <w:tc>
          <w:tcPr>
            <w:tcW w:w="567" w:type="dxa"/>
            <w:tcBorders>
              <w:top w:val="single" w:sz="6" w:space="0" w:color="auto"/>
              <w:bottom w:val="single" w:sz="6" w:space="0" w:color="auto"/>
            </w:tcBorders>
          </w:tcPr>
          <w:p w14:paraId="0977415E"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6" w:space="0" w:color="auto"/>
            </w:tcBorders>
          </w:tcPr>
          <w:p w14:paraId="3F13562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14 784</w:t>
            </w:r>
          </w:p>
        </w:tc>
        <w:tc>
          <w:tcPr>
            <w:tcW w:w="794" w:type="dxa"/>
            <w:tcBorders>
              <w:top w:val="single" w:sz="6" w:space="0" w:color="auto"/>
              <w:bottom w:val="single" w:sz="6" w:space="0" w:color="auto"/>
            </w:tcBorders>
          </w:tcPr>
          <w:p w14:paraId="63DC763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11 224</w:t>
            </w:r>
          </w:p>
        </w:tc>
        <w:tc>
          <w:tcPr>
            <w:tcW w:w="794" w:type="dxa"/>
            <w:tcBorders>
              <w:top w:val="single" w:sz="6" w:space="0" w:color="auto"/>
              <w:bottom w:val="single" w:sz="6" w:space="0" w:color="auto"/>
            </w:tcBorders>
          </w:tcPr>
          <w:p w14:paraId="1BB1408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11 716</w:t>
            </w:r>
          </w:p>
        </w:tc>
        <w:tc>
          <w:tcPr>
            <w:tcW w:w="794" w:type="dxa"/>
            <w:tcBorders>
              <w:top w:val="single" w:sz="6" w:space="0" w:color="auto"/>
              <w:bottom w:val="single" w:sz="6" w:space="0" w:color="auto"/>
            </w:tcBorders>
          </w:tcPr>
          <w:p w14:paraId="7A06501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12 278</w:t>
            </w:r>
          </w:p>
        </w:tc>
        <w:tc>
          <w:tcPr>
            <w:tcW w:w="794" w:type="dxa"/>
            <w:tcBorders>
              <w:top w:val="single" w:sz="6" w:space="0" w:color="auto"/>
              <w:bottom w:val="single" w:sz="6" w:space="0" w:color="auto"/>
            </w:tcBorders>
          </w:tcPr>
          <w:p w14:paraId="5F3C622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12 913</w:t>
            </w:r>
          </w:p>
        </w:tc>
      </w:tr>
    </w:tbl>
    <w:p w14:paraId="2367CBC3" w14:textId="24282073" w:rsidR="004135EE" w:rsidRPr="00442808" w:rsidRDefault="00DE43C4" w:rsidP="004135EE">
      <w:pPr>
        <w:rPr>
          <w:rFonts w:asciiTheme="majorHAnsi" w:hAnsiTheme="majorHAnsi" w:cstheme="majorHAnsi"/>
          <w:b/>
          <w:bCs/>
          <w:sz w:val="27"/>
          <w:szCs w:val="27"/>
        </w:rPr>
      </w:pPr>
      <w:bookmarkStart w:id="61" w:name="_Toc152933036"/>
      <w:r w:rsidRPr="00442808">
        <w:rPr>
          <w:rFonts w:asciiTheme="majorHAnsi" w:hAnsiTheme="majorHAnsi" w:cstheme="majorHAnsi"/>
          <w:b/>
          <w:bCs/>
          <w:sz w:val="27"/>
          <w:szCs w:val="27"/>
        </w:rPr>
        <w:t>ESTIMATED CONSOLIDATED GENERAL GOVERNMENT SECTOR</w:t>
      </w:r>
      <w:r w:rsidRPr="00442808">
        <w:rPr>
          <w:rFonts w:asciiTheme="majorHAnsi" w:hAnsiTheme="majorHAnsi" w:cstheme="majorHAnsi"/>
          <w:b/>
          <w:bCs/>
          <w:sz w:val="27"/>
          <w:szCs w:val="27"/>
        </w:rPr>
        <w:br/>
        <w:t xml:space="preserve">CASH FLOW STATEMENT </w:t>
      </w:r>
      <w:r w:rsidRPr="00442808">
        <w:rPr>
          <w:rFonts w:asciiTheme="majorHAnsi" w:hAnsiTheme="majorHAnsi" w:cstheme="majorHAnsi"/>
          <w:b/>
          <w:bCs/>
          <w:i/>
          <w:iCs/>
        </w:rPr>
        <w:t>(CONTINUED)</w:t>
      </w:r>
      <w:bookmarkEnd w:id="61"/>
    </w:p>
    <w:p w14:paraId="6000C756" w14:textId="77777777" w:rsidR="004135EE" w:rsidRDefault="004135EE" w:rsidP="004135EE">
      <w:pPr>
        <w:pStyle w:val="TableHeading"/>
      </w:pPr>
      <w:r>
        <w:t>For the financial year ended 30 June</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CF_SOCIE.xlsx|Table:Cash_Flow_Statement|FirstRow:46|MergedHeadingRow:1"/>
      </w:tblPr>
      <w:tblGrid>
        <w:gridCol w:w="3173"/>
        <w:gridCol w:w="567"/>
        <w:gridCol w:w="794"/>
        <w:gridCol w:w="794"/>
        <w:gridCol w:w="794"/>
        <w:gridCol w:w="794"/>
        <w:gridCol w:w="794"/>
      </w:tblGrid>
      <w:tr w:rsidR="004135EE" w14:paraId="54E3A9D5"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3" w:type="dxa"/>
          </w:tcPr>
          <w:p w14:paraId="18EC23BC" w14:textId="77777777" w:rsidR="004135EE" w:rsidRDefault="004135EE" w:rsidP="008670FF">
            <w:pPr>
              <w:keepNext/>
              <w:spacing w:after="0"/>
            </w:pPr>
          </w:p>
        </w:tc>
        <w:tc>
          <w:tcPr>
            <w:tcW w:w="567" w:type="dxa"/>
          </w:tcPr>
          <w:p w14:paraId="36238F95" w14:textId="77777777" w:rsidR="004135EE" w:rsidRDefault="004135EE" w:rsidP="008670FF">
            <w:pPr>
              <w:keepNext/>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794" w:type="dxa"/>
          </w:tcPr>
          <w:p w14:paraId="0D480805" w14:textId="76D1220F"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1F6866D5"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033DCA01"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47B4CEB"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942DB4B"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1C6558E4"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3CF72533" w14:textId="77777777" w:rsidR="004135EE" w:rsidRDefault="004135EE" w:rsidP="008670FF">
            <w:pPr>
              <w:spacing w:after="0"/>
            </w:pPr>
            <w:r>
              <w:rPr>
                <w:b/>
              </w:rPr>
              <w:t>FISCAL AGGREGATES</w:t>
            </w:r>
            <w:r>
              <w:rPr>
                <w:b/>
                <w:vertAlign w:val="superscript"/>
              </w:rPr>
              <w:t xml:space="preserve"> (d)</w:t>
            </w:r>
          </w:p>
        </w:tc>
        <w:tc>
          <w:tcPr>
            <w:tcW w:w="567" w:type="dxa"/>
          </w:tcPr>
          <w:p w14:paraId="705AE0AE"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96A542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F2BD14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3F07B07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25087BE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94" w:type="dxa"/>
          </w:tcPr>
          <w:p w14:paraId="5185FDC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3B38CC43" w14:textId="77777777" w:rsidTr="008670FF">
        <w:tc>
          <w:tcPr>
            <w:cnfStyle w:val="001000000000" w:firstRow="0" w:lastRow="0" w:firstColumn="1" w:lastColumn="0" w:oddVBand="0" w:evenVBand="0" w:oddHBand="0" w:evenHBand="0" w:firstRowFirstColumn="0" w:firstRowLastColumn="0" w:lastRowFirstColumn="0" w:lastRowLastColumn="0"/>
            <w:tcW w:w="3173" w:type="dxa"/>
          </w:tcPr>
          <w:p w14:paraId="770FF300" w14:textId="77777777" w:rsidR="004135EE" w:rsidRDefault="004135EE" w:rsidP="008670FF">
            <w:pPr>
              <w:spacing w:after="0"/>
            </w:pPr>
            <w:r>
              <w:t>Net cash flows from operating activities</w:t>
            </w:r>
          </w:p>
        </w:tc>
        <w:tc>
          <w:tcPr>
            <w:tcW w:w="567" w:type="dxa"/>
          </w:tcPr>
          <w:p w14:paraId="39EA2E7A"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Pr>
          <w:p w14:paraId="6805D25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1 797</w:t>
            </w:r>
          </w:p>
        </w:tc>
        <w:tc>
          <w:tcPr>
            <w:tcW w:w="794" w:type="dxa"/>
          </w:tcPr>
          <w:p w14:paraId="426238A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407</w:t>
            </w:r>
          </w:p>
        </w:tc>
        <w:tc>
          <w:tcPr>
            <w:tcW w:w="794" w:type="dxa"/>
          </w:tcPr>
          <w:p w14:paraId="4D24469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7 244</w:t>
            </w:r>
          </w:p>
        </w:tc>
        <w:tc>
          <w:tcPr>
            <w:tcW w:w="794" w:type="dxa"/>
          </w:tcPr>
          <w:p w14:paraId="03B50C9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7 136</w:t>
            </w:r>
          </w:p>
        </w:tc>
        <w:tc>
          <w:tcPr>
            <w:tcW w:w="794" w:type="dxa"/>
          </w:tcPr>
          <w:p w14:paraId="53B0A86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6 424</w:t>
            </w:r>
          </w:p>
        </w:tc>
      </w:tr>
      <w:tr w:rsidR="004135EE" w14:paraId="6568635B"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bottom w:val="single" w:sz="6" w:space="0" w:color="auto"/>
            </w:tcBorders>
          </w:tcPr>
          <w:p w14:paraId="0D00E835" w14:textId="77777777" w:rsidR="004135EE" w:rsidRDefault="004135EE" w:rsidP="008670FF">
            <w:pPr>
              <w:spacing w:after="0"/>
            </w:pPr>
            <w:r>
              <w:t>Net cash flows from investments in non</w:t>
            </w:r>
            <w:r>
              <w:noBreakHyphen/>
              <w:t>financial assets</w:t>
            </w:r>
          </w:p>
        </w:tc>
        <w:tc>
          <w:tcPr>
            <w:tcW w:w="567" w:type="dxa"/>
            <w:tcBorders>
              <w:bottom w:val="single" w:sz="6" w:space="0" w:color="auto"/>
            </w:tcBorders>
          </w:tcPr>
          <w:p w14:paraId="76D8DFC4"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bottom w:val="single" w:sz="6" w:space="0" w:color="auto"/>
            </w:tcBorders>
          </w:tcPr>
          <w:p w14:paraId="790D49F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(16 991)</w:t>
            </w:r>
          </w:p>
        </w:tc>
        <w:tc>
          <w:tcPr>
            <w:tcW w:w="794" w:type="dxa"/>
            <w:tcBorders>
              <w:bottom w:val="single" w:sz="6" w:space="0" w:color="auto"/>
            </w:tcBorders>
          </w:tcPr>
          <w:p w14:paraId="0DDBEBB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(15 772)</w:t>
            </w:r>
          </w:p>
        </w:tc>
        <w:tc>
          <w:tcPr>
            <w:tcW w:w="794" w:type="dxa"/>
            <w:tcBorders>
              <w:bottom w:val="single" w:sz="6" w:space="0" w:color="auto"/>
            </w:tcBorders>
          </w:tcPr>
          <w:p w14:paraId="48EDA01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(16 605)</w:t>
            </w:r>
          </w:p>
        </w:tc>
        <w:tc>
          <w:tcPr>
            <w:tcW w:w="794" w:type="dxa"/>
            <w:tcBorders>
              <w:bottom w:val="single" w:sz="6" w:space="0" w:color="auto"/>
            </w:tcBorders>
          </w:tcPr>
          <w:p w14:paraId="5F248F4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(14 874)</w:t>
            </w:r>
          </w:p>
        </w:tc>
        <w:tc>
          <w:tcPr>
            <w:tcW w:w="794" w:type="dxa"/>
            <w:tcBorders>
              <w:bottom w:val="single" w:sz="6" w:space="0" w:color="auto"/>
            </w:tcBorders>
          </w:tcPr>
          <w:p w14:paraId="1899F56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t>(13 244)</w:t>
            </w:r>
          </w:p>
        </w:tc>
      </w:tr>
      <w:tr w:rsidR="004135EE" w14:paraId="6A6CB592" w14:textId="77777777" w:rsidTr="008670FF">
        <w:tc>
          <w:tcPr>
            <w:cnfStyle w:val="001000000000" w:firstRow="0" w:lastRow="0" w:firstColumn="1" w:lastColumn="0" w:oddVBand="0" w:evenVBand="0" w:oddHBand="0" w:evenHBand="0" w:firstRowFirstColumn="0" w:firstRowLastColumn="0" w:lastRowFirstColumn="0" w:lastRowLastColumn="0"/>
            <w:tcW w:w="3173" w:type="dxa"/>
            <w:tcBorders>
              <w:top w:val="single" w:sz="6" w:space="0" w:color="auto"/>
              <w:bottom w:val="single" w:sz="12" w:space="0" w:color="auto"/>
            </w:tcBorders>
          </w:tcPr>
          <w:p w14:paraId="70B88C52" w14:textId="77777777" w:rsidR="004135EE" w:rsidRDefault="004135EE" w:rsidP="008670FF">
            <w:pPr>
              <w:spacing w:after="0"/>
            </w:pPr>
            <w:r>
              <w:rPr>
                <w:b/>
              </w:rPr>
              <w:t>Cash surplus/(deficit)</w:t>
            </w:r>
          </w:p>
        </w:tc>
        <w:tc>
          <w:tcPr>
            <w:tcW w:w="567" w:type="dxa"/>
            <w:tcBorders>
              <w:top w:val="single" w:sz="6" w:space="0" w:color="auto"/>
              <w:bottom w:val="single" w:sz="12" w:space="0" w:color="auto"/>
            </w:tcBorders>
          </w:tcPr>
          <w:p w14:paraId="72EC2610" w14:textId="77777777" w:rsidR="004135EE" w:rsidRDefault="004135EE" w:rsidP="008670FF">
            <w:pPr>
              <w:spacing w:after="0"/>
              <w:jc w:val="cente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bottom w:val="single" w:sz="12" w:space="0" w:color="auto"/>
            </w:tcBorders>
          </w:tcPr>
          <w:p w14:paraId="687D32D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(15 194)</w:t>
            </w:r>
          </w:p>
        </w:tc>
        <w:tc>
          <w:tcPr>
            <w:tcW w:w="794" w:type="dxa"/>
            <w:tcBorders>
              <w:top w:val="single" w:sz="6" w:space="0" w:color="auto"/>
              <w:bottom w:val="single" w:sz="12" w:space="0" w:color="auto"/>
            </w:tcBorders>
          </w:tcPr>
          <w:p w14:paraId="2613514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(15 364)</w:t>
            </w:r>
          </w:p>
        </w:tc>
        <w:tc>
          <w:tcPr>
            <w:tcW w:w="794" w:type="dxa"/>
            <w:tcBorders>
              <w:top w:val="single" w:sz="6" w:space="0" w:color="auto"/>
              <w:bottom w:val="single" w:sz="12" w:space="0" w:color="auto"/>
            </w:tcBorders>
          </w:tcPr>
          <w:p w14:paraId="4E2199A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(9 361)</w:t>
            </w:r>
          </w:p>
        </w:tc>
        <w:tc>
          <w:tcPr>
            <w:tcW w:w="794" w:type="dxa"/>
            <w:tcBorders>
              <w:top w:val="single" w:sz="6" w:space="0" w:color="auto"/>
              <w:bottom w:val="single" w:sz="12" w:space="0" w:color="auto"/>
            </w:tcBorders>
          </w:tcPr>
          <w:p w14:paraId="7A0FC65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(7 738)</w:t>
            </w:r>
          </w:p>
        </w:tc>
        <w:tc>
          <w:tcPr>
            <w:tcW w:w="794" w:type="dxa"/>
            <w:tcBorders>
              <w:top w:val="single" w:sz="6" w:space="0" w:color="auto"/>
              <w:bottom w:val="single" w:sz="12" w:space="0" w:color="auto"/>
            </w:tcBorders>
          </w:tcPr>
          <w:p w14:paraId="4A383C4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rPr>
              <w:t>(6 820)</w:t>
            </w:r>
          </w:p>
        </w:tc>
      </w:tr>
    </w:tbl>
    <w:p w14:paraId="677E9D12" w14:textId="77777777" w:rsidR="004135EE" w:rsidRDefault="004135EE" w:rsidP="004135EE">
      <w:pPr>
        <w:pStyle w:val="Source"/>
      </w:pPr>
      <w:r>
        <w:t>The accompanying notes form part of these Estimated Financial Statements.</w:t>
      </w:r>
    </w:p>
    <w:p w14:paraId="7F5C9F1D" w14:textId="77777777" w:rsidR="004135EE" w:rsidRDefault="004135EE" w:rsidP="004135EE">
      <w:pPr>
        <w:pStyle w:val="Note"/>
      </w:pPr>
      <w:r>
        <w:t>Note</w:t>
      </w:r>
      <w:r w:rsidDel="00982A4D">
        <w:t>s</w:t>
      </w:r>
      <w:r>
        <w:t>:</w:t>
      </w:r>
    </w:p>
    <w:p w14:paraId="1F512B1A" w14:textId="77777777" w:rsidR="004135EE" w:rsidRDefault="004135EE" w:rsidP="004135EE">
      <w:pPr>
        <w:pStyle w:val="Note"/>
      </w:pPr>
      <w:r>
        <w:t>(a)</w:t>
      </w:r>
      <w:r>
        <w:tab/>
      </w:r>
      <w:r w:rsidRPr="00AE067C">
        <w:t>Sales of goods and services and payments for goods and services are inclusive of goods and services tax.</w:t>
      </w:r>
    </w:p>
    <w:p w14:paraId="07EF38D3" w14:textId="3B9CBE33" w:rsidR="004135EE" w:rsidRDefault="004135EE" w:rsidP="004135EE">
      <w:pPr>
        <w:pStyle w:val="Note"/>
      </w:pPr>
      <w:r w:rsidRPr="00A7102E">
        <w:t>(b)</w:t>
      </w:r>
      <w:r w:rsidRPr="00A7102E">
        <w:tab/>
      </w:r>
      <w:r w:rsidRPr="00616E9D">
        <w:t xml:space="preserve">2024-25 </w:t>
      </w:r>
      <w:r w:rsidR="00616E9D" w:rsidRPr="00616E9D">
        <w:rPr>
          <w:iCs/>
        </w:rPr>
        <w:t>b</w:t>
      </w:r>
      <w:r w:rsidRPr="00616E9D">
        <w:rPr>
          <w:iCs/>
        </w:rPr>
        <w:t>udget</w:t>
      </w:r>
      <w:r w:rsidRPr="00A7102E">
        <w:t xml:space="preserve"> figures have been restated to represent actual opening balances at 1 July 202</w:t>
      </w:r>
      <w:r>
        <w:t>4.</w:t>
      </w:r>
    </w:p>
    <w:p w14:paraId="7F63A8DA" w14:textId="77777777" w:rsidR="004135EE" w:rsidRDefault="004135EE" w:rsidP="004135EE">
      <w:pPr>
        <w:pStyle w:val="Note"/>
      </w:pPr>
      <w:r>
        <w:t>(c)</w:t>
      </w:r>
      <w:r>
        <w:tab/>
        <w:t>Cash and cash equivalents at the end of the reporting period does not equal cash and deposits on the balance sheet. This is due to overdrafts being included in the cash flow statement balances.</w:t>
      </w:r>
    </w:p>
    <w:p w14:paraId="2D51A7DC" w14:textId="77777777" w:rsidR="004135EE" w:rsidRDefault="004135EE" w:rsidP="004135EE">
      <w:pPr>
        <w:pStyle w:val="Note"/>
      </w:pPr>
      <w:r>
        <w:t xml:space="preserve">(d) </w:t>
      </w:r>
      <w:r>
        <w:tab/>
        <w:t xml:space="preserve">The fiscal aggregates are defined in Note 9.9 of the </w:t>
      </w:r>
      <w:r w:rsidRPr="00F8428F">
        <w:rPr>
          <w:i w:val="0"/>
        </w:rPr>
        <w:t>202</w:t>
      </w:r>
      <w:r>
        <w:rPr>
          <w:i w:val="0"/>
        </w:rPr>
        <w:t>3-24</w:t>
      </w:r>
      <w:r w:rsidRPr="00F8428F">
        <w:rPr>
          <w:i w:val="0"/>
        </w:rPr>
        <w:t xml:space="preserve"> Financial Report</w:t>
      </w:r>
      <w:r>
        <w:t>.</w:t>
      </w:r>
    </w:p>
    <w:p w14:paraId="30A175B8" w14:textId="77777777" w:rsidR="004135EE" w:rsidRDefault="004135EE" w:rsidP="004135EE">
      <w:pPr>
        <w:pStyle w:val="Heading10"/>
        <w:pageBreakBefore/>
      </w:pPr>
      <w:bookmarkStart w:id="62" w:name="_Toc152933037"/>
      <w:bookmarkStart w:id="63" w:name="_Toc179455720"/>
      <w:bookmarkStart w:id="64" w:name="_Toc184299450"/>
      <w:r>
        <w:t>Estimated consolidated general government sector</w:t>
      </w:r>
      <w:r>
        <w:br/>
        <w:t>statement of changes in equity</w:t>
      </w:r>
      <w:bookmarkEnd w:id="62"/>
      <w:bookmarkEnd w:id="63"/>
      <w:bookmarkEnd w:id="64"/>
    </w:p>
    <w:p w14:paraId="3D2DE2AB" w14:textId="77777777" w:rsidR="004135EE" w:rsidRDefault="004135EE" w:rsidP="004135EE">
      <w:pPr>
        <w:pStyle w:val="TableHeading"/>
      </w:pPr>
      <w:r>
        <w:t>For the financial year ended 30 June</w:t>
      </w:r>
      <w:r>
        <w:tab/>
        <w:t>($ million)</w:t>
      </w:r>
    </w:p>
    <w:tbl>
      <w:tblPr>
        <w:tblStyle w:val="DTFTableNumeric"/>
        <w:tblW w:w="7797" w:type="dxa"/>
        <w:tblLayout w:type="fixed"/>
        <w:tblLook w:val="06A0" w:firstRow="1" w:lastRow="0" w:firstColumn="1" w:lastColumn="0" w:noHBand="1" w:noVBand="1"/>
        <w:tblDescription w:val="Type:DtfTable|Workbook:https://vicgov.sharepoint.com/sites/VG002735/Budget%20Update/Financial%20Statements/Manual%20reports/Link_BU_SOCIE.xlsx|Table:Manual_GG_SOCIE|UseWorksheetCellFormatting:True"/>
      </w:tblPr>
      <w:tblGrid>
        <w:gridCol w:w="2632"/>
        <w:gridCol w:w="294"/>
        <w:gridCol w:w="700"/>
        <w:gridCol w:w="1336"/>
        <w:gridCol w:w="1417"/>
        <w:gridCol w:w="709"/>
        <w:gridCol w:w="709"/>
      </w:tblGrid>
      <w:tr w:rsidR="004135EE" w14:paraId="7DF7F333" w14:textId="77777777" w:rsidTr="004135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32" w:type="dxa"/>
          </w:tcPr>
          <w:p w14:paraId="245D9742" w14:textId="77777777" w:rsidR="004135EE" w:rsidRDefault="004135EE" w:rsidP="008670FF">
            <w:pPr>
              <w:keepNext/>
              <w:spacing w:after="0"/>
            </w:pPr>
          </w:p>
        </w:tc>
        <w:tc>
          <w:tcPr>
            <w:tcW w:w="994" w:type="dxa"/>
            <w:gridSpan w:val="2"/>
          </w:tcPr>
          <w:p w14:paraId="3580905A"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rPr>
                <w:i w:val="0"/>
                <w:sz w:val="16"/>
              </w:rPr>
            </w:pPr>
            <w:r>
              <w:rPr>
                <w:sz w:val="16"/>
              </w:rPr>
              <w:t>Accumulated surplus/</w:t>
            </w:r>
          </w:p>
          <w:p w14:paraId="202E8A37"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rPr>
                <w:sz w:val="16"/>
              </w:rPr>
              <w:t>(deficit)</w:t>
            </w:r>
          </w:p>
        </w:tc>
        <w:tc>
          <w:tcPr>
            <w:tcW w:w="1336" w:type="dxa"/>
          </w:tcPr>
          <w:p w14:paraId="34791854"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rPr>
                <w:sz w:val="16"/>
              </w:rPr>
              <w:t>Non</w:t>
            </w:r>
            <w:r>
              <w:rPr>
                <w:sz w:val="16"/>
              </w:rPr>
              <w:noBreakHyphen/>
              <w:t>financial assets revaluation surplus</w:t>
            </w:r>
          </w:p>
        </w:tc>
        <w:tc>
          <w:tcPr>
            <w:tcW w:w="1417" w:type="dxa"/>
          </w:tcPr>
          <w:p w14:paraId="24A718C6"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rPr>
                <w:sz w:val="16"/>
              </w:rPr>
              <w:t>Investment in other sector entities revaluation surplus</w:t>
            </w:r>
          </w:p>
        </w:tc>
        <w:tc>
          <w:tcPr>
            <w:tcW w:w="709" w:type="dxa"/>
          </w:tcPr>
          <w:p w14:paraId="396E17A2"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rPr>
                <w:sz w:val="16"/>
              </w:rPr>
              <w:t>Other reserves</w:t>
            </w:r>
          </w:p>
        </w:tc>
        <w:tc>
          <w:tcPr>
            <w:tcW w:w="709" w:type="dxa"/>
          </w:tcPr>
          <w:p w14:paraId="4F8D6211" w14:textId="77777777" w:rsidR="004135EE" w:rsidRDefault="004135EE" w:rsidP="008670FF">
            <w:pPr>
              <w:keepNext/>
              <w:spacing w:after="0"/>
              <w:cnfStyle w:val="100000000000" w:firstRow="1" w:lastRow="0" w:firstColumn="0" w:lastColumn="0" w:oddVBand="0" w:evenVBand="0" w:oddHBand="0" w:evenHBand="0" w:firstRowFirstColumn="0" w:firstRowLastColumn="0" w:lastRowFirstColumn="0" w:lastRowLastColumn="0"/>
            </w:pPr>
            <w:r>
              <w:rPr>
                <w:sz w:val="16"/>
              </w:rPr>
              <w:t>Total</w:t>
            </w:r>
          </w:p>
        </w:tc>
      </w:tr>
      <w:tr w:rsidR="004135EE" w14:paraId="02372ACB"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2C39E13E" w14:textId="77777777" w:rsidR="004135EE" w:rsidRDefault="004135EE" w:rsidP="008670FF">
            <w:pPr>
              <w:spacing w:after="0"/>
            </w:pPr>
            <w:r>
              <w:rPr>
                <w:b/>
                <w:sz w:val="16"/>
              </w:rPr>
              <w:t>2024</w:t>
            </w:r>
            <w:r>
              <w:rPr>
                <w:b/>
                <w:sz w:val="16"/>
              </w:rPr>
              <w:noBreakHyphen/>
              <w:t>25 budget</w:t>
            </w:r>
            <w:r>
              <w:rPr>
                <w:b/>
                <w:sz w:val="16"/>
                <w:vertAlign w:val="superscript"/>
              </w:rPr>
              <w:t xml:space="preserve"> (a)</w:t>
            </w:r>
          </w:p>
        </w:tc>
        <w:tc>
          <w:tcPr>
            <w:tcW w:w="700" w:type="dxa"/>
          </w:tcPr>
          <w:p w14:paraId="4382C8C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336" w:type="dxa"/>
          </w:tcPr>
          <w:p w14:paraId="0B5DA8E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417" w:type="dxa"/>
          </w:tcPr>
          <w:p w14:paraId="23247BC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Pr>
          <w:p w14:paraId="49AC87E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Pr>
          <w:p w14:paraId="7AE6C59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77852AAF"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197167D1" w14:textId="77777777" w:rsidR="004135EE" w:rsidRDefault="004135EE" w:rsidP="008670FF">
            <w:pPr>
              <w:spacing w:after="0"/>
            </w:pPr>
            <w:r>
              <w:rPr>
                <w:sz w:val="16"/>
              </w:rPr>
              <w:t>Balance at 1 July 2024</w:t>
            </w:r>
          </w:p>
        </w:tc>
        <w:tc>
          <w:tcPr>
            <w:tcW w:w="700" w:type="dxa"/>
          </w:tcPr>
          <w:p w14:paraId="2EA88E0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43 405</w:t>
            </w:r>
          </w:p>
        </w:tc>
        <w:tc>
          <w:tcPr>
            <w:tcW w:w="1336" w:type="dxa"/>
          </w:tcPr>
          <w:p w14:paraId="135C750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98 544</w:t>
            </w:r>
          </w:p>
        </w:tc>
        <w:tc>
          <w:tcPr>
            <w:tcW w:w="1417" w:type="dxa"/>
          </w:tcPr>
          <w:p w14:paraId="5D01B3D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46 381</w:t>
            </w:r>
          </w:p>
        </w:tc>
        <w:tc>
          <w:tcPr>
            <w:tcW w:w="709" w:type="dxa"/>
          </w:tcPr>
          <w:p w14:paraId="255DA22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1 528</w:t>
            </w:r>
          </w:p>
        </w:tc>
        <w:tc>
          <w:tcPr>
            <w:tcW w:w="709" w:type="dxa"/>
          </w:tcPr>
          <w:p w14:paraId="142200C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189 859</w:t>
            </w:r>
          </w:p>
        </w:tc>
      </w:tr>
      <w:tr w:rsidR="004135EE" w14:paraId="1EC2F03A"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4AC36B97" w14:textId="77777777" w:rsidR="004135EE" w:rsidRDefault="004135EE" w:rsidP="008670FF">
            <w:pPr>
              <w:spacing w:after="0"/>
            </w:pPr>
            <w:r>
              <w:rPr>
                <w:sz w:val="16"/>
              </w:rPr>
              <w:t>Opening balance adjustment</w:t>
            </w:r>
            <w:r>
              <w:rPr>
                <w:sz w:val="16"/>
                <w:vertAlign w:val="superscript"/>
              </w:rPr>
              <w:t xml:space="preserve"> (b)(c)</w:t>
            </w:r>
          </w:p>
        </w:tc>
        <w:tc>
          <w:tcPr>
            <w:tcW w:w="700" w:type="dxa"/>
          </w:tcPr>
          <w:p w14:paraId="46036EF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(51)</w:t>
            </w:r>
          </w:p>
        </w:tc>
        <w:tc>
          <w:tcPr>
            <w:tcW w:w="1336" w:type="dxa"/>
          </w:tcPr>
          <w:p w14:paraId="0CC52E9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0399DC9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10</w:t>
            </w:r>
          </w:p>
        </w:tc>
        <w:tc>
          <w:tcPr>
            <w:tcW w:w="709" w:type="dxa"/>
          </w:tcPr>
          <w:p w14:paraId="40B005A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3BD613D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(41)</w:t>
            </w:r>
          </w:p>
        </w:tc>
      </w:tr>
      <w:tr w:rsidR="004135EE" w14:paraId="2D80CDEF"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3786967F" w14:textId="77777777" w:rsidR="004135EE" w:rsidRDefault="004135EE" w:rsidP="008670FF">
            <w:pPr>
              <w:spacing w:after="0"/>
            </w:pPr>
            <w:r>
              <w:rPr>
                <w:b/>
                <w:sz w:val="16"/>
              </w:rPr>
              <w:t>Restated balance at 1 July 2024</w:t>
            </w:r>
          </w:p>
        </w:tc>
        <w:tc>
          <w:tcPr>
            <w:tcW w:w="700" w:type="dxa"/>
          </w:tcPr>
          <w:p w14:paraId="41484D2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43 354</w:t>
            </w:r>
          </w:p>
        </w:tc>
        <w:tc>
          <w:tcPr>
            <w:tcW w:w="1336" w:type="dxa"/>
          </w:tcPr>
          <w:p w14:paraId="0DC54BF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98 544</w:t>
            </w:r>
          </w:p>
        </w:tc>
        <w:tc>
          <w:tcPr>
            <w:tcW w:w="1417" w:type="dxa"/>
          </w:tcPr>
          <w:p w14:paraId="64FFA79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46 391</w:t>
            </w:r>
          </w:p>
        </w:tc>
        <w:tc>
          <w:tcPr>
            <w:tcW w:w="709" w:type="dxa"/>
          </w:tcPr>
          <w:p w14:paraId="3ECDC89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1 528</w:t>
            </w:r>
          </w:p>
        </w:tc>
        <w:tc>
          <w:tcPr>
            <w:tcW w:w="709" w:type="dxa"/>
          </w:tcPr>
          <w:p w14:paraId="7795162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189 818</w:t>
            </w:r>
          </w:p>
        </w:tc>
      </w:tr>
      <w:tr w:rsidR="004135EE" w14:paraId="2FC4EE7E"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416920F7" w14:textId="77777777" w:rsidR="004135EE" w:rsidRDefault="004135EE" w:rsidP="008670FF">
            <w:pPr>
              <w:spacing w:after="0"/>
            </w:pPr>
            <w:r>
              <w:rPr>
                <w:sz w:val="16"/>
              </w:rPr>
              <w:t>Net result for the year</w:t>
            </w:r>
          </w:p>
        </w:tc>
        <w:tc>
          <w:tcPr>
            <w:tcW w:w="700" w:type="dxa"/>
          </w:tcPr>
          <w:p w14:paraId="7922871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(2 527)</w:t>
            </w:r>
          </w:p>
        </w:tc>
        <w:tc>
          <w:tcPr>
            <w:tcW w:w="1336" w:type="dxa"/>
          </w:tcPr>
          <w:p w14:paraId="3CA52B4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277A76B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2028691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4953D2A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(2 527)</w:t>
            </w:r>
          </w:p>
        </w:tc>
      </w:tr>
      <w:tr w:rsidR="004135EE" w14:paraId="54319889"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30FE167D" w14:textId="77777777" w:rsidR="004135EE" w:rsidRDefault="004135EE" w:rsidP="008670FF">
            <w:pPr>
              <w:spacing w:after="0"/>
            </w:pPr>
            <w:r>
              <w:rPr>
                <w:sz w:val="16"/>
              </w:rPr>
              <w:t>Other comprehensive income for the year</w:t>
            </w:r>
          </w:p>
        </w:tc>
        <w:tc>
          <w:tcPr>
            <w:tcW w:w="700" w:type="dxa"/>
          </w:tcPr>
          <w:p w14:paraId="1EB1948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738</w:t>
            </w:r>
          </w:p>
        </w:tc>
        <w:tc>
          <w:tcPr>
            <w:tcW w:w="1336" w:type="dxa"/>
          </w:tcPr>
          <w:p w14:paraId="1D9BADB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6 787</w:t>
            </w:r>
          </w:p>
        </w:tc>
        <w:tc>
          <w:tcPr>
            <w:tcW w:w="1417" w:type="dxa"/>
          </w:tcPr>
          <w:p w14:paraId="7864724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(4 143)</w:t>
            </w:r>
          </w:p>
        </w:tc>
        <w:tc>
          <w:tcPr>
            <w:tcW w:w="709" w:type="dxa"/>
          </w:tcPr>
          <w:p w14:paraId="40806F4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25</w:t>
            </w:r>
          </w:p>
        </w:tc>
        <w:tc>
          <w:tcPr>
            <w:tcW w:w="709" w:type="dxa"/>
          </w:tcPr>
          <w:p w14:paraId="1A3A934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3 407</w:t>
            </w:r>
          </w:p>
        </w:tc>
      </w:tr>
      <w:tr w:rsidR="004135EE" w14:paraId="1985C112"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0DB59604" w14:textId="77777777" w:rsidR="004135EE" w:rsidRDefault="004135EE" w:rsidP="008670FF">
            <w:pPr>
              <w:spacing w:after="0"/>
            </w:pPr>
            <w:r>
              <w:rPr>
                <w:sz w:val="16"/>
              </w:rPr>
              <w:t>Transfer to/(from) accumulated surplus</w:t>
            </w:r>
          </w:p>
        </w:tc>
        <w:tc>
          <w:tcPr>
            <w:tcW w:w="700" w:type="dxa"/>
          </w:tcPr>
          <w:p w14:paraId="0A48CD8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336" w:type="dxa"/>
          </w:tcPr>
          <w:p w14:paraId="2602799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480011E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45BC195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5C252EE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r>
      <w:tr w:rsidR="004135EE" w14:paraId="08B2C8B4"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bottom w:val="single" w:sz="6" w:space="0" w:color="auto"/>
            </w:tcBorders>
          </w:tcPr>
          <w:p w14:paraId="3B4C7EE5" w14:textId="77777777" w:rsidR="004135EE" w:rsidRDefault="004135EE" w:rsidP="008670FF">
            <w:pPr>
              <w:spacing w:after="0"/>
            </w:pPr>
            <w:r>
              <w:rPr>
                <w:b/>
                <w:sz w:val="16"/>
              </w:rPr>
              <w:t>Total equity as at 30 June 2025</w:t>
            </w:r>
          </w:p>
        </w:tc>
        <w:tc>
          <w:tcPr>
            <w:tcW w:w="700" w:type="dxa"/>
            <w:tcBorders>
              <w:top w:val="single" w:sz="6" w:space="0" w:color="auto"/>
              <w:bottom w:val="single" w:sz="6" w:space="0" w:color="auto"/>
            </w:tcBorders>
          </w:tcPr>
          <w:p w14:paraId="00ACE93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41 565</w:t>
            </w:r>
          </w:p>
        </w:tc>
        <w:tc>
          <w:tcPr>
            <w:tcW w:w="1336" w:type="dxa"/>
            <w:tcBorders>
              <w:top w:val="single" w:sz="6" w:space="0" w:color="auto"/>
              <w:bottom w:val="single" w:sz="6" w:space="0" w:color="auto"/>
            </w:tcBorders>
          </w:tcPr>
          <w:p w14:paraId="047C9F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105 332</w:t>
            </w:r>
          </w:p>
        </w:tc>
        <w:tc>
          <w:tcPr>
            <w:tcW w:w="1417" w:type="dxa"/>
            <w:tcBorders>
              <w:top w:val="single" w:sz="6" w:space="0" w:color="auto"/>
              <w:bottom w:val="single" w:sz="6" w:space="0" w:color="auto"/>
            </w:tcBorders>
          </w:tcPr>
          <w:p w14:paraId="3BEDAF8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42 248</w:t>
            </w:r>
          </w:p>
        </w:tc>
        <w:tc>
          <w:tcPr>
            <w:tcW w:w="709" w:type="dxa"/>
            <w:tcBorders>
              <w:top w:val="single" w:sz="6" w:space="0" w:color="auto"/>
              <w:bottom w:val="single" w:sz="6" w:space="0" w:color="auto"/>
            </w:tcBorders>
          </w:tcPr>
          <w:p w14:paraId="2873A72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1 554</w:t>
            </w:r>
          </w:p>
        </w:tc>
        <w:tc>
          <w:tcPr>
            <w:tcW w:w="709" w:type="dxa"/>
            <w:tcBorders>
              <w:top w:val="single" w:sz="6" w:space="0" w:color="auto"/>
              <w:bottom w:val="single" w:sz="6" w:space="0" w:color="auto"/>
            </w:tcBorders>
          </w:tcPr>
          <w:p w14:paraId="77E0DE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190 698</w:t>
            </w:r>
          </w:p>
        </w:tc>
      </w:tr>
      <w:tr w:rsidR="004135EE" w14:paraId="1532B2B2"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tcBorders>
          </w:tcPr>
          <w:p w14:paraId="4DCA552A" w14:textId="77777777" w:rsidR="004135EE" w:rsidRDefault="004135EE" w:rsidP="008670FF">
            <w:pPr>
              <w:spacing w:after="0"/>
            </w:pPr>
            <w:r>
              <w:rPr>
                <w:b/>
                <w:sz w:val="16"/>
              </w:rPr>
              <w:t>2024</w:t>
            </w:r>
            <w:r>
              <w:rPr>
                <w:b/>
                <w:sz w:val="16"/>
              </w:rPr>
              <w:noBreakHyphen/>
              <w:t>25 revised</w:t>
            </w:r>
          </w:p>
        </w:tc>
        <w:tc>
          <w:tcPr>
            <w:tcW w:w="700" w:type="dxa"/>
            <w:tcBorders>
              <w:top w:val="single" w:sz="6" w:space="0" w:color="auto"/>
            </w:tcBorders>
          </w:tcPr>
          <w:p w14:paraId="663219C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336" w:type="dxa"/>
            <w:tcBorders>
              <w:top w:val="single" w:sz="6" w:space="0" w:color="auto"/>
            </w:tcBorders>
          </w:tcPr>
          <w:p w14:paraId="2B14BCB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417" w:type="dxa"/>
            <w:tcBorders>
              <w:top w:val="single" w:sz="6" w:space="0" w:color="auto"/>
            </w:tcBorders>
          </w:tcPr>
          <w:p w14:paraId="559994B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7FEC476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267C9A2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02B4A481"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54FE190D" w14:textId="77777777" w:rsidR="004135EE" w:rsidRDefault="004135EE" w:rsidP="008670FF">
            <w:pPr>
              <w:spacing w:after="0"/>
            </w:pPr>
            <w:r>
              <w:rPr>
                <w:sz w:val="16"/>
              </w:rPr>
              <w:t>Balance at 1 July 2024</w:t>
            </w:r>
          </w:p>
        </w:tc>
        <w:tc>
          <w:tcPr>
            <w:tcW w:w="700" w:type="dxa"/>
          </w:tcPr>
          <w:p w14:paraId="3313DF0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43 405</w:t>
            </w:r>
          </w:p>
        </w:tc>
        <w:tc>
          <w:tcPr>
            <w:tcW w:w="1336" w:type="dxa"/>
          </w:tcPr>
          <w:p w14:paraId="1C5F676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98 544</w:t>
            </w:r>
          </w:p>
        </w:tc>
        <w:tc>
          <w:tcPr>
            <w:tcW w:w="1417" w:type="dxa"/>
          </w:tcPr>
          <w:p w14:paraId="130DE6A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46 381</w:t>
            </w:r>
          </w:p>
        </w:tc>
        <w:tc>
          <w:tcPr>
            <w:tcW w:w="709" w:type="dxa"/>
          </w:tcPr>
          <w:p w14:paraId="17567C8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1 528</w:t>
            </w:r>
          </w:p>
        </w:tc>
        <w:tc>
          <w:tcPr>
            <w:tcW w:w="709" w:type="dxa"/>
          </w:tcPr>
          <w:p w14:paraId="6BF3CAB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189 859</w:t>
            </w:r>
          </w:p>
        </w:tc>
      </w:tr>
      <w:tr w:rsidR="004135EE" w14:paraId="0ABC873B"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67178A0E" w14:textId="77777777" w:rsidR="004135EE" w:rsidRDefault="004135EE" w:rsidP="008670FF">
            <w:pPr>
              <w:spacing w:after="0"/>
            </w:pPr>
            <w:r>
              <w:rPr>
                <w:sz w:val="16"/>
              </w:rPr>
              <w:t>Opening balance adjustment</w:t>
            </w:r>
            <w:r>
              <w:rPr>
                <w:sz w:val="16"/>
                <w:vertAlign w:val="superscript"/>
              </w:rPr>
              <w:t xml:space="preserve"> (b)(c)</w:t>
            </w:r>
          </w:p>
        </w:tc>
        <w:tc>
          <w:tcPr>
            <w:tcW w:w="700" w:type="dxa"/>
          </w:tcPr>
          <w:p w14:paraId="0D1826D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(51)</w:t>
            </w:r>
          </w:p>
        </w:tc>
        <w:tc>
          <w:tcPr>
            <w:tcW w:w="1336" w:type="dxa"/>
          </w:tcPr>
          <w:p w14:paraId="7296B1D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1A32482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10</w:t>
            </w:r>
          </w:p>
        </w:tc>
        <w:tc>
          <w:tcPr>
            <w:tcW w:w="709" w:type="dxa"/>
          </w:tcPr>
          <w:p w14:paraId="1605A93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7238DE7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(41)</w:t>
            </w:r>
          </w:p>
        </w:tc>
      </w:tr>
      <w:tr w:rsidR="004135EE" w14:paraId="6E6B13CC"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7D9C94DB" w14:textId="77777777" w:rsidR="004135EE" w:rsidRDefault="004135EE" w:rsidP="008670FF">
            <w:pPr>
              <w:spacing w:after="0"/>
            </w:pPr>
            <w:r>
              <w:rPr>
                <w:b/>
                <w:sz w:val="16"/>
              </w:rPr>
              <w:t>Restated balance at 1 July 2024</w:t>
            </w:r>
          </w:p>
        </w:tc>
        <w:tc>
          <w:tcPr>
            <w:tcW w:w="700" w:type="dxa"/>
          </w:tcPr>
          <w:p w14:paraId="7B079F2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43 354</w:t>
            </w:r>
          </w:p>
        </w:tc>
        <w:tc>
          <w:tcPr>
            <w:tcW w:w="1336" w:type="dxa"/>
          </w:tcPr>
          <w:p w14:paraId="6E707B5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98 544</w:t>
            </w:r>
          </w:p>
        </w:tc>
        <w:tc>
          <w:tcPr>
            <w:tcW w:w="1417" w:type="dxa"/>
          </w:tcPr>
          <w:p w14:paraId="6C38CE6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46 391</w:t>
            </w:r>
          </w:p>
        </w:tc>
        <w:tc>
          <w:tcPr>
            <w:tcW w:w="709" w:type="dxa"/>
          </w:tcPr>
          <w:p w14:paraId="5A5289B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1 528</w:t>
            </w:r>
          </w:p>
        </w:tc>
        <w:tc>
          <w:tcPr>
            <w:tcW w:w="709" w:type="dxa"/>
          </w:tcPr>
          <w:p w14:paraId="2B797AD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189 818</w:t>
            </w:r>
          </w:p>
        </w:tc>
      </w:tr>
      <w:tr w:rsidR="004135EE" w14:paraId="69A46B6D"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1CE37D10" w14:textId="77777777" w:rsidR="004135EE" w:rsidRDefault="004135EE" w:rsidP="008670FF">
            <w:pPr>
              <w:spacing w:after="0"/>
            </w:pPr>
            <w:r>
              <w:rPr>
                <w:sz w:val="16"/>
              </w:rPr>
              <w:t>Net result for the year</w:t>
            </w:r>
          </w:p>
        </w:tc>
        <w:tc>
          <w:tcPr>
            <w:tcW w:w="700" w:type="dxa"/>
          </w:tcPr>
          <w:p w14:paraId="5E417D5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(3 843)</w:t>
            </w:r>
          </w:p>
        </w:tc>
        <w:tc>
          <w:tcPr>
            <w:tcW w:w="1336" w:type="dxa"/>
          </w:tcPr>
          <w:p w14:paraId="11726B1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6D832E3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5C8FE9A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1803ECE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(3 843)</w:t>
            </w:r>
          </w:p>
        </w:tc>
      </w:tr>
      <w:tr w:rsidR="004135EE" w14:paraId="049EF4B0"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63BA2B0F" w14:textId="77777777" w:rsidR="004135EE" w:rsidRDefault="004135EE" w:rsidP="008670FF">
            <w:pPr>
              <w:spacing w:after="0"/>
            </w:pPr>
            <w:r>
              <w:rPr>
                <w:sz w:val="16"/>
              </w:rPr>
              <w:t>Other comprehensive income for the year</w:t>
            </w:r>
          </w:p>
        </w:tc>
        <w:tc>
          <w:tcPr>
            <w:tcW w:w="700" w:type="dxa"/>
          </w:tcPr>
          <w:p w14:paraId="7812BEF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(269)</w:t>
            </w:r>
          </w:p>
        </w:tc>
        <w:tc>
          <w:tcPr>
            <w:tcW w:w="1336" w:type="dxa"/>
          </w:tcPr>
          <w:p w14:paraId="0234950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6 760</w:t>
            </w:r>
          </w:p>
        </w:tc>
        <w:tc>
          <w:tcPr>
            <w:tcW w:w="1417" w:type="dxa"/>
          </w:tcPr>
          <w:p w14:paraId="3646B15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(8 421)</w:t>
            </w:r>
          </w:p>
        </w:tc>
        <w:tc>
          <w:tcPr>
            <w:tcW w:w="709" w:type="dxa"/>
          </w:tcPr>
          <w:p w14:paraId="510D66F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w:t>
            </w:r>
          </w:p>
        </w:tc>
        <w:tc>
          <w:tcPr>
            <w:tcW w:w="709" w:type="dxa"/>
          </w:tcPr>
          <w:p w14:paraId="0A33E9D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(1 927)</w:t>
            </w:r>
          </w:p>
        </w:tc>
      </w:tr>
      <w:tr w:rsidR="004135EE" w14:paraId="0ADE75E6"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611DC905" w14:textId="77777777" w:rsidR="004135EE" w:rsidRDefault="004135EE" w:rsidP="008670FF">
            <w:pPr>
              <w:spacing w:after="0"/>
            </w:pPr>
            <w:r>
              <w:rPr>
                <w:sz w:val="16"/>
              </w:rPr>
              <w:t>Transfer to/(from) accumulated surplus</w:t>
            </w:r>
          </w:p>
        </w:tc>
        <w:tc>
          <w:tcPr>
            <w:tcW w:w="700" w:type="dxa"/>
          </w:tcPr>
          <w:p w14:paraId="4EB5B0C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336" w:type="dxa"/>
          </w:tcPr>
          <w:p w14:paraId="2B4C056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1E7840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064865F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227C052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r>
      <w:tr w:rsidR="004135EE" w14:paraId="6BE75506"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bottom w:val="single" w:sz="6" w:space="0" w:color="auto"/>
            </w:tcBorders>
          </w:tcPr>
          <w:p w14:paraId="135DAC09" w14:textId="77777777" w:rsidR="004135EE" w:rsidRDefault="004135EE" w:rsidP="008670FF">
            <w:pPr>
              <w:spacing w:after="0"/>
            </w:pPr>
            <w:r>
              <w:rPr>
                <w:b/>
                <w:sz w:val="16"/>
              </w:rPr>
              <w:t>Total equity as at 30 June 2025</w:t>
            </w:r>
          </w:p>
        </w:tc>
        <w:tc>
          <w:tcPr>
            <w:tcW w:w="700" w:type="dxa"/>
            <w:tcBorders>
              <w:top w:val="single" w:sz="6" w:space="0" w:color="auto"/>
              <w:bottom w:val="single" w:sz="6" w:space="0" w:color="auto"/>
            </w:tcBorders>
          </w:tcPr>
          <w:p w14:paraId="0B9D809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39 242</w:t>
            </w:r>
          </w:p>
        </w:tc>
        <w:tc>
          <w:tcPr>
            <w:tcW w:w="1336" w:type="dxa"/>
            <w:tcBorders>
              <w:top w:val="single" w:sz="6" w:space="0" w:color="auto"/>
              <w:bottom w:val="single" w:sz="6" w:space="0" w:color="auto"/>
            </w:tcBorders>
          </w:tcPr>
          <w:p w14:paraId="345A872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105 304</w:t>
            </w:r>
          </w:p>
        </w:tc>
        <w:tc>
          <w:tcPr>
            <w:tcW w:w="1417" w:type="dxa"/>
            <w:tcBorders>
              <w:top w:val="single" w:sz="6" w:space="0" w:color="auto"/>
              <w:bottom w:val="single" w:sz="6" w:space="0" w:color="auto"/>
            </w:tcBorders>
          </w:tcPr>
          <w:p w14:paraId="0FFFD7C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37 970</w:t>
            </w:r>
          </w:p>
        </w:tc>
        <w:tc>
          <w:tcPr>
            <w:tcW w:w="709" w:type="dxa"/>
            <w:tcBorders>
              <w:top w:val="single" w:sz="6" w:space="0" w:color="auto"/>
              <w:bottom w:val="single" w:sz="6" w:space="0" w:color="auto"/>
            </w:tcBorders>
          </w:tcPr>
          <w:p w14:paraId="6504F93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1 532</w:t>
            </w:r>
          </w:p>
        </w:tc>
        <w:tc>
          <w:tcPr>
            <w:tcW w:w="709" w:type="dxa"/>
            <w:tcBorders>
              <w:top w:val="single" w:sz="6" w:space="0" w:color="auto"/>
              <w:bottom w:val="single" w:sz="6" w:space="0" w:color="auto"/>
            </w:tcBorders>
          </w:tcPr>
          <w:p w14:paraId="0ADA186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184 047</w:t>
            </w:r>
          </w:p>
        </w:tc>
      </w:tr>
      <w:tr w:rsidR="004135EE" w14:paraId="739AE025"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tcBorders>
          </w:tcPr>
          <w:p w14:paraId="24B5C210" w14:textId="77777777" w:rsidR="004135EE" w:rsidRDefault="004135EE" w:rsidP="008670FF">
            <w:pPr>
              <w:spacing w:after="0"/>
            </w:pPr>
            <w:r>
              <w:rPr>
                <w:b/>
                <w:sz w:val="16"/>
              </w:rPr>
              <w:t>2025</w:t>
            </w:r>
            <w:r>
              <w:rPr>
                <w:b/>
                <w:sz w:val="16"/>
              </w:rPr>
              <w:noBreakHyphen/>
              <w:t>26 estimate</w:t>
            </w:r>
          </w:p>
        </w:tc>
        <w:tc>
          <w:tcPr>
            <w:tcW w:w="700" w:type="dxa"/>
            <w:tcBorders>
              <w:top w:val="single" w:sz="6" w:space="0" w:color="auto"/>
            </w:tcBorders>
          </w:tcPr>
          <w:p w14:paraId="6BE2B57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336" w:type="dxa"/>
            <w:tcBorders>
              <w:top w:val="single" w:sz="6" w:space="0" w:color="auto"/>
            </w:tcBorders>
          </w:tcPr>
          <w:p w14:paraId="7358149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417" w:type="dxa"/>
            <w:tcBorders>
              <w:top w:val="single" w:sz="6" w:space="0" w:color="auto"/>
            </w:tcBorders>
          </w:tcPr>
          <w:p w14:paraId="151A724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329E885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06E0A8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5293A20E"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1795CFD9" w14:textId="77777777" w:rsidR="004135EE" w:rsidRDefault="004135EE" w:rsidP="008670FF">
            <w:pPr>
              <w:spacing w:after="0"/>
            </w:pPr>
            <w:r>
              <w:rPr>
                <w:sz w:val="16"/>
              </w:rPr>
              <w:t>Balance at 1 July 2025</w:t>
            </w:r>
          </w:p>
        </w:tc>
        <w:tc>
          <w:tcPr>
            <w:tcW w:w="700" w:type="dxa"/>
          </w:tcPr>
          <w:p w14:paraId="69537A9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39 242</w:t>
            </w:r>
          </w:p>
        </w:tc>
        <w:tc>
          <w:tcPr>
            <w:tcW w:w="1336" w:type="dxa"/>
          </w:tcPr>
          <w:p w14:paraId="4292ECF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105 304</w:t>
            </w:r>
          </w:p>
        </w:tc>
        <w:tc>
          <w:tcPr>
            <w:tcW w:w="1417" w:type="dxa"/>
          </w:tcPr>
          <w:p w14:paraId="199A829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37 970</w:t>
            </w:r>
          </w:p>
        </w:tc>
        <w:tc>
          <w:tcPr>
            <w:tcW w:w="709" w:type="dxa"/>
          </w:tcPr>
          <w:p w14:paraId="5790F58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1 532</w:t>
            </w:r>
          </w:p>
        </w:tc>
        <w:tc>
          <w:tcPr>
            <w:tcW w:w="709" w:type="dxa"/>
          </w:tcPr>
          <w:p w14:paraId="6F27527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184 047</w:t>
            </w:r>
          </w:p>
        </w:tc>
      </w:tr>
      <w:tr w:rsidR="004135EE" w14:paraId="661086FF"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04BCD2A0" w14:textId="77777777" w:rsidR="004135EE" w:rsidRDefault="004135EE" w:rsidP="008670FF">
            <w:pPr>
              <w:spacing w:after="0"/>
            </w:pPr>
            <w:r>
              <w:rPr>
                <w:sz w:val="16"/>
              </w:rPr>
              <w:t>Net result for the year</w:t>
            </w:r>
          </w:p>
        </w:tc>
        <w:tc>
          <w:tcPr>
            <w:tcW w:w="700" w:type="dxa"/>
          </w:tcPr>
          <w:p w14:paraId="5AE8E7F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1 296</w:t>
            </w:r>
          </w:p>
        </w:tc>
        <w:tc>
          <w:tcPr>
            <w:tcW w:w="1336" w:type="dxa"/>
          </w:tcPr>
          <w:p w14:paraId="3416DBA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6BF533A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38CAE73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5B15956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1 296</w:t>
            </w:r>
          </w:p>
        </w:tc>
      </w:tr>
      <w:tr w:rsidR="004135EE" w14:paraId="7F70870B"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2317DFE5" w14:textId="77777777" w:rsidR="004135EE" w:rsidRDefault="004135EE" w:rsidP="008670FF">
            <w:pPr>
              <w:spacing w:after="0"/>
            </w:pPr>
            <w:r>
              <w:rPr>
                <w:sz w:val="16"/>
              </w:rPr>
              <w:t>Other comprehensive income for the year</w:t>
            </w:r>
          </w:p>
        </w:tc>
        <w:tc>
          <w:tcPr>
            <w:tcW w:w="700" w:type="dxa"/>
          </w:tcPr>
          <w:p w14:paraId="65F5265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733</w:t>
            </w:r>
          </w:p>
        </w:tc>
        <w:tc>
          <w:tcPr>
            <w:tcW w:w="1336" w:type="dxa"/>
          </w:tcPr>
          <w:p w14:paraId="08CBA7E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8 694</w:t>
            </w:r>
          </w:p>
        </w:tc>
        <w:tc>
          <w:tcPr>
            <w:tcW w:w="1417" w:type="dxa"/>
          </w:tcPr>
          <w:p w14:paraId="07F4FE6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(19 852)</w:t>
            </w:r>
          </w:p>
        </w:tc>
        <w:tc>
          <w:tcPr>
            <w:tcW w:w="709" w:type="dxa"/>
          </w:tcPr>
          <w:p w14:paraId="5CD11CD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w:t>
            </w:r>
          </w:p>
        </w:tc>
        <w:tc>
          <w:tcPr>
            <w:tcW w:w="709" w:type="dxa"/>
          </w:tcPr>
          <w:p w14:paraId="5D4D743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(10 423)</w:t>
            </w:r>
          </w:p>
        </w:tc>
      </w:tr>
      <w:tr w:rsidR="004135EE" w14:paraId="747A38A5"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1AF9B71F" w14:textId="77777777" w:rsidR="004135EE" w:rsidRDefault="004135EE" w:rsidP="008670FF">
            <w:pPr>
              <w:spacing w:after="0"/>
            </w:pPr>
            <w:r>
              <w:rPr>
                <w:sz w:val="16"/>
              </w:rPr>
              <w:t>Transfer to/(from) accumulated surplus</w:t>
            </w:r>
          </w:p>
        </w:tc>
        <w:tc>
          <w:tcPr>
            <w:tcW w:w="700" w:type="dxa"/>
          </w:tcPr>
          <w:p w14:paraId="78F2D92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345</w:t>
            </w:r>
          </w:p>
        </w:tc>
        <w:tc>
          <w:tcPr>
            <w:tcW w:w="1336" w:type="dxa"/>
          </w:tcPr>
          <w:p w14:paraId="1780C20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(345)</w:t>
            </w:r>
          </w:p>
        </w:tc>
        <w:tc>
          <w:tcPr>
            <w:tcW w:w="1417" w:type="dxa"/>
          </w:tcPr>
          <w:p w14:paraId="41A01D8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369A54A2"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59AD9D5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r>
      <w:tr w:rsidR="004135EE" w14:paraId="7C9405F4"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bottom w:val="single" w:sz="6" w:space="0" w:color="auto"/>
            </w:tcBorders>
          </w:tcPr>
          <w:p w14:paraId="0FDBFF91" w14:textId="77777777" w:rsidR="004135EE" w:rsidRDefault="004135EE" w:rsidP="008670FF">
            <w:pPr>
              <w:spacing w:after="0"/>
            </w:pPr>
            <w:r>
              <w:rPr>
                <w:b/>
                <w:sz w:val="16"/>
              </w:rPr>
              <w:t>Total equity as at 30 June 2026</w:t>
            </w:r>
          </w:p>
        </w:tc>
        <w:tc>
          <w:tcPr>
            <w:tcW w:w="700" w:type="dxa"/>
            <w:tcBorders>
              <w:top w:val="single" w:sz="6" w:space="0" w:color="auto"/>
              <w:bottom w:val="single" w:sz="6" w:space="0" w:color="auto"/>
            </w:tcBorders>
          </w:tcPr>
          <w:p w14:paraId="05E8074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41 616</w:t>
            </w:r>
          </w:p>
        </w:tc>
        <w:tc>
          <w:tcPr>
            <w:tcW w:w="1336" w:type="dxa"/>
            <w:tcBorders>
              <w:top w:val="single" w:sz="6" w:space="0" w:color="auto"/>
              <w:bottom w:val="single" w:sz="6" w:space="0" w:color="auto"/>
            </w:tcBorders>
          </w:tcPr>
          <w:p w14:paraId="316B67E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113 653</w:t>
            </w:r>
          </w:p>
        </w:tc>
        <w:tc>
          <w:tcPr>
            <w:tcW w:w="1417" w:type="dxa"/>
            <w:tcBorders>
              <w:top w:val="single" w:sz="6" w:space="0" w:color="auto"/>
              <w:bottom w:val="single" w:sz="6" w:space="0" w:color="auto"/>
            </w:tcBorders>
          </w:tcPr>
          <w:p w14:paraId="007E35E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18 117</w:t>
            </w:r>
          </w:p>
        </w:tc>
        <w:tc>
          <w:tcPr>
            <w:tcW w:w="709" w:type="dxa"/>
            <w:tcBorders>
              <w:top w:val="single" w:sz="6" w:space="0" w:color="auto"/>
              <w:bottom w:val="single" w:sz="6" w:space="0" w:color="auto"/>
            </w:tcBorders>
          </w:tcPr>
          <w:p w14:paraId="04E7AE9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1 534</w:t>
            </w:r>
          </w:p>
        </w:tc>
        <w:tc>
          <w:tcPr>
            <w:tcW w:w="709" w:type="dxa"/>
            <w:tcBorders>
              <w:top w:val="single" w:sz="6" w:space="0" w:color="auto"/>
              <w:bottom w:val="single" w:sz="6" w:space="0" w:color="auto"/>
            </w:tcBorders>
          </w:tcPr>
          <w:p w14:paraId="4721F3D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174 920</w:t>
            </w:r>
          </w:p>
        </w:tc>
      </w:tr>
      <w:tr w:rsidR="004135EE" w14:paraId="6C695324"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tcBorders>
          </w:tcPr>
          <w:p w14:paraId="55B55ED8" w14:textId="77777777" w:rsidR="004135EE" w:rsidRDefault="004135EE" w:rsidP="008670FF">
            <w:pPr>
              <w:spacing w:after="0"/>
            </w:pPr>
            <w:r>
              <w:rPr>
                <w:b/>
                <w:sz w:val="16"/>
              </w:rPr>
              <w:t>2026</w:t>
            </w:r>
            <w:r>
              <w:rPr>
                <w:b/>
                <w:sz w:val="16"/>
              </w:rPr>
              <w:noBreakHyphen/>
              <w:t>27 estimate</w:t>
            </w:r>
          </w:p>
        </w:tc>
        <w:tc>
          <w:tcPr>
            <w:tcW w:w="700" w:type="dxa"/>
            <w:tcBorders>
              <w:top w:val="single" w:sz="6" w:space="0" w:color="auto"/>
            </w:tcBorders>
          </w:tcPr>
          <w:p w14:paraId="2A04726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336" w:type="dxa"/>
            <w:tcBorders>
              <w:top w:val="single" w:sz="6" w:space="0" w:color="auto"/>
            </w:tcBorders>
          </w:tcPr>
          <w:p w14:paraId="07A52BB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417" w:type="dxa"/>
            <w:tcBorders>
              <w:top w:val="single" w:sz="6" w:space="0" w:color="auto"/>
            </w:tcBorders>
          </w:tcPr>
          <w:p w14:paraId="668AC69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74F1C17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79988D1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56DEF357"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1FA7774E" w14:textId="77777777" w:rsidR="004135EE" w:rsidRDefault="004135EE" w:rsidP="008670FF">
            <w:pPr>
              <w:spacing w:after="0"/>
            </w:pPr>
            <w:r>
              <w:rPr>
                <w:sz w:val="16"/>
              </w:rPr>
              <w:t>Balance at 1 July 2026</w:t>
            </w:r>
          </w:p>
        </w:tc>
        <w:tc>
          <w:tcPr>
            <w:tcW w:w="700" w:type="dxa"/>
          </w:tcPr>
          <w:p w14:paraId="76989C1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41 616</w:t>
            </w:r>
          </w:p>
        </w:tc>
        <w:tc>
          <w:tcPr>
            <w:tcW w:w="1336" w:type="dxa"/>
          </w:tcPr>
          <w:p w14:paraId="57A9E7E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113 653</w:t>
            </w:r>
          </w:p>
        </w:tc>
        <w:tc>
          <w:tcPr>
            <w:tcW w:w="1417" w:type="dxa"/>
          </w:tcPr>
          <w:p w14:paraId="2C31EA4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18 117</w:t>
            </w:r>
          </w:p>
        </w:tc>
        <w:tc>
          <w:tcPr>
            <w:tcW w:w="709" w:type="dxa"/>
          </w:tcPr>
          <w:p w14:paraId="11F54E1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1 534</w:t>
            </w:r>
          </w:p>
        </w:tc>
        <w:tc>
          <w:tcPr>
            <w:tcW w:w="709" w:type="dxa"/>
          </w:tcPr>
          <w:p w14:paraId="0AC2310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174 920</w:t>
            </w:r>
          </w:p>
        </w:tc>
      </w:tr>
      <w:tr w:rsidR="004135EE" w14:paraId="67B7C066"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422A33BC" w14:textId="77777777" w:rsidR="004135EE" w:rsidRDefault="004135EE" w:rsidP="008670FF">
            <w:pPr>
              <w:spacing w:after="0"/>
            </w:pPr>
            <w:r>
              <w:rPr>
                <w:sz w:val="16"/>
              </w:rPr>
              <w:t>Net result for the year</w:t>
            </w:r>
          </w:p>
        </w:tc>
        <w:tc>
          <w:tcPr>
            <w:tcW w:w="700" w:type="dxa"/>
          </w:tcPr>
          <w:p w14:paraId="680F990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1 490</w:t>
            </w:r>
          </w:p>
        </w:tc>
        <w:tc>
          <w:tcPr>
            <w:tcW w:w="1336" w:type="dxa"/>
          </w:tcPr>
          <w:p w14:paraId="396F54D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7F15F8F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08FD258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7295610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1 490</w:t>
            </w:r>
          </w:p>
        </w:tc>
      </w:tr>
      <w:tr w:rsidR="004135EE" w14:paraId="3788D38A"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0F5D0344" w14:textId="77777777" w:rsidR="004135EE" w:rsidRDefault="004135EE" w:rsidP="008670FF">
            <w:pPr>
              <w:spacing w:after="0"/>
            </w:pPr>
            <w:r>
              <w:rPr>
                <w:sz w:val="16"/>
              </w:rPr>
              <w:t>Other comprehensive income for the year</w:t>
            </w:r>
          </w:p>
        </w:tc>
        <w:tc>
          <w:tcPr>
            <w:tcW w:w="700" w:type="dxa"/>
          </w:tcPr>
          <w:p w14:paraId="7E5304F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720</w:t>
            </w:r>
          </w:p>
        </w:tc>
        <w:tc>
          <w:tcPr>
            <w:tcW w:w="1336" w:type="dxa"/>
          </w:tcPr>
          <w:p w14:paraId="51F3747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5 809</w:t>
            </w:r>
          </w:p>
        </w:tc>
        <w:tc>
          <w:tcPr>
            <w:tcW w:w="1417" w:type="dxa"/>
          </w:tcPr>
          <w:p w14:paraId="03C6E9B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(830)</w:t>
            </w:r>
          </w:p>
        </w:tc>
        <w:tc>
          <w:tcPr>
            <w:tcW w:w="709" w:type="dxa"/>
          </w:tcPr>
          <w:p w14:paraId="0101FDF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w:t>
            </w:r>
          </w:p>
        </w:tc>
        <w:tc>
          <w:tcPr>
            <w:tcW w:w="709" w:type="dxa"/>
          </w:tcPr>
          <w:p w14:paraId="4477807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5 701</w:t>
            </w:r>
          </w:p>
        </w:tc>
      </w:tr>
      <w:tr w:rsidR="004135EE" w14:paraId="00711DBB"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172826CF" w14:textId="77777777" w:rsidR="004135EE" w:rsidRDefault="004135EE" w:rsidP="008670FF">
            <w:pPr>
              <w:spacing w:after="0"/>
            </w:pPr>
            <w:r>
              <w:rPr>
                <w:sz w:val="16"/>
              </w:rPr>
              <w:t>Transfer to/(from) accumulated surplus</w:t>
            </w:r>
          </w:p>
        </w:tc>
        <w:tc>
          <w:tcPr>
            <w:tcW w:w="700" w:type="dxa"/>
          </w:tcPr>
          <w:p w14:paraId="7A65863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336" w:type="dxa"/>
          </w:tcPr>
          <w:p w14:paraId="23DB2D4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2A65885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142D23C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22C1D0B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r>
      <w:tr w:rsidR="004135EE" w14:paraId="6E6EB67A"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bottom w:val="single" w:sz="6" w:space="0" w:color="auto"/>
            </w:tcBorders>
          </w:tcPr>
          <w:p w14:paraId="0E8E3E37" w14:textId="77777777" w:rsidR="004135EE" w:rsidRDefault="004135EE" w:rsidP="008670FF">
            <w:pPr>
              <w:spacing w:after="0"/>
            </w:pPr>
            <w:r>
              <w:rPr>
                <w:b/>
                <w:sz w:val="16"/>
              </w:rPr>
              <w:t>Total equity as at 30 June 2027</w:t>
            </w:r>
          </w:p>
        </w:tc>
        <w:tc>
          <w:tcPr>
            <w:tcW w:w="700" w:type="dxa"/>
            <w:tcBorders>
              <w:top w:val="single" w:sz="6" w:space="0" w:color="auto"/>
              <w:bottom w:val="single" w:sz="6" w:space="0" w:color="auto"/>
            </w:tcBorders>
          </w:tcPr>
          <w:p w14:paraId="01F58F1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43 825</w:t>
            </w:r>
          </w:p>
        </w:tc>
        <w:tc>
          <w:tcPr>
            <w:tcW w:w="1336" w:type="dxa"/>
            <w:tcBorders>
              <w:top w:val="single" w:sz="6" w:space="0" w:color="auto"/>
              <w:bottom w:val="single" w:sz="6" w:space="0" w:color="auto"/>
            </w:tcBorders>
          </w:tcPr>
          <w:p w14:paraId="447E17F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119 461</w:t>
            </w:r>
          </w:p>
        </w:tc>
        <w:tc>
          <w:tcPr>
            <w:tcW w:w="1417" w:type="dxa"/>
            <w:tcBorders>
              <w:top w:val="single" w:sz="6" w:space="0" w:color="auto"/>
              <w:bottom w:val="single" w:sz="6" w:space="0" w:color="auto"/>
            </w:tcBorders>
          </w:tcPr>
          <w:p w14:paraId="3469407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17 287</w:t>
            </w:r>
          </w:p>
        </w:tc>
        <w:tc>
          <w:tcPr>
            <w:tcW w:w="709" w:type="dxa"/>
            <w:tcBorders>
              <w:top w:val="single" w:sz="6" w:space="0" w:color="auto"/>
              <w:bottom w:val="single" w:sz="6" w:space="0" w:color="auto"/>
            </w:tcBorders>
          </w:tcPr>
          <w:p w14:paraId="44DA3DF0"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1 537</w:t>
            </w:r>
          </w:p>
        </w:tc>
        <w:tc>
          <w:tcPr>
            <w:tcW w:w="709" w:type="dxa"/>
            <w:tcBorders>
              <w:top w:val="single" w:sz="6" w:space="0" w:color="auto"/>
              <w:bottom w:val="single" w:sz="6" w:space="0" w:color="auto"/>
            </w:tcBorders>
          </w:tcPr>
          <w:p w14:paraId="038708F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182 111</w:t>
            </w:r>
          </w:p>
        </w:tc>
      </w:tr>
      <w:tr w:rsidR="004135EE" w14:paraId="3E898C98"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tcBorders>
          </w:tcPr>
          <w:p w14:paraId="285B579D" w14:textId="77777777" w:rsidR="004135EE" w:rsidRDefault="004135EE" w:rsidP="008670FF">
            <w:pPr>
              <w:spacing w:after="0"/>
            </w:pPr>
            <w:r>
              <w:rPr>
                <w:b/>
                <w:sz w:val="16"/>
              </w:rPr>
              <w:t>2027</w:t>
            </w:r>
            <w:r>
              <w:rPr>
                <w:b/>
                <w:sz w:val="16"/>
              </w:rPr>
              <w:noBreakHyphen/>
              <w:t>28 estimate</w:t>
            </w:r>
          </w:p>
        </w:tc>
        <w:tc>
          <w:tcPr>
            <w:tcW w:w="700" w:type="dxa"/>
            <w:tcBorders>
              <w:top w:val="single" w:sz="6" w:space="0" w:color="auto"/>
            </w:tcBorders>
          </w:tcPr>
          <w:p w14:paraId="533CEE1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336" w:type="dxa"/>
            <w:tcBorders>
              <w:top w:val="single" w:sz="6" w:space="0" w:color="auto"/>
            </w:tcBorders>
          </w:tcPr>
          <w:p w14:paraId="6386A9D7"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1417" w:type="dxa"/>
            <w:tcBorders>
              <w:top w:val="single" w:sz="6" w:space="0" w:color="auto"/>
            </w:tcBorders>
          </w:tcPr>
          <w:p w14:paraId="402E93D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55EB81A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c>
          <w:tcPr>
            <w:tcW w:w="709" w:type="dxa"/>
            <w:tcBorders>
              <w:top w:val="single" w:sz="6" w:space="0" w:color="auto"/>
            </w:tcBorders>
          </w:tcPr>
          <w:p w14:paraId="46DA44AD"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p>
        </w:tc>
      </w:tr>
      <w:tr w:rsidR="004135EE" w14:paraId="03B5FE78"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3DE384B3" w14:textId="77777777" w:rsidR="004135EE" w:rsidRDefault="004135EE" w:rsidP="008670FF">
            <w:pPr>
              <w:spacing w:after="0"/>
            </w:pPr>
            <w:r>
              <w:rPr>
                <w:sz w:val="16"/>
              </w:rPr>
              <w:t>Balance at 1 July 2027</w:t>
            </w:r>
          </w:p>
        </w:tc>
        <w:tc>
          <w:tcPr>
            <w:tcW w:w="700" w:type="dxa"/>
          </w:tcPr>
          <w:p w14:paraId="5C66ACEE"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43 825</w:t>
            </w:r>
          </w:p>
        </w:tc>
        <w:tc>
          <w:tcPr>
            <w:tcW w:w="1336" w:type="dxa"/>
          </w:tcPr>
          <w:p w14:paraId="6A05017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119 461</w:t>
            </w:r>
          </w:p>
        </w:tc>
        <w:tc>
          <w:tcPr>
            <w:tcW w:w="1417" w:type="dxa"/>
          </w:tcPr>
          <w:p w14:paraId="5D17599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17 287</w:t>
            </w:r>
          </w:p>
        </w:tc>
        <w:tc>
          <w:tcPr>
            <w:tcW w:w="709" w:type="dxa"/>
          </w:tcPr>
          <w:p w14:paraId="63D4409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1 537</w:t>
            </w:r>
          </w:p>
        </w:tc>
        <w:tc>
          <w:tcPr>
            <w:tcW w:w="709" w:type="dxa"/>
          </w:tcPr>
          <w:p w14:paraId="60BE6859"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182 111</w:t>
            </w:r>
          </w:p>
        </w:tc>
      </w:tr>
      <w:tr w:rsidR="004135EE" w14:paraId="1938B214"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77EFF6CA" w14:textId="77777777" w:rsidR="004135EE" w:rsidRDefault="004135EE" w:rsidP="008670FF">
            <w:pPr>
              <w:spacing w:after="0"/>
            </w:pPr>
            <w:r>
              <w:rPr>
                <w:sz w:val="16"/>
              </w:rPr>
              <w:t>Net result for the year</w:t>
            </w:r>
          </w:p>
        </w:tc>
        <w:tc>
          <w:tcPr>
            <w:tcW w:w="700" w:type="dxa"/>
          </w:tcPr>
          <w:p w14:paraId="4BDBA23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1 796</w:t>
            </w:r>
          </w:p>
        </w:tc>
        <w:tc>
          <w:tcPr>
            <w:tcW w:w="1336" w:type="dxa"/>
          </w:tcPr>
          <w:p w14:paraId="43EBC591"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4707297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78CF63C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473361B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1 796</w:t>
            </w:r>
          </w:p>
        </w:tc>
      </w:tr>
      <w:tr w:rsidR="004135EE" w14:paraId="1D4EC127"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2F1461C3" w14:textId="77777777" w:rsidR="004135EE" w:rsidRDefault="004135EE" w:rsidP="008670FF">
            <w:pPr>
              <w:spacing w:after="0"/>
            </w:pPr>
            <w:r>
              <w:rPr>
                <w:sz w:val="16"/>
              </w:rPr>
              <w:t>Other comprehensive income for the year</w:t>
            </w:r>
          </w:p>
        </w:tc>
        <w:tc>
          <w:tcPr>
            <w:tcW w:w="700" w:type="dxa"/>
          </w:tcPr>
          <w:p w14:paraId="3BF74E08"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722</w:t>
            </w:r>
          </w:p>
        </w:tc>
        <w:tc>
          <w:tcPr>
            <w:tcW w:w="1336" w:type="dxa"/>
          </w:tcPr>
          <w:p w14:paraId="19795ABB"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8 979</w:t>
            </w:r>
          </w:p>
        </w:tc>
        <w:tc>
          <w:tcPr>
            <w:tcW w:w="1417" w:type="dxa"/>
          </w:tcPr>
          <w:p w14:paraId="5F9A78E5"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(1 010)</w:t>
            </w:r>
          </w:p>
        </w:tc>
        <w:tc>
          <w:tcPr>
            <w:tcW w:w="709" w:type="dxa"/>
          </w:tcPr>
          <w:p w14:paraId="441CD58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3</w:t>
            </w:r>
          </w:p>
        </w:tc>
        <w:tc>
          <w:tcPr>
            <w:tcW w:w="709" w:type="dxa"/>
          </w:tcPr>
          <w:p w14:paraId="2138DBA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8 694</w:t>
            </w:r>
          </w:p>
        </w:tc>
      </w:tr>
      <w:tr w:rsidR="004135EE" w14:paraId="762F1B86"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Pr>
          <w:p w14:paraId="7154ACD6" w14:textId="77777777" w:rsidR="004135EE" w:rsidRDefault="004135EE" w:rsidP="008670FF">
            <w:pPr>
              <w:spacing w:after="0"/>
            </w:pPr>
            <w:r>
              <w:rPr>
                <w:sz w:val="16"/>
              </w:rPr>
              <w:t>Transfer to/(from) accumulated surplus</w:t>
            </w:r>
          </w:p>
        </w:tc>
        <w:tc>
          <w:tcPr>
            <w:tcW w:w="700" w:type="dxa"/>
          </w:tcPr>
          <w:p w14:paraId="58778C5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336" w:type="dxa"/>
          </w:tcPr>
          <w:p w14:paraId="7D50F173"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1417" w:type="dxa"/>
          </w:tcPr>
          <w:p w14:paraId="254BB9E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652850FF"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c>
          <w:tcPr>
            <w:tcW w:w="709" w:type="dxa"/>
          </w:tcPr>
          <w:p w14:paraId="56B844AA"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sz w:val="16"/>
              </w:rPr>
              <w:t>..</w:t>
            </w:r>
          </w:p>
        </w:tc>
      </w:tr>
      <w:tr w:rsidR="004135EE" w14:paraId="5AEDB180" w14:textId="77777777" w:rsidTr="004135EE">
        <w:tc>
          <w:tcPr>
            <w:cnfStyle w:val="001000000000" w:firstRow="0" w:lastRow="0" w:firstColumn="1" w:lastColumn="0" w:oddVBand="0" w:evenVBand="0" w:oddHBand="0" w:evenHBand="0" w:firstRowFirstColumn="0" w:firstRowLastColumn="0" w:lastRowFirstColumn="0" w:lastRowLastColumn="0"/>
            <w:tcW w:w="2926" w:type="dxa"/>
            <w:gridSpan w:val="2"/>
            <w:tcBorders>
              <w:top w:val="single" w:sz="6" w:space="0" w:color="auto"/>
              <w:bottom w:val="single" w:sz="12" w:space="0" w:color="auto"/>
            </w:tcBorders>
          </w:tcPr>
          <w:p w14:paraId="083FE7DB" w14:textId="77777777" w:rsidR="004135EE" w:rsidRDefault="004135EE" w:rsidP="008670FF">
            <w:pPr>
              <w:spacing w:after="0"/>
            </w:pPr>
            <w:r>
              <w:rPr>
                <w:b/>
                <w:sz w:val="16"/>
              </w:rPr>
              <w:t>Total equity as at 30 June 2028</w:t>
            </w:r>
          </w:p>
        </w:tc>
        <w:tc>
          <w:tcPr>
            <w:tcW w:w="700" w:type="dxa"/>
            <w:tcBorders>
              <w:top w:val="single" w:sz="6" w:space="0" w:color="auto"/>
              <w:bottom w:val="single" w:sz="12" w:space="0" w:color="auto"/>
            </w:tcBorders>
          </w:tcPr>
          <w:p w14:paraId="16AE7FEC"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46 344</w:t>
            </w:r>
          </w:p>
        </w:tc>
        <w:tc>
          <w:tcPr>
            <w:tcW w:w="1336" w:type="dxa"/>
            <w:tcBorders>
              <w:top w:val="single" w:sz="6" w:space="0" w:color="auto"/>
              <w:bottom w:val="single" w:sz="12" w:space="0" w:color="auto"/>
            </w:tcBorders>
          </w:tcPr>
          <w:p w14:paraId="3F6E3F8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128 440</w:t>
            </w:r>
          </w:p>
        </w:tc>
        <w:tc>
          <w:tcPr>
            <w:tcW w:w="1417" w:type="dxa"/>
            <w:tcBorders>
              <w:top w:val="single" w:sz="6" w:space="0" w:color="auto"/>
              <w:bottom w:val="single" w:sz="12" w:space="0" w:color="auto"/>
            </w:tcBorders>
          </w:tcPr>
          <w:p w14:paraId="0387D9C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16 277</w:t>
            </w:r>
          </w:p>
        </w:tc>
        <w:tc>
          <w:tcPr>
            <w:tcW w:w="709" w:type="dxa"/>
            <w:tcBorders>
              <w:top w:val="single" w:sz="6" w:space="0" w:color="auto"/>
              <w:bottom w:val="single" w:sz="12" w:space="0" w:color="auto"/>
            </w:tcBorders>
          </w:tcPr>
          <w:p w14:paraId="0DB9DEC4"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1 540</w:t>
            </w:r>
          </w:p>
        </w:tc>
        <w:tc>
          <w:tcPr>
            <w:tcW w:w="709" w:type="dxa"/>
            <w:tcBorders>
              <w:top w:val="single" w:sz="6" w:space="0" w:color="auto"/>
              <w:bottom w:val="single" w:sz="12" w:space="0" w:color="auto"/>
            </w:tcBorders>
          </w:tcPr>
          <w:p w14:paraId="2EA3BF46" w14:textId="77777777" w:rsidR="004135EE" w:rsidRDefault="004135EE" w:rsidP="008670FF">
            <w:pPr>
              <w:spacing w:after="0"/>
              <w:cnfStyle w:val="000000000000" w:firstRow="0" w:lastRow="0" w:firstColumn="0" w:lastColumn="0" w:oddVBand="0" w:evenVBand="0" w:oddHBand="0" w:evenHBand="0" w:firstRowFirstColumn="0" w:firstRowLastColumn="0" w:lastRowFirstColumn="0" w:lastRowLastColumn="0"/>
            </w:pPr>
            <w:r>
              <w:rPr>
                <w:b/>
                <w:sz w:val="16"/>
              </w:rPr>
              <w:t>192 601</w:t>
            </w:r>
          </w:p>
        </w:tc>
      </w:tr>
    </w:tbl>
    <w:p w14:paraId="6BBF69DE" w14:textId="77777777" w:rsidR="004135EE" w:rsidRDefault="004135EE" w:rsidP="004135EE">
      <w:pPr>
        <w:pStyle w:val="Source"/>
      </w:pPr>
      <w:r>
        <w:t>The accompanying notes form part of these Estimated Financial Statements.</w:t>
      </w:r>
    </w:p>
    <w:p w14:paraId="294D58D8" w14:textId="77777777" w:rsidR="004135EE" w:rsidRDefault="004135EE" w:rsidP="004135EE">
      <w:pPr>
        <w:pStyle w:val="Note"/>
        <w:ind w:left="0" w:firstLine="0"/>
      </w:pPr>
      <w:r w:rsidRPr="00C87705">
        <w:t>Note</w:t>
      </w:r>
      <w:r>
        <w:t>s</w:t>
      </w:r>
      <w:r w:rsidRPr="00C87705">
        <w:t>:</w:t>
      </w:r>
    </w:p>
    <w:p w14:paraId="17561F3A" w14:textId="77777777" w:rsidR="004135EE" w:rsidRDefault="004135EE" w:rsidP="004135EE">
      <w:pPr>
        <w:pStyle w:val="Note"/>
      </w:pPr>
      <w:r>
        <w:t>(a)</w:t>
      </w:r>
      <w:r>
        <w:tab/>
      </w:r>
      <w:r w:rsidRPr="00D90782">
        <w:t>Balances represent actual opening balances at 1 July 202</w:t>
      </w:r>
      <w:r>
        <w:t>4</w:t>
      </w:r>
      <w:r w:rsidRPr="00D90782">
        <w:t xml:space="preserve"> plus 202</w:t>
      </w:r>
      <w:r>
        <w:t>4-25</w:t>
      </w:r>
      <w:r w:rsidRPr="00D90782">
        <w:t xml:space="preserve"> budgeted movements</w:t>
      </w:r>
      <w:r>
        <w:t>.</w:t>
      </w:r>
    </w:p>
    <w:p w14:paraId="5DF8B5DB" w14:textId="77777777" w:rsidR="004135EE" w:rsidRDefault="004135EE" w:rsidP="004135EE">
      <w:pPr>
        <w:pStyle w:val="Note"/>
      </w:pPr>
      <w:r>
        <w:t>(b)</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29772A">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29657ED5" w14:textId="77777777" w:rsidR="004135EE" w:rsidRDefault="004135EE" w:rsidP="004135EE">
      <w:pPr>
        <w:pStyle w:val="Note"/>
      </w:pPr>
      <w:r>
        <w:t>(c)</w:t>
      </w:r>
      <w:r>
        <w:tab/>
      </w:r>
      <w:r w:rsidRPr="00AE0220">
        <w:t>VicForests ceased operations on 30 June 2024 and the</w:t>
      </w:r>
      <w:r>
        <w:t xml:space="preserve"> residual assets and liabilities together with</w:t>
      </w:r>
      <w:r w:rsidRPr="00AE0220">
        <w:t xml:space="preserve"> residual 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w:t>
      </w:r>
      <w:r w:rsidRPr="00AE0220">
        <w:t>July 2024 opening balance not equalling the 30 June closing balance</w:t>
      </w:r>
      <w:r>
        <w:t>.</w:t>
      </w:r>
    </w:p>
    <w:p w14:paraId="35BF76EA" w14:textId="77777777" w:rsidR="004135EE" w:rsidRDefault="004135EE" w:rsidP="004135EE">
      <w:pPr>
        <w:pStyle w:val="Note"/>
      </w:pPr>
    </w:p>
    <w:p w14:paraId="41DC0613" w14:textId="77777777" w:rsidR="0097358A" w:rsidRPr="00723C6B" w:rsidRDefault="0097358A" w:rsidP="00723C6B">
      <w:pPr>
        <w:pStyle w:val="ListParagraph"/>
        <w:keepNext/>
        <w:keepLines w:val="0"/>
        <w:numPr>
          <w:ilvl w:val="0"/>
          <w:numId w:val="6"/>
        </w:numPr>
        <w:spacing w:before="0"/>
        <w:outlineLvl w:val="0"/>
        <w:rPr>
          <w:rFonts w:asciiTheme="majorHAnsi" w:eastAsiaTheme="majorEastAsia" w:hAnsiTheme="majorHAnsi" w:cstheme="majorBidi"/>
          <w:b/>
          <w:caps/>
          <w:vanish/>
          <w:sz w:val="12"/>
          <w:szCs w:val="12"/>
        </w:rPr>
      </w:pPr>
      <w:bookmarkStart w:id="65" w:name="_Toc179455583"/>
      <w:bookmarkStart w:id="66" w:name="_Toc179455721"/>
    </w:p>
    <w:p w14:paraId="6449ACC3" w14:textId="77777777" w:rsidR="0097358A" w:rsidRPr="00723C6B" w:rsidRDefault="0097358A" w:rsidP="00723C6B">
      <w:pPr>
        <w:pStyle w:val="ListParagraph"/>
        <w:keepNext/>
        <w:keepLines w:val="0"/>
        <w:numPr>
          <w:ilvl w:val="0"/>
          <w:numId w:val="6"/>
        </w:numPr>
        <w:spacing w:before="0"/>
        <w:outlineLvl w:val="0"/>
        <w:rPr>
          <w:rFonts w:asciiTheme="majorHAnsi" w:eastAsiaTheme="majorEastAsia" w:hAnsiTheme="majorHAnsi" w:cstheme="majorBidi"/>
          <w:b/>
          <w:caps/>
          <w:vanish/>
          <w:sz w:val="12"/>
          <w:szCs w:val="12"/>
        </w:rPr>
      </w:pPr>
    </w:p>
    <w:p w14:paraId="32000C11" w14:textId="77777777" w:rsidR="0097358A" w:rsidRPr="00723C6B" w:rsidRDefault="0097358A" w:rsidP="00723C6B">
      <w:pPr>
        <w:pStyle w:val="ListParagraph"/>
        <w:keepNext/>
        <w:keepLines w:val="0"/>
        <w:numPr>
          <w:ilvl w:val="0"/>
          <w:numId w:val="6"/>
        </w:numPr>
        <w:spacing w:before="0"/>
        <w:outlineLvl w:val="0"/>
        <w:rPr>
          <w:rFonts w:asciiTheme="majorHAnsi" w:eastAsiaTheme="majorEastAsia" w:hAnsiTheme="majorHAnsi" w:cstheme="majorBidi"/>
          <w:b/>
          <w:caps/>
          <w:vanish/>
          <w:sz w:val="12"/>
          <w:szCs w:val="12"/>
        </w:rPr>
      </w:pPr>
    </w:p>
    <w:p w14:paraId="78445E66" w14:textId="77777777" w:rsidR="0097358A" w:rsidRPr="00723C6B" w:rsidRDefault="0097358A" w:rsidP="00723C6B">
      <w:pPr>
        <w:pStyle w:val="ListParagraph"/>
        <w:keepNext/>
        <w:keepLines w:val="0"/>
        <w:numPr>
          <w:ilvl w:val="0"/>
          <w:numId w:val="6"/>
        </w:numPr>
        <w:spacing w:before="0"/>
        <w:outlineLvl w:val="0"/>
        <w:rPr>
          <w:rFonts w:asciiTheme="majorHAnsi" w:eastAsiaTheme="majorEastAsia" w:hAnsiTheme="majorHAnsi" w:cstheme="majorBidi"/>
          <w:b/>
          <w:caps/>
          <w:vanish/>
          <w:sz w:val="12"/>
          <w:szCs w:val="12"/>
        </w:rPr>
      </w:pPr>
    </w:p>
    <w:p w14:paraId="0D41B811" w14:textId="46DBC5E9" w:rsidR="004135EE" w:rsidRDefault="004135EE" w:rsidP="0097358A">
      <w:pPr>
        <w:pStyle w:val="Heading2"/>
        <w:spacing w:before="0"/>
      </w:pPr>
      <w:r>
        <w:t>About this report</w:t>
      </w:r>
      <w:bookmarkEnd w:id="65"/>
      <w:bookmarkEnd w:id="66"/>
    </w:p>
    <w:p w14:paraId="2D3F1B79" w14:textId="77777777" w:rsidR="004135EE" w:rsidRPr="007E07F9" w:rsidRDefault="004135EE" w:rsidP="004135EE">
      <w:pPr>
        <w:pStyle w:val="Heading20"/>
      </w:pPr>
      <w:r w:rsidRPr="007E07F9">
        <w:t>Basis of preparation</w:t>
      </w:r>
    </w:p>
    <w:p w14:paraId="690DCCBE" w14:textId="77777777" w:rsidR="004135EE" w:rsidRPr="007E07F9" w:rsidRDefault="004135EE" w:rsidP="004135EE">
      <w:r w:rsidRPr="007E07F9">
        <w:t xml:space="preserve">This note summarises the basis applied in preparing and presenting these Estimated Financial Statements, which includes the budget year and the estimates for the three </w:t>
      </w:r>
      <w:r>
        <w:t xml:space="preserve">forward </w:t>
      </w:r>
      <w:r w:rsidRPr="007E07F9">
        <w:t xml:space="preserve">years. </w:t>
      </w:r>
    </w:p>
    <w:p w14:paraId="5174826B" w14:textId="77777777" w:rsidR="004135EE" w:rsidRPr="007E07F9" w:rsidRDefault="004135EE" w:rsidP="004135EE">
      <w:r w:rsidRPr="007E07F9">
        <w:t xml:space="preserve">The detailed accounting policies applied in preparing the Estimated Financial Statements </w:t>
      </w:r>
      <w:r>
        <w:t xml:space="preserve">for the 2024-25 budget year, and the three forward years, </w:t>
      </w:r>
      <w:r w:rsidRPr="007E07F9">
        <w:t xml:space="preserve">are consistent with those in the </w:t>
      </w:r>
      <w:r w:rsidRPr="00204C87">
        <w:rPr>
          <w:i/>
          <w:iCs/>
        </w:rPr>
        <w:t>202</w:t>
      </w:r>
      <w:r>
        <w:rPr>
          <w:i/>
          <w:iCs/>
        </w:rPr>
        <w:t>3-24</w:t>
      </w:r>
      <w:r w:rsidRPr="00204C87">
        <w:rPr>
          <w:i/>
          <w:iCs/>
        </w:rPr>
        <w:t xml:space="preserve"> Financial Report</w:t>
      </w:r>
      <w:r w:rsidRPr="007E07F9">
        <w:t xml:space="preserve"> for the State of Victoria as</w:t>
      </w:r>
      <w:r>
        <w:t xml:space="preserve"> </w:t>
      </w:r>
      <w:r w:rsidRPr="007E07F9">
        <w:t>presented to Parliament. The audited 30 June 202</w:t>
      </w:r>
      <w:r>
        <w:t>4</w:t>
      </w:r>
      <w:r w:rsidRPr="007E07F9">
        <w:t xml:space="preserve"> asset and liability balances, as reported in the</w:t>
      </w:r>
      <w:r w:rsidRPr="00204C87">
        <w:rPr>
          <w:i/>
          <w:iCs/>
        </w:rPr>
        <w:t xml:space="preserve"> 202</w:t>
      </w:r>
      <w:r>
        <w:rPr>
          <w:i/>
          <w:iCs/>
        </w:rPr>
        <w:t>3-24</w:t>
      </w:r>
      <w:r w:rsidRPr="00204C87">
        <w:rPr>
          <w:i/>
          <w:iCs/>
        </w:rPr>
        <w:t xml:space="preserve"> Financial Report</w:t>
      </w:r>
      <w:r>
        <w:t>,</w:t>
      </w:r>
      <w:r w:rsidRPr="007E07F9">
        <w:t xml:space="preserve"> form the basis on which asset and liability balances are projected over the next four years.</w:t>
      </w:r>
    </w:p>
    <w:p w14:paraId="7DBC2433" w14:textId="77777777" w:rsidR="004135EE" w:rsidRPr="007E07F9" w:rsidRDefault="004135EE" w:rsidP="004135EE">
      <w:r w:rsidRPr="007E07F9">
        <w:t>The accrual basis of accounting has been applied in preparing the Estimated Financial Statements whereby assets, liabilities, equity, income and expenses are recognised in the reporting period to which they relate, regardless of when cash is received or paid.</w:t>
      </w:r>
    </w:p>
    <w:p w14:paraId="35C5B6DB" w14:textId="77777777" w:rsidR="004135EE" w:rsidRPr="007E07F9" w:rsidRDefault="004135EE" w:rsidP="004135EE">
      <w:r w:rsidRPr="007E07F9">
        <w:t xml:space="preserve">The Estimated Financial Statements are presented in Australian dollars, which is also the functional currency of the Victorian general government sector. </w:t>
      </w:r>
    </w:p>
    <w:p w14:paraId="7D04D2FC" w14:textId="77777777" w:rsidR="004135EE" w:rsidRPr="007E07F9" w:rsidRDefault="004135EE" w:rsidP="004135EE">
      <w:r w:rsidRPr="007E07F9">
        <w:t>The Estimated Financial Statements have been prepared in accordance with the historical cost convention. Historical cost is based on the fair value of the consideration given in exchange for assets. Exceptions to the historical cost convention include:</w:t>
      </w:r>
    </w:p>
    <w:p w14:paraId="3D1F0F2C" w14:textId="77777777" w:rsidR="004135EE" w:rsidRPr="007E07F9" w:rsidRDefault="004135EE" w:rsidP="004135EE">
      <w:pPr>
        <w:pStyle w:val="ListBullet"/>
      </w:pPr>
      <w:r w:rsidRPr="007E07F9">
        <w:t>general government sector investments in other sector entities which are measured at net asset value</w:t>
      </w:r>
    </w:p>
    <w:p w14:paraId="6B95EE1D" w14:textId="77777777" w:rsidR="004135EE" w:rsidRPr="007E07F9" w:rsidRDefault="004135EE" w:rsidP="004135EE">
      <w:pPr>
        <w:pStyle w:val="ListBullet"/>
      </w:pPr>
      <w:r w:rsidRPr="007E07F9">
        <w:t>non</w:t>
      </w:r>
      <w:r>
        <w:noBreakHyphen/>
      </w:r>
      <w:r w:rsidRPr="007E07F9">
        <w:t xml:space="preserve">financial physical assets including service concession arrangement </w:t>
      </w:r>
      <w:r>
        <w:t xml:space="preserve">assets </w:t>
      </w:r>
      <w:r w:rsidRPr="007E07F9">
        <w:t>and right</w:t>
      </w:r>
      <w:r>
        <w:noBreakHyphen/>
      </w:r>
      <w:r w:rsidRPr="007E07F9">
        <w:t>of</w:t>
      </w:r>
      <w:r>
        <w:noBreakHyphen/>
      </w:r>
      <w:r w:rsidRPr="007E07F9">
        <w:t>use assets which, subsequent to initial recognition, are measured at a revalued amount being their fair value at the</w:t>
      </w:r>
      <w:r>
        <w:t xml:space="preserve"> reporting</w:t>
      </w:r>
      <w:r w:rsidRPr="007E07F9">
        <w:t xml:space="preserve"> date less any subsequent accumulated depreciation and subsequent impairment losses. Revaluations are made with sufficient regularity to ensure the carrying amounts do not materially differ from their fair value</w:t>
      </w:r>
      <w:r>
        <w:t>s</w:t>
      </w:r>
    </w:p>
    <w:p w14:paraId="71DCB449" w14:textId="77777777" w:rsidR="004135EE" w:rsidRPr="007E07F9" w:rsidRDefault="004135EE" w:rsidP="004135EE">
      <w:pPr>
        <w:pStyle w:val="ListBullet"/>
      </w:pPr>
      <w:r w:rsidRPr="007E07F9">
        <w:t>certain liabilities, most notably unfunded superannuation, which are subject to actuarial assessment</w:t>
      </w:r>
      <w:r>
        <w:t>s</w:t>
      </w:r>
    </w:p>
    <w:p w14:paraId="3AFD4822" w14:textId="77777777" w:rsidR="004135EE" w:rsidRPr="007E07F9" w:rsidRDefault="004135EE" w:rsidP="004135EE">
      <w:pPr>
        <w:pStyle w:val="ListBullet"/>
      </w:pPr>
      <w:r w:rsidRPr="007E07F9">
        <w:t>financial assets</w:t>
      </w:r>
      <w:r>
        <w:t xml:space="preserve"> </w:t>
      </w:r>
      <w:r w:rsidRPr="007E07F9">
        <w:t>at fair value through other comprehensive income, which are measured at fair value with movements reflected in other economic flows – other comprehensive income</w:t>
      </w:r>
    </w:p>
    <w:p w14:paraId="21C524AF" w14:textId="77777777" w:rsidR="004135EE" w:rsidRPr="007E07F9" w:rsidRDefault="004135EE" w:rsidP="004135EE">
      <w:pPr>
        <w:pStyle w:val="ListBullet"/>
      </w:pPr>
      <w:r w:rsidRPr="007E07F9">
        <w:t xml:space="preserve">financial assets </w:t>
      </w:r>
      <w:r>
        <w:t>classified at</w:t>
      </w:r>
      <w:r w:rsidRPr="007E07F9">
        <w:t xml:space="preserve"> fair value through profit and loss, which are measured at fair value with movements reflected in other economic flows included in </w:t>
      </w:r>
      <w:r>
        <w:t xml:space="preserve">the </w:t>
      </w:r>
      <w:r w:rsidRPr="007E07F9">
        <w:t>net result.</w:t>
      </w:r>
    </w:p>
    <w:p w14:paraId="231D095E" w14:textId="4CCE2364" w:rsidR="004135EE" w:rsidRDefault="004135EE" w:rsidP="004135EE">
      <w:bookmarkStart w:id="67" w:name="_Hlk182910431"/>
      <w:r w:rsidRPr="007E07F9">
        <w:t xml:space="preserve">For assets and liabilities measured at fair value in the estimated balance sheet, the principles </w:t>
      </w:r>
      <w:r>
        <w:t>of</w:t>
      </w:r>
      <w:r w:rsidRPr="007E07F9">
        <w:t xml:space="preserve"> AASB 13 </w:t>
      </w:r>
      <w:r w:rsidRPr="00204C87">
        <w:rPr>
          <w:i/>
          <w:iCs/>
        </w:rPr>
        <w:t>Fair Value Measurement</w:t>
      </w:r>
      <w:r w:rsidRPr="007E07F9">
        <w:t xml:space="preserve"> have been applied.</w:t>
      </w:r>
      <w:r w:rsidRPr="00190B1E">
        <w:rPr>
          <w:rFonts w:ascii="Segoe UI" w:eastAsia="Times New Roman" w:hAnsi="Segoe UI" w:cs="Segoe UI"/>
          <w:sz w:val="18"/>
          <w:szCs w:val="18"/>
          <w:lang w:eastAsia="en-AU"/>
        </w:rPr>
        <w:t xml:space="preserve"> </w:t>
      </w:r>
      <w:r w:rsidRPr="00190B1E">
        <w:t xml:space="preserve">In December 2022, the Australian Accounting Standards Board published AASB 2022-10 </w:t>
      </w:r>
      <w:r w:rsidRPr="00190B1E">
        <w:rPr>
          <w:i/>
          <w:iCs/>
        </w:rPr>
        <w:t>Amendments to the Australian Accounting Standards – Fair Value Measurement of Non-Financial Assets of Not</w:t>
      </w:r>
      <w:r w:rsidR="00404D90">
        <w:rPr>
          <w:i/>
          <w:iCs/>
        </w:rPr>
        <w:noBreakHyphen/>
      </w:r>
      <w:r w:rsidRPr="00190B1E">
        <w:rPr>
          <w:i/>
          <w:iCs/>
        </w:rPr>
        <w:t>for</w:t>
      </w:r>
      <w:r w:rsidR="00404D90">
        <w:rPr>
          <w:i/>
          <w:iCs/>
        </w:rPr>
        <w:noBreakHyphen/>
      </w:r>
      <w:r w:rsidRPr="00190B1E">
        <w:rPr>
          <w:i/>
          <w:iCs/>
        </w:rPr>
        <w:t>Profit Public Sector Entities</w:t>
      </w:r>
      <w:r w:rsidRPr="00190B1E">
        <w:t xml:space="preserve"> clarifying the application of AASB 13 in the context of the public sector prospectively for annual periods beginning on or after 1 January 2024. </w:t>
      </w:r>
    </w:p>
    <w:p w14:paraId="2B9BE2F2" w14:textId="1B308F91" w:rsidR="004135EE" w:rsidRPr="004135EE" w:rsidRDefault="004135EE" w:rsidP="004135EE">
      <w:pPr>
        <w:pStyle w:val="NoSpacing"/>
      </w:pPr>
      <w:r w:rsidRPr="004135EE">
        <w:t xml:space="preserve">AASB 2022-10 clarified the application of the highest and best use concept and added a new Appendix F explaining and illustrating the application of the principles on developing unobservable inputs and the application of the cost approach. In accordance with FRD 103 </w:t>
      </w:r>
      <w:r w:rsidRPr="004135EE">
        <w:rPr>
          <w:i/>
        </w:rPr>
        <w:t>Non-financial physical assets</w:t>
      </w:r>
      <w:r w:rsidRPr="004135EE">
        <w:t>, the State applies Appendix F prospectively as part of the scheduled formal and interim asset valuations during 2025-2029.</w:t>
      </w:r>
    </w:p>
    <w:bookmarkEnd w:id="67"/>
    <w:p w14:paraId="364BC745" w14:textId="77777777" w:rsidR="004135EE" w:rsidRPr="007E07F9" w:rsidRDefault="004135EE" w:rsidP="004135EE">
      <w:r w:rsidRPr="007E07F9">
        <w:t xml:space="preserve">As required by AASB 1049 </w:t>
      </w:r>
      <w:r w:rsidRPr="001E1256">
        <w:rPr>
          <w:i/>
          <w:iCs/>
        </w:rPr>
        <w:t>Wh</w:t>
      </w:r>
      <w:r w:rsidRPr="00204C87">
        <w:rPr>
          <w:i/>
          <w:iCs/>
        </w:rPr>
        <w:t>ole of Government and General Government Sector Financial Reporting</w:t>
      </w:r>
      <w:r w:rsidRPr="007E07F9">
        <w:t xml:space="preserve">, the estimated comprehensive operating statement distinguishes between transactions and other economic flows based on the principles in the Government Finance Statistics (GFS) Manual. Transactions are those economic flows that are considered to arise as a result of policy decisions, usually interactions between two entities by mutual agreement, and also flows within an entity, such as depreciation where the owner is simultaneously acting as the owner of the depreciating asset and as the consumer of the service provided by the asset. Taxation is regarded as mutually agreed interactions between the </w:t>
      </w:r>
      <w:r>
        <w:t>G</w:t>
      </w:r>
      <w:r w:rsidRPr="007E07F9">
        <w:t xml:space="preserve">overnment and the taxpayer. Transactions may be </w:t>
      </w:r>
      <w:r>
        <w:t xml:space="preserve">settled in </w:t>
      </w:r>
      <w:r w:rsidRPr="007E07F9">
        <w:t xml:space="preserve">cash or settled in kind (e.g. assets provided/given free of charge or for nominal consideration). </w:t>
      </w:r>
    </w:p>
    <w:p w14:paraId="14287CA8" w14:textId="77777777" w:rsidR="004135EE" w:rsidRPr="007E07F9" w:rsidRDefault="004135EE" w:rsidP="004135EE">
      <w:r w:rsidRPr="007E07F9">
        <w:t>Other economic flows are changes arising from market remeasurements. They include:</w:t>
      </w:r>
    </w:p>
    <w:p w14:paraId="704303A8" w14:textId="77777777" w:rsidR="004135EE" w:rsidRPr="007E07F9" w:rsidRDefault="004135EE" w:rsidP="004135EE">
      <w:pPr>
        <w:pStyle w:val="ListBullet"/>
      </w:pPr>
      <w:r w:rsidRPr="007E07F9">
        <w:t>gains and losses from disposals</w:t>
      </w:r>
    </w:p>
    <w:p w14:paraId="55F040F0" w14:textId="77777777" w:rsidR="004135EE" w:rsidRPr="007E07F9" w:rsidRDefault="004135EE" w:rsidP="004135EE">
      <w:pPr>
        <w:pStyle w:val="ListBullet"/>
      </w:pPr>
      <w:r w:rsidRPr="007E07F9">
        <w:t>revaluations and impairments of non</w:t>
      </w:r>
      <w:r>
        <w:noBreakHyphen/>
      </w:r>
      <w:r w:rsidRPr="007E07F9">
        <w:t>financial physical and intangible assets</w:t>
      </w:r>
    </w:p>
    <w:p w14:paraId="7CF8093B" w14:textId="77777777" w:rsidR="004135EE" w:rsidRPr="007E07F9" w:rsidRDefault="004135EE" w:rsidP="004135EE">
      <w:pPr>
        <w:pStyle w:val="ListBullet"/>
      </w:pPr>
      <w:r w:rsidRPr="007E07F9">
        <w:t>remeasurement arising from defined benefit superannuation plans</w:t>
      </w:r>
    </w:p>
    <w:p w14:paraId="528718AA" w14:textId="77777777" w:rsidR="004135EE" w:rsidRPr="007E07F9" w:rsidRDefault="004135EE" w:rsidP="004135EE">
      <w:pPr>
        <w:pStyle w:val="ListBullet"/>
      </w:pPr>
      <w:r w:rsidRPr="007E07F9">
        <w:t>fair value changes of financial instruments and agricultural assets</w:t>
      </w:r>
    </w:p>
    <w:p w14:paraId="23CA11E5" w14:textId="77777777" w:rsidR="004135EE" w:rsidRPr="007E07F9" w:rsidRDefault="004135EE" w:rsidP="004135EE">
      <w:pPr>
        <w:pStyle w:val="ListBullet"/>
      </w:pPr>
      <w:r w:rsidRPr="007E07F9">
        <w:t>depletion of natural assets (non</w:t>
      </w:r>
      <w:r>
        <w:noBreakHyphen/>
      </w:r>
      <w:r w:rsidRPr="007E07F9">
        <w:t>produced) from their use or removal.</w:t>
      </w:r>
    </w:p>
    <w:p w14:paraId="1A1D3365" w14:textId="77777777" w:rsidR="004135EE" w:rsidRDefault="004135EE" w:rsidP="004135EE">
      <w:r w:rsidRPr="007E07F9">
        <w:t>All amounts in the Estimated Financial Statements have been rounded to the nearest $1 million unless otherwise stated. The Estimated Financial Statements may not add due to rounding.</w:t>
      </w:r>
    </w:p>
    <w:p w14:paraId="6D495BD1" w14:textId="77777777" w:rsidR="004135EE" w:rsidRPr="007E07F9" w:rsidRDefault="004135EE" w:rsidP="004135EE">
      <w:pPr>
        <w:pStyle w:val="Heading20"/>
      </w:pPr>
      <w:r w:rsidRPr="007E07F9">
        <w:t>Reporting entity</w:t>
      </w:r>
    </w:p>
    <w:p w14:paraId="32544E9F" w14:textId="77777777" w:rsidR="004135EE" w:rsidRPr="007E07F9" w:rsidRDefault="004135EE" w:rsidP="004135EE">
      <w:r w:rsidRPr="007E07F9">
        <w:t>The Estimated Financial Statements are prepared for the general government sector, which includes all government departments, offices and other bodies engaged in providing services free of charge or at prices significantly below their cost. The primary function of entities within the general government sector is to provide public services (outputs), which are mainly non</w:t>
      </w:r>
      <w:r>
        <w:noBreakHyphen/>
      </w:r>
      <w:r w:rsidRPr="007E07F9">
        <w:t>market in nature, for the collective consumption of the community. These services are primarily funded through transferring or redistributing revenue that is collected mainly through taxes and other compulsory levies.</w:t>
      </w:r>
    </w:p>
    <w:p w14:paraId="6759009A" w14:textId="77777777" w:rsidR="004135EE" w:rsidRPr="007E07F9" w:rsidRDefault="004135EE" w:rsidP="004135EE">
      <w:r w:rsidRPr="007E07F9">
        <w:t xml:space="preserve">The general government sector is not a separate entity but represents a sector within the State of Victoria reporting entity. </w:t>
      </w:r>
      <w:r>
        <w:t>Unless otherwise noted, accounting policies applied by the State apply equally to the general government sector.</w:t>
      </w:r>
    </w:p>
    <w:p w14:paraId="5C7901CA" w14:textId="77777777" w:rsidR="004135EE" w:rsidRPr="007E07F9" w:rsidRDefault="004135EE" w:rsidP="004135EE">
      <w:pPr>
        <w:pStyle w:val="Heading20"/>
      </w:pPr>
      <w:r w:rsidRPr="007E07F9">
        <w:t>Basis for consolidation</w:t>
      </w:r>
    </w:p>
    <w:p w14:paraId="2946872A" w14:textId="77777777" w:rsidR="004135EE" w:rsidRPr="007E07F9" w:rsidRDefault="004135EE" w:rsidP="004135EE">
      <w:pPr>
        <w:keepNext/>
      </w:pPr>
      <w:r w:rsidRPr="007E07F9">
        <w:t xml:space="preserve">The Estimated Financial Statements present the estimated consolidated results and position of all reporting entities in the general government sector that are controlled by the State, consistent with the principles of AASB 1049 and AASB 10 </w:t>
      </w:r>
      <w:r w:rsidRPr="00204C87">
        <w:rPr>
          <w:i/>
          <w:iCs/>
        </w:rPr>
        <w:t>Consolidated Financial Statements</w:t>
      </w:r>
      <w:r w:rsidRPr="007E07F9">
        <w:t>.</w:t>
      </w:r>
    </w:p>
    <w:p w14:paraId="11BC1580" w14:textId="77777777" w:rsidR="004135EE" w:rsidRPr="007E07F9" w:rsidRDefault="004135EE" w:rsidP="004135EE">
      <w:r w:rsidRPr="007E07F9">
        <w:t>Entities in the public non</w:t>
      </w:r>
      <w:r>
        <w:noBreakHyphen/>
      </w:r>
      <w:r w:rsidRPr="007E07F9">
        <w:t>financial corporations (PNFC) and public financial corporations (PFC) sectors are not consolidated into the financial statements of the general government sector</w:t>
      </w:r>
      <w:r>
        <w:t>,</w:t>
      </w:r>
      <w:r w:rsidRPr="007E07F9">
        <w:t xml:space="preserve"> but are accounted for as equity investments measured at the Government’s proportional share of the carrying amount of net assets of PNFC and PFC sector entities before consolidation eliminations. </w:t>
      </w:r>
    </w:p>
    <w:p w14:paraId="77918EA9" w14:textId="77777777" w:rsidR="004135EE" w:rsidRPr="007E07F9" w:rsidRDefault="004135EE" w:rsidP="004135EE">
      <w:r w:rsidRPr="007E07F9">
        <w:t xml:space="preserve">Where the carrying amount of a PNFC or PFC entity’s net assets before consolidation eliminations is less than zero, the carrying amount is not included in the general government sector. Any change in the carrying amount of the investment from period to period is accounted for as if the change in carrying amount is a change in fair value and accounted for consistent with AASB 9 </w:t>
      </w:r>
      <w:r w:rsidRPr="00204C87">
        <w:rPr>
          <w:i/>
          <w:iCs/>
        </w:rPr>
        <w:t>Financial Instruments</w:t>
      </w:r>
      <w:r w:rsidRPr="007E07F9">
        <w:t xml:space="preserve"> and AASB 1049.</w:t>
      </w:r>
    </w:p>
    <w:p w14:paraId="261AEE52" w14:textId="77777777" w:rsidR="004135EE" w:rsidRPr="007E07F9" w:rsidRDefault="004135EE" w:rsidP="004135EE">
      <w:r w:rsidRPr="007E07F9">
        <w:t xml:space="preserve">Where control of an entity is expected to be obtained during the reporting period, its results are included in the estimated comprehensive operating statement from the date on which control </w:t>
      </w:r>
      <w:r>
        <w:t>is obtained</w:t>
      </w:r>
      <w:r w:rsidRPr="007E07F9">
        <w:t>. Where control is expected to cease during a reporting period, the entity’s results are included for that part of the period for which control would exist. Where entities adopt dissimilar accounting policies and their effect is considered material, adjustments are made to ensure consistent policies are adopted in the Estimated Financial Statements.</w:t>
      </w:r>
    </w:p>
    <w:p w14:paraId="72357C41" w14:textId="77777777" w:rsidR="004135EE" w:rsidRPr="007E07F9" w:rsidRDefault="004135EE" w:rsidP="004135EE">
      <w:r w:rsidRPr="007E07F9">
        <w:t>All material transactions and balances between entities within the general government sector are eliminated.</w:t>
      </w:r>
    </w:p>
    <w:p w14:paraId="08ECB9DC" w14:textId="77777777" w:rsidR="004135EE" w:rsidRDefault="004135EE" w:rsidP="004135EE">
      <w:r w:rsidRPr="007E07F9">
        <w:t>Except as stated in Note 4.</w:t>
      </w:r>
      <w:r>
        <w:t>6</w:t>
      </w:r>
      <w:r w:rsidRPr="007E07F9">
        <w:t xml:space="preserve">.4, the significant entities consolidated within the sector comprise those general government sector entities listed in Note 9.8 of Chapter 4 of the </w:t>
      </w:r>
      <w:r w:rsidRPr="00204C87">
        <w:rPr>
          <w:i/>
          <w:iCs/>
        </w:rPr>
        <w:t>202</w:t>
      </w:r>
      <w:r>
        <w:rPr>
          <w:i/>
          <w:iCs/>
        </w:rPr>
        <w:t>3-24</w:t>
      </w:r>
      <w:r w:rsidRPr="00204C87">
        <w:rPr>
          <w:i/>
          <w:iCs/>
        </w:rPr>
        <w:t> Financial Report</w:t>
      </w:r>
      <w:r w:rsidRPr="007E07F9">
        <w:t xml:space="preserve"> for the State of Victoria. </w:t>
      </w:r>
    </w:p>
    <w:p w14:paraId="7CA2E44A" w14:textId="77777777" w:rsidR="004135EE" w:rsidRPr="007E07F9" w:rsidRDefault="004135EE" w:rsidP="004135EE">
      <w:pPr>
        <w:pStyle w:val="Heading20"/>
      </w:pPr>
      <w:bookmarkStart w:id="68" w:name="_Hlk147755238"/>
      <w:r w:rsidRPr="007E07F9">
        <w:t>Compliance</w:t>
      </w:r>
    </w:p>
    <w:p w14:paraId="101CF401" w14:textId="77777777" w:rsidR="004135EE" w:rsidRDefault="004135EE" w:rsidP="004135EE">
      <w:r>
        <w:t>These Estimated Financial Statements have been prepared in accordance with Sections 23L</w:t>
      </w:r>
      <w:r>
        <w:noBreakHyphen/>
        <w:t xml:space="preserve">23N of the </w:t>
      </w:r>
      <w:r w:rsidRPr="009134F8">
        <w:rPr>
          <w:i/>
          <w:iCs/>
        </w:rPr>
        <w:t>Financial Management Act 1994</w:t>
      </w:r>
      <w:r>
        <w:t>, having regard to Australian Accounting Standards (AAS), which include Interpretations issued by the Australian Accounting Standards Board (AASB).</w:t>
      </w:r>
    </w:p>
    <w:p w14:paraId="41C98D6D" w14:textId="77777777" w:rsidR="004135EE" w:rsidRPr="007E07F9" w:rsidRDefault="004135EE" w:rsidP="004135EE">
      <w:r w:rsidRPr="007E07F9">
        <w:t xml:space="preserve">The Estimated Financial Statements are presented in a manner consistent with the principles of AASB 1049 and other relevant </w:t>
      </w:r>
      <w:r>
        <w:t>AASs</w:t>
      </w:r>
      <w:r w:rsidRPr="007E07F9">
        <w:t>. However, the prospective nature of these Estimated Financial Statements means that some AAS disclosures are neither relevant nor practical and have been omitted. Where applicable, those AAS paragraphs relevant to not</w:t>
      </w:r>
      <w:r>
        <w:noBreakHyphen/>
      </w:r>
      <w:r w:rsidRPr="007E07F9">
        <w:t>for</w:t>
      </w:r>
      <w:r>
        <w:noBreakHyphen/>
      </w:r>
      <w:r w:rsidRPr="007E07F9">
        <w:t>profit entities have been applied. Because AAS</w:t>
      </w:r>
      <w:r>
        <w:t>s</w:t>
      </w:r>
      <w:r w:rsidRPr="007E07F9">
        <w:t xml:space="preserve"> do not prescribe requirements for preparing and presenting prospective financial statements, the Estimated Financial Statements have been prepared having regard to the principles set out in New</w:t>
      </w:r>
      <w:r>
        <w:t> </w:t>
      </w:r>
      <w:r w:rsidRPr="007E07F9">
        <w:t xml:space="preserve">Zealand Public Benefit Entity Financial Reporting Standard 42 </w:t>
      </w:r>
      <w:r w:rsidRPr="00204C87">
        <w:rPr>
          <w:i/>
          <w:iCs/>
        </w:rPr>
        <w:t>Prospective Financial Statements</w:t>
      </w:r>
      <w:r w:rsidRPr="007E07F9">
        <w:t>.</w:t>
      </w:r>
    </w:p>
    <w:p w14:paraId="6C4357E0" w14:textId="77777777" w:rsidR="004135EE" w:rsidRPr="007E07F9" w:rsidRDefault="004135EE" w:rsidP="004135EE">
      <w:r w:rsidRPr="007E07F9">
        <w:t xml:space="preserve">The GFS information included in this report is based on the </w:t>
      </w:r>
      <w:r w:rsidRPr="00204C87">
        <w:rPr>
          <w:i/>
          <w:iCs/>
        </w:rPr>
        <w:t>Australian System of Government Finance Statistics: Concepts, Sources and Methods 2015 Cat. No. 5514.0</w:t>
      </w:r>
      <w:r w:rsidRPr="007E07F9">
        <w:t xml:space="preserve"> (ABS GFS). </w:t>
      </w:r>
    </w:p>
    <w:p w14:paraId="6E8F1EF0" w14:textId="6D33E3F3" w:rsidR="004135EE" w:rsidRPr="00797C92" w:rsidRDefault="004135EE" w:rsidP="004135EE">
      <w:pPr>
        <w:rPr>
          <w:color w:val="000000" w:themeColor="text1"/>
        </w:rPr>
      </w:pPr>
      <w:r w:rsidRPr="00E45EC8">
        <w:t xml:space="preserve">The information presented in the estimated financial statements takes into account the financial impacts as at </w:t>
      </w:r>
      <w:r w:rsidRPr="00C123FF">
        <w:t>20</w:t>
      </w:r>
      <w:r w:rsidRPr="00E45EC8">
        <w:t xml:space="preserve"> November 202</w:t>
      </w:r>
      <w:r>
        <w:t>4</w:t>
      </w:r>
      <w:r w:rsidRPr="00E45EC8">
        <w:t xml:space="preserve"> of all decisions that affect the financial statements, unless otherwise stated</w:t>
      </w:r>
      <w:r w:rsidRPr="00E2168D">
        <w:t>.</w:t>
      </w:r>
    </w:p>
    <w:bookmarkEnd w:id="68"/>
    <w:p w14:paraId="03A2D30E" w14:textId="77777777" w:rsidR="004135EE" w:rsidRDefault="004135EE" w:rsidP="004135EE">
      <w:pPr>
        <w:pStyle w:val="Heading20"/>
      </w:pPr>
      <w:r>
        <w:t xml:space="preserve">Key financial measures </w:t>
      </w:r>
    </w:p>
    <w:p w14:paraId="188768ED" w14:textId="77777777" w:rsidR="004135EE" w:rsidRPr="00A969A2" w:rsidRDefault="004135EE" w:rsidP="004135EE">
      <w:r w:rsidRPr="00A969A2">
        <w:t>The COVID</w:t>
      </w:r>
      <w:r>
        <w:noBreakHyphen/>
      </w:r>
      <w:r w:rsidRPr="00A969A2">
        <w:t>19 pandemic severely impacted the state</w:t>
      </w:r>
      <w:r>
        <w:t>’</w:t>
      </w:r>
      <w:r w:rsidRPr="00A969A2">
        <w:t>s financial position with the Government prioritising the use of its balance sheet to support the Victorian community, Victorian households and the economy. While the economy has rebounded strongly, the ongoing impacts of the pandemic on the state</w:t>
      </w:r>
      <w:r>
        <w:t>’</w:t>
      </w:r>
      <w:r w:rsidRPr="00A969A2">
        <w:t xml:space="preserve">s fiscal position are still present. </w:t>
      </w:r>
    </w:p>
    <w:p w14:paraId="1DD0FF5A" w14:textId="77777777" w:rsidR="004135EE" w:rsidRPr="00A969A2" w:rsidRDefault="004135EE" w:rsidP="004135EE">
      <w:r w:rsidRPr="00A969A2">
        <w:t>The Government</w:t>
      </w:r>
      <w:r>
        <w:t>’</w:t>
      </w:r>
      <w:r w:rsidRPr="00A969A2">
        <w:t xml:space="preserve">s financial sustainability objectives for the </w:t>
      </w:r>
      <w:r w:rsidRPr="00A969A2">
        <w:rPr>
          <w:i/>
          <w:iCs/>
        </w:rPr>
        <w:t>202</w:t>
      </w:r>
      <w:r>
        <w:rPr>
          <w:i/>
          <w:iCs/>
        </w:rPr>
        <w:t>4-25</w:t>
      </w:r>
      <w:r w:rsidRPr="00A969A2">
        <w:rPr>
          <w:i/>
          <w:iCs/>
        </w:rPr>
        <w:t> Budget</w:t>
      </w:r>
      <w:r>
        <w:t xml:space="preserve"> </w:t>
      </w:r>
      <w:r w:rsidRPr="009D683C">
        <w:rPr>
          <w:i/>
          <w:iCs/>
        </w:rPr>
        <w:t>Update</w:t>
      </w:r>
      <w:r>
        <w:t xml:space="preserve"> </w:t>
      </w:r>
      <w:r w:rsidRPr="00A969A2">
        <w:t>are that:</w:t>
      </w:r>
    </w:p>
    <w:p w14:paraId="75E0DC76" w14:textId="77777777" w:rsidR="004135EE" w:rsidRPr="00A969A2" w:rsidRDefault="004135EE" w:rsidP="004135EE">
      <w:pPr>
        <w:pStyle w:val="ListBullet"/>
      </w:pPr>
      <w:r w:rsidRPr="00A969A2">
        <w:t>the net operating balance will return to a surplus by 2025</w:t>
      </w:r>
      <w:r>
        <w:noBreakHyphen/>
      </w:r>
      <w:r w:rsidRPr="00A969A2">
        <w:t>26</w:t>
      </w:r>
    </w:p>
    <w:p w14:paraId="4E76809F" w14:textId="77777777" w:rsidR="004135EE" w:rsidRDefault="004135EE" w:rsidP="004135EE">
      <w:pPr>
        <w:pStyle w:val="ListBullet"/>
      </w:pPr>
      <w:r w:rsidRPr="00A969A2">
        <w:t xml:space="preserve">an operating cash surplus will be </w:t>
      </w:r>
      <w:r>
        <w:t>maintained over the budget and forward estimates period</w:t>
      </w:r>
    </w:p>
    <w:p w14:paraId="33312104" w14:textId="77777777" w:rsidR="004135EE" w:rsidRPr="00A969A2" w:rsidRDefault="004135EE" w:rsidP="004135EE">
      <w:pPr>
        <w:pStyle w:val="ListBullet"/>
      </w:pPr>
      <w:r w:rsidRPr="00954139">
        <w:t>net debt to GSP will stabilise and begin to decline by the end of the forward estimates period. </w:t>
      </w:r>
    </w:p>
    <w:p w14:paraId="7ECC5457" w14:textId="77777777" w:rsidR="004135EE" w:rsidRPr="00041917" w:rsidRDefault="004135EE" w:rsidP="004135EE">
      <w:r w:rsidRPr="00A629F6">
        <w:t>The Government’s long</w:t>
      </w:r>
      <w:r>
        <w:noBreakHyphen/>
      </w:r>
      <w:r w:rsidRPr="00A629F6">
        <w:t xml:space="preserve">term financial management objectives and fiscal measures and targets for the </w:t>
      </w:r>
      <w:r w:rsidRPr="00A629F6">
        <w:rPr>
          <w:i/>
          <w:iCs/>
        </w:rPr>
        <w:t>202</w:t>
      </w:r>
      <w:r>
        <w:rPr>
          <w:i/>
          <w:iCs/>
        </w:rPr>
        <w:t>4-25</w:t>
      </w:r>
      <w:r w:rsidRPr="00A629F6">
        <w:rPr>
          <w:i/>
          <w:iCs/>
        </w:rPr>
        <w:t xml:space="preserve"> Budget</w:t>
      </w:r>
      <w:r w:rsidRPr="00642431">
        <w:rPr>
          <w:i/>
        </w:rPr>
        <w:t xml:space="preserve"> Update</w:t>
      </w:r>
      <w:r>
        <w:t xml:space="preserve"> </w:t>
      </w:r>
      <w:r w:rsidRPr="00A629F6">
        <w:t xml:space="preserve">are set out in Chapter 1 </w:t>
      </w:r>
      <w:r w:rsidRPr="00A629F6">
        <w:rPr>
          <w:i/>
          <w:iCs/>
        </w:rPr>
        <w:t>Economic and fiscal overview</w:t>
      </w:r>
      <w:r w:rsidRPr="00A629F6">
        <w:t>.</w:t>
      </w:r>
    </w:p>
    <w:p w14:paraId="7FCC8F27" w14:textId="5734572A" w:rsidR="004135EE" w:rsidRPr="004135EE" w:rsidRDefault="004135EE" w:rsidP="004135EE">
      <w:pPr>
        <w:pStyle w:val="Heading20"/>
      </w:pPr>
      <w:r>
        <w:t>Key judgements, estimates and assumptions</w:t>
      </w:r>
    </w:p>
    <w:p w14:paraId="659CCD9E" w14:textId="77777777" w:rsidR="004135EE" w:rsidRPr="00137023" w:rsidRDefault="004135EE" w:rsidP="004135EE">
      <w:pPr>
        <w:ind w:right="110"/>
        <w:rPr>
          <w:highlight w:val="yellow"/>
        </w:rPr>
      </w:pPr>
      <w:r>
        <w:t xml:space="preserve">Judgements, estimates and assumptions are required to be made about the carrying values of assets and liabilities that are not readily apparent from other sources, and the forecasting of certain revenue and expenses. The estimates and associated assumptions are based on professional judgements derived from historical experience and various other factors that are believed to be reasonable under the circumstances. </w:t>
      </w:r>
    </w:p>
    <w:p w14:paraId="4B890961" w14:textId="77777777" w:rsidR="004135EE" w:rsidRDefault="004135EE" w:rsidP="004135EE">
      <w:pPr>
        <w:spacing w:before="100"/>
      </w:pPr>
      <w:r w:rsidRPr="00DC7887">
        <w:t>Risks to Victoria’s economic outlook remain</w:t>
      </w:r>
      <w:r>
        <w:t>, although the elevated uncertainties of recent years associated with the COVID-19 pandemic have eased.</w:t>
      </w:r>
      <w:r w:rsidRPr="00DC7887">
        <w:t xml:space="preserve"> These risks include the outlook for consumer spending, the outlook for inflation, and hence for interest rates, as well as prospects for global economic growth against a backdrop of elevated geopolitical volatility. This means that these estimates are subject to a degree of uncertainty. For example, goods and services tax (GST) revenue, land transfer duty revenue and interest expense are significantly linked to changes in economic growth, inflation and/or interest rates.</w:t>
      </w:r>
      <w:r>
        <w:t xml:space="preserve"> </w:t>
      </w:r>
    </w:p>
    <w:p w14:paraId="5BB04C3B" w14:textId="77777777" w:rsidR="004135EE" w:rsidRDefault="004135EE">
      <w:pPr>
        <w:keepLines w:val="0"/>
        <w:rPr>
          <w:rFonts w:asciiTheme="majorHAnsi" w:eastAsiaTheme="majorEastAsia" w:hAnsiTheme="majorHAnsi" w:cstheme="majorBidi"/>
          <w:b/>
          <w:sz w:val="27"/>
          <w:szCs w:val="26"/>
        </w:rPr>
      </w:pPr>
      <w:r>
        <w:br w:type="page"/>
      </w:r>
    </w:p>
    <w:p w14:paraId="6339A60D" w14:textId="3BCA51C8" w:rsidR="004135EE" w:rsidRDefault="004135EE" w:rsidP="004135EE">
      <w:pPr>
        <w:pStyle w:val="Heading20"/>
      </w:pPr>
      <w:r>
        <w:t xml:space="preserve">Economic assumptions </w:t>
      </w:r>
    </w:p>
    <w:p w14:paraId="35A43C6E" w14:textId="77777777" w:rsidR="004135EE" w:rsidRDefault="004135EE" w:rsidP="004135EE">
      <w:r>
        <w:t xml:space="preserve">The Estimated Financial Statements have been prepared using the economic assumptions listed below. </w:t>
      </w:r>
    </w:p>
    <w:p w14:paraId="78AF1D87" w14:textId="77777777" w:rsidR="004135EE" w:rsidRPr="00FB7140" w:rsidRDefault="004135EE" w:rsidP="004135EE">
      <w:pPr>
        <w:pStyle w:val="TableHeading"/>
      </w:pPr>
      <w:r>
        <w:t>Economic assumptions</w:t>
      </w:r>
    </w:p>
    <w:tbl>
      <w:tblPr>
        <w:tblStyle w:val="DTFTable"/>
        <w:tblW w:w="7760" w:type="dxa"/>
        <w:tblLayout w:type="fixed"/>
        <w:tblLook w:val="06A0" w:firstRow="1" w:lastRow="0" w:firstColumn="1" w:lastColumn="0" w:noHBand="1" w:noVBand="1"/>
      </w:tblPr>
      <w:tblGrid>
        <w:gridCol w:w="2788"/>
        <w:gridCol w:w="1040"/>
        <w:gridCol w:w="162"/>
        <w:gridCol w:w="785"/>
        <w:gridCol w:w="994"/>
        <w:gridCol w:w="994"/>
        <w:gridCol w:w="997"/>
      </w:tblGrid>
      <w:tr w:rsidR="004135EE" w:rsidRPr="00141EE5" w14:paraId="1FC5CFE2" w14:textId="77777777" w:rsidTr="008670F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88" w:type="dxa"/>
          </w:tcPr>
          <w:p w14:paraId="710CAE83" w14:textId="77777777" w:rsidR="004135EE" w:rsidRPr="00141EE5" w:rsidRDefault="004135EE" w:rsidP="008670FF"/>
        </w:tc>
        <w:tc>
          <w:tcPr>
            <w:tcW w:w="1040" w:type="dxa"/>
          </w:tcPr>
          <w:p w14:paraId="0E8FDC24" w14:textId="77777777" w:rsidR="004135EE" w:rsidRPr="00141EE5" w:rsidRDefault="004135EE" w:rsidP="008670FF">
            <w:pPr>
              <w:cnfStyle w:val="100000000000" w:firstRow="1" w:lastRow="0" w:firstColumn="0" w:lastColumn="0" w:oddVBand="0" w:evenVBand="0" w:oddHBand="0" w:evenHBand="0" w:firstRowFirstColumn="0" w:firstRowLastColumn="0" w:lastRowFirstColumn="0" w:lastRowLastColumn="0"/>
            </w:pPr>
            <w:r w:rsidRPr="00141EE5">
              <w:t>202</w:t>
            </w:r>
            <w:r>
              <w:t>3-24</w:t>
            </w:r>
            <w:r w:rsidRPr="00141EE5">
              <w:t xml:space="preserve"> actual</w:t>
            </w:r>
          </w:p>
        </w:tc>
        <w:tc>
          <w:tcPr>
            <w:tcW w:w="947" w:type="dxa"/>
            <w:gridSpan w:val="2"/>
          </w:tcPr>
          <w:p w14:paraId="3FFD10FE" w14:textId="77777777" w:rsidR="004135EE" w:rsidRPr="00141EE5" w:rsidRDefault="004135EE" w:rsidP="008670FF">
            <w:pPr>
              <w:cnfStyle w:val="100000000000" w:firstRow="1" w:lastRow="0" w:firstColumn="0" w:lastColumn="0" w:oddVBand="0" w:evenVBand="0" w:oddHBand="0" w:evenHBand="0" w:firstRowFirstColumn="0" w:firstRowLastColumn="0" w:lastRowFirstColumn="0" w:lastRowLastColumn="0"/>
            </w:pPr>
            <w:r w:rsidRPr="00141EE5">
              <w:t>202</w:t>
            </w:r>
            <w:r>
              <w:t>4-25</w:t>
            </w:r>
            <w:r w:rsidRPr="00141EE5">
              <w:t xml:space="preserve"> forecast</w:t>
            </w:r>
          </w:p>
        </w:tc>
        <w:tc>
          <w:tcPr>
            <w:tcW w:w="994" w:type="dxa"/>
          </w:tcPr>
          <w:p w14:paraId="6A81B7CA" w14:textId="77777777" w:rsidR="004135EE" w:rsidRPr="00141EE5" w:rsidRDefault="004135EE" w:rsidP="008670FF">
            <w:pPr>
              <w:cnfStyle w:val="100000000000" w:firstRow="1" w:lastRow="0" w:firstColumn="0" w:lastColumn="0" w:oddVBand="0" w:evenVBand="0" w:oddHBand="0" w:evenHBand="0" w:firstRowFirstColumn="0" w:firstRowLastColumn="0" w:lastRowFirstColumn="0" w:lastRowLastColumn="0"/>
            </w:pPr>
            <w:r w:rsidRPr="00141EE5">
              <w:t>202</w:t>
            </w:r>
            <w:r>
              <w:t>5-26</w:t>
            </w:r>
            <w:r w:rsidRPr="00141EE5">
              <w:t xml:space="preserve"> forecast</w:t>
            </w:r>
          </w:p>
        </w:tc>
        <w:tc>
          <w:tcPr>
            <w:tcW w:w="994" w:type="dxa"/>
          </w:tcPr>
          <w:p w14:paraId="0D74A038" w14:textId="77777777" w:rsidR="004135EE" w:rsidRPr="00141EE5" w:rsidRDefault="004135EE" w:rsidP="008670FF">
            <w:pPr>
              <w:cnfStyle w:val="100000000000" w:firstRow="1" w:lastRow="0" w:firstColumn="0" w:lastColumn="0" w:oddVBand="0" w:evenVBand="0" w:oddHBand="0" w:evenHBand="0" w:firstRowFirstColumn="0" w:firstRowLastColumn="0" w:lastRowFirstColumn="0" w:lastRowLastColumn="0"/>
            </w:pPr>
            <w:r w:rsidRPr="00141EE5">
              <w:t>202</w:t>
            </w:r>
            <w:r>
              <w:t>6-27</w:t>
            </w:r>
            <w:r w:rsidRPr="00141EE5">
              <w:t xml:space="preserve"> projection</w:t>
            </w:r>
          </w:p>
        </w:tc>
        <w:tc>
          <w:tcPr>
            <w:tcW w:w="997" w:type="dxa"/>
          </w:tcPr>
          <w:p w14:paraId="4E334408" w14:textId="77777777" w:rsidR="004135EE" w:rsidRPr="00141EE5" w:rsidRDefault="004135EE" w:rsidP="008670FF">
            <w:pPr>
              <w:cnfStyle w:val="100000000000" w:firstRow="1" w:lastRow="0" w:firstColumn="0" w:lastColumn="0" w:oddVBand="0" w:evenVBand="0" w:oddHBand="0" w:evenHBand="0" w:firstRowFirstColumn="0" w:firstRowLastColumn="0" w:lastRowFirstColumn="0" w:lastRowLastColumn="0"/>
            </w:pPr>
            <w:r w:rsidRPr="00141EE5">
              <w:t>202</w:t>
            </w:r>
            <w:r>
              <w:t>7-28</w:t>
            </w:r>
            <w:r w:rsidRPr="00141EE5">
              <w:t xml:space="preserve"> projection</w:t>
            </w:r>
          </w:p>
        </w:tc>
      </w:tr>
      <w:tr w:rsidR="004135EE" w:rsidRPr="00A30637" w14:paraId="5F43804A"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02C4D6F0" w14:textId="77777777" w:rsidR="004135EE" w:rsidRPr="00A30637" w:rsidRDefault="004135EE" w:rsidP="008670FF">
            <w:pPr>
              <w:rPr>
                <w:b/>
                <w:bCs/>
              </w:rPr>
            </w:pPr>
          </w:p>
        </w:tc>
        <w:tc>
          <w:tcPr>
            <w:tcW w:w="4972" w:type="dxa"/>
            <w:gridSpan w:val="6"/>
          </w:tcPr>
          <w:p w14:paraId="547673C0" w14:textId="77777777" w:rsidR="004135EE" w:rsidRPr="00A30637" w:rsidRDefault="004135EE" w:rsidP="008670FF">
            <w:pPr>
              <w:cnfStyle w:val="000000000000" w:firstRow="0" w:lastRow="0" w:firstColumn="0" w:lastColumn="0" w:oddVBand="0" w:evenVBand="0" w:oddHBand="0" w:evenHBand="0" w:firstRowFirstColumn="0" w:firstRowLastColumn="0" w:lastRowFirstColumn="0" w:lastRowLastColumn="0"/>
              <w:rPr>
                <w:b/>
                <w:bCs/>
              </w:rPr>
            </w:pPr>
            <w:r w:rsidRPr="00A30637">
              <w:rPr>
                <w:b/>
                <w:bCs/>
              </w:rPr>
              <w:t>($ billion)</w:t>
            </w:r>
          </w:p>
        </w:tc>
      </w:tr>
      <w:tr w:rsidR="004135EE" w:rsidRPr="00141EE5" w14:paraId="1D8350D6"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3B9D8B2C" w14:textId="77777777" w:rsidR="004135EE" w:rsidRPr="00141EE5" w:rsidRDefault="004135EE" w:rsidP="008670FF">
            <w:r w:rsidRPr="00141EE5">
              <w:t>Nominal gross state product</w:t>
            </w:r>
          </w:p>
        </w:tc>
        <w:tc>
          <w:tcPr>
            <w:tcW w:w="1040" w:type="dxa"/>
          </w:tcPr>
          <w:p w14:paraId="25F0ED3B"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606.1</w:t>
            </w:r>
          </w:p>
        </w:tc>
        <w:tc>
          <w:tcPr>
            <w:tcW w:w="947" w:type="dxa"/>
            <w:gridSpan w:val="2"/>
          </w:tcPr>
          <w:p w14:paraId="26C9A689"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rsidRPr="009C3487">
              <w:t>640.6</w:t>
            </w:r>
          </w:p>
        </w:tc>
        <w:tc>
          <w:tcPr>
            <w:tcW w:w="994" w:type="dxa"/>
          </w:tcPr>
          <w:p w14:paraId="21068ECB"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rsidRPr="009C3487">
              <w:t>673.9</w:t>
            </w:r>
          </w:p>
        </w:tc>
        <w:tc>
          <w:tcPr>
            <w:tcW w:w="994" w:type="dxa"/>
          </w:tcPr>
          <w:p w14:paraId="13A0BDFE"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rsidRPr="009C3487">
              <w:t>710.2</w:t>
            </w:r>
          </w:p>
        </w:tc>
        <w:tc>
          <w:tcPr>
            <w:tcW w:w="997" w:type="dxa"/>
          </w:tcPr>
          <w:p w14:paraId="18A56E40"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rsidRPr="009C3487">
              <w:t>748.3</w:t>
            </w:r>
          </w:p>
        </w:tc>
      </w:tr>
      <w:tr w:rsidR="004135EE" w:rsidRPr="00A30637" w14:paraId="4AB42AD4"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51C0F570" w14:textId="77777777" w:rsidR="004135EE" w:rsidRPr="00A30637" w:rsidRDefault="004135EE" w:rsidP="004135EE">
            <w:pPr>
              <w:spacing w:before="120"/>
              <w:rPr>
                <w:b/>
                <w:bCs/>
              </w:rPr>
            </w:pPr>
          </w:p>
        </w:tc>
        <w:tc>
          <w:tcPr>
            <w:tcW w:w="4972" w:type="dxa"/>
            <w:gridSpan w:val="6"/>
          </w:tcPr>
          <w:p w14:paraId="72949F67" w14:textId="77777777" w:rsidR="004135EE" w:rsidRPr="00A30637" w:rsidRDefault="004135EE" w:rsidP="004135EE">
            <w:pPr>
              <w:spacing w:before="120"/>
              <w:cnfStyle w:val="000000000000" w:firstRow="0" w:lastRow="0" w:firstColumn="0" w:lastColumn="0" w:oddVBand="0" w:evenVBand="0" w:oddHBand="0" w:evenHBand="0" w:firstRowFirstColumn="0" w:firstRowLastColumn="0" w:lastRowFirstColumn="0" w:lastRowLastColumn="0"/>
              <w:rPr>
                <w:b/>
                <w:bCs/>
              </w:rPr>
            </w:pPr>
            <w:r w:rsidRPr="00A30637">
              <w:rPr>
                <w:b/>
                <w:bCs/>
              </w:rPr>
              <w:t xml:space="preserve">(percentage change) </w:t>
            </w:r>
            <w:r w:rsidRPr="00107D90">
              <w:rPr>
                <w:b/>
                <w:bCs/>
                <w:vertAlign w:val="superscript"/>
              </w:rPr>
              <w:t>(a)</w:t>
            </w:r>
          </w:p>
        </w:tc>
      </w:tr>
      <w:tr w:rsidR="004135EE" w:rsidRPr="00141EE5" w14:paraId="66D27435"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7CDBDCF4" w14:textId="77777777" w:rsidR="004135EE" w:rsidRPr="00141EE5" w:rsidRDefault="004135EE" w:rsidP="008670FF">
            <w:r w:rsidRPr="00141EE5">
              <w:t>Real gross state product</w:t>
            </w:r>
          </w:p>
        </w:tc>
        <w:tc>
          <w:tcPr>
            <w:tcW w:w="1040" w:type="dxa"/>
          </w:tcPr>
          <w:p w14:paraId="19B889F5" w14:textId="4B3886ED"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1.5</w:t>
            </w:r>
            <w:r w:rsidR="005E5928">
              <w:t>0</w:t>
            </w:r>
          </w:p>
        </w:tc>
        <w:tc>
          <w:tcPr>
            <w:tcW w:w="947" w:type="dxa"/>
            <w:gridSpan w:val="2"/>
          </w:tcPr>
          <w:p w14:paraId="579145A8"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2.50</w:t>
            </w:r>
          </w:p>
        </w:tc>
        <w:tc>
          <w:tcPr>
            <w:tcW w:w="994" w:type="dxa"/>
          </w:tcPr>
          <w:p w14:paraId="7B2A2D12"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2.50</w:t>
            </w:r>
          </w:p>
        </w:tc>
        <w:tc>
          <w:tcPr>
            <w:tcW w:w="994" w:type="dxa"/>
          </w:tcPr>
          <w:p w14:paraId="1C101316"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2.75</w:t>
            </w:r>
          </w:p>
        </w:tc>
        <w:tc>
          <w:tcPr>
            <w:tcW w:w="997" w:type="dxa"/>
          </w:tcPr>
          <w:p w14:paraId="2FB8FD19"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2.75</w:t>
            </w:r>
          </w:p>
        </w:tc>
      </w:tr>
      <w:tr w:rsidR="004135EE" w:rsidRPr="00141EE5" w14:paraId="59180CD6"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32C10413" w14:textId="77777777" w:rsidR="004135EE" w:rsidRPr="00141EE5" w:rsidRDefault="004135EE" w:rsidP="008670FF">
            <w:r w:rsidRPr="00141EE5">
              <w:t>Employment</w:t>
            </w:r>
          </w:p>
        </w:tc>
        <w:tc>
          <w:tcPr>
            <w:tcW w:w="1040" w:type="dxa"/>
          </w:tcPr>
          <w:p w14:paraId="31C6192E" w14:textId="12A123DB"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3.5</w:t>
            </w:r>
            <w:r w:rsidR="005E5928">
              <w:t>0</w:t>
            </w:r>
          </w:p>
        </w:tc>
        <w:tc>
          <w:tcPr>
            <w:tcW w:w="947" w:type="dxa"/>
            <w:gridSpan w:val="2"/>
          </w:tcPr>
          <w:p w14:paraId="17C0D01B"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2.50</w:t>
            </w:r>
          </w:p>
        </w:tc>
        <w:tc>
          <w:tcPr>
            <w:tcW w:w="994" w:type="dxa"/>
          </w:tcPr>
          <w:p w14:paraId="5AFC5FD8"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0.75</w:t>
            </w:r>
          </w:p>
        </w:tc>
        <w:tc>
          <w:tcPr>
            <w:tcW w:w="994" w:type="dxa"/>
          </w:tcPr>
          <w:p w14:paraId="1EF5B89D"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1.75</w:t>
            </w:r>
          </w:p>
        </w:tc>
        <w:tc>
          <w:tcPr>
            <w:tcW w:w="997" w:type="dxa"/>
          </w:tcPr>
          <w:p w14:paraId="53B81C07"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1.75</w:t>
            </w:r>
          </w:p>
        </w:tc>
      </w:tr>
      <w:tr w:rsidR="004135EE" w:rsidRPr="00141EE5" w14:paraId="470DF136"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0AB154D9" w14:textId="77777777" w:rsidR="004135EE" w:rsidRPr="00141EE5" w:rsidRDefault="004135EE" w:rsidP="008670FF">
            <w:r w:rsidRPr="00141EE5">
              <w:t xml:space="preserve">Unemployment rate </w:t>
            </w:r>
            <w:r w:rsidRPr="00107D90">
              <w:rPr>
                <w:vertAlign w:val="superscript"/>
              </w:rPr>
              <w:t>(b)</w:t>
            </w:r>
          </w:p>
        </w:tc>
        <w:tc>
          <w:tcPr>
            <w:tcW w:w="1040" w:type="dxa"/>
          </w:tcPr>
          <w:p w14:paraId="5010B9E9" w14:textId="05D28B5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4.0</w:t>
            </w:r>
            <w:r w:rsidR="005E5928">
              <w:t>0</w:t>
            </w:r>
          </w:p>
        </w:tc>
        <w:tc>
          <w:tcPr>
            <w:tcW w:w="947" w:type="dxa"/>
            <w:gridSpan w:val="2"/>
          </w:tcPr>
          <w:p w14:paraId="2CB8F883"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4.50</w:t>
            </w:r>
          </w:p>
        </w:tc>
        <w:tc>
          <w:tcPr>
            <w:tcW w:w="994" w:type="dxa"/>
          </w:tcPr>
          <w:p w14:paraId="4F227D66"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4.75</w:t>
            </w:r>
          </w:p>
        </w:tc>
        <w:tc>
          <w:tcPr>
            <w:tcW w:w="994" w:type="dxa"/>
          </w:tcPr>
          <w:p w14:paraId="79319AA7"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4.75</w:t>
            </w:r>
          </w:p>
        </w:tc>
        <w:tc>
          <w:tcPr>
            <w:tcW w:w="997" w:type="dxa"/>
          </w:tcPr>
          <w:p w14:paraId="7F06E862"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4.75</w:t>
            </w:r>
          </w:p>
        </w:tc>
      </w:tr>
      <w:tr w:rsidR="004135EE" w:rsidRPr="00141EE5" w14:paraId="20CD612B"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7CEB76F6" w14:textId="77777777" w:rsidR="004135EE" w:rsidRPr="00141EE5" w:rsidRDefault="004135EE" w:rsidP="008670FF">
            <w:r w:rsidRPr="00141EE5">
              <w:t xml:space="preserve">Consumer price index </w:t>
            </w:r>
            <w:r w:rsidRPr="00107D90">
              <w:rPr>
                <w:vertAlign w:val="superscript"/>
              </w:rPr>
              <w:t>(c)</w:t>
            </w:r>
          </w:p>
        </w:tc>
        <w:tc>
          <w:tcPr>
            <w:tcW w:w="1040" w:type="dxa"/>
          </w:tcPr>
          <w:p w14:paraId="703FAD1B" w14:textId="36432DD6"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4.0</w:t>
            </w:r>
            <w:r w:rsidR="005E5928">
              <w:t>0</w:t>
            </w:r>
          </w:p>
        </w:tc>
        <w:tc>
          <w:tcPr>
            <w:tcW w:w="947" w:type="dxa"/>
            <w:gridSpan w:val="2"/>
          </w:tcPr>
          <w:p w14:paraId="55E0DAD2"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2.50</w:t>
            </w:r>
          </w:p>
        </w:tc>
        <w:tc>
          <w:tcPr>
            <w:tcW w:w="994" w:type="dxa"/>
          </w:tcPr>
          <w:p w14:paraId="2E37876D"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3.00</w:t>
            </w:r>
          </w:p>
        </w:tc>
        <w:tc>
          <w:tcPr>
            <w:tcW w:w="994" w:type="dxa"/>
          </w:tcPr>
          <w:p w14:paraId="235331F9"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2.50</w:t>
            </w:r>
          </w:p>
        </w:tc>
        <w:tc>
          <w:tcPr>
            <w:tcW w:w="997" w:type="dxa"/>
          </w:tcPr>
          <w:p w14:paraId="49B0DAF9"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2.50</w:t>
            </w:r>
          </w:p>
        </w:tc>
      </w:tr>
      <w:tr w:rsidR="004135EE" w:rsidRPr="00141EE5" w14:paraId="45FF583B" w14:textId="77777777" w:rsidTr="008670FF">
        <w:tc>
          <w:tcPr>
            <w:cnfStyle w:val="001000000000" w:firstRow="0" w:lastRow="0" w:firstColumn="1" w:lastColumn="0" w:oddVBand="0" w:evenVBand="0" w:oddHBand="0" w:evenHBand="0" w:firstRowFirstColumn="0" w:firstRowLastColumn="0" w:lastRowFirstColumn="0" w:lastRowLastColumn="0"/>
            <w:tcW w:w="2788" w:type="dxa"/>
          </w:tcPr>
          <w:p w14:paraId="021578E1" w14:textId="77777777" w:rsidR="004135EE" w:rsidRPr="00141EE5" w:rsidRDefault="004135EE" w:rsidP="008670FF">
            <w:r w:rsidRPr="00141EE5">
              <w:t xml:space="preserve">Wage price index </w:t>
            </w:r>
            <w:r w:rsidRPr="00107D90">
              <w:rPr>
                <w:vertAlign w:val="superscript"/>
              </w:rPr>
              <w:t>(d)</w:t>
            </w:r>
          </w:p>
        </w:tc>
        <w:tc>
          <w:tcPr>
            <w:tcW w:w="1040" w:type="dxa"/>
          </w:tcPr>
          <w:p w14:paraId="0CCB0371" w14:textId="4C2C36AD"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3.6</w:t>
            </w:r>
            <w:r w:rsidR="005E5928">
              <w:t>0</w:t>
            </w:r>
          </w:p>
        </w:tc>
        <w:tc>
          <w:tcPr>
            <w:tcW w:w="947" w:type="dxa"/>
            <w:gridSpan w:val="2"/>
          </w:tcPr>
          <w:p w14:paraId="634FC644"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3.50</w:t>
            </w:r>
          </w:p>
        </w:tc>
        <w:tc>
          <w:tcPr>
            <w:tcW w:w="994" w:type="dxa"/>
          </w:tcPr>
          <w:p w14:paraId="067602BA"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3.25</w:t>
            </w:r>
          </w:p>
        </w:tc>
        <w:tc>
          <w:tcPr>
            <w:tcW w:w="994" w:type="dxa"/>
          </w:tcPr>
          <w:p w14:paraId="78535091"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3.25</w:t>
            </w:r>
          </w:p>
        </w:tc>
        <w:tc>
          <w:tcPr>
            <w:tcW w:w="997" w:type="dxa"/>
          </w:tcPr>
          <w:p w14:paraId="2F46B0F4"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3.25</w:t>
            </w:r>
          </w:p>
        </w:tc>
      </w:tr>
      <w:tr w:rsidR="004135EE" w:rsidRPr="00141EE5" w14:paraId="1019222D" w14:textId="77777777" w:rsidTr="004135EE">
        <w:tc>
          <w:tcPr>
            <w:cnfStyle w:val="001000000000" w:firstRow="0" w:lastRow="0" w:firstColumn="1" w:lastColumn="0" w:oddVBand="0" w:evenVBand="0" w:oddHBand="0" w:evenHBand="0" w:firstRowFirstColumn="0" w:firstRowLastColumn="0" w:lastRowFirstColumn="0" w:lastRowLastColumn="0"/>
            <w:tcW w:w="2788" w:type="dxa"/>
          </w:tcPr>
          <w:p w14:paraId="6FE8B63C" w14:textId="77777777" w:rsidR="004135EE" w:rsidRPr="00141EE5" w:rsidRDefault="004135EE" w:rsidP="008670FF">
            <w:r w:rsidRPr="00141EE5">
              <w:t xml:space="preserve">Population </w:t>
            </w:r>
            <w:r w:rsidRPr="00107D90">
              <w:rPr>
                <w:vertAlign w:val="superscript"/>
              </w:rPr>
              <w:t>(e)</w:t>
            </w:r>
          </w:p>
        </w:tc>
        <w:tc>
          <w:tcPr>
            <w:tcW w:w="1202" w:type="dxa"/>
            <w:gridSpan w:val="2"/>
          </w:tcPr>
          <w:p w14:paraId="4DA3FDBA"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 xml:space="preserve">2.60 </w:t>
            </w:r>
            <w:r w:rsidRPr="009D683C">
              <w:rPr>
                <w:vertAlign w:val="superscript"/>
              </w:rPr>
              <w:t>(f)</w:t>
            </w:r>
          </w:p>
        </w:tc>
        <w:tc>
          <w:tcPr>
            <w:tcW w:w="785" w:type="dxa"/>
          </w:tcPr>
          <w:p w14:paraId="2749B1FF"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1.80</w:t>
            </w:r>
          </w:p>
        </w:tc>
        <w:tc>
          <w:tcPr>
            <w:tcW w:w="994" w:type="dxa"/>
          </w:tcPr>
          <w:p w14:paraId="513E4CEA"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1.70</w:t>
            </w:r>
          </w:p>
        </w:tc>
        <w:tc>
          <w:tcPr>
            <w:tcW w:w="994" w:type="dxa"/>
          </w:tcPr>
          <w:p w14:paraId="5E199F92"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1.70</w:t>
            </w:r>
          </w:p>
        </w:tc>
        <w:tc>
          <w:tcPr>
            <w:tcW w:w="997" w:type="dxa"/>
          </w:tcPr>
          <w:p w14:paraId="180B99D4"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1.70</w:t>
            </w:r>
          </w:p>
        </w:tc>
      </w:tr>
    </w:tbl>
    <w:p w14:paraId="2F40C8C1" w14:textId="77777777" w:rsidR="004135EE" w:rsidRPr="00FA34C7" w:rsidRDefault="004135EE" w:rsidP="004135EE">
      <w:pPr>
        <w:pStyle w:val="Note"/>
      </w:pPr>
      <w:r w:rsidRPr="00FA34C7">
        <w:t xml:space="preserve">Notes: </w:t>
      </w:r>
    </w:p>
    <w:p w14:paraId="636254A0" w14:textId="77777777" w:rsidR="004135EE" w:rsidRPr="00FA34C7" w:rsidRDefault="004135EE" w:rsidP="004135EE">
      <w:pPr>
        <w:pStyle w:val="Note"/>
      </w:pPr>
      <w:r w:rsidRPr="00FA34C7">
        <w:t>(a)</w:t>
      </w:r>
      <w:r w:rsidRPr="00FA34C7">
        <w:tab/>
        <w:t>Percentage change in year average terms compared with the previous year, except for the unemployment rate (see note (b)) and population (see note (e)). Forecasts are rounded to the nearest 0.25 percentage points, except for population (see note (e)).</w:t>
      </w:r>
    </w:p>
    <w:p w14:paraId="4E556706" w14:textId="77777777" w:rsidR="004135EE" w:rsidRPr="00FA34C7" w:rsidRDefault="004135EE" w:rsidP="004135EE">
      <w:pPr>
        <w:pStyle w:val="Note"/>
      </w:pPr>
      <w:r w:rsidRPr="00FA34C7">
        <w:tab/>
        <w:t>The key assumptions underlying the economic forecasts include interest rates that broadly follow market economists’ expectations; an Australian dollar trade</w:t>
      </w:r>
      <w:r w:rsidRPr="00FA34C7">
        <w:noBreakHyphen/>
        <w:t>weighted index of 62.3; and oil prices that follow the path suggested by oil futures.</w:t>
      </w:r>
    </w:p>
    <w:p w14:paraId="3D5E3669" w14:textId="77777777" w:rsidR="004135EE" w:rsidRPr="00FA34C7" w:rsidRDefault="004135EE" w:rsidP="004135EE">
      <w:pPr>
        <w:pStyle w:val="Note"/>
      </w:pPr>
      <w:r w:rsidRPr="00FA34C7">
        <w:t>(b)</w:t>
      </w:r>
      <w:r w:rsidRPr="00FA34C7">
        <w:tab/>
        <w:t>Year average.</w:t>
      </w:r>
    </w:p>
    <w:p w14:paraId="625A1CD4" w14:textId="77777777" w:rsidR="004135EE" w:rsidRPr="00FA34C7" w:rsidRDefault="004135EE" w:rsidP="004135EE">
      <w:pPr>
        <w:pStyle w:val="Note"/>
      </w:pPr>
      <w:r w:rsidRPr="00FA34C7">
        <w:t>(c)</w:t>
      </w:r>
      <w:r w:rsidRPr="00FA34C7">
        <w:tab/>
        <w:t xml:space="preserve">Melbourne consumer price index. </w:t>
      </w:r>
    </w:p>
    <w:p w14:paraId="3610E42E" w14:textId="77777777" w:rsidR="004135EE" w:rsidRPr="00FA34C7" w:rsidRDefault="004135EE" w:rsidP="004135EE">
      <w:pPr>
        <w:pStyle w:val="Note"/>
      </w:pPr>
      <w:r w:rsidRPr="00FA34C7">
        <w:t>(d)</w:t>
      </w:r>
      <w:r w:rsidRPr="00FA34C7">
        <w:tab/>
        <w:t>Wage price index, Victoria (based on total hourly rates of pay, excluding bonuses).</w:t>
      </w:r>
    </w:p>
    <w:p w14:paraId="410E9985" w14:textId="77777777" w:rsidR="004135EE" w:rsidRPr="00FA34C7" w:rsidRDefault="004135EE" w:rsidP="004135EE">
      <w:pPr>
        <w:pStyle w:val="Note"/>
      </w:pPr>
      <w:r w:rsidRPr="00FA34C7">
        <w:t>(e)</w:t>
      </w:r>
      <w:r w:rsidRPr="00FA34C7">
        <w:tab/>
        <w:t>Percentage change over the year to 30 June. Forecasts are rounded to the nearest 0.1 percentage point.</w:t>
      </w:r>
    </w:p>
    <w:p w14:paraId="682450DD" w14:textId="77777777" w:rsidR="004135EE" w:rsidRDefault="004135EE" w:rsidP="004135EE">
      <w:pPr>
        <w:pStyle w:val="Note"/>
      </w:pPr>
      <w:r w:rsidRPr="00FA34C7">
        <w:t>(f)</w:t>
      </w:r>
      <w:r w:rsidRPr="00FA34C7">
        <w:tab/>
        <w:t>Estimate, actual not yet available.</w:t>
      </w:r>
      <w:r>
        <w:t xml:space="preserve"> </w:t>
      </w:r>
    </w:p>
    <w:p w14:paraId="543F2E69" w14:textId="77777777" w:rsidR="004135EE" w:rsidRDefault="004135EE" w:rsidP="004135EE">
      <w:pPr>
        <w:pStyle w:val="Heading20"/>
      </w:pPr>
      <w:bookmarkStart w:id="69" w:name="_Hlk147760585"/>
      <w:r w:rsidRPr="00164E7C">
        <w:t>Economic risks that affect the Estimated Financial Statements</w:t>
      </w:r>
      <w:r>
        <w:t xml:space="preserve"> </w:t>
      </w:r>
    </w:p>
    <w:p w14:paraId="16E46337" w14:textId="77777777" w:rsidR="004135EE" w:rsidRPr="00215919" w:rsidRDefault="004135EE" w:rsidP="004135EE">
      <w:r>
        <w:t>There are r</w:t>
      </w:r>
      <w:r w:rsidRPr="00215919">
        <w:t>isks to Victoria</w:t>
      </w:r>
      <w:r>
        <w:t>’</w:t>
      </w:r>
      <w:r w:rsidRPr="00215919">
        <w:t xml:space="preserve">s economic outlook </w:t>
      </w:r>
      <w:r>
        <w:t xml:space="preserve">and </w:t>
      </w:r>
      <w:r w:rsidRPr="00215919">
        <w:t>the forecasts are subject to uncertainty</w:t>
      </w:r>
      <w:r>
        <w:t>, although the elevated uncertainties of previous budgets associated with the COVID-19 pandemic have eased</w:t>
      </w:r>
      <w:r w:rsidRPr="00215919">
        <w:t>.</w:t>
      </w:r>
    </w:p>
    <w:p w14:paraId="52BEEC20" w14:textId="77777777" w:rsidR="004135EE" w:rsidRDefault="004135EE" w:rsidP="004135EE">
      <w:r>
        <w:t>The outlook for consumer spending remains a key source of uncertainty for the Victorian economy. Consumption has been subdued over the past year, reflecting the impact of high inflation and elevated interest rates on household budgets. Household disposable income is expected to increase in 2024</w:t>
      </w:r>
      <w:r>
        <w:noBreakHyphen/>
        <w:t xml:space="preserve">25, which should support a rebound in spending. However, there is uncertainty around how strong this rebound will be, which has implications for economic activity and employment growth. </w:t>
      </w:r>
    </w:p>
    <w:p w14:paraId="01757BD8" w14:textId="77777777" w:rsidR="004135EE" w:rsidRPr="00215919" w:rsidRDefault="004135EE" w:rsidP="004135EE">
      <w:r>
        <w:t xml:space="preserve">The path of inflation and hence the outlook for interest rates contribute to the uncertainty around the outlook for consumer spending and dwelling investment. Although overall inflation is easing, services inflation remains high and there is uncertainty about how persistent services inflation will be. This has implications for the Reserve Bank of Australia’s monetary policy as well as that for other major central banks. </w:t>
      </w:r>
      <w:r w:rsidRPr="00215919">
        <w:t xml:space="preserve">The </w:t>
      </w:r>
      <w:r>
        <w:t>stance of</w:t>
      </w:r>
      <w:r w:rsidRPr="00215919">
        <w:t xml:space="preserve"> monetary </w:t>
      </w:r>
      <w:r w:rsidRPr="00FA2BD7">
        <w:t xml:space="preserve">policy </w:t>
      </w:r>
      <w:r>
        <w:t>will affect the outlook</w:t>
      </w:r>
      <w:r w:rsidRPr="00215919">
        <w:t xml:space="preserve"> for economic activity and employment growth. </w:t>
      </w:r>
      <w:r>
        <w:t xml:space="preserve">For example, GST revenue, land transfer duty revenue and interest expense are significantly linked to changes in economic growth, inflation and/or interest rates. </w:t>
      </w:r>
    </w:p>
    <w:p w14:paraId="131CB662" w14:textId="5E42793C" w:rsidR="004135EE" w:rsidRDefault="004135EE" w:rsidP="004135EE">
      <w:r w:rsidRPr="00170314">
        <w:t xml:space="preserve">Another uncertainty is the outlook for the global economy. One source of uncertainty stems from possible changes to US fiscal and trade policies following the recent US election, which could affect US and global inflation and economic growth, although the scale and timing </w:t>
      </w:r>
      <w:r w:rsidR="004325F5">
        <w:t>are</w:t>
      </w:r>
      <w:r w:rsidR="004325F5" w:rsidRPr="00170314">
        <w:t xml:space="preserve"> </w:t>
      </w:r>
      <w:r w:rsidRPr="00170314">
        <w:t xml:space="preserve">uncertain. Another risk to the outlook stems from heightened geopolitical tensions; for example, any escalation in the conflict in the Middle East or Russia’s invasion of Ukraine may add to global inflation, with disruptions to energy markets. Economic growth in China could also ease more than expected, which would weigh on the global economy and likely lead to a decline in demand for Victorian exports. </w:t>
      </w:r>
    </w:p>
    <w:p w14:paraId="4F8D87D2" w14:textId="77777777" w:rsidR="004135EE" w:rsidRDefault="004135EE" w:rsidP="004135EE">
      <w:r w:rsidRPr="00215919">
        <w:t xml:space="preserve">Further detail on the economic outlook and risks to the outlook is included in Chapter 2 </w:t>
      </w:r>
      <w:r w:rsidRPr="0084479A">
        <w:rPr>
          <w:i/>
        </w:rPr>
        <w:t xml:space="preserve">Economic </w:t>
      </w:r>
      <w:r>
        <w:rPr>
          <w:i/>
        </w:rPr>
        <w:t>c</w:t>
      </w:r>
      <w:r w:rsidRPr="0084479A">
        <w:rPr>
          <w:i/>
        </w:rPr>
        <w:t>ontext</w:t>
      </w:r>
      <w:r w:rsidRPr="00215919">
        <w:t>.</w:t>
      </w:r>
    </w:p>
    <w:p w14:paraId="03A06DCE" w14:textId="0C862CF1" w:rsidR="004135EE" w:rsidRDefault="004135EE" w:rsidP="0097358A">
      <w:pPr>
        <w:pStyle w:val="Heading2"/>
        <w:pageBreakBefore/>
      </w:pPr>
      <w:bookmarkStart w:id="70" w:name="_Toc179455584"/>
      <w:bookmarkStart w:id="71" w:name="_Toc179455722"/>
      <w:bookmarkEnd w:id="69"/>
      <w:r>
        <w:t>How funds are raised</w:t>
      </w:r>
      <w:bookmarkEnd w:id="70"/>
      <w:bookmarkEnd w:id="71"/>
    </w:p>
    <w:p w14:paraId="38E4F676" w14:textId="77777777" w:rsidR="00A12B31" w:rsidRDefault="00A12B31" w:rsidP="00A12B31">
      <w:pPr>
        <w:pStyle w:val="Heading30"/>
        <w:sectPr w:rsidR="00A12B31" w:rsidSect="002E50E8">
          <w:footerReference w:type="even" r:id="rId40"/>
          <w:footerReference w:type="default" r:id="rId41"/>
          <w:pgSz w:w="9979" w:h="14175" w:code="34"/>
          <w:pgMar w:top="1134" w:right="1134" w:bottom="1134" w:left="1134" w:header="624" w:footer="567" w:gutter="0"/>
          <w:cols w:space="708"/>
          <w:docGrid w:linePitch="360"/>
        </w:sectPr>
      </w:pPr>
    </w:p>
    <w:p w14:paraId="3CA11FD9" w14:textId="77777777" w:rsidR="004135EE" w:rsidRDefault="004135EE" w:rsidP="00A12B31">
      <w:pPr>
        <w:pStyle w:val="Heading30"/>
      </w:pPr>
      <w:r>
        <w:t>Introduction</w:t>
      </w:r>
    </w:p>
    <w:p w14:paraId="0C4FA186" w14:textId="77777777" w:rsidR="004135EE" w:rsidRDefault="004135EE" w:rsidP="004135EE">
      <w:r>
        <w:t>This section presents the sources and amounts of revenue and income forecast for the general government sector.</w:t>
      </w:r>
    </w:p>
    <w:p w14:paraId="65F4556A" w14:textId="77777777" w:rsidR="004135EE" w:rsidRDefault="004135EE" w:rsidP="004135EE">
      <w:r>
        <w:t xml:space="preserve">Revenue and income recognition is determined by the State based on the substance of the arrangement in accordance with the requirements of AASB 15 </w:t>
      </w:r>
      <w:r w:rsidRPr="001E2136">
        <w:rPr>
          <w:i/>
          <w:iCs/>
        </w:rPr>
        <w:t>Revenue from Contracts with Customers</w:t>
      </w:r>
      <w:r>
        <w:t xml:space="preserve">, AASB 16 </w:t>
      </w:r>
      <w:r w:rsidRPr="003E121B">
        <w:rPr>
          <w:i/>
          <w:iCs/>
        </w:rPr>
        <w:t>Leases</w:t>
      </w:r>
      <w:r>
        <w:t xml:space="preserve">, AASB 1058 </w:t>
      </w:r>
      <w:r w:rsidRPr="001E2136">
        <w:rPr>
          <w:i/>
          <w:iCs/>
        </w:rPr>
        <w:t xml:space="preserve">Income of </w:t>
      </w:r>
      <w:r>
        <w:rPr>
          <w:i/>
          <w:iCs/>
        </w:rPr>
        <w:t>N</w:t>
      </w:r>
      <w:r w:rsidRPr="001E2136">
        <w:rPr>
          <w:i/>
          <w:iCs/>
        </w:rPr>
        <w:t>ot</w:t>
      </w:r>
      <w:r>
        <w:rPr>
          <w:i/>
          <w:iCs/>
        </w:rPr>
        <w:noBreakHyphen/>
      </w:r>
      <w:r w:rsidRPr="001E2136">
        <w:rPr>
          <w:i/>
          <w:iCs/>
        </w:rPr>
        <w:t>for</w:t>
      </w:r>
      <w:r>
        <w:rPr>
          <w:i/>
          <w:iCs/>
        </w:rPr>
        <w:noBreakHyphen/>
      </w:r>
      <w:r w:rsidRPr="001E2136">
        <w:rPr>
          <w:i/>
          <w:iCs/>
        </w:rPr>
        <w:t>Profit Entities</w:t>
      </w:r>
      <w:r>
        <w:t xml:space="preserve"> and AASB 1059 </w:t>
      </w:r>
      <w:r w:rsidRPr="00480D66">
        <w:rPr>
          <w:i/>
          <w:iCs/>
        </w:rPr>
        <w:t>Service Concession Arrangements: Grantors</w:t>
      </w:r>
      <w:r>
        <w:t>.</w:t>
      </w:r>
    </w:p>
    <w:p w14:paraId="68ACEBAE" w14:textId="77777777" w:rsidR="00770307" w:rsidRDefault="00A12B31" w:rsidP="00770307">
      <w:pPr>
        <w:pStyle w:val="Heading30"/>
      </w:pPr>
      <w:bookmarkStart w:id="72" w:name="_Toc85010020"/>
      <w:bookmarkStart w:id="73" w:name="_Toc150443601"/>
      <w:r>
        <w:br w:type="column"/>
      </w:r>
      <w:r w:rsidR="00770307">
        <w:t>Structure</w:t>
      </w:r>
    </w:p>
    <w:p w14:paraId="7306A544" w14:textId="0D4A416D" w:rsidR="00DE43C4" w:rsidRDefault="00770307">
      <w:pPr>
        <w:pStyle w:val="TOC9"/>
        <w:rPr>
          <w:rFonts w:eastAsiaTheme="minorEastAsia"/>
          <w:noProof/>
          <w:kern w:val="2"/>
          <w:sz w:val="24"/>
          <w:szCs w:val="24"/>
          <w:lang w:eastAsia="en-AU"/>
          <w14:ligatures w14:val="standardContextual"/>
        </w:rPr>
      </w:pPr>
      <w:r>
        <w:fldChar w:fldCharType="begin"/>
      </w:r>
      <w:r>
        <w:instrText xml:space="preserve"> TOC \h \z \t "Heading 3,</w:instrText>
      </w:r>
      <w:r w:rsidR="00D02EA5">
        <w:instrText>9</w:instrText>
      </w:r>
      <w:r>
        <w:instrText xml:space="preserve">" \b "Section_4_2" </w:instrText>
      </w:r>
      <w:r>
        <w:fldChar w:fldCharType="separate"/>
      </w:r>
      <w:hyperlink w:anchor="_Toc184299748" w:history="1">
        <w:r w:rsidR="00DE43C4" w:rsidRPr="0075378E">
          <w:rPr>
            <w:rStyle w:val="Hyperlink"/>
            <w:noProof/>
          </w:rPr>
          <w:t>4.2.1</w:t>
        </w:r>
        <w:r w:rsidR="00DE43C4">
          <w:rPr>
            <w:rFonts w:eastAsiaTheme="minorEastAsia"/>
            <w:noProof/>
            <w:kern w:val="2"/>
            <w:sz w:val="24"/>
            <w:szCs w:val="24"/>
            <w:lang w:eastAsia="en-AU"/>
            <w14:ligatures w14:val="standardContextual"/>
          </w:rPr>
          <w:tab/>
        </w:r>
        <w:r w:rsidR="00DE43C4" w:rsidRPr="0075378E">
          <w:rPr>
            <w:rStyle w:val="Hyperlink"/>
            <w:noProof/>
          </w:rPr>
          <w:t>Taxation</w:t>
        </w:r>
        <w:r w:rsidR="00DE43C4">
          <w:rPr>
            <w:noProof/>
            <w:webHidden/>
          </w:rPr>
          <w:tab/>
        </w:r>
        <w:r w:rsidR="00DE43C4">
          <w:rPr>
            <w:noProof/>
            <w:webHidden/>
          </w:rPr>
          <w:fldChar w:fldCharType="begin"/>
        </w:r>
        <w:r w:rsidR="00DE43C4">
          <w:rPr>
            <w:noProof/>
            <w:webHidden/>
          </w:rPr>
          <w:instrText xml:space="preserve"> PAGEREF _Toc184299748 \h </w:instrText>
        </w:r>
        <w:r w:rsidR="00DE43C4">
          <w:rPr>
            <w:noProof/>
            <w:webHidden/>
          </w:rPr>
        </w:r>
        <w:r w:rsidR="00DE43C4">
          <w:rPr>
            <w:noProof/>
            <w:webHidden/>
          </w:rPr>
          <w:fldChar w:fldCharType="separate"/>
        </w:r>
        <w:r w:rsidR="00DE43C4">
          <w:rPr>
            <w:noProof/>
            <w:webHidden/>
          </w:rPr>
          <w:t>56</w:t>
        </w:r>
        <w:r w:rsidR="00DE43C4">
          <w:rPr>
            <w:noProof/>
            <w:webHidden/>
          </w:rPr>
          <w:fldChar w:fldCharType="end"/>
        </w:r>
      </w:hyperlink>
    </w:p>
    <w:p w14:paraId="60FF153E" w14:textId="06751EF9" w:rsidR="00DE43C4" w:rsidRDefault="00DE43C4">
      <w:pPr>
        <w:pStyle w:val="TOC9"/>
        <w:rPr>
          <w:rFonts w:eastAsiaTheme="minorEastAsia"/>
          <w:noProof/>
          <w:kern w:val="2"/>
          <w:sz w:val="24"/>
          <w:szCs w:val="24"/>
          <w:lang w:eastAsia="en-AU"/>
          <w14:ligatures w14:val="standardContextual"/>
        </w:rPr>
      </w:pPr>
      <w:hyperlink w:anchor="_Toc184299749" w:history="1">
        <w:r w:rsidRPr="0075378E">
          <w:rPr>
            <w:rStyle w:val="Hyperlink"/>
            <w:noProof/>
          </w:rPr>
          <w:t>4.2.2</w:t>
        </w:r>
        <w:r>
          <w:rPr>
            <w:rFonts w:eastAsiaTheme="minorEastAsia"/>
            <w:noProof/>
            <w:kern w:val="2"/>
            <w:sz w:val="24"/>
            <w:szCs w:val="24"/>
            <w:lang w:eastAsia="en-AU"/>
            <w14:ligatures w14:val="standardContextual"/>
          </w:rPr>
          <w:tab/>
        </w:r>
        <w:r w:rsidRPr="0075378E">
          <w:rPr>
            <w:rStyle w:val="Hyperlink"/>
            <w:noProof/>
          </w:rPr>
          <w:t xml:space="preserve">Dividends, income tax equivalent </w:t>
        </w:r>
        <w:r>
          <w:rPr>
            <w:rStyle w:val="Hyperlink"/>
            <w:noProof/>
          </w:rPr>
          <w:br/>
        </w:r>
        <w:r w:rsidRPr="0075378E">
          <w:rPr>
            <w:rStyle w:val="Hyperlink"/>
            <w:noProof/>
          </w:rPr>
          <w:t>and rate equivalent income</w:t>
        </w:r>
        <w:r>
          <w:rPr>
            <w:noProof/>
            <w:webHidden/>
          </w:rPr>
          <w:tab/>
        </w:r>
        <w:r>
          <w:rPr>
            <w:noProof/>
            <w:webHidden/>
          </w:rPr>
          <w:fldChar w:fldCharType="begin"/>
        </w:r>
        <w:r>
          <w:rPr>
            <w:noProof/>
            <w:webHidden/>
          </w:rPr>
          <w:instrText xml:space="preserve"> PAGEREF _Toc184299749 \h </w:instrText>
        </w:r>
        <w:r>
          <w:rPr>
            <w:noProof/>
            <w:webHidden/>
          </w:rPr>
        </w:r>
        <w:r>
          <w:rPr>
            <w:noProof/>
            <w:webHidden/>
          </w:rPr>
          <w:fldChar w:fldCharType="separate"/>
        </w:r>
        <w:r>
          <w:rPr>
            <w:noProof/>
            <w:webHidden/>
          </w:rPr>
          <w:t>57</w:t>
        </w:r>
        <w:r>
          <w:rPr>
            <w:noProof/>
            <w:webHidden/>
          </w:rPr>
          <w:fldChar w:fldCharType="end"/>
        </w:r>
      </w:hyperlink>
    </w:p>
    <w:p w14:paraId="34DEC8F6" w14:textId="524A5A1E" w:rsidR="00DE43C4" w:rsidRDefault="00DE43C4">
      <w:pPr>
        <w:pStyle w:val="TOC9"/>
        <w:rPr>
          <w:rFonts w:eastAsiaTheme="minorEastAsia"/>
          <w:noProof/>
          <w:kern w:val="2"/>
          <w:sz w:val="24"/>
          <w:szCs w:val="24"/>
          <w:lang w:eastAsia="en-AU"/>
          <w14:ligatures w14:val="standardContextual"/>
        </w:rPr>
      </w:pPr>
      <w:hyperlink w:anchor="_Toc184299750" w:history="1">
        <w:r w:rsidRPr="0075378E">
          <w:rPr>
            <w:rStyle w:val="Hyperlink"/>
            <w:noProof/>
          </w:rPr>
          <w:t>4.2.3</w:t>
        </w:r>
        <w:r>
          <w:rPr>
            <w:rFonts w:eastAsiaTheme="minorEastAsia"/>
            <w:noProof/>
            <w:kern w:val="2"/>
            <w:sz w:val="24"/>
            <w:szCs w:val="24"/>
            <w:lang w:eastAsia="en-AU"/>
            <w14:ligatures w14:val="standardContextual"/>
          </w:rPr>
          <w:tab/>
        </w:r>
        <w:r w:rsidRPr="0075378E">
          <w:rPr>
            <w:rStyle w:val="Hyperlink"/>
            <w:noProof/>
          </w:rPr>
          <w:t>Sales of goods and services</w:t>
        </w:r>
        <w:r>
          <w:rPr>
            <w:noProof/>
            <w:webHidden/>
          </w:rPr>
          <w:tab/>
        </w:r>
        <w:r>
          <w:rPr>
            <w:noProof/>
            <w:webHidden/>
          </w:rPr>
          <w:fldChar w:fldCharType="begin"/>
        </w:r>
        <w:r>
          <w:rPr>
            <w:noProof/>
            <w:webHidden/>
          </w:rPr>
          <w:instrText xml:space="preserve"> PAGEREF _Toc184299750 \h </w:instrText>
        </w:r>
        <w:r>
          <w:rPr>
            <w:noProof/>
            <w:webHidden/>
          </w:rPr>
        </w:r>
        <w:r>
          <w:rPr>
            <w:noProof/>
            <w:webHidden/>
          </w:rPr>
          <w:fldChar w:fldCharType="separate"/>
        </w:r>
        <w:r>
          <w:rPr>
            <w:noProof/>
            <w:webHidden/>
          </w:rPr>
          <w:t>58</w:t>
        </w:r>
        <w:r>
          <w:rPr>
            <w:noProof/>
            <w:webHidden/>
          </w:rPr>
          <w:fldChar w:fldCharType="end"/>
        </w:r>
      </w:hyperlink>
    </w:p>
    <w:p w14:paraId="61D04C3F" w14:textId="2CF96812" w:rsidR="00DE43C4" w:rsidRDefault="00DE43C4">
      <w:pPr>
        <w:pStyle w:val="TOC9"/>
        <w:rPr>
          <w:rFonts w:eastAsiaTheme="minorEastAsia"/>
          <w:noProof/>
          <w:kern w:val="2"/>
          <w:sz w:val="24"/>
          <w:szCs w:val="24"/>
          <w:lang w:eastAsia="en-AU"/>
          <w14:ligatures w14:val="standardContextual"/>
        </w:rPr>
      </w:pPr>
      <w:hyperlink w:anchor="_Toc184299751" w:history="1">
        <w:r w:rsidRPr="0075378E">
          <w:rPr>
            <w:rStyle w:val="Hyperlink"/>
            <w:noProof/>
          </w:rPr>
          <w:t>4.2.4</w:t>
        </w:r>
        <w:r>
          <w:rPr>
            <w:rFonts w:eastAsiaTheme="minorEastAsia"/>
            <w:noProof/>
            <w:kern w:val="2"/>
            <w:sz w:val="24"/>
            <w:szCs w:val="24"/>
            <w:lang w:eastAsia="en-AU"/>
            <w14:ligatures w14:val="standardContextual"/>
          </w:rPr>
          <w:tab/>
        </w:r>
        <w:r w:rsidRPr="0075378E">
          <w:rPr>
            <w:rStyle w:val="Hyperlink"/>
            <w:noProof/>
          </w:rPr>
          <w:t>Grants</w:t>
        </w:r>
        <w:r>
          <w:rPr>
            <w:noProof/>
            <w:webHidden/>
          </w:rPr>
          <w:tab/>
        </w:r>
        <w:r>
          <w:rPr>
            <w:noProof/>
            <w:webHidden/>
          </w:rPr>
          <w:fldChar w:fldCharType="begin"/>
        </w:r>
        <w:r>
          <w:rPr>
            <w:noProof/>
            <w:webHidden/>
          </w:rPr>
          <w:instrText xml:space="preserve"> PAGEREF _Toc184299751 \h </w:instrText>
        </w:r>
        <w:r>
          <w:rPr>
            <w:noProof/>
            <w:webHidden/>
          </w:rPr>
        </w:r>
        <w:r>
          <w:rPr>
            <w:noProof/>
            <w:webHidden/>
          </w:rPr>
          <w:fldChar w:fldCharType="separate"/>
        </w:r>
        <w:r>
          <w:rPr>
            <w:noProof/>
            <w:webHidden/>
          </w:rPr>
          <w:t>58</w:t>
        </w:r>
        <w:r>
          <w:rPr>
            <w:noProof/>
            <w:webHidden/>
          </w:rPr>
          <w:fldChar w:fldCharType="end"/>
        </w:r>
      </w:hyperlink>
    </w:p>
    <w:p w14:paraId="0F0A06A6" w14:textId="474968BD" w:rsidR="00DE43C4" w:rsidRDefault="00DE43C4">
      <w:pPr>
        <w:pStyle w:val="TOC9"/>
        <w:rPr>
          <w:rFonts w:eastAsiaTheme="minorEastAsia"/>
          <w:noProof/>
          <w:kern w:val="2"/>
          <w:sz w:val="24"/>
          <w:szCs w:val="24"/>
          <w:lang w:eastAsia="en-AU"/>
          <w14:ligatures w14:val="standardContextual"/>
        </w:rPr>
      </w:pPr>
      <w:hyperlink w:anchor="_Toc184299752" w:history="1">
        <w:r w:rsidRPr="0075378E">
          <w:rPr>
            <w:rStyle w:val="Hyperlink"/>
            <w:noProof/>
          </w:rPr>
          <w:t>4.2.5</w:t>
        </w:r>
        <w:r>
          <w:rPr>
            <w:rFonts w:eastAsiaTheme="minorEastAsia"/>
            <w:noProof/>
            <w:kern w:val="2"/>
            <w:sz w:val="24"/>
            <w:szCs w:val="24"/>
            <w:lang w:eastAsia="en-AU"/>
            <w14:ligatures w14:val="standardContextual"/>
          </w:rPr>
          <w:tab/>
        </w:r>
        <w:r w:rsidRPr="0075378E">
          <w:rPr>
            <w:rStyle w:val="Hyperlink"/>
            <w:noProof/>
          </w:rPr>
          <w:t>Other revenue and income</w:t>
        </w:r>
        <w:r>
          <w:rPr>
            <w:noProof/>
            <w:webHidden/>
          </w:rPr>
          <w:tab/>
        </w:r>
        <w:r>
          <w:rPr>
            <w:noProof/>
            <w:webHidden/>
          </w:rPr>
          <w:fldChar w:fldCharType="begin"/>
        </w:r>
        <w:r>
          <w:rPr>
            <w:noProof/>
            <w:webHidden/>
          </w:rPr>
          <w:instrText xml:space="preserve"> PAGEREF _Toc184299752 \h </w:instrText>
        </w:r>
        <w:r>
          <w:rPr>
            <w:noProof/>
            <w:webHidden/>
          </w:rPr>
        </w:r>
        <w:r>
          <w:rPr>
            <w:noProof/>
            <w:webHidden/>
          </w:rPr>
          <w:fldChar w:fldCharType="separate"/>
        </w:r>
        <w:r>
          <w:rPr>
            <w:noProof/>
            <w:webHidden/>
          </w:rPr>
          <w:t>59</w:t>
        </w:r>
        <w:r>
          <w:rPr>
            <w:noProof/>
            <w:webHidden/>
          </w:rPr>
          <w:fldChar w:fldCharType="end"/>
        </w:r>
      </w:hyperlink>
    </w:p>
    <w:p w14:paraId="0EADC827" w14:textId="58ED99D3" w:rsidR="00DE43C4" w:rsidRDefault="00DE43C4">
      <w:pPr>
        <w:pStyle w:val="TOC9"/>
        <w:rPr>
          <w:rFonts w:eastAsiaTheme="minorEastAsia"/>
          <w:noProof/>
          <w:kern w:val="2"/>
          <w:sz w:val="24"/>
          <w:szCs w:val="24"/>
          <w:lang w:eastAsia="en-AU"/>
          <w14:ligatures w14:val="standardContextual"/>
        </w:rPr>
      </w:pPr>
      <w:hyperlink w:anchor="_Toc184299753" w:history="1">
        <w:r w:rsidRPr="0075378E">
          <w:rPr>
            <w:rStyle w:val="Hyperlink"/>
            <w:noProof/>
          </w:rPr>
          <w:t>4.2.6</w:t>
        </w:r>
        <w:r>
          <w:rPr>
            <w:rFonts w:eastAsiaTheme="minorEastAsia"/>
            <w:noProof/>
            <w:kern w:val="2"/>
            <w:sz w:val="24"/>
            <w:szCs w:val="24"/>
            <w:lang w:eastAsia="en-AU"/>
            <w14:ligatures w14:val="standardContextual"/>
          </w:rPr>
          <w:tab/>
        </w:r>
        <w:r w:rsidRPr="0075378E">
          <w:rPr>
            <w:rStyle w:val="Hyperlink"/>
            <w:noProof/>
          </w:rPr>
          <w:t>Receivables and contract assets</w:t>
        </w:r>
        <w:r>
          <w:rPr>
            <w:noProof/>
            <w:webHidden/>
          </w:rPr>
          <w:tab/>
        </w:r>
        <w:r>
          <w:rPr>
            <w:noProof/>
            <w:webHidden/>
          </w:rPr>
          <w:fldChar w:fldCharType="begin"/>
        </w:r>
        <w:r>
          <w:rPr>
            <w:noProof/>
            <w:webHidden/>
          </w:rPr>
          <w:instrText xml:space="preserve"> PAGEREF _Toc184299753 \h </w:instrText>
        </w:r>
        <w:r>
          <w:rPr>
            <w:noProof/>
            <w:webHidden/>
          </w:rPr>
        </w:r>
        <w:r>
          <w:rPr>
            <w:noProof/>
            <w:webHidden/>
          </w:rPr>
          <w:fldChar w:fldCharType="separate"/>
        </w:r>
        <w:r>
          <w:rPr>
            <w:noProof/>
            <w:webHidden/>
          </w:rPr>
          <w:t>60</w:t>
        </w:r>
        <w:r>
          <w:rPr>
            <w:noProof/>
            <w:webHidden/>
          </w:rPr>
          <w:fldChar w:fldCharType="end"/>
        </w:r>
      </w:hyperlink>
    </w:p>
    <w:p w14:paraId="3BE43C56" w14:textId="79DE1251" w:rsidR="00DE43C4" w:rsidRDefault="00DE43C4">
      <w:pPr>
        <w:pStyle w:val="TOC9"/>
        <w:rPr>
          <w:rFonts w:eastAsiaTheme="minorEastAsia"/>
          <w:noProof/>
          <w:kern w:val="2"/>
          <w:sz w:val="24"/>
          <w:szCs w:val="24"/>
          <w:lang w:eastAsia="en-AU"/>
          <w14:ligatures w14:val="standardContextual"/>
        </w:rPr>
      </w:pPr>
      <w:hyperlink w:anchor="_Toc184299754" w:history="1">
        <w:r w:rsidRPr="0075378E">
          <w:rPr>
            <w:rStyle w:val="Hyperlink"/>
            <w:noProof/>
          </w:rPr>
          <w:t>4.2.7</w:t>
        </w:r>
        <w:r>
          <w:rPr>
            <w:rFonts w:eastAsiaTheme="minorEastAsia"/>
            <w:noProof/>
            <w:kern w:val="2"/>
            <w:sz w:val="24"/>
            <w:szCs w:val="24"/>
            <w:lang w:eastAsia="en-AU"/>
            <w14:ligatures w14:val="standardContextual"/>
          </w:rPr>
          <w:tab/>
        </w:r>
        <w:r w:rsidRPr="0075378E">
          <w:rPr>
            <w:rStyle w:val="Hyperlink"/>
            <w:noProof/>
          </w:rPr>
          <w:t>Other liabilities</w:t>
        </w:r>
        <w:r>
          <w:rPr>
            <w:noProof/>
            <w:webHidden/>
          </w:rPr>
          <w:tab/>
        </w:r>
        <w:r>
          <w:rPr>
            <w:noProof/>
            <w:webHidden/>
          </w:rPr>
          <w:fldChar w:fldCharType="begin"/>
        </w:r>
        <w:r>
          <w:rPr>
            <w:noProof/>
            <w:webHidden/>
          </w:rPr>
          <w:instrText xml:space="preserve"> PAGEREF _Toc184299754 \h </w:instrText>
        </w:r>
        <w:r>
          <w:rPr>
            <w:noProof/>
            <w:webHidden/>
          </w:rPr>
        </w:r>
        <w:r>
          <w:rPr>
            <w:noProof/>
            <w:webHidden/>
          </w:rPr>
          <w:fldChar w:fldCharType="separate"/>
        </w:r>
        <w:r>
          <w:rPr>
            <w:noProof/>
            <w:webHidden/>
          </w:rPr>
          <w:t>60</w:t>
        </w:r>
        <w:r>
          <w:rPr>
            <w:noProof/>
            <w:webHidden/>
          </w:rPr>
          <w:fldChar w:fldCharType="end"/>
        </w:r>
      </w:hyperlink>
    </w:p>
    <w:p w14:paraId="4631AF47" w14:textId="3DEB839D" w:rsidR="00A12B31" w:rsidRDefault="00770307" w:rsidP="00D02EA5">
      <w:r>
        <w:fldChar w:fldCharType="end"/>
      </w:r>
    </w:p>
    <w:p w14:paraId="4A3D565C" w14:textId="77777777" w:rsidR="00A12B31" w:rsidRDefault="00A12B31">
      <w:pPr>
        <w:keepLines w:val="0"/>
      </w:pPr>
    </w:p>
    <w:p w14:paraId="42CFCFDA" w14:textId="11E3B0D1" w:rsidR="00A12B31" w:rsidRDefault="00A12B31">
      <w:pPr>
        <w:keepLines w:val="0"/>
        <w:sectPr w:rsidR="00A12B31" w:rsidSect="00A12B31">
          <w:type w:val="continuous"/>
          <w:pgSz w:w="9979" w:h="14175" w:code="34"/>
          <w:pgMar w:top="1134" w:right="1134" w:bottom="1134" w:left="1134" w:header="624" w:footer="567" w:gutter="0"/>
          <w:cols w:num="2" w:space="708"/>
          <w:docGrid w:linePitch="360"/>
        </w:sectPr>
      </w:pPr>
    </w:p>
    <w:p w14:paraId="5BF1B243" w14:textId="77777777" w:rsidR="004135EE" w:rsidRDefault="004135EE">
      <w:pPr>
        <w:keepLines w:val="0"/>
        <w:rPr>
          <w:rFonts w:asciiTheme="majorHAnsi" w:hAnsiTheme="majorHAnsi" w:cstheme="minorBidi"/>
          <w:b/>
          <w:iCs/>
          <w:sz w:val="20"/>
          <w:szCs w:val="18"/>
        </w:rPr>
      </w:pPr>
      <w:r>
        <w:br w:type="page"/>
      </w:r>
    </w:p>
    <w:p w14:paraId="697DA523" w14:textId="09BE81FD" w:rsidR="004135EE" w:rsidRPr="004135EE" w:rsidRDefault="004135EE" w:rsidP="004135EE">
      <w:pPr>
        <w:pStyle w:val="Heading30"/>
      </w:pPr>
      <w:bookmarkStart w:id="74" w:name="_Toc184299748"/>
      <w:bookmarkStart w:id="75" w:name="Section_4_2"/>
      <w:r w:rsidRPr="004135EE">
        <w:t>4.2.1</w:t>
      </w:r>
      <w:r w:rsidRPr="004135EE">
        <w:tab/>
        <w:t>Taxation</w:t>
      </w:r>
      <w:r w:rsidRPr="004135EE">
        <w:tab/>
        <w:t>($ million)</w:t>
      </w:r>
      <w:bookmarkEnd w:id="72"/>
      <w:bookmarkEnd w:id="73"/>
      <w:bookmarkEnd w:id="74"/>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Taxation|MergedHeadingRow:1"/>
      </w:tblPr>
      <w:tblGrid>
        <w:gridCol w:w="3740"/>
        <w:gridCol w:w="794"/>
        <w:gridCol w:w="794"/>
        <w:gridCol w:w="794"/>
        <w:gridCol w:w="794"/>
        <w:gridCol w:w="794"/>
      </w:tblGrid>
      <w:tr w:rsidR="004135EE" w14:paraId="30AACCB6"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435238F" w14:textId="77777777" w:rsidR="004135EE" w:rsidRDefault="004135EE" w:rsidP="004135EE">
            <w:pPr>
              <w:keepNext/>
            </w:pPr>
          </w:p>
        </w:tc>
        <w:tc>
          <w:tcPr>
            <w:tcW w:w="794" w:type="dxa"/>
          </w:tcPr>
          <w:p w14:paraId="55A1D161" w14:textId="77777777" w:rsidR="004135EE" w:rsidRDefault="004135EE" w:rsidP="004135EE">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budget</w:t>
            </w:r>
          </w:p>
        </w:tc>
        <w:tc>
          <w:tcPr>
            <w:tcW w:w="794" w:type="dxa"/>
          </w:tcPr>
          <w:p w14:paraId="3BEA6B6D" w14:textId="77777777" w:rsidR="004135EE" w:rsidRDefault="004135EE" w:rsidP="004135EE">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revised</w:t>
            </w:r>
          </w:p>
        </w:tc>
        <w:tc>
          <w:tcPr>
            <w:tcW w:w="794" w:type="dxa"/>
          </w:tcPr>
          <w:p w14:paraId="2B2811BC" w14:textId="77777777" w:rsidR="004135EE" w:rsidRDefault="004135EE" w:rsidP="004135EE">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3B3D2AAB" w14:textId="77777777" w:rsidR="004135EE" w:rsidRDefault="004135EE" w:rsidP="004135EE">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c>
          <w:tcPr>
            <w:tcW w:w="794" w:type="dxa"/>
          </w:tcPr>
          <w:p w14:paraId="349AC600" w14:textId="77777777" w:rsidR="004135EE" w:rsidRDefault="004135EE" w:rsidP="004135EE">
            <w:pPr>
              <w:keepNext/>
              <w:cnfStyle w:val="100000000000" w:firstRow="1" w:lastRow="0" w:firstColumn="0" w:lastColumn="0" w:oddVBand="0" w:evenVBand="0" w:oddHBand="0" w:evenHBand="0" w:firstRowFirstColumn="0" w:firstRowLastColumn="0" w:lastRowFirstColumn="0" w:lastRowLastColumn="0"/>
            </w:pPr>
            <w:r>
              <w:rPr>
                <w:sz w:val="16"/>
              </w:rPr>
              <w:t>2027</w:t>
            </w:r>
            <w:r>
              <w:rPr>
                <w:sz w:val="16"/>
              </w:rPr>
              <w:noBreakHyphen/>
              <w:t>28</w:t>
            </w:r>
            <w:r>
              <w:br/>
              <w:t>estimate</w:t>
            </w:r>
          </w:p>
        </w:tc>
      </w:tr>
      <w:tr w:rsidR="004135EE" w14:paraId="6DBF1293" w14:textId="77777777" w:rsidTr="008670FF">
        <w:tc>
          <w:tcPr>
            <w:cnfStyle w:val="001000000000" w:firstRow="0" w:lastRow="0" w:firstColumn="1" w:lastColumn="0" w:oddVBand="0" w:evenVBand="0" w:oddHBand="0" w:evenHBand="0" w:firstRowFirstColumn="0" w:firstRowLastColumn="0" w:lastRowFirstColumn="0" w:lastRowLastColumn="0"/>
            <w:tcW w:w="7710" w:type="dxa"/>
            <w:gridSpan w:val="6"/>
          </w:tcPr>
          <w:p w14:paraId="237C2C60" w14:textId="77777777" w:rsidR="004135EE" w:rsidRDefault="004135EE" w:rsidP="004135EE">
            <w:r>
              <w:rPr>
                <w:b/>
                <w:sz w:val="16"/>
              </w:rPr>
              <w:t>TAXES ON EMPLOYERS’ PAYROLL AND LABOUR FORCE</w:t>
            </w:r>
          </w:p>
        </w:tc>
      </w:tr>
      <w:tr w:rsidR="004135EE" w14:paraId="11DBBE8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63877FA" w14:textId="77777777" w:rsidR="004135EE" w:rsidRDefault="004135EE" w:rsidP="004135EE">
            <w:r>
              <w:rPr>
                <w:sz w:val="16"/>
              </w:rPr>
              <w:t>Payroll tax</w:t>
            </w:r>
          </w:p>
        </w:tc>
        <w:tc>
          <w:tcPr>
            <w:tcW w:w="794" w:type="dxa"/>
          </w:tcPr>
          <w:p w14:paraId="4F5FA54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9 071</w:t>
            </w:r>
          </w:p>
        </w:tc>
        <w:tc>
          <w:tcPr>
            <w:tcW w:w="794" w:type="dxa"/>
          </w:tcPr>
          <w:p w14:paraId="2354B7D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9 071</w:t>
            </w:r>
          </w:p>
        </w:tc>
        <w:tc>
          <w:tcPr>
            <w:tcW w:w="794" w:type="dxa"/>
          </w:tcPr>
          <w:p w14:paraId="041D702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9 410</w:t>
            </w:r>
          </w:p>
        </w:tc>
        <w:tc>
          <w:tcPr>
            <w:tcW w:w="794" w:type="dxa"/>
          </w:tcPr>
          <w:p w14:paraId="7865233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9 904</w:t>
            </w:r>
          </w:p>
        </w:tc>
        <w:tc>
          <w:tcPr>
            <w:tcW w:w="794" w:type="dxa"/>
          </w:tcPr>
          <w:p w14:paraId="5B060AD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10 426</w:t>
            </w:r>
          </w:p>
        </w:tc>
      </w:tr>
      <w:tr w:rsidR="004135EE" w14:paraId="4BE45AE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6299072" w14:textId="77777777" w:rsidR="004135EE" w:rsidRDefault="004135EE" w:rsidP="004135EE">
            <w:r>
              <w:rPr>
                <w:sz w:val="16"/>
              </w:rPr>
              <w:t>COVID Debt Levy – Payroll $10m+</w:t>
            </w:r>
          </w:p>
        </w:tc>
        <w:tc>
          <w:tcPr>
            <w:tcW w:w="794" w:type="dxa"/>
          </w:tcPr>
          <w:p w14:paraId="739736D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1 031</w:t>
            </w:r>
          </w:p>
        </w:tc>
        <w:tc>
          <w:tcPr>
            <w:tcW w:w="794" w:type="dxa"/>
          </w:tcPr>
          <w:p w14:paraId="0B2080C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1 031</w:t>
            </w:r>
          </w:p>
        </w:tc>
        <w:tc>
          <w:tcPr>
            <w:tcW w:w="794" w:type="dxa"/>
          </w:tcPr>
          <w:p w14:paraId="78F8E04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1 084</w:t>
            </w:r>
          </w:p>
        </w:tc>
        <w:tc>
          <w:tcPr>
            <w:tcW w:w="794" w:type="dxa"/>
          </w:tcPr>
          <w:p w14:paraId="7EC1E8E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1 146</w:t>
            </w:r>
          </w:p>
        </w:tc>
        <w:tc>
          <w:tcPr>
            <w:tcW w:w="794" w:type="dxa"/>
          </w:tcPr>
          <w:p w14:paraId="7010B45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1 215</w:t>
            </w:r>
          </w:p>
        </w:tc>
      </w:tr>
      <w:tr w:rsidR="004135EE" w14:paraId="01CD093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27F56C3" w14:textId="77777777" w:rsidR="004135EE" w:rsidRDefault="004135EE" w:rsidP="004135EE">
            <w:r>
              <w:rPr>
                <w:sz w:val="16"/>
              </w:rPr>
              <w:t>Mental Health and Wellbeing Levy</w:t>
            </w:r>
          </w:p>
        </w:tc>
        <w:tc>
          <w:tcPr>
            <w:tcW w:w="794" w:type="dxa"/>
            <w:tcBorders>
              <w:bottom w:val="single" w:sz="6" w:space="0" w:color="auto"/>
            </w:tcBorders>
          </w:tcPr>
          <w:p w14:paraId="3A30355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1 031</w:t>
            </w:r>
          </w:p>
        </w:tc>
        <w:tc>
          <w:tcPr>
            <w:tcW w:w="794" w:type="dxa"/>
            <w:tcBorders>
              <w:bottom w:val="single" w:sz="6" w:space="0" w:color="auto"/>
            </w:tcBorders>
          </w:tcPr>
          <w:p w14:paraId="667AC41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1 031</w:t>
            </w:r>
          </w:p>
        </w:tc>
        <w:tc>
          <w:tcPr>
            <w:tcW w:w="794" w:type="dxa"/>
            <w:tcBorders>
              <w:bottom w:val="single" w:sz="6" w:space="0" w:color="auto"/>
            </w:tcBorders>
          </w:tcPr>
          <w:p w14:paraId="0EC1616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1 084</w:t>
            </w:r>
          </w:p>
        </w:tc>
        <w:tc>
          <w:tcPr>
            <w:tcW w:w="794" w:type="dxa"/>
            <w:tcBorders>
              <w:bottom w:val="single" w:sz="6" w:space="0" w:color="auto"/>
            </w:tcBorders>
          </w:tcPr>
          <w:p w14:paraId="2BC264F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1 146</w:t>
            </w:r>
          </w:p>
        </w:tc>
        <w:tc>
          <w:tcPr>
            <w:tcW w:w="794" w:type="dxa"/>
            <w:tcBorders>
              <w:bottom w:val="single" w:sz="6" w:space="0" w:color="auto"/>
            </w:tcBorders>
          </w:tcPr>
          <w:p w14:paraId="5BA91D1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1 215</w:t>
            </w:r>
          </w:p>
        </w:tc>
      </w:tr>
      <w:tr w:rsidR="004135EE" w14:paraId="75D2B61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31E850DD" w14:textId="77777777" w:rsidR="004135EE" w:rsidRDefault="004135EE" w:rsidP="004135EE">
            <w:r>
              <w:rPr>
                <w:b/>
                <w:sz w:val="16"/>
              </w:rPr>
              <w:t>Total taxes on employers’ payroll and labour force</w:t>
            </w:r>
          </w:p>
        </w:tc>
        <w:tc>
          <w:tcPr>
            <w:tcW w:w="794" w:type="dxa"/>
            <w:tcBorders>
              <w:top w:val="single" w:sz="6" w:space="0" w:color="auto"/>
              <w:bottom w:val="single" w:sz="6" w:space="0" w:color="auto"/>
            </w:tcBorders>
          </w:tcPr>
          <w:p w14:paraId="3872F0C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11 133</w:t>
            </w:r>
          </w:p>
        </w:tc>
        <w:tc>
          <w:tcPr>
            <w:tcW w:w="794" w:type="dxa"/>
            <w:tcBorders>
              <w:top w:val="single" w:sz="6" w:space="0" w:color="auto"/>
              <w:bottom w:val="single" w:sz="6" w:space="0" w:color="auto"/>
            </w:tcBorders>
          </w:tcPr>
          <w:p w14:paraId="2C8AC4A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11 133</w:t>
            </w:r>
          </w:p>
        </w:tc>
        <w:tc>
          <w:tcPr>
            <w:tcW w:w="794" w:type="dxa"/>
            <w:tcBorders>
              <w:top w:val="single" w:sz="6" w:space="0" w:color="auto"/>
              <w:bottom w:val="single" w:sz="6" w:space="0" w:color="auto"/>
            </w:tcBorders>
          </w:tcPr>
          <w:p w14:paraId="62A6F86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11 578</w:t>
            </w:r>
          </w:p>
        </w:tc>
        <w:tc>
          <w:tcPr>
            <w:tcW w:w="794" w:type="dxa"/>
            <w:tcBorders>
              <w:top w:val="single" w:sz="6" w:space="0" w:color="auto"/>
              <w:bottom w:val="single" w:sz="6" w:space="0" w:color="auto"/>
            </w:tcBorders>
          </w:tcPr>
          <w:p w14:paraId="3A94A16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12 195</w:t>
            </w:r>
          </w:p>
        </w:tc>
        <w:tc>
          <w:tcPr>
            <w:tcW w:w="794" w:type="dxa"/>
            <w:tcBorders>
              <w:top w:val="single" w:sz="6" w:space="0" w:color="auto"/>
              <w:bottom w:val="single" w:sz="6" w:space="0" w:color="auto"/>
            </w:tcBorders>
          </w:tcPr>
          <w:p w14:paraId="730083F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12 856</w:t>
            </w:r>
          </w:p>
        </w:tc>
      </w:tr>
      <w:tr w:rsidR="004135EE" w14:paraId="4C5C25C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FA0DF89" w14:textId="77777777" w:rsidR="004135EE" w:rsidRDefault="004135EE" w:rsidP="004135EE">
            <w:pPr>
              <w:spacing w:before="120"/>
            </w:pPr>
            <w:r>
              <w:rPr>
                <w:b/>
                <w:sz w:val="16"/>
              </w:rPr>
              <w:t>TAXES ON IMMOVABLE PROPERTY</w:t>
            </w:r>
          </w:p>
        </w:tc>
        <w:tc>
          <w:tcPr>
            <w:tcW w:w="794" w:type="dxa"/>
            <w:tcBorders>
              <w:top w:val="single" w:sz="6" w:space="0" w:color="auto"/>
            </w:tcBorders>
          </w:tcPr>
          <w:p w14:paraId="49AC4763" w14:textId="77777777" w:rsidR="004135EE" w:rsidRDefault="004135EE" w:rsidP="004135E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13B78C7" w14:textId="77777777" w:rsidR="004135EE" w:rsidRDefault="004135EE" w:rsidP="004135E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1956601" w14:textId="77777777" w:rsidR="004135EE" w:rsidRDefault="004135EE" w:rsidP="004135E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B76E3A5" w14:textId="77777777" w:rsidR="004135EE" w:rsidRDefault="004135EE" w:rsidP="004135EE">
            <w:pPr>
              <w:spacing w:before="120"/>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B07FC06" w14:textId="77777777" w:rsidR="004135EE" w:rsidRDefault="004135EE" w:rsidP="004135EE">
            <w:pPr>
              <w:spacing w:before="120"/>
              <w:cnfStyle w:val="000000000000" w:firstRow="0" w:lastRow="0" w:firstColumn="0" w:lastColumn="0" w:oddVBand="0" w:evenVBand="0" w:oddHBand="0" w:evenHBand="0" w:firstRowFirstColumn="0" w:firstRowLastColumn="0" w:lastRowFirstColumn="0" w:lastRowLastColumn="0"/>
            </w:pPr>
          </w:p>
        </w:tc>
      </w:tr>
      <w:tr w:rsidR="004135EE" w14:paraId="5F3D760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6232F73" w14:textId="77777777" w:rsidR="004135EE" w:rsidRDefault="004135EE" w:rsidP="004135EE">
            <w:r>
              <w:rPr>
                <w:sz w:val="16"/>
              </w:rPr>
              <w:t>Land tax</w:t>
            </w:r>
          </w:p>
        </w:tc>
        <w:tc>
          <w:tcPr>
            <w:tcW w:w="794" w:type="dxa"/>
          </w:tcPr>
          <w:p w14:paraId="0EDFF99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6 523</w:t>
            </w:r>
          </w:p>
        </w:tc>
        <w:tc>
          <w:tcPr>
            <w:tcW w:w="794" w:type="dxa"/>
          </w:tcPr>
          <w:p w14:paraId="4175D84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6 510</w:t>
            </w:r>
          </w:p>
        </w:tc>
        <w:tc>
          <w:tcPr>
            <w:tcW w:w="794" w:type="dxa"/>
          </w:tcPr>
          <w:p w14:paraId="60F7539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6 582</w:t>
            </w:r>
          </w:p>
        </w:tc>
        <w:tc>
          <w:tcPr>
            <w:tcW w:w="794" w:type="dxa"/>
          </w:tcPr>
          <w:p w14:paraId="0B4EB75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7 006</w:t>
            </w:r>
          </w:p>
        </w:tc>
        <w:tc>
          <w:tcPr>
            <w:tcW w:w="794" w:type="dxa"/>
          </w:tcPr>
          <w:p w14:paraId="65DCB5F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7 538</w:t>
            </w:r>
          </w:p>
        </w:tc>
      </w:tr>
      <w:tr w:rsidR="004135EE" w14:paraId="38CFADD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3E5FEAD" w14:textId="77777777" w:rsidR="004135EE" w:rsidRDefault="004135EE" w:rsidP="004135EE">
            <w:r>
              <w:rPr>
                <w:sz w:val="16"/>
              </w:rPr>
              <w:t>COVID Debt Levy – Landholdings</w:t>
            </w:r>
          </w:p>
        </w:tc>
        <w:tc>
          <w:tcPr>
            <w:tcW w:w="794" w:type="dxa"/>
          </w:tcPr>
          <w:p w14:paraId="396810A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1 258</w:t>
            </w:r>
          </w:p>
        </w:tc>
        <w:tc>
          <w:tcPr>
            <w:tcW w:w="794" w:type="dxa"/>
          </w:tcPr>
          <w:p w14:paraId="6853E6C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1 207</w:t>
            </w:r>
          </w:p>
        </w:tc>
        <w:tc>
          <w:tcPr>
            <w:tcW w:w="794" w:type="dxa"/>
          </w:tcPr>
          <w:p w14:paraId="75C85F43"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1 218</w:t>
            </w:r>
          </w:p>
        </w:tc>
        <w:tc>
          <w:tcPr>
            <w:tcW w:w="794" w:type="dxa"/>
          </w:tcPr>
          <w:p w14:paraId="22FB95C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1 294</w:t>
            </w:r>
          </w:p>
        </w:tc>
        <w:tc>
          <w:tcPr>
            <w:tcW w:w="794" w:type="dxa"/>
          </w:tcPr>
          <w:p w14:paraId="28AE110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1 390</w:t>
            </w:r>
          </w:p>
        </w:tc>
      </w:tr>
      <w:tr w:rsidR="004135EE" w14:paraId="50079B8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24D7783" w14:textId="77777777" w:rsidR="004135EE" w:rsidRDefault="004135EE" w:rsidP="004135EE">
            <w:r w:rsidRPr="001C2B42">
              <w:rPr>
                <w:sz w:val="16"/>
              </w:rPr>
              <w:t xml:space="preserve">Emergency </w:t>
            </w:r>
            <w:r>
              <w:rPr>
                <w:sz w:val="16"/>
              </w:rPr>
              <w:t>Services and Volunteers</w:t>
            </w:r>
            <w:r w:rsidRPr="001C2B42">
              <w:rPr>
                <w:sz w:val="16"/>
              </w:rPr>
              <w:t xml:space="preserve"> Fund</w:t>
            </w:r>
            <w:r>
              <w:rPr>
                <w:sz w:val="16"/>
                <w:vertAlign w:val="superscript"/>
              </w:rPr>
              <w:t xml:space="preserve"> </w:t>
            </w:r>
            <w:r w:rsidRPr="001C2B42">
              <w:rPr>
                <w:sz w:val="16"/>
                <w:vertAlign w:val="superscript"/>
              </w:rPr>
              <w:t>(a)</w:t>
            </w:r>
          </w:p>
        </w:tc>
        <w:tc>
          <w:tcPr>
            <w:tcW w:w="794" w:type="dxa"/>
          </w:tcPr>
          <w:p w14:paraId="40EEA4F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1 033</w:t>
            </w:r>
          </w:p>
        </w:tc>
        <w:tc>
          <w:tcPr>
            <w:tcW w:w="794" w:type="dxa"/>
          </w:tcPr>
          <w:p w14:paraId="1E3BA9C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1 033</w:t>
            </w:r>
          </w:p>
        </w:tc>
        <w:tc>
          <w:tcPr>
            <w:tcW w:w="794" w:type="dxa"/>
          </w:tcPr>
          <w:p w14:paraId="71EC9EB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1 649</w:t>
            </w:r>
          </w:p>
        </w:tc>
        <w:tc>
          <w:tcPr>
            <w:tcW w:w="794" w:type="dxa"/>
          </w:tcPr>
          <w:p w14:paraId="1D91BC8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1 800</w:t>
            </w:r>
          </w:p>
        </w:tc>
        <w:tc>
          <w:tcPr>
            <w:tcW w:w="794" w:type="dxa"/>
          </w:tcPr>
          <w:p w14:paraId="7AF97B9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1 800</w:t>
            </w:r>
          </w:p>
        </w:tc>
      </w:tr>
      <w:tr w:rsidR="004135EE" w14:paraId="5393F56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EE5BF0A" w14:textId="77777777" w:rsidR="004135EE" w:rsidRDefault="004135EE" w:rsidP="004135EE">
            <w:r>
              <w:rPr>
                <w:sz w:val="16"/>
              </w:rPr>
              <w:t>Congestion levy</w:t>
            </w:r>
          </w:p>
        </w:tc>
        <w:tc>
          <w:tcPr>
            <w:tcW w:w="794" w:type="dxa"/>
          </w:tcPr>
          <w:p w14:paraId="5EDEC34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118</w:t>
            </w:r>
          </w:p>
        </w:tc>
        <w:tc>
          <w:tcPr>
            <w:tcW w:w="794" w:type="dxa"/>
          </w:tcPr>
          <w:p w14:paraId="22F6D3D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120</w:t>
            </w:r>
          </w:p>
        </w:tc>
        <w:tc>
          <w:tcPr>
            <w:tcW w:w="794" w:type="dxa"/>
          </w:tcPr>
          <w:p w14:paraId="722A80E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223</w:t>
            </w:r>
          </w:p>
        </w:tc>
        <w:tc>
          <w:tcPr>
            <w:tcW w:w="794" w:type="dxa"/>
          </w:tcPr>
          <w:p w14:paraId="63A0F46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229</w:t>
            </w:r>
          </w:p>
        </w:tc>
        <w:tc>
          <w:tcPr>
            <w:tcW w:w="794" w:type="dxa"/>
          </w:tcPr>
          <w:p w14:paraId="30CD6B23"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235</w:t>
            </w:r>
          </w:p>
        </w:tc>
      </w:tr>
      <w:tr w:rsidR="004135EE" w14:paraId="62B1B74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E397801" w14:textId="77777777" w:rsidR="004135EE" w:rsidRDefault="004135EE" w:rsidP="004135EE">
            <w:r>
              <w:rPr>
                <w:sz w:val="16"/>
              </w:rPr>
              <w:t>Metropolitan improvement levy</w:t>
            </w:r>
          </w:p>
        </w:tc>
        <w:tc>
          <w:tcPr>
            <w:tcW w:w="794" w:type="dxa"/>
          </w:tcPr>
          <w:p w14:paraId="2DBDC28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214</w:t>
            </w:r>
          </w:p>
        </w:tc>
        <w:tc>
          <w:tcPr>
            <w:tcW w:w="794" w:type="dxa"/>
          </w:tcPr>
          <w:p w14:paraId="63DCEB7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214</w:t>
            </w:r>
          </w:p>
        </w:tc>
        <w:tc>
          <w:tcPr>
            <w:tcW w:w="794" w:type="dxa"/>
          </w:tcPr>
          <w:p w14:paraId="2D4325E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221</w:t>
            </w:r>
          </w:p>
        </w:tc>
        <w:tc>
          <w:tcPr>
            <w:tcW w:w="794" w:type="dxa"/>
          </w:tcPr>
          <w:p w14:paraId="0412D72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221</w:t>
            </w:r>
          </w:p>
        </w:tc>
        <w:tc>
          <w:tcPr>
            <w:tcW w:w="794" w:type="dxa"/>
          </w:tcPr>
          <w:p w14:paraId="61D5D0A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221</w:t>
            </w:r>
          </w:p>
        </w:tc>
      </w:tr>
      <w:tr w:rsidR="004135EE" w14:paraId="46F37BE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6D13C97" w14:textId="77777777" w:rsidR="004135EE" w:rsidRDefault="004135EE" w:rsidP="004135EE">
            <w:r>
              <w:rPr>
                <w:sz w:val="16"/>
              </w:rPr>
              <w:t>Windfall gains tax</w:t>
            </w:r>
          </w:p>
        </w:tc>
        <w:tc>
          <w:tcPr>
            <w:tcW w:w="794" w:type="dxa"/>
            <w:tcBorders>
              <w:bottom w:val="single" w:sz="6" w:space="0" w:color="auto"/>
            </w:tcBorders>
          </w:tcPr>
          <w:p w14:paraId="340E5B3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109</w:t>
            </w:r>
          </w:p>
        </w:tc>
        <w:tc>
          <w:tcPr>
            <w:tcW w:w="794" w:type="dxa"/>
            <w:tcBorders>
              <w:bottom w:val="single" w:sz="6" w:space="0" w:color="auto"/>
            </w:tcBorders>
          </w:tcPr>
          <w:p w14:paraId="25CE88E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134</w:t>
            </w:r>
          </w:p>
        </w:tc>
        <w:tc>
          <w:tcPr>
            <w:tcW w:w="794" w:type="dxa"/>
            <w:tcBorders>
              <w:bottom w:val="single" w:sz="6" w:space="0" w:color="auto"/>
            </w:tcBorders>
          </w:tcPr>
          <w:p w14:paraId="7F66CEA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135</w:t>
            </w:r>
          </w:p>
        </w:tc>
        <w:tc>
          <w:tcPr>
            <w:tcW w:w="794" w:type="dxa"/>
            <w:tcBorders>
              <w:bottom w:val="single" w:sz="6" w:space="0" w:color="auto"/>
            </w:tcBorders>
          </w:tcPr>
          <w:p w14:paraId="261384A3"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142</w:t>
            </w:r>
          </w:p>
        </w:tc>
        <w:tc>
          <w:tcPr>
            <w:tcW w:w="794" w:type="dxa"/>
            <w:tcBorders>
              <w:bottom w:val="single" w:sz="6" w:space="0" w:color="auto"/>
            </w:tcBorders>
          </w:tcPr>
          <w:p w14:paraId="55D4274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150</w:t>
            </w:r>
          </w:p>
        </w:tc>
      </w:tr>
      <w:tr w:rsidR="004135EE" w14:paraId="70F5916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5E50DBC" w14:textId="77777777" w:rsidR="004135EE" w:rsidRDefault="004135EE" w:rsidP="004135EE">
            <w:r>
              <w:rPr>
                <w:b/>
                <w:sz w:val="16"/>
              </w:rPr>
              <w:t>Total taxes on immovable property</w:t>
            </w:r>
          </w:p>
        </w:tc>
        <w:tc>
          <w:tcPr>
            <w:tcW w:w="794" w:type="dxa"/>
            <w:tcBorders>
              <w:top w:val="single" w:sz="6" w:space="0" w:color="auto"/>
              <w:bottom w:val="single" w:sz="6" w:space="0" w:color="auto"/>
            </w:tcBorders>
          </w:tcPr>
          <w:p w14:paraId="3F4C9D5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9 256</w:t>
            </w:r>
          </w:p>
        </w:tc>
        <w:tc>
          <w:tcPr>
            <w:tcW w:w="794" w:type="dxa"/>
            <w:tcBorders>
              <w:top w:val="single" w:sz="6" w:space="0" w:color="auto"/>
              <w:bottom w:val="single" w:sz="6" w:space="0" w:color="auto"/>
            </w:tcBorders>
          </w:tcPr>
          <w:p w14:paraId="793D0DB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9 218</w:t>
            </w:r>
          </w:p>
        </w:tc>
        <w:tc>
          <w:tcPr>
            <w:tcW w:w="794" w:type="dxa"/>
            <w:tcBorders>
              <w:top w:val="single" w:sz="6" w:space="0" w:color="auto"/>
              <w:bottom w:val="single" w:sz="6" w:space="0" w:color="auto"/>
            </w:tcBorders>
          </w:tcPr>
          <w:p w14:paraId="3643E9A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10 029</w:t>
            </w:r>
          </w:p>
        </w:tc>
        <w:tc>
          <w:tcPr>
            <w:tcW w:w="794" w:type="dxa"/>
            <w:tcBorders>
              <w:top w:val="single" w:sz="6" w:space="0" w:color="auto"/>
              <w:bottom w:val="single" w:sz="6" w:space="0" w:color="auto"/>
            </w:tcBorders>
          </w:tcPr>
          <w:p w14:paraId="666803F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10 691</w:t>
            </w:r>
          </w:p>
        </w:tc>
        <w:tc>
          <w:tcPr>
            <w:tcW w:w="794" w:type="dxa"/>
            <w:tcBorders>
              <w:top w:val="single" w:sz="6" w:space="0" w:color="auto"/>
              <w:bottom w:val="single" w:sz="6" w:space="0" w:color="auto"/>
            </w:tcBorders>
          </w:tcPr>
          <w:p w14:paraId="3F6DC39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11 334</w:t>
            </w:r>
          </w:p>
        </w:tc>
      </w:tr>
      <w:tr w:rsidR="004135EE" w14:paraId="375BB2B2" w14:textId="77777777" w:rsidTr="008670FF">
        <w:tc>
          <w:tcPr>
            <w:cnfStyle w:val="001000000000" w:firstRow="0" w:lastRow="0" w:firstColumn="1" w:lastColumn="0" w:oddVBand="0" w:evenVBand="0" w:oddHBand="0" w:evenHBand="0" w:firstRowFirstColumn="0" w:firstRowLastColumn="0" w:lastRowFirstColumn="0" w:lastRowLastColumn="0"/>
            <w:tcW w:w="7710" w:type="dxa"/>
            <w:gridSpan w:val="6"/>
            <w:tcBorders>
              <w:top w:val="single" w:sz="6" w:space="0" w:color="auto"/>
            </w:tcBorders>
          </w:tcPr>
          <w:p w14:paraId="17D73D69" w14:textId="77777777" w:rsidR="004135EE" w:rsidRDefault="004135EE" w:rsidP="004135EE">
            <w:pPr>
              <w:spacing w:before="120"/>
            </w:pPr>
            <w:r>
              <w:rPr>
                <w:b/>
                <w:sz w:val="16"/>
              </w:rPr>
              <w:t>TAXES ON THE PROVISION OF GOODS AND SERVICES</w:t>
            </w:r>
          </w:p>
        </w:tc>
      </w:tr>
      <w:tr w:rsidR="004135EE" w14:paraId="7861946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3E3306D" w14:textId="77777777" w:rsidR="004135EE" w:rsidRDefault="004135EE" w:rsidP="004135EE">
            <w:r>
              <w:rPr>
                <w:b/>
                <w:sz w:val="16"/>
              </w:rPr>
              <w:t>Gambling taxes</w:t>
            </w:r>
            <w:r>
              <w:rPr>
                <w:b/>
                <w:sz w:val="16"/>
                <w:vertAlign w:val="superscript"/>
              </w:rPr>
              <w:t xml:space="preserve"> (b)</w:t>
            </w:r>
          </w:p>
        </w:tc>
        <w:tc>
          <w:tcPr>
            <w:tcW w:w="794" w:type="dxa"/>
          </w:tcPr>
          <w:p w14:paraId="4DC5B6A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34FD754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7A88A5E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6751F7A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4E9655A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r>
      <w:tr w:rsidR="004135EE" w14:paraId="525BE88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2881DD8" w14:textId="77777777" w:rsidR="004135EE" w:rsidRDefault="004135EE" w:rsidP="004135EE">
            <w:r>
              <w:rPr>
                <w:sz w:val="16"/>
              </w:rPr>
              <w:t>Public lotteries</w:t>
            </w:r>
          </w:p>
        </w:tc>
        <w:tc>
          <w:tcPr>
            <w:tcW w:w="794" w:type="dxa"/>
          </w:tcPr>
          <w:p w14:paraId="4AEDD83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694</w:t>
            </w:r>
          </w:p>
        </w:tc>
        <w:tc>
          <w:tcPr>
            <w:tcW w:w="794" w:type="dxa"/>
          </w:tcPr>
          <w:p w14:paraId="218D5DC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718</w:t>
            </w:r>
          </w:p>
        </w:tc>
        <w:tc>
          <w:tcPr>
            <w:tcW w:w="794" w:type="dxa"/>
          </w:tcPr>
          <w:p w14:paraId="4754397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746</w:t>
            </w:r>
          </w:p>
        </w:tc>
        <w:tc>
          <w:tcPr>
            <w:tcW w:w="794" w:type="dxa"/>
          </w:tcPr>
          <w:p w14:paraId="052C983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760</w:t>
            </w:r>
          </w:p>
        </w:tc>
        <w:tc>
          <w:tcPr>
            <w:tcW w:w="794" w:type="dxa"/>
          </w:tcPr>
          <w:p w14:paraId="1AD7581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776</w:t>
            </w:r>
          </w:p>
        </w:tc>
      </w:tr>
      <w:tr w:rsidR="004135EE" w14:paraId="61C087D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AF3C83A" w14:textId="77777777" w:rsidR="004135EE" w:rsidRDefault="004135EE" w:rsidP="004135EE">
            <w:r>
              <w:rPr>
                <w:sz w:val="16"/>
              </w:rPr>
              <w:t>Electronic gaming machines</w:t>
            </w:r>
          </w:p>
        </w:tc>
        <w:tc>
          <w:tcPr>
            <w:tcW w:w="794" w:type="dxa"/>
          </w:tcPr>
          <w:p w14:paraId="65551C5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1 407</w:t>
            </w:r>
          </w:p>
        </w:tc>
        <w:tc>
          <w:tcPr>
            <w:tcW w:w="794" w:type="dxa"/>
          </w:tcPr>
          <w:p w14:paraId="0D2DAD3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1 434</w:t>
            </w:r>
          </w:p>
        </w:tc>
        <w:tc>
          <w:tcPr>
            <w:tcW w:w="794" w:type="dxa"/>
          </w:tcPr>
          <w:p w14:paraId="2C5C09B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1 417</w:t>
            </w:r>
          </w:p>
        </w:tc>
        <w:tc>
          <w:tcPr>
            <w:tcW w:w="794" w:type="dxa"/>
          </w:tcPr>
          <w:p w14:paraId="61EDF51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1 373</w:t>
            </w:r>
          </w:p>
        </w:tc>
        <w:tc>
          <w:tcPr>
            <w:tcW w:w="794" w:type="dxa"/>
          </w:tcPr>
          <w:p w14:paraId="00E163D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1 223</w:t>
            </w:r>
          </w:p>
        </w:tc>
      </w:tr>
      <w:tr w:rsidR="004135EE" w14:paraId="569827F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2296283" w14:textId="77777777" w:rsidR="004135EE" w:rsidRDefault="004135EE" w:rsidP="004135EE">
            <w:r>
              <w:rPr>
                <w:sz w:val="16"/>
              </w:rPr>
              <w:t>Casino</w:t>
            </w:r>
          </w:p>
        </w:tc>
        <w:tc>
          <w:tcPr>
            <w:tcW w:w="794" w:type="dxa"/>
          </w:tcPr>
          <w:p w14:paraId="78B4FB2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196</w:t>
            </w:r>
          </w:p>
        </w:tc>
        <w:tc>
          <w:tcPr>
            <w:tcW w:w="794" w:type="dxa"/>
          </w:tcPr>
          <w:p w14:paraId="5212FC0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196</w:t>
            </w:r>
          </w:p>
        </w:tc>
        <w:tc>
          <w:tcPr>
            <w:tcW w:w="794" w:type="dxa"/>
          </w:tcPr>
          <w:p w14:paraId="3D5B66B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201</w:t>
            </w:r>
          </w:p>
        </w:tc>
        <w:tc>
          <w:tcPr>
            <w:tcW w:w="794" w:type="dxa"/>
          </w:tcPr>
          <w:p w14:paraId="767F7F7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205</w:t>
            </w:r>
          </w:p>
        </w:tc>
        <w:tc>
          <w:tcPr>
            <w:tcW w:w="794" w:type="dxa"/>
          </w:tcPr>
          <w:p w14:paraId="14492EE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206</w:t>
            </w:r>
          </w:p>
        </w:tc>
      </w:tr>
      <w:tr w:rsidR="004135EE" w14:paraId="22F414E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641C104" w14:textId="77777777" w:rsidR="004135EE" w:rsidRDefault="004135EE" w:rsidP="004135EE">
            <w:r>
              <w:rPr>
                <w:sz w:val="16"/>
              </w:rPr>
              <w:t>Racing and other sports betting</w:t>
            </w:r>
          </w:p>
        </w:tc>
        <w:tc>
          <w:tcPr>
            <w:tcW w:w="794" w:type="dxa"/>
          </w:tcPr>
          <w:p w14:paraId="4396763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435</w:t>
            </w:r>
          </w:p>
        </w:tc>
        <w:tc>
          <w:tcPr>
            <w:tcW w:w="794" w:type="dxa"/>
          </w:tcPr>
          <w:p w14:paraId="7E420BE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399</w:t>
            </w:r>
          </w:p>
        </w:tc>
        <w:tc>
          <w:tcPr>
            <w:tcW w:w="794" w:type="dxa"/>
          </w:tcPr>
          <w:p w14:paraId="46D044C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447</w:t>
            </w:r>
          </w:p>
        </w:tc>
        <w:tc>
          <w:tcPr>
            <w:tcW w:w="794" w:type="dxa"/>
          </w:tcPr>
          <w:p w14:paraId="3EEC9E94"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456</w:t>
            </w:r>
          </w:p>
        </w:tc>
        <w:tc>
          <w:tcPr>
            <w:tcW w:w="794" w:type="dxa"/>
          </w:tcPr>
          <w:p w14:paraId="168C6464"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466</w:t>
            </w:r>
          </w:p>
        </w:tc>
      </w:tr>
      <w:tr w:rsidR="004135EE" w14:paraId="2C2F3AE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8D22A06" w14:textId="77777777" w:rsidR="004135EE" w:rsidRDefault="004135EE" w:rsidP="004135EE">
            <w:r>
              <w:rPr>
                <w:sz w:val="16"/>
              </w:rPr>
              <w:t>Other</w:t>
            </w:r>
          </w:p>
        </w:tc>
        <w:tc>
          <w:tcPr>
            <w:tcW w:w="794" w:type="dxa"/>
          </w:tcPr>
          <w:p w14:paraId="01A2EEB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18</w:t>
            </w:r>
          </w:p>
        </w:tc>
        <w:tc>
          <w:tcPr>
            <w:tcW w:w="794" w:type="dxa"/>
          </w:tcPr>
          <w:p w14:paraId="62ABACD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18</w:t>
            </w:r>
          </w:p>
        </w:tc>
        <w:tc>
          <w:tcPr>
            <w:tcW w:w="794" w:type="dxa"/>
          </w:tcPr>
          <w:p w14:paraId="6F131C0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19</w:t>
            </w:r>
          </w:p>
        </w:tc>
        <w:tc>
          <w:tcPr>
            <w:tcW w:w="794" w:type="dxa"/>
          </w:tcPr>
          <w:p w14:paraId="4B2664D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w:t>
            </w:r>
          </w:p>
        </w:tc>
        <w:tc>
          <w:tcPr>
            <w:tcW w:w="794" w:type="dxa"/>
          </w:tcPr>
          <w:p w14:paraId="1AF7B6D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w:t>
            </w:r>
          </w:p>
        </w:tc>
      </w:tr>
      <w:tr w:rsidR="004135EE" w14:paraId="2BFDD77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AF3FBCD" w14:textId="77777777" w:rsidR="004135EE" w:rsidRDefault="004135EE" w:rsidP="004135EE">
            <w:r>
              <w:rPr>
                <w:b/>
                <w:sz w:val="16"/>
              </w:rPr>
              <w:t>Financial and capital transactions</w:t>
            </w:r>
          </w:p>
        </w:tc>
        <w:tc>
          <w:tcPr>
            <w:tcW w:w="794" w:type="dxa"/>
          </w:tcPr>
          <w:p w14:paraId="6D0FA45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0C1F7DC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2F295113"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5F18239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3C19271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r>
      <w:tr w:rsidR="004135EE" w14:paraId="117EB0E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44044A7" w14:textId="77777777" w:rsidR="004135EE" w:rsidRDefault="004135EE" w:rsidP="004135EE">
            <w:r>
              <w:rPr>
                <w:sz w:val="16"/>
              </w:rPr>
              <w:t>Land transfer duty</w:t>
            </w:r>
          </w:p>
        </w:tc>
        <w:tc>
          <w:tcPr>
            <w:tcW w:w="794" w:type="dxa"/>
          </w:tcPr>
          <w:p w14:paraId="709692A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8 526</w:t>
            </w:r>
          </w:p>
        </w:tc>
        <w:tc>
          <w:tcPr>
            <w:tcW w:w="794" w:type="dxa"/>
          </w:tcPr>
          <w:p w14:paraId="5B84342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8 723</w:t>
            </w:r>
          </w:p>
        </w:tc>
        <w:tc>
          <w:tcPr>
            <w:tcW w:w="794" w:type="dxa"/>
          </w:tcPr>
          <w:p w14:paraId="79D0C9C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9 145</w:t>
            </w:r>
          </w:p>
        </w:tc>
        <w:tc>
          <w:tcPr>
            <w:tcW w:w="794" w:type="dxa"/>
          </w:tcPr>
          <w:p w14:paraId="59D8BCF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9 674</w:t>
            </w:r>
          </w:p>
        </w:tc>
        <w:tc>
          <w:tcPr>
            <w:tcW w:w="794" w:type="dxa"/>
          </w:tcPr>
          <w:p w14:paraId="6AD53C7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10 202</w:t>
            </w:r>
          </w:p>
        </w:tc>
      </w:tr>
      <w:tr w:rsidR="004135EE" w14:paraId="4D91713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4553C99" w14:textId="77777777" w:rsidR="004135EE" w:rsidRDefault="004135EE" w:rsidP="004135EE">
            <w:r>
              <w:rPr>
                <w:sz w:val="16"/>
              </w:rPr>
              <w:t>Metropolitan planning levy</w:t>
            </w:r>
          </w:p>
        </w:tc>
        <w:tc>
          <w:tcPr>
            <w:tcW w:w="794" w:type="dxa"/>
          </w:tcPr>
          <w:p w14:paraId="150299A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21</w:t>
            </w:r>
          </w:p>
        </w:tc>
        <w:tc>
          <w:tcPr>
            <w:tcW w:w="794" w:type="dxa"/>
          </w:tcPr>
          <w:p w14:paraId="1FCCFD2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w:t>
            </w:r>
          </w:p>
        </w:tc>
        <w:tc>
          <w:tcPr>
            <w:tcW w:w="794" w:type="dxa"/>
          </w:tcPr>
          <w:p w14:paraId="16195D9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22</w:t>
            </w:r>
          </w:p>
        </w:tc>
        <w:tc>
          <w:tcPr>
            <w:tcW w:w="794" w:type="dxa"/>
          </w:tcPr>
          <w:p w14:paraId="66287D8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23</w:t>
            </w:r>
          </w:p>
        </w:tc>
        <w:tc>
          <w:tcPr>
            <w:tcW w:w="794" w:type="dxa"/>
          </w:tcPr>
          <w:p w14:paraId="3A64F17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24</w:t>
            </w:r>
          </w:p>
        </w:tc>
      </w:tr>
      <w:tr w:rsidR="004135EE" w14:paraId="6AF3B19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FB17A9C" w14:textId="77777777" w:rsidR="004135EE" w:rsidRDefault="004135EE" w:rsidP="004135EE">
            <w:r>
              <w:rPr>
                <w:sz w:val="16"/>
              </w:rPr>
              <w:t>Financial accommodation levy</w:t>
            </w:r>
          </w:p>
        </w:tc>
        <w:tc>
          <w:tcPr>
            <w:tcW w:w="794" w:type="dxa"/>
          </w:tcPr>
          <w:p w14:paraId="36B9A9E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207</w:t>
            </w:r>
          </w:p>
        </w:tc>
        <w:tc>
          <w:tcPr>
            <w:tcW w:w="794" w:type="dxa"/>
          </w:tcPr>
          <w:p w14:paraId="0BB71C9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207</w:t>
            </w:r>
          </w:p>
        </w:tc>
        <w:tc>
          <w:tcPr>
            <w:tcW w:w="794" w:type="dxa"/>
          </w:tcPr>
          <w:p w14:paraId="0ACFBBD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234</w:t>
            </w:r>
          </w:p>
        </w:tc>
        <w:tc>
          <w:tcPr>
            <w:tcW w:w="794" w:type="dxa"/>
          </w:tcPr>
          <w:p w14:paraId="5E6721A4"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254</w:t>
            </w:r>
          </w:p>
        </w:tc>
        <w:tc>
          <w:tcPr>
            <w:tcW w:w="794" w:type="dxa"/>
          </w:tcPr>
          <w:p w14:paraId="3582834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278</w:t>
            </w:r>
          </w:p>
        </w:tc>
      </w:tr>
      <w:tr w:rsidR="004135EE" w14:paraId="62368B4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1F16D96" w14:textId="77777777" w:rsidR="004135EE" w:rsidRDefault="004135EE" w:rsidP="004135EE">
            <w:r>
              <w:rPr>
                <w:sz w:val="16"/>
              </w:rPr>
              <w:t>Growth areas infrastructure contributions</w:t>
            </w:r>
          </w:p>
        </w:tc>
        <w:tc>
          <w:tcPr>
            <w:tcW w:w="794" w:type="dxa"/>
          </w:tcPr>
          <w:p w14:paraId="4605EB1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336</w:t>
            </w:r>
          </w:p>
        </w:tc>
        <w:tc>
          <w:tcPr>
            <w:tcW w:w="794" w:type="dxa"/>
          </w:tcPr>
          <w:p w14:paraId="6C186B6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260</w:t>
            </w:r>
          </w:p>
        </w:tc>
        <w:tc>
          <w:tcPr>
            <w:tcW w:w="794" w:type="dxa"/>
          </w:tcPr>
          <w:p w14:paraId="7FDE3CE3"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286</w:t>
            </w:r>
          </w:p>
        </w:tc>
        <w:tc>
          <w:tcPr>
            <w:tcW w:w="794" w:type="dxa"/>
          </w:tcPr>
          <w:p w14:paraId="0BD2E04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300</w:t>
            </w:r>
          </w:p>
        </w:tc>
        <w:tc>
          <w:tcPr>
            <w:tcW w:w="794" w:type="dxa"/>
          </w:tcPr>
          <w:p w14:paraId="33F1E6F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250</w:t>
            </w:r>
          </w:p>
        </w:tc>
      </w:tr>
      <w:tr w:rsidR="004135EE" w14:paraId="68CC190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1897B01" w14:textId="77777777" w:rsidR="004135EE" w:rsidRDefault="004135EE" w:rsidP="004135EE">
            <w:r>
              <w:rPr>
                <w:b/>
                <w:sz w:val="16"/>
              </w:rPr>
              <w:t>Levies on statutory corporations</w:t>
            </w:r>
            <w:r>
              <w:rPr>
                <w:b/>
                <w:sz w:val="16"/>
                <w:vertAlign w:val="superscript"/>
              </w:rPr>
              <w:t xml:space="preserve"> (c)</w:t>
            </w:r>
          </w:p>
        </w:tc>
        <w:tc>
          <w:tcPr>
            <w:tcW w:w="794" w:type="dxa"/>
          </w:tcPr>
          <w:p w14:paraId="7240C44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176</w:t>
            </w:r>
          </w:p>
        </w:tc>
        <w:tc>
          <w:tcPr>
            <w:tcW w:w="794" w:type="dxa"/>
          </w:tcPr>
          <w:p w14:paraId="39B5EB3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176</w:t>
            </w:r>
          </w:p>
        </w:tc>
        <w:tc>
          <w:tcPr>
            <w:tcW w:w="794" w:type="dxa"/>
          </w:tcPr>
          <w:p w14:paraId="130DBC0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176</w:t>
            </w:r>
          </w:p>
        </w:tc>
        <w:tc>
          <w:tcPr>
            <w:tcW w:w="794" w:type="dxa"/>
          </w:tcPr>
          <w:p w14:paraId="10F4307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176</w:t>
            </w:r>
          </w:p>
        </w:tc>
        <w:tc>
          <w:tcPr>
            <w:tcW w:w="794" w:type="dxa"/>
          </w:tcPr>
          <w:p w14:paraId="02F414B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176</w:t>
            </w:r>
          </w:p>
        </w:tc>
      </w:tr>
      <w:tr w:rsidR="004135EE" w14:paraId="763AB24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8EA2718" w14:textId="77777777" w:rsidR="004135EE" w:rsidRDefault="004135EE" w:rsidP="004135EE">
            <w:r>
              <w:rPr>
                <w:b/>
                <w:sz w:val="16"/>
              </w:rPr>
              <w:t>Taxes on insurance</w:t>
            </w:r>
          </w:p>
        </w:tc>
        <w:tc>
          <w:tcPr>
            <w:tcW w:w="794" w:type="dxa"/>
            <w:tcBorders>
              <w:bottom w:val="single" w:sz="6" w:space="0" w:color="auto"/>
            </w:tcBorders>
          </w:tcPr>
          <w:p w14:paraId="49EAC1F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2 191</w:t>
            </w:r>
          </w:p>
        </w:tc>
        <w:tc>
          <w:tcPr>
            <w:tcW w:w="794" w:type="dxa"/>
            <w:tcBorders>
              <w:bottom w:val="single" w:sz="6" w:space="0" w:color="auto"/>
            </w:tcBorders>
          </w:tcPr>
          <w:p w14:paraId="4E2049D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2 221</w:t>
            </w:r>
          </w:p>
        </w:tc>
        <w:tc>
          <w:tcPr>
            <w:tcW w:w="794" w:type="dxa"/>
            <w:tcBorders>
              <w:bottom w:val="single" w:sz="6" w:space="0" w:color="auto"/>
            </w:tcBorders>
          </w:tcPr>
          <w:p w14:paraId="47BDBBE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2 322</w:t>
            </w:r>
          </w:p>
        </w:tc>
        <w:tc>
          <w:tcPr>
            <w:tcW w:w="794" w:type="dxa"/>
            <w:tcBorders>
              <w:bottom w:val="single" w:sz="6" w:space="0" w:color="auto"/>
            </w:tcBorders>
          </w:tcPr>
          <w:p w14:paraId="54DDB3D4"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2 436</w:t>
            </w:r>
          </w:p>
        </w:tc>
        <w:tc>
          <w:tcPr>
            <w:tcW w:w="794" w:type="dxa"/>
            <w:tcBorders>
              <w:bottom w:val="single" w:sz="6" w:space="0" w:color="auto"/>
            </w:tcBorders>
          </w:tcPr>
          <w:p w14:paraId="5848A6F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2 554</w:t>
            </w:r>
          </w:p>
        </w:tc>
      </w:tr>
      <w:tr w:rsidR="004135EE" w14:paraId="654B0ED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4D6A92F" w14:textId="77777777" w:rsidR="004135EE" w:rsidRDefault="004135EE" w:rsidP="004135EE">
            <w:r>
              <w:rPr>
                <w:b/>
                <w:sz w:val="16"/>
              </w:rPr>
              <w:t>Total taxes on the provision of goods and services</w:t>
            </w:r>
          </w:p>
        </w:tc>
        <w:tc>
          <w:tcPr>
            <w:tcW w:w="794" w:type="dxa"/>
            <w:tcBorders>
              <w:top w:val="single" w:sz="6" w:space="0" w:color="auto"/>
              <w:bottom w:val="single" w:sz="6" w:space="0" w:color="auto"/>
            </w:tcBorders>
          </w:tcPr>
          <w:p w14:paraId="7A2543E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14 207</w:t>
            </w:r>
          </w:p>
        </w:tc>
        <w:tc>
          <w:tcPr>
            <w:tcW w:w="794" w:type="dxa"/>
            <w:tcBorders>
              <w:top w:val="single" w:sz="6" w:space="0" w:color="auto"/>
              <w:bottom w:val="single" w:sz="6" w:space="0" w:color="auto"/>
            </w:tcBorders>
          </w:tcPr>
          <w:p w14:paraId="02AB720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14 373</w:t>
            </w:r>
          </w:p>
        </w:tc>
        <w:tc>
          <w:tcPr>
            <w:tcW w:w="794" w:type="dxa"/>
            <w:tcBorders>
              <w:top w:val="single" w:sz="6" w:space="0" w:color="auto"/>
              <w:bottom w:val="single" w:sz="6" w:space="0" w:color="auto"/>
            </w:tcBorders>
          </w:tcPr>
          <w:p w14:paraId="0642408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15 015</w:t>
            </w:r>
          </w:p>
        </w:tc>
        <w:tc>
          <w:tcPr>
            <w:tcW w:w="794" w:type="dxa"/>
            <w:tcBorders>
              <w:top w:val="single" w:sz="6" w:space="0" w:color="auto"/>
              <w:bottom w:val="single" w:sz="6" w:space="0" w:color="auto"/>
            </w:tcBorders>
          </w:tcPr>
          <w:p w14:paraId="36B12CB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15 676</w:t>
            </w:r>
          </w:p>
        </w:tc>
        <w:tc>
          <w:tcPr>
            <w:tcW w:w="794" w:type="dxa"/>
            <w:tcBorders>
              <w:top w:val="single" w:sz="6" w:space="0" w:color="auto"/>
              <w:bottom w:val="single" w:sz="6" w:space="0" w:color="auto"/>
            </w:tcBorders>
          </w:tcPr>
          <w:p w14:paraId="460C69F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16 176</w:t>
            </w:r>
          </w:p>
        </w:tc>
      </w:tr>
      <w:tr w:rsidR="004135EE" w14:paraId="66752C14" w14:textId="77777777" w:rsidTr="008670FF">
        <w:tc>
          <w:tcPr>
            <w:cnfStyle w:val="001000000000" w:firstRow="0" w:lastRow="0" w:firstColumn="1" w:lastColumn="0" w:oddVBand="0" w:evenVBand="0" w:oddHBand="0" w:evenHBand="0" w:firstRowFirstColumn="0" w:firstRowLastColumn="0" w:lastRowFirstColumn="0" w:lastRowLastColumn="0"/>
            <w:tcW w:w="7710" w:type="dxa"/>
            <w:gridSpan w:val="6"/>
            <w:tcBorders>
              <w:top w:val="single" w:sz="6" w:space="0" w:color="auto"/>
            </w:tcBorders>
          </w:tcPr>
          <w:p w14:paraId="0B841DBA" w14:textId="77777777" w:rsidR="004135EE" w:rsidRDefault="004135EE" w:rsidP="004135EE">
            <w:pPr>
              <w:spacing w:before="120"/>
            </w:pPr>
            <w:r>
              <w:rPr>
                <w:b/>
                <w:sz w:val="16"/>
              </w:rPr>
              <w:t>TAXES ON THE USE OF GOODS AND PERFORMANCE OF ACTIVITIES</w:t>
            </w:r>
          </w:p>
        </w:tc>
      </w:tr>
      <w:tr w:rsidR="004135EE" w14:paraId="164DBBF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828EE5B" w14:textId="77777777" w:rsidR="004135EE" w:rsidRDefault="004135EE" w:rsidP="004135EE">
            <w:r>
              <w:rPr>
                <w:b/>
                <w:sz w:val="16"/>
              </w:rPr>
              <w:t>Motor vehicle taxes</w:t>
            </w:r>
          </w:p>
        </w:tc>
        <w:tc>
          <w:tcPr>
            <w:tcW w:w="794" w:type="dxa"/>
          </w:tcPr>
          <w:p w14:paraId="154CF2E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440F333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162D117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5A03AA1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c>
          <w:tcPr>
            <w:tcW w:w="794" w:type="dxa"/>
          </w:tcPr>
          <w:p w14:paraId="59A1267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p>
        </w:tc>
      </w:tr>
      <w:tr w:rsidR="004135EE" w14:paraId="0343B85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F2FA0B5" w14:textId="77777777" w:rsidR="004135EE" w:rsidRDefault="004135EE" w:rsidP="004135EE">
            <w:r>
              <w:rPr>
                <w:sz w:val="16"/>
              </w:rPr>
              <w:t>Vehicle registration fees</w:t>
            </w:r>
          </w:p>
        </w:tc>
        <w:tc>
          <w:tcPr>
            <w:tcW w:w="794" w:type="dxa"/>
          </w:tcPr>
          <w:p w14:paraId="21351446"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2 244</w:t>
            </w:r>
          </w:p>
        </w:tc>
        <w:tc>
          <w:tcPr>
            <w:tcW w:w="794" w:type="dxa"/>
          </w:tcPr>
          <w:p w14:paraId="0C579714"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2 245</w:t>
            </w:r>
          </w:p>
        </w:tc>
        <w:tc>
          <w:tcPr>
            <w:tcW w:w="794" w:type="dxa"/>
          </w:tcPr>
          <w:p w14:paraId="174B7EF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2 419</w:t>
            </w:r>
          </w:p>
        </w:tc>
        <w:tc>
          <w:tcPr>
            <w:tcW w:w="794" w:type="dxa"/>
          </w:tcPr>
          <w:p w14:paraId="46533D2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2 597</w:t>
            </w:r>
          </w:p>
        </w:tc>
        <w:tc>
          <w:tcPr>
            <w:tcW w:w="794" w:type="dxa"/>
          </w:tcPr>
          <w:p w14:paraId="025EA09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2 778</w:t>
            </w:r>
          </w:p>
        </w:tc>
      </w:tr>
      <w:tr w:rsidR="004135EE" w14:paraId="5F55F94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804BD20" w14:textId="77777777" w:rsidR="004135EE" w:rsidRDefault="004135EE" w:rsidP="004135EE">
            <w:r>
              <w:rPr>
                <w:sz w:val="16"/>
              </w:rPr>
              <w:t>Duty on vehicle registrations and transfers</w:t>
            </w:r>
          </w:p>
        </w:tc>
        <w:tc>
          <w:tcPr>
            <w:tcW w:w="794" w:type="dxa"/>
          </w:tcPr>
          <w:p w14:paraId="48D85055"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1 370</w:t>
            </w:r>
          </w:p>
        </w:tc>
        <w:tc>
          <w:tcPr>
            <w:tcW w:w="794" w:type="dxa"/>
          </w:tcPr>
          <w:p w14:paraId="2D8EABAA"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1 370</w:t>
            </w:r>
          </w:p>
        </w:tc>
        <w:tc>
          <w:tcPr>
            <w:tcW w:w="794" w:type="dxa"/>
          </w:tcPr>
          <w:p w14:paraId="555C69F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1 422</w:t>
            </w:r>
          </w:p>
        </w:tc>
        <w:tc>
          <w:tcPr>
            <w:tcW w:w="794" w:type="dxa"/>
          </w:tcPr>
          <w:p w14:paraId="555A9820"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1 485</w:t>
            </w:r>
          </w:p>
        </w:tc>
        <w:tc>
          <w:tcPr>
            <w:tcW w:w="794" w:type="dxa"/>
          </w:tcPr>
          <w:p w14:paraId="0F8AEA94"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sz w:val="16"/>
              </w:rPr>
              <w:t>1 551</w:t>
            </w:r>
          </w:p>
        </w:tc>
      </w:tr>
      <w:tr w:rsidR="004135EE" w14:paraId="6758B1D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048AD2D" w14:textId="77777777" w:rsidR="004135EE" w:rsidRDefault="004135EE" w:rsidP="004135EE">
            <w:r>
              <w:rPr>
                <w:b/>
                <w:sz w:val="16"/>
              </w:rPr>
              <w:t>Liquor licence fees</w:t>
            </w:r>
          </w:p>
        </w:tc>
        <w:tc>
          <w:tcPr>
            <w:tcW w:w="794" w:type="dxa"/>
          </w:tcPr>
          <w:p w14:paraId="7F285A6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31</w:t>
            </w:r>
          </w:p>
        </w:tc>
        <w:tc>
          <w:tcPr>
            <w:tcW w:w="794" w:type="dxa"/>
          </w:tcPr>
          <w:p w14:paraId="4A21376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33</w:t>
            </w:r>
          </w:p>
        </w:tc>
        <w:tc>
          <w:tcPr>
            <w:tcW w:w="794" w:type="dxa"/>
          </w:tcPr>
          <w:p w14:paraId="77582B2F"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34</w:t>
            </w:r>
          </w:p>
        </w:tc>
        <w:tc>
          <w:tcPr>
            <w:tcW w:w="794" w:type="dxa"/>
          </w:tcPr>
          <w:p w14:paraId="0C7D9B1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36</w:t>
            </w:r>
          </w:p>
        </w:tc>
        <w:tc>
          <w:tcPr>
            <w:tcW w:w="794" w:type="dxa"/>
          </w:tcPr>
          <w:p w14:paraId="49B2B1B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37</w:t>
            </w:r>
          </w:p>
        </w:tc>
      </w:tr>
      <w:tr w:rsidR="004135EE" w14:paraId="4A995CB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0AA6DD3" w14:textId="77777777" w:rsidR="004135EE" w:rsidRDefault="004135EE" w:rsidP="004135EE">
            <w:r>
              <w:rPr>
                <w:b/>
                <w:sz w:val="16"/>
              </w:rPr>
              <w:t>Other</w:t>
            </w:r>
          </w:p>
        </w:tc>
        <w:tc>
          <w:tcPr>
            <w:tcW w:w="794" w:type="dxa"/>
            <w:tcBorders>
              <w:bottom w:val="single" w:sz="6" w:space="0" w:color="auto"/>
            </w:tcBorders>
          </w:tcPr>
          <w:p w14:paraId="35441BC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738</w:t>
            </w:r>
          </w:p>
        </w:tc>
        <w:tc>
          <w:tcPr>
            <w:tcW w:w="794" w:type="dxa"/>
            <w:tcBorders>
              <w:bottom w:val="single" w:sz="6" w:space="0" w:color="auto"/>
            </w:tcBorders>
          </w:tcPr>
          <w:p w14:paraId="10E9AEB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780</w:t>
            </w:r>
          </w:p>
        </w:tc>
        <w:tc>
          <w:tcPr>
            <w:tcW w:w="794" w:type="dxa"/>
            <w:tcBorders>
              <w:bottom w:val="single" w:sz="6" w:space="0" w:color="auto"/>
            </w:tcBorders>
          </w:tcPr>
          <w:p w14:paraId="6FE0F9D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1 066</w:t>
            </w:r>
          </w:p>
        </w:tc>
        <w:tc>
          <w:tcPr>
            <w:tcW w:w="794" w:type="dxa"/>
            <w:tcBorders>
              <w:bottom w:val="single" w:sz="6" w:space="0" w:color="auto"/>
            </w:tcBorders>
          </w:tcPr>
          <w:p w14:paraId="24DCEED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1 096</w:t>
            </w:r>
          </w:p>
        </w:tc>
        <w:tc>
          <w:tcPr>
            <w:tcW w:w="794" w:type="dxa"/>
            <w:tcBorders>
              <w:bottom w:val="single" w:sz="6" w:space="0" w:color="auto"/>
            </w:tcBorders>
          </w:tcPr>
          <w:p w14:paraId="4AC38A31"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1 057</w:t>
            </w:r>
          </w:p>
        </w:tc>
      </w:tr>
      <w:tr w:rsidR="004135EE" w14:paraId="66FE1BC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8865C99" w14:textId="77777777" w:rsidR="004135EE" w:rsidRDefault="004135EE" w:rsidP="004135EE">
            <w:r>
              <w:rPr>
                <w:b/>
                <w:sz w:val="16"/>
              </w:rPr>
              <w:t>Total taxes on the use of goods and performance of activities</w:t>
            </w:r>
          </w:p>
        </w:tc>
        <w:tc>
          <w:tcPr>
            <w:tcW w:w="794" w:type="dxa"/>
            <w:tcBorders>
              <w:top w:val="single" w:sz="6" w:space="0" w:color="auto"/>
              <w:bottom w:val="single" w:sz="6" w:space="0" w:color="auto"/>
            </w:tcBorders>
          </w:tcPr>
          <w:p w14:paraId="559B5969"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4 383</w:t>
            </w:r>
          </w:p>
        </w:tc>
        <w:tc>
          <w:tcPr>
            <w:tcW w:w="794" w:type="dxa"/>
            <w:tcBorders>
              <w:top w:val="single" w:sz="6" w:space="0" w:color="auto"/>
              <w:bottom w:val="single" w:sz="6" w:space="0" w:color="auto"/>
            </w:tcBorders>
          </w:tcPr>
          <w:p w14:paraId="43C1E67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4 427</w:t>
            </w:r>
          </w:p>
        </w:tc>
        <w:tc>
          <w:tcPr>
            <w:tcW w:w="794" w:type="dxa"/>
            <w:tcBorders>
              <w:top w:val="single" w:sz="6" w:space="0" w:color="auto"/>
              <w:bottom w:val="single" w:sz="6" w:space="0" w:color="auto"/>
            </w:tcBorders>
          </w:tcPr>
          <w:p w14:paraId="00B41EF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4 941</w:t>
            </w:r>
          </w:p>
        </w:tc>
        <w:tc>
          <w:tcPr>
            <w:tcW w:w="794" w:type="dxa"/>
            <w:tcBorders>
              <w:top w:val="single" w:sz="6" w:space="0" w:color="auto"/>
              <w:bottom w:val="single" w:sz="6" w:space="0" w:color="auto"/>
            </w:tcBorders>
          </w:tcPr>
          <w:p w14:paraId="1915474C"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5 213</w:t>
            </w:r>
          </w:p>
        </w:tc>
        <w:tc>
          <w:tcPr>
            <w:tcW w:w="794" w:type="dxa"/>
            <w:tcBorders>
              <w:top w:val="single" w:sz="6" w:space="0" w:color="auto"/>
              <w:bottom w:val="single" w:sz="6" w:space="0" w:color="auto"/>
            </w:tcBorders>
          </w:tcPr>
          <w:p w14:paraId="605CE65B"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5 422</w:t>
            </w:r>
          </w:p>
        </w:tc>
      </w:tr>
      <w:tr w:rsidR="004135EE" w14:paraId="0543A86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D7D1E1A" w14:textId="77777777" w:rsidR="004135EE" w:rsidRDefault="004135EE" w:rsidP="004135EE">
            <w:r>
              <w:rPr>
                <w:b/>
                <w:sz w:val="16"/>
              </w:rPr>
              <w:t>Total taxation</w:t>
            </w:r>
          </w:p>
        </w:tc>
        <w:tc>
          <w:tcPr>
            <w:tcW w:w="794" w:type="dxa"/>
            <w:tcBorders>
              <w:top w:val="single" w:sz="6" w:space="0" w:color="auto"/>
              <w:bottom w:val="single" w:sz="12" w:space="0" w:color="auto"/>
            </w:tcBorders>
          </w:tcPr>
          <w:p w14:paraId="03F89FBE"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38 979</w:t>
            </w:r>
          </w:p>
        </w:tc>
        <w:tc>
          <w:tcPr>
            <w:tcW w:w="794" w:type="dxa"/>
            <w:tcBorders>
              <w:top w:val="single" w:sz="6" w:space="0" w:color="auto"/>
              <w:bottom w:val="single" w:sz="12" w:space="0" w:color="auto"/>
            </w:tcBorders>
          </w:tcPr>
          <w:p w14:paraId="7414FCC2"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39 152</w:t>
            </w:r>
          </w:p>
        </w:tc>
        <w:tc>
          <w:tcPr>
            <w:tcW w:w="794" w:type="dxa"/>
            <w:tcBorders>
              <w:top w:val="single" w:sz="6" w:space="0" w:color="auto"/>
              <w:bottom w:val="single" w:sz="12" w:space="0" w:color="auto"/>
            </w:tcBorders>
          </w:tcPr>
          <w:p w14:paraId="64319C47"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41 563</w:t>
            </w:r>
          </w:p>
        </w:tc>
        <w:tc>
          <w:tcPr>
            <w:tcW w:w="794" w:type="dxa"/>
            <w:tcBorders>
              <w:top w:val="single" w:sz="6" w:space="0" w:color="auto"/>
              <w:bottom w:val="single" w:sz="12" w:space="0" w:color="auto"/>
            </w:tcBorders>
          </w:tcPr>
          <w:p w14:paraId="5E454F18"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43 776</w:t>
            </w:r>
          </w:p>
        </w:tc>
        <w:tc>
          <w:tcPr>
            <w:tcW w:w="794" w:type="dxa"/>
            <w:tcBorders>
              <w:top w:val="single" w:sz="6" w:space="0" w:color="auto"/>
              <w:bottom w:val="single" w:sz="12" w:space="0" w:color="auto"/>
            </w:tcBorders>
          </w:tcPr>
          <w:p w14:paraId="23F83CDD" w14:textId="77777777" w:rsidR="004135EE" w:rsidRDefault="004135EE" w:rsidP="004135EE">
            <w:pPr>
              <w:cnfStyle w:val="000000000000" w:firstRow="0" w:lastRow="0" w:firstColumn="0" w:lastColumn="0" w:oddVBand="0" w:evenVBand="0" w:oddHBand="0" w:evenHBand="0" w:firstRowFirstColumn="0" w:firstRowLastColumn="0" w:lastRowFirstColumn="0" w:lastRowLastColumn="0"/>
            </w:pPr>
            <w:r>
              <w:rPr>
                <w:b/>
                <w:sz w:val="16"/>
              </w:rPr>
              <w:t>45 788</w:t>
            </w:r>
          </w:p>
        </w:tc>
      </w:tr>
    </w:tbl>
    <w:p w14:paraId="0FA04127" w14:textId="77777777" w:rsidR="004135EE" w:rsidRPr="004E331F" w:rsidRDefault="004135EE" w:rsidP="004135EE">
      <w:pPr>
        <w:pStyle w:val="Note"/>
      </w:pPr>
      <w:r w:rsidRPr="00D87D22">
        <w:t>Note</w:t>
      </w:r>
      <w:r>
        <w:t>s</w:t>
      </w:r>
      <w:r w:rsidRPr="00D87D22">
        <w:t>:</w:t>
      </w:r>
    </w:p>
    <w:p w14:paraId="11F01E75" w14:textId="0DC06683" w:rsidR="004135EE" w:rsidRPr="004135EE" w:rsidRDefault="004135EE" w:rsidP="004135EE">
      <w:pPr>
        <w:pStyle w:val="Note"/>
      </w:pPr>
      <w:r>
        <w:t>(a)</w:t>
      </w:r>
      <w:r>
        <w:tab/>
      </w:r>
      <w:r w:rsidRPr="004135EE">
        <w:t>This line item was previously listed as the Fire Services Property Levy. From 1 July 2025 this line item will be replaced by the Emergency Services and Volunteers Fund, and include emergency and disaster response services, including Fire Rescue Victoria, Country Fire Agency, Victorian State Emergency Service</w:t>
      </w:r>
      <w:r w:rsidR="00754F22">
        <w:t xml:space="preserve">, </w:t>
      </w:r>
      <w:r w:rsidRPr="004135EE">
        <w:t>Triple Zero Victoria</w:t>
      </w:r>
      <w:r w:rsidR="00754F22" w:rsidRPr="00754F22">
        <w:t>, the State Control Centre, and Emergency Recovery Victoria</w:t>
      </w:r>
      <w:r w:rsidRPr="004135EE">
        <w:t>.</w:t>
      </w:r>
    </w:p>
    <w:p w14:paraId="43CD2534" w14:textId="77777777" w:rsidR="004135EE" w:rsidRPr="00B2480C" w:rsidRDefault="004135EE" w:rsidP="004135EE">
      <w:pPr>
        <w:pStyle w:val="Note"/>
      </w:pPr>
      <w:r w:rsidRPr="004E331F">
        <w:t>(</w:t>
      </w:r>
      <w:r>
        <w:t>b</w:t>
      </w:r>
      <w:r w:rsidRPr="004E331F">
        <w:t xml:space="preserve">) </w:t>
      </w:r>
      <w:r w:rsidRPr="004E331F">
        <w:tab/>
        <w:t xml:space="preserve">The public lotteries, electronic gaming machines, casino, racing and other sports betting and other gambling taxes balances include gambling licence revenue forecasts of </w:t>
      </w:r>
      <w:r w:rsidRPr="005113F4">
        <w:t>$</w:t>
      </w:r>
      <w:r>
        <w:t>184</w:t>
      </w:r>
      <w:r w:rsidRPr="005113F4">
        <w:t xml:space="preserve"> </w:t>
      </w:r>
      <w:r w:rsidRPr="004E331F">
        <w:t>million in 202</w:t>
      </w:r>
      <w:r>
        <w:t>4-25</w:t>
      </w:r>
      <w:r w:rsidRPr="004E331F">
        <w:t xml:space="preserve">, </w:t>
      </w:r>
      <w:r w:rsidRPr="005113F4">
        <w:t>$</w:t>
      </w:r>
      <w:r>
        <w:t>215</w:t>
      </w:r>
      <w:r w:rsidRPr="005113F4">
        <w:t xml:space="preserve"> </w:t>
      </w:r>
      <w:r w:rsidRPr="004E331F">
        <w:t>million in 202</w:t>
      </w:r>
      <w:r>
        <w:t>5-26,</w:t>
      </w:r>
      <w:r w:rsidRPr="004E331F">
        <w:t xml:space="preserve"> </w:t>
      </w:r>
      <w:r w:rsidRPr="005113F4">
        <w:t>$</w:t>
      </w:r>
      <w:r>
        <w:t>215</w:t>
      </w:r>
      <w:r w:rsidRPr="005113F4">
        <w:t xml:space="preserve"> </w:t>
      </w:r>
      <w:r w:rsidRPr="004E331F">
        <w:t>million in 202</w:t>
      </w:r>
      <w:r>
        <w:t xml:space="preserve">6-27 and </w:t>
      </w:r>
      <w:r w:rsidRPr="005113F4">
        <w:t>$</w:t>
      </w:r>
      <w:r>
        <w:t>215 million in 2027-28</w:t>
      </w:r>
      <w:r w:rsidRPr="004E331F">
        <w:t>, recognised under AASB 1</w:t>
      </w:r>
      <w:r>
        <w:t>5</w:t>
      </w:r>
      <w:r w:rsidRPr="004E331F">
        <w:t>. The balance of these items is recognised under AASB 1058.</w:t>
      </w:r>
    </w:p>
    <w:p w14:paraId="4B13533F" w14:textId="3BDD02A5" w:rsidR="004135EE" w:rsidRDefault="004135EE" w:rsidP="004135EE">
      <w:pPr>
        <w:pStyle w:val="Note"/>
      </w:pPr>
      <w:r w:rsidRPr="00AE543B">
        <w:t>(</w:t>
      </w:r>
      <w:r>
        <w:t>c</w:t>
      </w:r>
      <w:r w:rsidRPr="00AE543B">
        <w:t>)</w:t>
      </w:r>
      <w:r w:rsidRPr="00AE543B">
        <w:tab/>
      </w:r>
      <w:r>
        <w:t xml:space="preserve">The sixth tranche of the environmental contribution levy </w:t>
      </w:r>
      <w:r w:rsidRPr="00AE543B">
        <w:t>commence</w:t>
      </w:r>
      <w:r>
        <w:t>d on 1 July 2024 for a period of four years concluding on</w:t>
      </w:r>
      <w:r w:rsidR="00404D90">
        <w:t xml:space="preserve"> </w:t>
      </w:r>
      <w:r>
        <w:t>30 June 2028.</w:t>
      </w:r>
    </w:p>
    <w:p w14:paraId="3F6D7639" w14:textId="77777777" w:rsidR="004135EE" w:rsidRDefault="004135EE" w:rsidP="005C5C20">
      <w:pPr>
        <w:pStyle w:val="Heading30"/>
      </w:pPr>
      <w:bookmarkStart w:id="76" w:name="_Toc150443602"/>
      <w:bookmarkStart w:id="77" w:name="_Toc184299749"/>
      <w:r>
        <w:t>4.2.2</w:t>
      </w:r>
      <w:r>
        <w:tab/>
      </w:r>
      <w:r w:rsidRPr="002F0339">
        <w:t>Dividends, income tax equivalent and rate equivalent income</w:t>
      </w:r>
      <w:r w:rsidRPr="002F0339">
        <w:tab/>
        <w:t>($ million)</w:t>
      </w:r>
      <w:bookmarkEnd w:id="76"/>
      <w:bookmarkEnd w:id="77"/>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Dividends_ITEs|MergedHeadingRow:1"/>
      </w:tblPr>
      <w:tblGrid>
        <w:gridCol w:w="3740"/>
        <w:gridCol w:w="794"/>
        <w:gridCol w:w="794"/>
        <w:gridCol w:w="794"/>
        <w:gridCol w:w="794"/>
        <w:gridCol w:w="794"/>
      </w:tblGrid>
      <w:tr w:rsidR="004135EE" w14:paraId="12AF6F21"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55D367B" w14:textId="77777777" w:rsidR="004135EE" w:rsidRDefault="004135EE" w:rsidP="008670FF">
            <w:pPr>
              <w:keepNext/>
            </w:pPr>
          </w:p>
        </w:tc>
        <w:tc>
          <w:tcPr>
            <w:tcW w:w="794" w:type="dxa"/>
          </w:tcPr>
          <w:p w14:paraId="43FFFB5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E5A906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036277B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396849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70694CA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3109571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F46F637" w14:textId="77777777" w:rsidR="004135EE" w:rsidRDefault="004135EE" w:rsidP="008670FF">
            <w:r>
              <w:t>Dividends from PFC sector</w:t>
            </w:r>
          </w:p>
        </w:tc>
        <w:tc>
          <w:tcPr>
            <w:tcW w:w="794" w:type="dxa"/>
          </w:tcPr>
          <w:p w14:paraId="106082C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6186149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w:t>
            </w:r>
          </w:p>
        </w:tc>
        <w:tc>
          <w:tcPr>
            <w:tcW w:w="794" w:type="dxa"/>
          </w:tcPr>
          <w:p w14:paraId="6FD0A7D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32C3CB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79</w:t>
            </w:r>
          </w:p>
        </w:tc>
        <w:tc>
          <w:tcPr>
            <w:tcW w:w="794" w:type="dxa"/>
          </w:tcPr>
          <w:p w14:paraId="1C6D880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w:t>
            </w:r>
          </w:p>
        </w:tc>
      </w:tr>
      <w:tr w:rsidR="004135EE" w14:paraId="3A2452C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E5F6E5D" w14:textId="77777777" w:rsidR="004135EE" w:rsidRDefault="004135EE" w:rsidP="008670FF">
            <w:r>
              <w:t>Dividends from PNFC sector</w:t>
            </w:r>
          </w:p>
        </w:tc>
        <w:tc>
          <w:tcPr>
            <w:tcW w:w="794" w:type="dxa"/>
          </w:tcPr>
          <w:p w14:paraId="3E19D1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157</w:t>
            </w:r>
          </w:p>
        </w:tc>
        <w:tc>
          <w:tcPr>
            <w:tcW w:w="794" w:type="dxa"/>
          </w:tcPr>
          <w:p w14:paraId="7F882FE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157</w:t>
            </w:r>
          </w:p>
        </w:tc>
        <w:tc>
          <w:tcPr>
            <w:tcW w:w="794" w:type="dxa"/>
          </w:tcPr>
          <w:p w14:paraId="26A1FD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186</w:t>
            </w:r>
          </w:p>
        </w:tc>
        <w:tc>
          <w:tcPr>
            <w:tcW w:w="794" w:type="dxa"/>
          </w:tcPr>
          <w:p w14:paraId="2F81DA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239C31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192</w:t>
            </w:r>
          </w:p>
        </w:tc>
      </w:tr>
      <w:tr w:rsidR="004135EE" w14:paraId="0AFDB1B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E8823CA" w14:textId="77777777" w:rsidR="004135EE" w:rsidRDefault="004135EE" w:rsidP="008670FF">
            <w:r>
              <w:t>Dividends from non</w:t>
            </w:r>
            <w:r>
              <w:noBreakHyphen/>
              <w:t>public sector</w:t>
            </w:r>
          </w:p>
        </w:tc>
        <w:tc>
          <w:tcPr>
            <w:tcW w:w="794" w:type="dxa"/>
            <w:tcBorders>
              <w:bottom w:val="single" w:sz="6" w:space="0" w:color="auto"/>
            </w:tcBorders>
          </w:tcPr>
          <w:p w14:paraId="67D1B6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549</w:t>
            </w:r>
          </w:p>
        </w:tc>
        <w:tc>
          <w:tcPr>
            <w:tcW w:w="794" w:type="dxa"/>
            <w:tcBorders>
              <w:bottom w:val="single" w:sz="6" w:space="0" w:color="auto"/>
            </w:tcBorders>
          </w:tcPr>
          <w:p w14:paraId="7345D1B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664</w:t>
            </w:r>
          </w:p>
        </w:tc>
        <w:tc>
          <w:tcPr>
            <w:tcW w:w="794" w:type="dxa"/>
            <w:tcBorders>
              <w:bottom w:val="single" w:sz="6" w:space="0" w:color="auto"/>
            </w:tcBorders>
          </w:tcPr>
          <w:p w14:paraId="588BCB6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654</w:t>
            </w:r>
          </w:p>
        </w:tc>
        <w:tc>
          <w:tcPr>
            <w:tcW w:w="794" w:type="dxa"/>
            <w:tcBorders>
              <w:bottom w:val="single" w:sz="6" w:space="0" w:color="auto"/>
            </w:tcBorders>
          </w:tcPr>
          <w:p w14:paraId="0607DC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731</w:t>
            </w:r>
          </w:p>
        </w:tc>
        <w:tc>
          <w:tcPr>
            <w:tcW w:w="794" w:type="dxa"/>
            <w:tcBorders>
              <w:bottom w:val="single" w:sz="6" w:space="0" w:color="auto"/>
            </w:tcBorders>
          </w:tcPr>
          <w:p w14:paraId="768FF02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796</w:t>
            </w:r>
          </w:p>
        </w:tc>
      </w:tr>
      <w:tr w:rsidR="004135EE" w14:paraId="5E3E849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19751FB" w14:textId="77777777" w:rsidR="004135EE" w:rsidRDefault="004135EE" w:rsidP="008670FF">
            <w:r>
              <w:rPr>
                <w:b/>
              </w:rPr>
              <w:t>Dividends</w:t>
            </w:r>
          </w:p>
        </w:tc>
        <w:tc>
          <w:tcPr>
            <w:tcW w:w="794" w:type="dxa"/>
            <w:tcBorders>
              <w:top w:val="single" w:sz="6" w:space="0" w:color="auto"/>
            </w:tcBorders>
          </w:tcPr>
          <w:p w14:paraId="6530F3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789</w:t>
            </w:r>
          </w:p>
        </w:tc>
        <w:tc>
          <w:tcPr>
            <w:tcW w:w="794" w:type="dxa"/>
            <w:tcBorders>
              <w:top w:val="single" w:sz="6" w:space="0" w:color="auto"/>
            </w:tcBorders>
          </w:tcPr>
          <w:p w14:paraId="21F011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903</w:t>
            </w:r>
          </w:p>
        </w:tc>
        <w:tc>
          <w:tcPr>
            <w:tcW w:w="794" w:type="dxa"/>
            <w:tcBorders>
              <w:top w:val="single" w:sz="6" w:space="0" w:color="auto"/>
            </w:tcBorders>
          </w:tcPr>
          <w:p w14:paraId="11DFFB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923</w:t>
            </w:r>
          </w:p>
        </w:tc>
        <w:tc>
          <w:tcPr>
            <w:tcW w:w="794" w:type="dxa"/>
            <w:tcBorders>
              <w:top w:val="single" w:sz="6" w:space="0" w:color="auto"/>
            </w:tcBorders>
          </w:tcPr>
          <w:p w14:paraId="58BBF8E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998</w:t>
            </w:r>
          </w:p>
        </w:tc>
        <w:tc>
          <w:tcPr>
            <w:tcW w:w="794" w:type="dxa"/>
            <w:tcBorders>
              <w:top w:val="single" w:sz="6" w:space="0" w:color="auto"/>
            </w:tcBorders>
          </w:tcPr>
          <w:p w14:paraId="3E47A98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1 070</w:t>
            </w:r>
          </w:p>
        </w:tc>
      </w:tr>
      <w:tr w:rsidR="004135EE" w14:paraId="584864B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F708C30" w14:textId="77777777" w:rsidR="004135EE" w:rsidRDefault="004135EE" w:rsidP="008670FF">
            <w:r>
              <w:t>Income tax equivalent income from PFC sector</w:t>
            </w:r>
          </w:p>
        </w:tc>
        <w:tc>
          <w:tcPr>
            <w:tcW w:w="794" w:type="dxa"/>
          </w:tcPr>
          <w:p w14:paraId="3BBEDB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23EF752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346E60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96A17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461615A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r>
      <w:tr w:rsidR="004135EE" w14:paraId="5E334A3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C4C3577" w14:textId="77777777" w:rsidR="004135EE" w:rsidRDefault="004135EE" w:rsidP="008670FF">
            <w:r>
              <w:t>Income tax equivalent income from PNFC sector</w:t>
            </w:r>
          </w:p>
        </w:tc>
        <w:tc>
          <w:tcPr>
            <w:tcW w:w="794" w:type="dxa"/>
            <w:tcBorders>
              <w:bottom w:val="single" w:sz="6" w:space="0" w:color="auto"/>
            </w:tcBorders>
          </w:tcPr>
          <w:p w14:paraId="42ABFB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213</w:t>
            </w:r>
          </w:p>
        </w:tc>
        <w:tc>
          <w:tcPr>
            <w:tcW w:w="794" w:type="dxa"/>
            <w:tcBorders>
              <w:bottom w:val="single" w:sz="6" w:space="0" w:color="auto"/>
            </w:tcBorders>
          </w:tcPr>
          <w:p w14:paraId="5ADD806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213</w:t>
            </w:r>
          </w:p>
        </w:tc>
        <w:tc>
          <w:tcPr>
            <w:tcW w:w="794" w:type="dxa"/>
            <w:tcBorders>
              <w:bottom w:val="single" w:sz="6" w:space="0" w:color="auto"/>
            </w:tcBorders>
          </w:tcPr>
          <w:p w14:paraId="7E949E4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254</w:t>
            </w:r>
          </w:p>
        </w:tc>
        <w:tc>
          <w:tcPr>
            <w:tcW w:w="794" w:type="dxa"/>
            <w:tcBorders>
              <w:bottom w:val="single" w:sz="6" w:space="0" w:color="auto"/>
            </w:tcBorders>
          </w:tcPr>
          <w:p w14:paraId="2688EA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243</w:t>
            </w:r>
          </w:p>
        </w:tc>
        <w:tc>
          <w:tcPr>
            <w:tcW w:w="794" w:type="dxa"/>
            <w:tcBorders>
              <w:bottom w:val="single" w:sz="6" w:space="0" w:color="auto"/>
            </w:tcBorders>
          </w:tcPr>
          <w:p w14:paraId="6DAB42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223</w:t>
            </w:r>
          </w:p>
        </w:tc>
      </w:tr>
      <w:tr w:rsidR="004135EE" w14:paraId="395685E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0B35B86" w14:textId="77777777" w:rsidR="004135EE" w:rsidRDefault="004135EE" w:rsidP="008670FF">
            <w:r>
              <w:rPr>
                <w:b/>
              </w:rPr>
              <w:t>Income tax equivalent income</w:t>
            </w:r>
          </w:p>
        </w:tc>
        <w:tc>
          <w:tcPr>
            <w:tcW w:w="794" w:type="dxa"/>
            <w:tcBorders>
              <w:top w:val="single" w:sz="6" w:space="0" w:color="auto"/>
            </w:tcBorders>
          </w:tcPr>
          <w:p w14:paraId="2BCB165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221</w:t>
            </w:r>
          </w:p>
        </w:tc>
        <w:tc>
          <w:tcPr>
            <w:tcW w:w="794" w:type="dxa"/>
            <w:tcBorders>
              <w:top w:val="single" w:sz="6" w:space="0" w:color="auto"/>
            </w:tcBorders>
          </w:tcPr>
          <w:p w14:paraId="29241E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218</w:t>
            </w:r>
          </w:p>
        </w:tc>
        <w:tc>
          <w:tcPr>
            <w:tcW w:w="794" w:type="dxa"/>
            <w:tcBorders>
              <w:top w:val="single" w:sz="6" w:space="0" w:color="auto"/>
            </w:tcBorders>
          </w:tcPr>
          <w:p w14:paraId="69AC74D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258</w:t>
            </w:r>
          </w:p>
        </w:tc>
        <w:tc>
          <w:tcPr>
            <w:tcW w:w="794" w:type="dxa"/>
            <w:tcBorders>
              <w:top w:val="single" w:sz="6" w:space="0" w:color="auto"/>
            </w:tcBorders>
          </w:tcPr>
          <w:p w14:paraId="180B9E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247</w:t>
            </w:r>
          </w:p>
        </w:tc>
        <w:tc>
          <w:tcPr>
            <w:tcW w:w="794" w:type="dxa"/>
            <w:tcBorders>
              <w:top w:val="single" w:sz="6" w:space="0" w:color="auto"/>
            </w:tcBorders>
          </w:tcPr>
          <w:p w14:paraId="10BCE2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228</w:t>
            </w:r>
          </w:p>
        </w:tc>
      </w:tr>
      <w:tr w:rsidR="004135EE" w14:paraId="6FF598A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75BD32C" w14:textId="77777777" w:rsidR="004135EE" w:rsidRDefault="004135EE" w:rsidP="008670FF">
            <w:r>
              <w:t>Local government rate equivalent income</w:t>
            </w:r>
          </w:p>
        </w:tc>
        <w:tc>
          <w:tcPr>
            <w:tcW w:w="794" w:type="dxa"/>
            <w:tcBorders>
              <w:bottom w:val="single" w:sz="6" w:space="0" w:color="auto"/>
            </w:tcBorders>
          </w:tcPr>
          <w:p w14:paraId="28C11A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1315E6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4A2543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w:t>
            </w:r>
          </w:p>
        </w:tc>
        <w:tc>
          <w:tcPr>
            <w:tcW w:w="794" w:type="dxa"/>
            <w:tcBorders>
              <w:bottom w:val="single" w:sz="6" w:space="0" w:color="auto"/>
            </w:tcBorders>
          </w:tcPr>
          <w:p w14:paraId="129E33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5A259C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r>
      <w:tr w:rsidR="004135EE" w14:paraId="4B85F2F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BEE67A2" w14:textId="77777777" w:rsidR="004135EE" w:rsidRDefault="004135EE" w:rsidP="008670FF">
            <w:r>
              <w:rPr>
                <w:b/>
              </w:rPr>
              <w:t>Total dividends, income tax equivalent and rate equivalent income</w:t>
            </w:r>
          </w:p>
        </w:tc>
        <w:tc>
          <w:tcPr>
            <w:tcW w:w="794" w:type="dxa"/>
            <w:tcBorders>
              <w:top w:val="single" w:sz="6" w:space="0" w:color="auto"/>
              <w:bottom w:val="single" w:sz="12" w:space="0" w:color="auto"/>
            </w:tcBorders>
          </w:tcPr>
          <w:p w14:paraId="440A7C6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1 015</w:t>
            </w:r>
          </w:p>
        </w:tc>
        <w:tc>
          <w:tcPr>
            <w:tcW w:w="794" w:type="dxa"/>
            <w:tcBorders>
              <w:top w:val="single" w:sz="6" w:space="0" w:color="auto"/>
              <w:bottom w:val="single" w:sz="12" w:space="0" w:color="auto"/>
            </w:tcBorders>
          </w:tcPr>
          <w:p w14:paraId="6153715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1 127</w:t>
            </w:r>
          </w:p>
        </w:tc>
        <w:tc>
          <w:tcPr>
            <w:tcW w:w="794" w:type="dxa"/>
            <w:tcBorders>
              <w:top w:val="single" w:sz="6" w:space="0" w:color="auto"/>
              <w:bottom w:val="single" w:sz="12" w:space="0" w:color="auto"/>
            </w:tcBorders>
          </w:tcPr>
          <w:p w14:paraId="5930862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1 187</w:t>
            </w:r>
          </w:p>
        </w:tc>
        <w:tc>
          <w:tcPr>
            <w:tcW w:w="794" w:type="dxa"/>
            <w:tcBorders>
              <w:top w:val="single" w:sz="6" w:space="0" w:color="auto"/>
              <w:bottom w:val="single" w:sz="12" w:space="0" w:color="auto"/>
            </w:tcBorders>
          </w:tcPr>
          <w:p w14:paraId="359754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1 250</w:t>
            </w:r>
          </w:p>
        </w:tc>
        <w:tc>
          <w:tcPr>
            <w:tcW w:w="794" w:type="dxa"/>
            <w:tcBorders>
              <w:top w:val="single" w:sz="6" w:space="0" w:color="auto"/>
              <w:bottom w:val="single" w:sz="12" w:space="0" w:color="auto"/>
            </w:tcBorders>
          </w:tcPr>
          <w:p w14:paraId="0998F1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1 303</w:t>
            </w:r>
          </w:p>
        </w:tc>
      </w:tr>
    </w:tbl>
    <w:p w14:paraId="6CC65D05" w14:textId="77777777" w:rsidR="004135EE" w:rsidRDefault="004135EE" w:rsidP="004135EE"/>
    <w:p w14:paraId="10EB759E" w14:textId="77777777" w:rsidR="004135EE" w:rsidRDefault="004135EE" w:rsidP="004135EE">
      <w:pPr>
        <w:pStyle w:val="TableHeading"/>
      </w:pPr>
      <w:r w:rsidRPr="00901F0C">
        <w:t xml:space="preserve">Dividends by entity </w:t>
      </w:r>
      <w:r w:rsidRPr="00901F0C">
        <w:rPr>
          <w:vertAlign w:val="superscript"/>
        </w:rPr>
        <w:t>(a)</w:t>
      </w:r>
      <w:r w:rsidRPr="00901F0C">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Dividends_by_entity|MergedHeadingRow:1"/>
      </w:tblPr>
      <w:tblGrid>
        <w:gridCol w:w="3740"/>
        <w:gridCol w:w="794"/>
        <w:gridCol w:w="794"/>
        <w:gridCol w:w="794"/>
        <w:gridCol w:w="794"/>
        <w:gridCol w:w="794"/>
      </w:tblGrid>
      <w:tr w:rsidR="004135EE" w14:paraId="4EA17B07"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40BD7FC" w14:textId="77777777" w:rsidR="004135EE" w:rsidRDefault="004135EE" w:rsidP="008670FF">
            <w:pPr>
              <w:keepNext/>
            </w:pPr>
          </w:p>
        </w:tc>
        <w:tc>
          <w:tcPr>
            <w:tcW w:w="794" w:type="dxa"/>
          </w:tcPr>
          <w:p w14:paraId="4569B11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02BCAC2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1B264A3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6F9C9D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57C228B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0FF063E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3F9A75E" w14:textId="77777777" w:rsidR="004135EE" w:rsidRDefault="004135EE" w:rsidP="008670FF">
            <w:r>
              <w:rPr>
                <w:b/>
              </w:rPr>
              <w:t>Public financial corporations</w:t>
            </w:r>
          </w:p>
        </w:tc>
        <w:tc>
          <w:tcPr>
            <w:tcW w:w="794" w:type="dxa"/>
          </w:tcPr>
          <w:p w14:paraId="3B9683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83576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612E7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E3B9A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F99F2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7293E58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434C9FE" w14:textId="77777777" w:rsidR="004135EE" w:rsidRDefault="004135EE" w:rsidP="008670FF">
            <w:r>
              <w:t>Victorian Managed Insurance Authority</w:t>
            </w:r>
          </w:p>
        </w:tc>
        <w:tc>
          <w:tcPr>
            <w:tcW w:w="794" w:type="dxa"/>
          </w:tcPr>
          <w:p w14:paraId="4835D6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47427A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72107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929CC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39D3F5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48DE597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ED9BF91" w14:textId="77777777" w:rsidR="004135EE" w:rsidRDefault="004135EE" w:rsidP="008670FF">
            <w:r>
              <w:t>WorkSafe Victoria</w:t>
            </w:r>
          </w:p>
        </w:tc>
        <w:tc>
          <w:tcPr>
            <w:tcW w:w="794" w:type="dxa"/>
          </w:tcPr>
          <w:p w14:paraId="7296EE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354E3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AAD5C5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7BC996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955BA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5610289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51B10F6" w14:textId="77777777" w:rsidR="004135EE" w:rsidRDefault="004135EE" w:rsidP="008670FF">
            <w:r>
              <w:t>Transport Accident Commission</w:t>
            </w:r>
          </w:p>
        </w:tc>
        <w:tc>
          <w:tcPr>
            <w:tcW w:w="794" w:type="dxa"/>
          </w:tcPr>
          <w:p w14:paraId="4A6661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4C92E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4FE42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95692D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94CE59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52BAB9F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4F13FA8" w14:textId="77777777" w:rsidR="004135EE" w:rsidRDefault="004135EE" w:rsidP="008670FF">
            <w:r>
              <w:t>Treasury Corporation of Victoria</w:t>
            </w:r>
          </w:p>
        </w:tc>
        <w:tc>
          <w:tcPr>
            <w:tcW w:w="794" w:type="dxa"/>
          </w:tcPr>
          <w:p w14:paraId="7623E8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75</w:t>
            </w:r>
          </w:p>
        </w:tc>
        <w:tc>
          <w:tcPr>
            <w:tcW w:w="794" w:type="dxa"/>
          </w:tcPr>
          <w:p w14:paraId="5AAD63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75</w:t>
            </w:r>
          </w:p>
        </w:tc>
        <w:tc>
          <w:tcPr>
            <w:tcW w:w="794" w:type="dxa"/>
          </w:tcPr>
          <w:p w14:paraId="48C4D96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73</w:t>
            </w:r>
          </w:p>
        </w:tc>
        <w:tc>
          <w:tcPr>
            <w:tcW w:w="794" w:type="dxa"/>
          </w:tcPr>
          <w:p w14:paraId="42D602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72</w:t>
            </w:r>
          </w:p>
        </w:tc>
        <w:tc>
          <w:tcPr>
            <w:tcW w:w="794" w:type="dxa"/>
          </w:tcPr>
          <w:p w14:paraId="2721B2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75</w:t>
            </w:r>
          </w:p>
        </w:tc>
      </w:tr>
      <w:tr w:rsidR="004135EE" w14:paraId="482AD59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07DBBE8" w14:textId="77777777" w:rsidR="004135EE" w:rsidRDefault="004135EE" w:rsidP="008670FF">
            <w:r>
              <w:t>State Trustees Ltd</w:t>
            </w:r>
          </w:p>
        </w:tc>
        <w:tc>
          <w:tcPr>
            <w:tcW w:w="794" w:type="dxa"/>
          </w:tcPr>
          <w:p w14:paraId="529E986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94ABC6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332AB2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081683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2CC06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3FCBCC5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E505799" w14:textId="77777777" w:rsidR="004135EE" w:rsidRDefault="004135EE" w:rsidP="008670FF">
            <w:r>
              <w:t>Victorian Funds Management Corporation</w:t>
            </w:r>
          </w:p>
        </w:tc>
        <w:tc>
          <w:tcPr>
            <w:tcW w:w="794" w:type="dxa"/>
          </w:tcPr>
          <w:p w14:paraId="5B3D51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5A6638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1E8E40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w:t>
            </w:r>
          </w:p>
        </w:tc>
        <w:tc>
          <w:tcPr>
            <w:tcW w:w="794" w:type="dxa"/>
          </w:tcPr>
          <w:p w14:paraId="5251197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Pr>
          <w:p w14:paraId="0C4B4C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r>
      <w:tr w:rsidR="004135EE" w14:paraId="2FF2E33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86A4194" w14:textId="77777777" w:rsidR="004135EE" w:rsidRDefault="004135EE" w:rsidP="008670FF">
            <w:r>
              <w:t>Other/not allocated</w:t>
            </w:r>
            <w:r>
              <w:rPr>
                <w:vertAlign w:val="superscript"/>
              </w:rPr>
              <w:t xml:space="preserve"> (b)</w:t>
            </w:r>
          </w:p>
        </w:tc>
        <w:tc>
          <w:tcPr>
            <w:tcW w:w="794" w:type="dxa"/>
            <w:tcBorders>
              <w:bottom w:val="single" w:sz="6" w:space="0" w:color="auto"/>
            </w:tcBorders>
          </w:tcPr>
          <w:p w14:paraId="6F6291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c>
          <w:tcPr>
            <w:tcW w:w="794" w:type="dxa"/>
            <w:tcBorders>
              <w:bottom w:val="single" w:sz="6" w:space="0" w:color="auto"/>
            </w:tcBorders>
          </w:tcPr>
          <w:p w14:paraId="338020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c>
          <w:tcPr>
            <w:tcW w:w="794" w:type="dxa"/>
            <w:tcBorders>
              <w:bottom w:val="single" w:sz="6" w:space="0" w:color="auto"/>
            </w:tcBorders>
          </w:tcPr>
          <w:p w14:paraId="556967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Borders>
              <w:bottom w:val="single" w:sz="6" w:space="0" w:color="auto"/>
            </w:tcBorders>
          </w:tcPr>
          <w:p w14:paraId="47A4C79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Borders>
              <w:bottom w:val="single" w:sz="6" w:space="0" w:color="auto"/>
            </w:tcBorders>
          </w:tcPr>
          <w:p w14:paraId="178A4E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r>
      <w:tr w:rsidR="004135EE" w14:paraId="09FF643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4027BFC" w14:textId="77777777" w:rsidR="004135EE" w:rsidRDefault="004135EE" w:rsidP="008670FF">
            <w:r>
              <w:rPr>
                <w:b/>
              </w:rPr>
              <w:t>Dividends from PFC sector</w:t>
            </w:r>
          </w:p>
        </w:tc>
        <w:tc>
          <w:tcPr>
            <w:tcW w:w="794" w:type="dxa"/>
            <w:tcBorders>
              <w:top w:val="single" w:sz="6" w:space="0" w:color="auto"/>
              <w:bottom w:val="single" w:sz="12" w:space="0" w:color="auto"/>
            </w:tcBorders>
          </w:tcPr>
          <w:p w14:paraId="3E5B3A5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84</w:t>
            </w:r>
          </w:p>
        </w:tc>
        <w:tc>
          <w:tcPr>
            <w:tcW w:w="794" w:type="dxa"/>
            <w:tcBorders>
              <w:top w:val="single" w:sz="6" w:space="0" w:color="auto"/>
              <w:bottom w:val="single" w:sz="12" w:space="0" w:color="auto"/>
            </w:tcBorders>
          </w:tcPr>
          <w:p w14:paraId="4CD982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83</w:t>
            </w:r>
          </w:p>
        </w:tc>
        <w:tc>
          <w:tcPr>
            <w:tcW w:w="794" w:type="dxa"/>
            <w:tcBorders>
              <w:top w:val="single" w:sz="6" w:space="0" w:color="auto"/>
              <w:bottom w:val="single" w:sz="12" w:space="0" w:color="auto"/>
            </w:tcBorders>
          </w:tcPr>
          <w:p w14:paraId="4F7BEDF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82</w:t>
            </w:r>
          </w:p>
        </w:tc>
        <w:tc>
          <w:tcPr>
            <w:tcW w:w="794" w:type="dxa"/>
            <w:tcBorders>
              <w:top w:val="single" w:sz="6" w:space="0" w:color="auto"/>
              <w:bottom w:val="single" w:sz="12" w:space="0" w:color="auto"/>
            </w:tcBorders>
          </w:tcPr>
          <w:p w14:paraId="606490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79</w:t>
            </w:r>
          </w:p>
        </w:tc>
        <w:tc>
          <w:tcPr>
            <w:tcW w:w="794" w:type="dxa"/>
            <w:tcBorders>
              <w:top w:val="single" w:sz="6" w:space="0" w:color="auto"/>
              <w:bottom w:val="single" w:sz="12" w:space="0" w:color="auto"/>
            </w:tcBorders>
          </w:tcPr>
          <w:p w14:paraId="0D0EC09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82</w:t>
            </w:r>
          </w:p>
        </w:tc>
      </w:tr>
      <w:tr w:rsidR="004135EE" w14:paraId="39E9236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5B408B1" w14:textId="77777777" w:rsidR="004135EE" w:rsidRDefault="004135EE" w:rsidP="008670FF">
            <w:r>
              <w:rPr>
                <w:b/>
              </w:rPr>
              <w:t>Public non</w:t>
            </w:r>
            <w:r>
              <w:rPr>
                <w:b/>
              </w:rPr>
              <w:noBreakHyphen/>
              <w:t>financial corporations</w:t>
            </w:r>
          </w:p>
        </w:tc>
        <w:tc>
          <w:tcPr>
            <w:tcW w:w="794" w:type="dxa"/>
            <w:tcBorders>
              <w:top w:val="single" w:sz="6" w:space="0" w:color="auto"/>
            </w:tcBorders>
          </w:tcPr>
          <w:p w14:paraId="06BE34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9E001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1A2EA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208CD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6D239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59E0857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0002A5E" w14:textId="77777777" w:rsidR="004135EE" w:rsidRDefault="004135EE" w:rsidP="008670FF">
            <w:r>
              <w:t>Greater Western Water</w:t>
            </w:r>
          </w:p>
        </w:tc>
        <w:tc>
          <w:tcPr>
            <w:tcW w:w="794" w:type="dxa"/>
          </w:tcPr>
          <w:p w14:paraId="61662C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63</w:t>
            </w:r>
          </w:p>
        </w:tc>
        <w:tc>
          <w:tcPr>
            <w:tcW w:w="794" w:type="dxa"/>
          </w:tcPr>
          <w:p w14:paraId="27D7F1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63</w:t>
            </w:r>
          </w:p>
        </w:tc>
        <w:tc>
          <w:tcPr>
            <w:tcW w:w="794" w:type="dxa"/>
          </w:tcPr>
          <w:p w14:paraId="224EDED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w:t>
            </w:r>
          </w:p>
        </w:tc>
        <w:tc>
          <w:tcPr>
            <w:tcW w:w="794" w:type="dxa"/>
          </w:tcPr>
          <w:p w14:paraId="46C7DFF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w:t>
            </w:r>
          </w:p>
        </w:tc>
        <w:tc>
          <w:tcPr>
            <w:tcW w:w="794" w:type="dxa"/>
          </w:tcPr>
          <w:p w14:paraId="7CE78B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86</w:t>
            </w:r>
          </w:p>
        </w:tc>
      </w:tr>
      <w:tr w:rsidR="004135EE" w14:paraId="59521BD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56E2FAF" w14:textId="77777777" w:rsidR="004135EE" w:rsidRDefault="004135EE" w:rsidP="008670FF">
            <w:r>
              <w:t>Melbourne Water Corporation</w:t>
            </w:r>
          </w:p>
        </w:tc>
        <w:tc>
          <w:tcPr>
            <w:tcW w:w="794" w:type="dxa"/>
          </w:tcPr>
          <w:p w14:paraId="3F27F8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B68F1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417C1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1E697E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50293E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w:t>
            </w:r>
          </w:p>
        </w:tc>
      </w:tr>
      <w:tr w:rsidR="004135EE" w14:paraId="1F3E88B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E03C94C" w14:textId="77777777" w:rsidR="004135EE" w:rsidRDefault="004135EE" w:rsidP="008670FF">
            <w:r>
              <w:t>South East Water Corporation</w:t>
            </w:r>
          </w:p>
        </w:tc>
        <w:tc>
          <w:tcPr>
            <w:tcW w:w="794" w:type="dxa"/>
          </w:tcPr>
          <w:p w14:paraId="324E44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7FA883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7ED635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7AC025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386F41D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w:t>
            </w:r>
          </w:p>
        </w:tc>
      </w:tr>
      <w:tr w:rsidR="004135EE" w14:paraId="4485C83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D0E93C4" w14:textId="77777777" w:rsidR="004135EE" w:rsidRDefault="004135EE" w:rsidP="008670FF">
            <w:r>
              <w:t>Yarra Valley Water Corporation</w:t>
            </w:r>
          </w:p>
        </w:tc>
        <w:tc>
          <w:tcPr>
            <w:tcW w:w="794" w:type="dxa"/>
          </w:tcPr>
          <w:p w14:paraId="734799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1CCB23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382046B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4945E0E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18D1D2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w:t>
            </w:r>
          </w:p>
        </w:tc>
      </w:tr>
      <w:tr w:rsidR="004135EE" w14:paraId="6F1A4F9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B5E39D9" w14:textId="77777777" w:rsidR="004135EE" w:rsidRDefault="004135EE" w:rsidP="008670FF">
            <w:r>
              <w:t>Development Victoria</w:t>
            </w:r>
          </w:p>
        </w:tc>
        <w:tc>
          <w:tcPr>
            <w:tcW w:w="794" w:type="dxa"/>
          </w:tcPr>
          <w:p w14:paraId="48DE14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w:t>
            </w:r>
          </w:p>
        </w:tc>
        <w:tc>
          <w:tcPr>
            <w:tcW w:w="794" w:type="dxa"/>
          </w:tcPr>
          <w:p w14:paraId="0AB99E4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w:t>
            </w:r>
          </w:p>
        </w:tc>
        <w:tc>
          <w:tcPr>
            <w:tcW w:w="794" w:type="dxa"/>
          </w:tcPr>
          <w:p w14:paraId="0DF8E02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1FBC2F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117275B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w:t>
            </w:r>
          </w:p>
        </w:tc>
      </w:tr>
      <w:tr w:rsidR="004135EE" w14:paraId="6814B3C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F6BF51F" w14:textId="77777777" w:rsidR="004135EE" w:rsidRDefault="004135EE" w:rsidP="008670FF">
            <w:r>
              <w:t>Others/not allocated</w:t>
            </w:r>
            <w:r>
              <w:rPr>
                <w:vertAlign w:val="superscript"/>
              </w:rPr>
              <w:t xml:space="preserve"> (b)</w:t>
            </w:r>
          </w:p>
        </w:tc>
        <w:tc>
          <w:tcPr>
            <w:tcW w:w="794" w:type="dxa"/>
            <w:tcBorders>
              <w:bottom w:val="single" w:sz="6" w:space="0" w:color="auto"/>
            </w:tcBorders>
          </w:tcPr>
          <w:p w14:paraId="4BA798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w:t>
            </w:r>
          </w:p>
        </w:tc>
        <w:tc>
          <w:tcPr>
            <w:tcW w:w="794" w:type="dxa"/>
            <w:tcBorders>
              <w:bottom w:val="single" w:sz="6" w:space="0" w:color="auto"/>
            </w:tcBorders>
          </w:tcPr>
          <w:p w14:paraId="77A48C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w:t>
            </w:r>
          </w:p>
        </w:tc>
        <w:tc>
          <w:tcPr>
            <w:tcW w:w="794" w:type="dxa"/>
            <w:tcBorders>
              <w:bottom w:val="single" w:sz="6" w:space="0" w:color="auto"/>
            </w:tcBorders>
          </w:tcPr>
          <w:p w14:paraId="7EA2A6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51</w:t>
            </w:r>
          </w:p>
        </w:tc>
        <w:tc>
          <w:tcPr>
            <w:tcW w:w="794" w:type="dxa"/>
            <w:tcBorders>
              <w:bottom w:val="single" w:sz="6" w:space="0" w:color="auto"/>
            </w:tcBorders>
          </w:tcPr>
          <w:p w14:paraId="40ED0F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51</w:t>
            </w:r>
          </w:p>
        </w:tc>
        <w:tc>
          <w:tcPr>
            <w:tcW w:w="794" w:type="dxa"/>
            <w:tcBorders>
              <w:bottom w:val="single" w:sz="6" w:space="0" w:color="auto"/>
            </w:tcBorders>
          </w:tcPr>
          <w:p w14:paraId="617888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51</w:t>
            </w:r>
          </w:p>
        </w:tc>
      </w:tr>
      <w:tr w:rsidR="004135EE" w14:paraId="4613717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D419828" w14:textId="77777777" w:rsidR="004135EE" w:rsidRDefault="004135EE" w:rsidP="008670FF">
            <w:r>
              <w:rPr>
                <w:b/>
              </w:rPr>
              <w:t>Dividends from PNFC sector</w:t>
            </w:r>
          </w:p>
        </w:tc>
        <w:tc>
          <w:tcPr>
            <w:tcW w:w="794" w:type="dxa"/>
            <w:tcBorders>
              <w:top w:val="single" w:sz="6" w:space="0" w:color="auto"/>
              <w:bottom w:val="single" w:sz="12" w:space="0" w:color="auto"/>
            </w:tcBorders>
          </w:tcPr>
          <w:p w14:paraId="58771F9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157</w:t>
            </w:r>
          </w:p>
        </w:tc>
        <w:tc>
          <w:tcPr>
            <w:tcW w:w="794" w:type="dxa"/>
            <w:tcBorders>
              <w:top w:val="single" w:sz="6" w:space="0" w:color="auto"/>
              <w:bottom w:val="single" w:sz="12" w:space="0" w:color="auto"/>
            </w:tcBorders>
          </w:tcPr>
          <w:p w14:paraId="6D03641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157</w:t>
            </w:r>
          </w:p>
        </w:tc>
        <w:tc>
          <w:tcPr>
            <w:tcW w:w="794" w:type="dxa"/>
            <w:tcBorders>
              <w:top w:val="single" w:sz="6" w:space="0" w:color="auto"/>
              <w:bottom w:val="single" w:sz="12" w:space="0" w:color="auto"/>
            </w:tcBorders>
          </w:tcPr>
          <w:p w14:paraId="362342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186</w:t>
            </w:r>
          </w:p>
        </w:tc>
        <w:tc>
          <w:tcPr>
            <w:tcW w:w="794" w:type="dxa"/>
            <w:tcBorders>
              <w:top w:val="single" w:sz="6" w:space="0" w:color="auto"/>
              <w:bottom w:val="single" w:sz="12" w:space="0" w:color="auto"/>
            </w:tcBorders>
          </w:tcPr>
          <w:p w14:paraId="01A832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188</w:t>
            </w:r>
          </w:p>
        </w:tc>
        <w:tc>
          <w:tcPr>
            <w:tcW w:w="794" w:type="dxa"/>
            <w:tcBorders>
              <w:top w:val="single" w:sz="6" w:space="0" w:color="auto"/>
              <w:bottom w:val="single" w:sz="12" w:space="0" w:color="auto"/>
            </w:tcBorders>
          </w:tcPr>
          <w:p w14:paraId="2CA80D5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192</w:t>
            </w:r>
          </w:p>
        </w:tc>
      </w:tr>
    </w:tbl>
    <w:p w14:paraId="72F56298" w14:textId="77777777" w:rsidR="004135EE" w:rsidRPr="00307B52" w:rsidRDefault="004135EE" w:rsidP="004135EE">
      <w:pPr>
        <w:pStyle w:val="Note"/>
      </w:pPr>
      <w:r w:rsidRPr="00307B52">
        <w:t>Note</w:t>
      </w:r>
      <w:r>
        <w:t>s</w:t>
      </w:r>
      <w:r w:rsidRPr="00307B52">
        <w:t>:</w:t>
      </w:r>
    </w:p>
    <w:p w14:paraId="4AD460BF" w14:textId="77777777" w:rsidR="004135EE" w:rsidRDefault="004135EE" w:rsidP="004135EE">
      <w:pPr>
        <w:pStyle w:val="Note"/>
      </w:pPr>
      <w:r w:rsidRPr="00307B52">
        <w:t>(a)</w:t>
      </w:r>
      <w:r w:rsidRPr="00307B52">
        <w:tab/>
      </w:r>
      <w:r w:rsidRPr="00031655">
        <w:rPr>
          <w:iCs/>
        </w:rPr>
        <w:t xml:space="preserve">Due to the requirements of AASB 1023 </w:t>
      </w:r>
      <w:r w:rsidRPr="007B6AC4">
        <w:rPr>
          <w:i w:val="0"/>
        </w:rPr>
        <w:t>General Insurance Contracts</w:t>
      </w:r>
      <w:r w:rsidRPr="00031655">
        <w:t xml:space="preserve">, </w:t>
      </w:r>
      <w:r w:rsidRPr="00031655">
        <w:rPr>
          <w:iCs/>
        </w:rPr>
        <w:t>amounts equivalent to dividends that are to be paid by the</w:t>
      </w:r>
      <w:r>
        <w:rPr>
          <w:iCs/>
        </w:rPr>
        <w:t xml:space="preserve"> </w:t>
      </w:r>
      <w:r w:rsidRPr="00031655">
        <w:rPr>
          <w:iCs/>
        </w:rPr>
        <w:t>Transport Accident Commission are received and reported as contributions forming part of grant revenue. The amounts that are</w:t>
      </w:r>
      <w:r>
        <w:rPr>
          <w:iCs/>
        </w:rPr>
        <w:t xml:space="preserve"> </w:t>
      </w:r>
      <w:r w:rsidRPr="00031655">
        <w:rPr>
          <w:iCs/>
        </w:rPr>
        <w:t>forecast to be paid by the Transport Accident Commission, noting these are subject to annual review, are $</w:t>
      </w:r>
      <w:r w:rsidRPr="00520AF4">
        <w:t>300</w:t>
      </w:r>
      <w:r w:rsidRPr="00031655">
        <w:rPr>
          <w:iCs/>
        </w:rPr>
        <w:t xml:space="preserve"> million in 2024-25,</w:t>
      </w:r>
      <w:r>
        <w:rPr>
          <w:iCs/>
        </w:rPr>
        <w:t xml:space="preserve"> </w:t>
      </w:r>
      <w:r w:rsidRPr="00031655">
        <w:rPr>
          <w:iCs/>
        </w:rPr>
        <w:t>$</w:t>
      </w:r>
      <w:r>
        <w:rPr>
          <w:iCs/>
        </w:rPr>
        <w:t>9</w:t>
      </w:r>
      <w:r w:rsidRPr="00031655">
        <w:rPr>
          <w:iCs/>
        </w:rPr>
        <w:t>00 million in 2025-26, and $1.</w:t>
      </w:r>
      <w:r w:rsidRPr="00520AF4">
        <w:rPr>
          <w:iCs/>
        </w:rPr>
        <w:t>2</w:t>
      </w:r>
      <w:r w:rsidRPr="00031655">
        <w:rPr>
          <w:iCs/>
        </w:rPr>
        <w:t xml:space="preserve"> billion in 2027-28. Based on current projections, the Transport Accident Commission is expected</w:t>
      </w:r>
      <w:r>
        <w:rPr>
          <w:iCs/>
        </w:rPr>
        <w:t xml:space="preserve"> </w:t>
      </w:r>
      <w:r w:rsidRPr="00031655">
        <w:rPr>
          <w:iCs/>
        </w:rPr>
        <w:t>to remain financially sustainable, with an Insurance Funding Ratio above the midpoint of the preferred range, across the forward</w:t>
      </w:r>
      <w:r>
        <w:rPr>
          <w:iCs/>
        </w:rPr>
        <w:t xml:space="preserve"> </w:t>
      </w:r>
      <w:r w:rsidRPr="00031655">
        <w:rPr>
          <w:iCs/>
        </w:rPr>
        <w:t>estimates</w:t>
      </w:r>
      <w:r>
        <w:rPr>
          <w:b/>
        </w:rPr>
        <w:t>.</w:t>
      </w:r>
    </w:p>
    <w:p w14:paraId="50905F38" w14:textId="77777777" w:rsidR="004135EE" w:rsidRPr="00D43BA4" w:rsidRDefault="004135EE" w:rsidP="004135EE">
      <w:pPr>
        <w:pStyle w:val="Note"/>
      </w:pPr>
      <w:r w:rsidRPr="00D43BA4">
        <w:t>(b)</w:t>
      </w:r>
      <w:r w:rsidRPr="00D43BA4">
        <w:tab/>
      </w:r>
      <w:r>
        <w:t>S</w:t>
      </w:r>
      <w:r w:rsidRPr="00D43BA4">
        <w:t xml:space="preserve">avings and efficiency initiatives </w:t>
      </w:r>
      <w:r>
        <w:t xml:space="preserve">introduced in the </w:t>
      </w:r>
      <w:r w:rsidRPr="00E11E09">
        <w:rPr>
          <w:i w:val="0"/>
          <w:iCs/>
        </w:rPr>
        <w:t>2023-24 Budget</w:t>
      </w:r>
      <w:r>
        <w:t xml:space="preserve"> </w:t>
      </w:r>
      <w:r w:rsidRPr="00D43BA4">
        <w:t xml:space="preserve">will </w:t>
      </w:r>
      <w:r>
        <w:t xml:space="preserve">continue to </w:t>
      </w:r>
      <w:r w:rsidRPr="00D43BA4">
        <w:t>be implemented by the PNFC and PFC sectors. Revised dividends payable by individual agencies will be determined following consultation with the relevant agencies</w:t>
      </w:r>
      <w:bookmarkStart w:id="78" w:name="_Hlk181367950"/>
      <w:r w:rsidRPr="00D43BA4">
        <w:t>.</w:t>
      </w:r>
      <w:r w:rsidRPr="00D43BA4">
        <w:rPr>
          <w:highlight w:val="yellow"/>
        </w:rPr>
        <w:t xml:space="preserve"> </w:t>
      </w:r>
    </w:p>
    <w:p w14:paraId="4DA1CD65" w14:textId="77777777" w:rsidR="004135EE" w:rsidRDefault="004135EE" w:rsidP="004135EE"/>
    <w:p w14:paraId="535184AA" w14:textId="77777777" w:rsidR="004135EE" w:rsidRPr="00C118B5" w:rsidRDefault="004135EE" w:rsidP="004135EE">
      <w:pPr>
        <w:pStyle w:val="Heading30"/>
      </w:pPr>
      <w:bookmarkStart w:id="79" w:name="_Toc150443603"/>
      <w:bookmarkStart w:id="80" w:name="_Toc184299750"/>
      <w:bookmarkEnd w:id="78"/>
      <w:r w:rsidRPr="00C118B5">
        <w:t>4.2.3</w:t>
      </w:r>
      <w:r w:rsidRPr="00C118B5">
        <w:tab/>
        <w:t>Sales of goods and services</w:t>
      </w:r>
      <w:r w:rsidRPr="00C118B5">
        <w:tab/>
        <w:t>($ million)</w:t>
      </w:r>
      <w:bookmarkEnd w:id="79"/>
      <w:bookmarkEnd w:id="80"/>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Sales_goods_services|MergedHeadingRow:1"/>
      </w:tblPr>
      <w:tblGrid>
        <w:gridCol w:w="3740"/>
        <w:gridCol w:w="794"/>
        <w:gridCol w:w="794"/>
        <w:gridCol w:w="794"/>
        <w:gridCol w:w="794"/>
        <w:gridCol w:w="794"/>
      </w:tblGrid>
      <w:tr w:rsidR="004135EE" w14:paraId="7C6FE72D"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95B59F3" w14:textId="77777777" w:rsidR="004135EE" w:rsidRDefault="004135EE" w:rsidP="008670FF">
            <w:pPr>
              <w:keepNext/>
            </w:pPr>
          </w:p>
        </w:tc>
        <w:tc>
          <w:tcPr>
            <w:tcW w:w="794" w:type="dxa"/>
          </w:tcPr>
          <w:p w14:paraId="4096CA9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73E6104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5C0BCB2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B7CD90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0F9FB1A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0976B5E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C04A56D" w14:textId="77777777" w:rsidR="004135EE" w:rsidRDefault="004135EE" w:rsidP="008670FF">
            <w:r>
              <w:rPr>
                <w:b/>
              </w:rPr>
              <w:t>Amounts recognised as revenue from contracts with customers (AASB 15)</w:t>
            </w:r>
          </w:p>
        </w:tc>
        <w:tc>
          <w:tcPr>
            <w:tcW w:w="794" w:type="dxa"/>
          </w:tcPr>
          <w:p w14:paraId="094B3F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6BD05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8F581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2329A6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A5A68E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5FBA63E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A2CB51C" w14:textId="77777777" w:rsidR="004135EE" w:rsidRDefault="004135EE" w:rsidP="008670FF">
            <w:r>
              <w:t>Sale of goods</w:t>
            </w:r>
          </w:p>
        </w:tc>
        <w:tc>
          <w:tcPr>
            <w:tcW w:w="794" w:type="dxa"/>
          </w:tcPr>
          <w:p w14:paraId="102CBF6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92</w:t>
            </w:r>
          </w:p>
        </w:tc>
        <w:tc>
          <w:tcPr>
            <w:tcW w:w="794" w:type="dxa"/>
          </w:tcPr>
          <w:p w14:paraId="1FB6954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93</w:t>
            </w:r>
          </w:p>
        </w:tc>
        <w:tc>
          <w:tcPr>
            <w:tcW w:w="794" w:type="dxa"/>
          </w:tcPr>
          <w:p w14:paraId="3A8A73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91</w:t>
            </w:r>
          </w:p>
        </w:tc>
        <w:tc>
          <w:tcPr>
            <w:tcW w:w="794" w:type="dxa"/>
          </w:tcPr>
          <w:p w14:paraId="6C6F8F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90</w:t>
            </w:r>
          </w:p>
        </w:tc>
        <w:tc>
          <w:tcPr>
            <w:tcW w:w="794" w:type="dxa"/>
          </w:tcPr>
          <w:p w14:paraId="0EEAC5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91</w:t>
            </w:r>
          </w:p>
        </w:tc>
      </w:tr>
      <w:tr w:rsidR="004135EE" w14:paraId="0EBED3A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C96C14D" w14:textId="77777777" w:rsidR="004135EE" w:rsidRDefault="004135EE" w:rsidP="008670FF">
            <w:r>
              <w:t>Provision of services</w:t>
            </w:r>
            <w:r>
              <w:rPr>
                <w:vertAlign w:val="superscript"/>
              </w:rPr>
              <w:t xml:space="preserve"> (a)</w:t>
            </w:r>
          </w:p>
        </w:tc>
        <w:tc>
          <w:tcPr>
            <w:tcW w:w="794" w:type="dxa"/>
          </w:tcPr>
          <w:p w14:paraId="0E8265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5 466</w:t>
            </w:r>
          </w:p>
        </w:tc>
        <w:tc>
          <w:tcPr>
            <w:tcW w:w="794" w:type="dxa"/>
          </w:tcPr>
          <w:p w14:paraId="3B7E2C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5 750</w:t>
            </w:r>
          </w:p>
        </w:tc>
        <w:tc>
          <w:tcPr>
            <w:tcW w:w="794" w:type="dxa"/>
          </w:tcPr>
          <w:p w14:paraId="7276AFF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5 813</w:t>
            </w:r>
          </w:p>
        </w:tc>
        <w:tc>
          <w:tcPr>
            <w:tcW w:w="794" w:type="dxa"/>
          </w:tcPr>
          <w:p w14:paraId="4E4A35D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5 902</w:t>
            </w:r>
          </w:p>
        </w:tc>
        <w:tc>
          <w:tcPr>
            <w:tcW w:w="794" w:type="dxa"/>
          </w:tcPr>
          <w:p w14:paraId="1000EE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5 960</w:t>
            </w:r>
          </w:p>
        </w:tc>
      </w:tr>
      <w:tr w:rsidR="004135EE" w14:paraId="74CDDF8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9C96456" w14:textId="77777777" w:rsidR="004135EE" w:rsidRDefault="004135EE" w:rsidP="008670FF">
            <w:r>
              <w:rPr>
                <w:b/>
              </w:rPr>
              <w:t>Amounts recognised as income of not</w:t>
            </w:r>
            <w:r>
              <w:rPr>
                <w:b/>
              </w:rPr>
              <w:noBreakHyphen/>
              <w:t>for</w:t>
            </w:r>
            <w:r>
              <w:rPr>
                <w:b/>
              </w:rPr>
              <w:noBreakHyphen/>
              <w:t>profit entities (AASB 1058)</w:t>
            </w:r>
          </w:p>
        </w:tc>
        <w:tc>
          <w:tcPr>
            <w:tcW w:w="794" w:type="dxa"/>
          </w:tcPr>
          <w:p w14:paraId="4E1B0E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F0688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8BBFD3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EED02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57501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4223BAE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9041E4C" w14:textId="77777777" w:rsidR="004135EE" w:rsidRDefault="004135EE" w:rsidP="008670FF">
            <w:r>
              <w:t>Motor vehicle regulatory fees</w:t>
            </w:r>
          </w:p>
        </w:tc>
        <w:tc>
          <w:tcPr>
            <w:tcW w:w="794" w:type="dxa"/>
          </w:tcPr>
          <w:p w14:paraId="4E0B19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318</w:t>
            </w:r>
          </w:p>
        </w:tc>
        <w:tc>
          <w:tcPr>
            <w:tcW w:w="794" w:type="dxa"/>
          </w:tcPr>
          <w:p w14:paraId="1AE055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318</w:t>
            </w:r>
          </w:p>
        </w:tc>
        <w:tc>
          <w:tcPr>
            <w:tcW w:w="794" w:type="dxa"/>
          </w:tcPr>
          <w:p w14:paraId="2B3DAF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324</w:t>
            </w:r>
          </w:p>
        </w:tc>
        <w:tc>
          <w:tcPr>
            <w:tcW w:w="794" w:type="dxa"/>
          </w:tcPr>
          <w:p w14:paraId="78866A1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343</w:t>
            </w:r>
          </w:p>
        </w:tc>
        <w:tc>
          <w:tcPr>
            <w:tcW w:w="794" w:type="dxa"/>
          </w:tcPr>
          <w:p w14:paraId="57A077E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333</w:t>
            </w:r>
          </w:p>
        </w:tc>
      </w:tr>
      <w:tr w:rsidR="004135EE" w14:paraId="252F0F1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FC5B9F5" w14:textId="77777777" w:rsidR="004135EE" w:rsidRDefault="004135EE" w:rsidP="008670FF">
            <w:r>
              <w:t>Other regulatory fees</w:t>
            </w:r>
          </w:p>
        </w:tc>
        <w:tc>
          <w:tcPr>
            <w:tcW w:w="794" w:type="dxa"/>
          </w:tcPr>
          <w:p w14:paraId="0F7BD2E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823</w:t>
            </w:r>
          </w:p>
        </w:tc>
        <w:tc>
          <w:tcPr>
            <w:tcW w:w="794" w:type="dxa"/>
          </w:tcPr>
          <w:p w14:paraId="1C55EA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814</w:t>
            </w:r>
          </w:p>
        </w:tc>
        <w:tc>
          <w:tcPr>
            <w:tcW w:w="794" w:type="dxa"/>
          </w:tcPr>
          <w:p w14:paraId="271A34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832</w:t>
            </w:r>
          </w:p>
        </w:tc>
        <w:tc>
          <w:tcPr>
            <w:tcW w:w="794" w:type="dxa"/>
          </w:tcPr>
          <w:p w14:paraId="3355C5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812</w:t>
            </w:r>
          </w:p>
        </w:tc>
        <w:tc>
          <w:tcPr>
            <w:tcW w:w="794" w:type="dxa"/>
          </w:tcPr>
          <w:p w14:paraId="7C996E7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826</w:t>
            </w:r>
          </w:p>
        </w:tc>
      </w:tr>
      <w:tr w:rsidR="004135EE" w14:paraId="0047B5F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961B833" w14:textId="77777777" w:rsidR="004135EE" w:rsidRDefault="004135EE" w:rsidP="008670FF">
            <w:r>
              <w:rPr>
                <w:b/>
              </w:rPr>
              <w:t>Amounts recognised as lease income (AASB 16)</w:t>
            </w:r>
          </w:p>
        </w:tc>
        <w:tc>
          <w:tcPr>
            <w:tcW w:w="794" w:type="dxa"/>
          </w:tcPr>
          <w:p w14:paraId="54E438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262B8E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05C5F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2D69B5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E1254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40266E9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A1D5A6A" w14:textId="77777777" w:rsidR="004135EE" w:rsidRDefault="004135EE" w:rsidP="008670FF">
            <w:r>
              <w:t>Rental</w:t>
            </w:r>
          </w:p>
        </w:tc>
        <w:tc>
          <w:tcPr>
            <w:tcW w:w="794" w:type="dxa"/>
            <w:tcBorders>
              <w:bottom w:val="single" w:sz="6" w:space="0" w:color="auto"/>
            </w:tcBorders>
          </w:tcPr>
          <w:p w14:paraId="332274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95</w:t>
            </w:r>
          </w:p>
        </w:tc>
        <w:tc>
          <w:tcPr>
            <w:tcW w:w="794" w:type="dxa"/>
            <w:tcBorders>
              <w:bottom w:val="single" w:sz="6" w:space="0" w:color="auto"/>
            </w:tcBorders>
          </w:tcPr>
          <w:p w14:paraId="4BDBE1C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105</w:t>
            </w:r>
          </w:p>
        </w:tc>
        <w:tc>
          <w:tcPr>
            <w:tcW w:w="794" w:type="dxa"/>
            <w:tcBorders>
              <w:bottom w:val="single" w:sz="6" w:space="0" w:color="auto"/>
            </w:tcBorders>
          </w:tcPr>
          <w:p w14:paraId="4D71B7F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105</w:t>
            </w:r>
          </w:p>
        </w:tc>
        <w:tc>
          <w:tcPr>
            <w:tcW w:w="794" w:type="dxa"/>
            <w:tcBorders>
              <w:bottom w:val="single" w:sz="6" w:space="0" w:color="auto"/>
            </w:tcBorders>
          </w:tcPr>
          <w:p w14:paraId="1EAB06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106</w:t>
            </w:r>
          </w:p>
        </w:tc>
        <w:tc>
          <w:tcPr>
            <w:tcW w:w="794" w:type="dxa"/>
            <w:tcBorders>
              <w:bottom w:val="single" w:sz="6" w:space="0" w:color="auto"/>
            </w:tcBorders>
          </w:tcPr>
          <w:p w14:paraId="223757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106</w:t>
            </w:r>
          </w:p>
        </w:tc>
      </w:tr>
      <w:tr w:rsidR="004135EE" w14:paraId="1B70C27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D6CD9A4" w14:textId="77777777" w:rsidR="004135EE" w:rsidRDefault="004135EE" w:rsidP="008670FF">
            <w:r>
              <w:rPr>
                <w:b/>
              </w:rPr>
              <w:t>Total sales of goods and services</w:t>
            </w:r>
          </w:p>
        </w:tc>
        <w:tc>
          <w:tcPr>
            <w:tcW w:w="794" w:type="dxa"/>
            <w:tcBorders>
              <w:top w:val="single" w:sz="6" w:space="0" w:color="auto"/>
              <w:bottom w:val="single" w:sz="12" w:space="0" w:color="auto"/>
            </w:tcBorders>
          </w:tcPr>
          <w:p w14:paraId="73E633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6 794</w:t>
            </w:r>
          </w:p>
        </w:tc>
        <w:tc>
          <w:tcPr>
            <w:tcW w:w="794" w:type="dxa"/>
            <w:tcBorders>
              <w:top w:val="single" w:sz="6" w:space="0" w:color="auto"/>
              <w:bottom w:val="single" w:sz="12" w:space="0" w:color="auto"/>
            </w:tcBorders>
          </w:tcPr>
          <w:p w14:paraId="61418F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7 080</w:t>
            </w:r>
          </w:p>
        </w:tc>
        <w:tc>
          <w:tcPr>
            <w:tcW w:w="794" w:type="dxa"/>
            <w:tcBorders>
              <w:top w:val="single" w:sz="6" w:space="0" w:color="auto"/>
              <w:bottom w:val="single" w:sz="12" w:space="0" w:color="auto"/>
            </w:tcBorders>
          </w:tcPr>
          <w:p w14:paraId="2B19E6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7 165</w:t>
            </w:r>
          </w:p>
        </w:tc>
        <w:tc>
          <w:tcPr>
            <w:tcW w:w="794" w:type="dxa"/>
            <w:tcBorders>
              <w:top w:val="single" w:sz="6" w:space="0" w:color="auto"/>
              <w:bottom w:val="single" w:sz="12" w:space="0" w:color="auto"/>
            </w:tcBorders>
          </w:tcPr>
          <w:p w14:paraId="1BA7C5F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7 252</w:t>
            </w:r>
          </w:p>
        </w:tc>
        <w:tc>
          <w:tcPr>
            <w:tcW w:w="794" w:type="dxa"/>
            <w:tcBorders>
              <w:top w:val="single" w:sz="6" w:space="0" w:color="auto"/>
              <w:bottom w:val="single" w:sz="12" w:space="0" w:color="auto"/>
            </w:tcBorders>
          </w:tcPr>
          <w:p w14:paraId="0E6388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7 317</w:t>
            </w:r>
          </w:p>
        </w:tc>
      </w:tr>
    </w:tbl>
    <w:p w14:paraId="4FE06C66" w14:textId="77777777" w:rsidR="004135EE" w:rsidRPr="002C7A21" w:rsidRDefault="004135EE" w:rsidP="004135EE">
      <w:pPr>
        <w:pStyle w:val="Note"/>
      </w:pPr>
      <w:r w:rsidRPr="002C7A21">
        <w:t>Note:</w:t>
      </w:r>
    </w:p>
    <w:p w14:paraId="6FAB6EDA" w14:textId="77777777" w:rsidR="004135EE" w:rsidRDefault="004135EE" w:rsidP="004135EE">
      <w:pPr>
        <w:pStyle w:val="Note"/>
      </w:pPr>
      <w:r w:rsidRPr="002C7A21">
        <w:t>(a)</w:t>
      </w:r>
      <w:r w:rsidRPr="002C7A21">
        <w:tab/>
        <w:t>Further disclosure on the provision of services is available on the Department of Treasury and Finance</w:t>
      </w:r>
      <w:r>
        <w:t>’</w:t>
      </w:r>
      <w:r w:rsidRPr="002C7A21">
        <w:t>s website</w:t>
      </w:r>
      <w:bookmarkStart w:id="81" w:name="_Toc85010023"/>
      <w:bookmarkStart w:id="82" w:name="_Toc150443604"/>
      <w:r>
        <w:t>.</w:t>
      </w:r>
    </w:p>
    <w:p w14:paraId="56D9BF3D" w14:textId="77777777" w:rsidR="005C5C20" w:rsidRDefault="005C5C20" w:rsidP="005C5C20"/>
    <w:p w14:paraId="2B617B89" w14:textId="77777777" w:rsidR="005C5C20" w:rsidRDefault="005C5C20" w:rsidP="005C5C20"/>
    <w:p w14:paraId="1EC88D52" w14:textId="77777777" w:rsidR="004135EE" w:rsidRPr="00BA109B" w:rsidRDefault="004135EE" w:rsidP="004135EE">
      <w:pPr>
        <w:pStyle w:val="Heading30"/>
      </w:pPr>
      <w:bookmarkStart w:id="83" w:name="_Toc184299751"/>
      <w:r w:rsidRPr="00C118B5">
        <w:t>4.2.4</w:t>
      </w:r>
      <w:r w:rsidRPr="00C118B5">
        <w:tab/>
        <w:t xml:space="preserve">Grants </w:t>
      </w:r>
      <w:r w:rsidRPr="00127D2F">
        <w:rPr>
          <w:vertAlign w:val="superscript"/>
        </w:rPr>
        <w:t>(a)</w:t>
      </w:r>
      <w:r w:rsidRPr="00C118B5">
        <w:tab/>
        <w:t>($ million</w:t>
      </w:r>
      <w:r w:rsidRPr="00BA109B">
        <w:t>)</w:t>
      </w:r>
      <w:bookmarkEnd w:id="81"/>
      <w:bookmarkEnd w:id="82"/>
      <w:bookmarkEnd w:id="83"/>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Grant_revenue|MergedHeadingRow:1"/>
      </w:tblPr>
      <w:tblGrid>
        <w:gridCol w:w="3740"/>
        <w:gridCol w:w="794"/>
        <w:gridCol w:w="794"/>
        <w:gridCol w:w="794"/>
        <w:gridCol w:w="794"/>
        <w:gridCol w:w="794"/>
      </w:tblGrid>
      <w:tr w:rsidR="004135EE" w14:paraId="39E27D6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EE23A77" w14:textId="77777777" w:rsidR="004135EE" w:rsidRDefault="004135EE" w:rsidP="008670FF">
            <w:pPr>
              <w:keepNext/>
            </w:pPr>
          </w:p>
        </w:tc>
        <w:tc>
          <w:tcPr>
            <w:tcW w:w="794" w:type="dxa"/>
          </w:tcPr>
          <w:p w14:paraId="17E9992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77A4862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7DBAF64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88714E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4138C4C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4228E3C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0F1DA92" w14:textId="77777777" w:rsidR="004135EE" w:rsidRDefault="004135EE" w:rsidP="008670FF">
            <w:r>
              <w:t>General purpose grants</w:t>
            </w:r>
          </w:p>
        </w:tc>
        <w:tc>
          <w:tcPr>
            <w:tcW w:w="794" w:type="dxa"/>
          </w:tcPr>
          <w:p w14:paraId="195ADA1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23 487</w:t>
            </w:r>
          </w:p>
        </w:tc>
        <w:tc>
          <w:tcPr>
            <w:tcW w:w="794" w:type="dxa"/>
          </w:tcPr>
          <w:p w14:paraId="4D6CC5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23 601</w:t>
            </w:r>
          </w:p>
        </w:tc>
        <w:tc>
          <w:tcPr>
            <w:tcW w:w="794" w:type="dxa"/>
          </w:tcPr>
          <w:p w14:paraId="60EFD3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25 870</w:t>
            </w:r>
          </w:p>
        </w:tc>
        <w:tc>
          <w:tcPr>
            <w:tcW w:w="794" w:type="dxa"/>
          </w:tcPr>
          <w:p w14:paraId="6BA401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26 075</w:t>
            </w:r>
          </w:p>
        </w:tc>
        <w:tc>
          <w:tcPr>
            <w:tcW w:w="794" w:type="dxa"/>
          </w:tcPr>
          <w:p w14:paraId="0DCB0FC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25 571</w:t>
            </w:r>
          </w:p>
        </w:tc>
      </w:tr>
      <w:tr w:rsidR="004135EE" w14:paraId="426C3E1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5B79373" w14:textId="77777777" w:rsidR="004135EE" w:rsidRDefault="004135EE" w:rsidP="008670FF">
            <w:r>
              <w:t>Specific purpose grants for on</w:t>
            </w:r>
            <w:r>
              <w:noBreakHyphen/>
              <w:t>passing</w:t>
            </w:r>
          </w:p>
        </w:tc>
        <w:tc>
          <w:tcPr>
            <w:tcW w:w="794" w:type="dxa"/>
          </w:tcPr>
          <w:p w14:paraId="5EA07F2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6 000</w:t>
            </w:r>
          </w:p>
        </w:tc>
        <w:tc>
          <w:tcPr>
            <w:tcW w:w="794" w:type="dxa"/>
          </w:tcPr>
          <w:p w14:paraId="4E3B46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5 327</w:t>
            </w:r>
          </w:p>
        </w:tc>
        <w:tc>
          <w:tcPr>
            <w:tcW w:w="794" w:type="dxa"/>
          </w:tcPr>
          <w:p w14:paraId="53131B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6 251</w:t>
            </w:r>
          </w:p>
        </w:tc>
        <w:tc>
          <w:tcPr>
            <w:tcW w:w="794" w:type="dxa"/>
          </w:tcPr>
          <w:p w14:paraId="1F07C1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6 510</w:t>
            </w:r>
          </w:p>
        </w:tc>
        <w:tc>
          <w:tcPr>
            <w:tcW w:w="794" w:type="dxa"/>
          </w:tcPr>
          <w:p w14:paraId="079A38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6 780</w:t>
            </w:r>
          </w:p>
        </w:tc>
      </w:tr>
      <w:tr w:rsidR="004135EE" w14:paraId="32D7A0C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D9718ED" w14:textId="77777777" w:rsidR="004135EE" w:rsidRDefault="004135EE" w:rsidP="008670FF">
            <w:r>
              <w:t>Specific purpose grants</w:t>
            </w:r>
          </w:p>
        </w:tc>
        <w:tc>
          <w:tcPr>
            <w:tcW w:w="794" w:type="dxa"/>
            <w:tcBorders>
              <w:bottom w:val="single" w:sz="6" w:space="0" w:color="auto"/>
            </w:tcBorders>
          </w:tcPr>
          <w:p w14:paraId="38A41F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14 611</w:t>
            </w:r>
          </w:p>
        </w:tc>
        <w:tc>
          <w:tcPr>
            <w:tcW w:w="794" w:type="dxa"/>
            <w:tcBorders>
              <w:bottom w:val="single" w:sz="6" w:space="0" w:color="auto"/>
            </w:tcBorders>
          </w:tcPr>
          <w:p w14:paraId="0B62F8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15 779</w:t>
            </w:r>
          </w:p>
        </w:tc>
        <w:tc>
          <w:tcPr>
            <w:tcW w:w="794" w:type="dxa"/>
            <w:tcBorders>
              <w:bottom w:val="single" w:sz="6" w:space="0" w:color="auto"/>
            </w:tcBorders>
          </w:tcPr>
          <w:p w14:paraId="6EF425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15 641</w:t>
            </w:r>
          </w:p>
        </w:tc>
        <w:tc>
          <w:tcPr>
            <w:tcW w:w="794" w:type="dxa"/>
            <w:tcBorders>
              <w:bottom w:val="single" w:sz="6" w:space="0" w:color="auto"/>
            </w:tcBorders>
          </w:tcPr>
          <w:p w14:paraId="276233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16 756</w:t>
            </w:r>
          </w:p>
        </w:tc>
        <w:tc>
          <w:tcPr>
            <w:tcW w:w="794" w:type="dxa"/>
            <w:tcBorders>
              <w:bottom w:val="single" w:sz="6" w:space="0" w:color="auto"/>
            </w:tcBorders>
          </w:tcPr>
          <w:p w14:paraId="7D6BFD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17 260</w:t>
            </w:r>
          </w:p>
        </w:tc>
      </w:tr>
      <w:tr w:rsidR="004135EE" w14:paraId="3029370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540EAF6" w14:textId="77777777" w:rsidR="004135EE" w:rsidRDefault="004135EE" w:rsidP="008670FF">
            <w:r>
              <w:rPr>
                <w:b/>
              </w:rPr>
              <w:t>Total</w:t>
            </w:r>
          </w:p>
        </w:tc>
        <w:tc>
          <w:tcPr>
            <w:tcW w:w="794" w:type="dxa"/>
            <w:tcBorders>
              <w:top w:val="single" w:sz="6" w:space="0" w:color="auto"/>
            </w:tcBorders>
          </w:tcPr>
          <w:p w14:paraId="768296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44 098</w:t>
            </w:r>
          </w:p>
        </w:tc>
        <w:tc>
          <w:tcPr>
            <w:tcW w:w="794" w:type="dxa"/>
            <w:tcBorders>
              <w:top w:val="single" w:sz="6" w:space="0" w:color="auto"/>
            </w:tcBorders>
          </w:tcPr>
          <w:p w14:paraId="0AE6530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44 707</w:t>
            </w:r>
          </w:p>
        </w:tc>
        <w:tc>
          <w:tcPr>
            <w:tcW w:w="794" w:type="dxa"/>
            <w:tcBorders>
              <w:top w:val="single" w:sz="6" w:space="0" w:color="auto"/>
            </w:tcBorders>
          </w:tcPr>
          <w:p w14:paraId="410C10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47 761</w:t>
            </w:r>
          </w:p>
        </w:tc>
        <w:tc>
          <w:tcPr>
            <w:tcW w:w="794" w:type="dxa"/>
            <w:tcBorders>
              <w:top w:val="single" w:sz="6" w:space="0" w:color="auto"/>
            </w:tcBorders>
          </w:tcPr>
          <w:p w14:paraId="06E2F4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49 341</w:t>
            </w:r>
          </w:p>
        </w:tc>
        <w:tc>
          <w:tcPr>
            <w:tcW w:w="794" w:type="dxa"/>
            <w:tcBorders>
              <w:top w:val="single" w:sz="6" w:space="0" w:color="auto"/>
            </w:tcBorders>
          </w:tcPr>
          <w:p w14:paraId="4BD7C8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49 611</w:t>
            </w:r>
          </w:p>
        </w:tc>
      </w:tr>
      <w:tr w:rsidR="004135EE" w14:paraId="69E5684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830FF34" w14:textId="77777777" w:rsidR="004135EE" w:rsidRDefault="004135EE" w:rsidP="008670FF">
            <w:r>
              <w:t>Other contributions and grants</w:t>
            </w:r>
          </w:p>
        </w:tc>
        <w:tc>
          <w:tcPr>
            <w:tcW w:w="794" w:type="dxa"/>
            <w:tcBorders>
              <w:bottom w:val="single" w:sz="6" w:space="0" w:color="auto"/>
            </w:tcBorders>
          </w:tcPr>
          <w:p w14:paraId="4ABB4A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714</w:t>
            </w:r>
          </w:p>
        </w:tc>
        <w:tc>
          <w:tcPr>
            <w:tcW w:w="794" w:type="dxa"/>
            <w:tcBorders>
              <w:bottom w:val="single" w:sz="6" w:space="0" w:color="auto"/>
            </w:tcBorders>
          </w:tcPr>
          <w:p w14:paraId="0E317D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891</w:t>
            </w:r>
          </w:p>
        </w:tc>
        <w:tc>
          <w:tcPr>
            <w:tcW w:w="794" w:type="dxa"/>
            <w:tcBorders>
              <w:bottom w:val="single" w:sz="6" w:space="0" w:color="auto"/>
            </w:tcBorders>
          </w:tcPr>
          <w:p w14:paraId="1BA0E3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1 404</w:t>
            </w:r>
          </w:p>
        </w:tc>
        <w:tc>
          <w:tcPr>
            <w:tcW w:w="794" w:type="dxa"/>
            <w:tcBorders>
              <w:bottom w:val="single" w:sz="6" w:space="0" w:color="auto"/>
            </w:tcBorders>
          </w:tcPr>
          <w:p w14:paraId="063992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520</w:t>
            </w:r>
          </w:p>
        </w:tc>
        <w:tc>
          <w:tcPr>
            <w:tcW w:w="794" w:type="dxa"/>
            <w:tcBorders>
              <w:bottom w:val="single" w:sz="6" w:space="0" w:color="auto"/>
            </w:tcBorders>
          </w:tcPr>
          <w:p w14:paraId="69B899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1 714</w:t>
            </w:r>
          </w:p>
        </w:tc>
      </w:tr>
      <w:tr w:rsidR="004135EE" w14:paraId="56C01AE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0DEBFD8" w14:textId="77777777" w:rsidR="004135EE" w:rsidRDefault="004135EE" w:rsidP="008670FF">
            <w:r>
              <w:rPr>
                <w:b/>
              </w:rPr>
              <w:t>Total grants</w:t>
            </w:r>
          </w:p>
        </w:tc>
        <w:tc>
          <w:tcPr>
            <w:tcW w:w="794" w:type="dxa"/>
            <w:tcBorders>
              <w:top w:val="single" w:sz="6" w:space="0" w:color="auto"/>
              <w:bottom w:val="single" w:sz="12" w:space="0" w:color="auto"/>
            </w:tcBorders>
          </w:tcPr>
          <w:p w14:paraId="1C7276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44 812</w:t>
            </w:r>
          </w:p>
        </w:tc>
        <w:tc>
          <w:tcPr>
            <w:tcW w:w="794" w:type="dxa"/>
            <w:tcBorders>
              <w:top w:val="single" w:sz="6" w:space="0" w:color="auto"/>
              <w:bottom w:val="single" w:sz="12" w:space="0" w:color="auto"/>
            </w:tcBorders>
          </w:tcPr>
          <w:p w14:paraId="6E3C76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45 598</w:t>
            </w:r>
          </w:p>
        </w:tc>
        <w:tc>
          <w:tcPr>
            <w:tcW w:w="794" w:type="dxa"/>
            <w:tcBorders>
              <w:top w:val="single" w:sz="6" w:space="0" w:color="auto"/>
              <w:bottom w:val="single" w:sz="12" w:space="0" w:color="auto"/>
            </w:tcBorders>
          </w:tcPr>
          <w:p w14:paraId="20A4227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49 165</w:t>
            </w:r>
          </w:p>
        </w:tc>
        <w:tc>
          <w:tcPr>
            <w:tcW w:w="794" w:type="dxa"/>
            <w:tcBorders>
              <w:top w:val="single" w:sz="6" w:space="0" w:color="auto"/>
              <w:bottom w:val="single" w:sz="12" w:space="0" w:color="auto"/>
            </w:tcBorders>
          </w:tcPr>
          <w:p w14:paraId="53CB78D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49 861</w:t>
            </w:r>
          </w:p>
        </w:tc>
        <w:tc>
          <w:tcPr>
            <w:tcW w:w="794" w:type="dxa"/>
            <w:tcBorders>
              <w:top w:val="single" w:sz="6" w:space="0" w:color="auto"/>
              <w:bottom w:val="single" w:sz="12" w:space="0" w:color="auto"/>
            </w:tcBorders>
          </w:tcPr>
          <w:p w14:paraId="3FE888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51 325</w:t>
            </w:r>
          </w:p>
        </w:tc>
      </w:tr>
    </w:tbl>
    <w:p w14:paraId="22D3E77B" w14:textId="77777777" w:rsidR="004135EE" w:rsidRPr="00307B52" w:rsidRDefault="004135EE" w:rsidP="004135EE">
      <w:pPr>
        <w:pStyle w:val="Note"/>
      </w:pPr>
      <w:bookmarkStart w:id="84" w:name="_Hlk180584532"/>
      <w:r w:rsidRPr="00307B52">
        <w:t>Note:</w:t>
      </w:r>
    </w:p>
    <w:p w14:paraId="366426F0" w14:textId="55CCEDD7" w:rsidR="004135EE" w:rsidRPr="00307B52" w:rsidRDefault="004135EE" w:rsidP="004135EE">
      <w:pPr>
        <w:pStyle w:val="Note"/>
      </w:pPr>
      <w:r w:rsidRPr="00307B52">
        <w:t>(a)</w:t>
      </w:r>
      <w:r>
        <w:tab/>
      </w:r>
      <w:r w:rsidRPr="00307B52">
        <w:t>Grants predominantly relate to grants from the Commonwealth Government which are recognised under AASB 1058.</w:t>
      </w:r>
      <w:r w:rsidRPr="00CA4B22">
        <w:t xml:space="preserve"> </w:t>
      </w:r>
      <w:r>
        <w:t>The State has not recognised any material grant revenue under AASB 15 over the budget and forward estimates.</w:t>
      </w:r>
    </w:p>
    <w:p w14:paraId="3B368314" w14:textId="77777777" w:rsidR="004135EE" w:rsidRPr="00BA109B" w:rsidRDefault="004135EE" w:rsidP="004135EE">
      <w:pPr>
        <w:pStyle w:val="Heading30"/>
        <w:pageBreakBefore/>
      </w:pPr>
      <w:bookmarkStart w:id="85" w:name="_Toc85010024"/>
      <w:bookmarkStart w:id="86" w:name="_Toc150443605"/>
      <w:bookmarkStart w:id="87" w:name="_Toc184299752"/>
      <w:bookmarkEnd w:id="84"/>
      <w:r>
        <w:t>4.2.5</w:t>
      </w:r>
      <w:r>
        <w:tab/>
      </w:r>
      <w:r w:rsidRPr="00BA109B">
        <w:t>Other revenue and income</w:t>
      </w:r>
      <w:r w:rsidRPr="00BA109B">
        <w:tab/>
        <w:t>($ million)</w:t>
      </w:r>
      <w:bookmarkEnd w:id="85"/>
      <w:bookmarkEnd w:id="86"/>
      <w:bookmarkEnd w:id="87"/>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Other_revenue|MergedHeadingRow:1"/>
      </w:tblPr>
      <w:tblGrid>
        <w:gridCol w:w="3740"/>
        <w:gridCol w:w="794"/>
        <w:gridCol w:w="794"/>
        <w:gridCol w:w="794"/>
        <w:gridCol w:w="794"/>
        <w:gridCol w:w="794"/>
      </w:tblGrid>
      <w:tr w:rsidR="004135EE" w14:paraId="55276DA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54F7174" w14:textId="77777777" w:rsidR="004135EE" w:rsidRDefault="004135EE" w:rsidP="008670FF">
            <w:pPr>
              <w:keepNext/>
            </w:pPr>
          </w:p>
        </w:tc>
        <w:tc>
          <w:tcPr>
            <w:tcW w:w="794" w:type="dxa"/>
          </w:tcPr>
          <w:p w14:paraId="43C04B2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30FF31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55EE27C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C78D66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2C5465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683B938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4A6DD3C" w14:textId="77777777" w:rsidR="004135EE" w:rsidRDefault="004135EE" w:rsidP="008670FF">
            <w:r>
              <w:rPr>
                <w:b/>
              </w:rPr>
              <w:t>Amounts recognised as revenue from contracts with customers (AASB 15)</w:t>
            </w:r>
          </w:p>
        </w:tc>
        <w:tc>
          <w:tcPr>
            <w:tcW w:w="794" w:type="dxa"/>
          </w:tcPr>
          <w:p w14:paraId="708235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E557A6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04629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EA08F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0BFC6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603D6E8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09753B8" w14:textId="77777777" w:rsidR="004135EE" w:rsidRDefault="004135EE" w:rsidP="008670FF">
            <w:r>
              <w:t>Royalties</w:t>
            </w:r>
          </w:p>
        </w:tc>
        <w:tc>
          <w:tcPr>
            <w:tcW w:w="794" w:type="dxa"/>
          </w:tcPr>
          <w:p w14:paraId="5873A4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676AF5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0D694A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1B55726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144</w:t>
            </w:r>
          </w:p>
        </w:tc>
        <w:tc>
          <w:tcPr>
            <w:tcW w:w="794" w:type="dxa"/>
          </w:tcPr>
          <w:p w14:paraId="3813876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144</w:t>
            </w:r>
          </w:p>
        </w:tc>
      </w:tr>
      <w:tr w:rsidR="004135EE" w14:paraId="2296D87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FC6062A" w14:textId="397551B4" w:rsidR="004135EE" w:rsidRDefault="004135EE" w:rsidP="008670FF">
            <w:r>
              <w:t xml:space="preserve">Other revenue – </w:t>
            </w:r>
            <w:r w:rsidR="00C52C74">
              <w:t>Health</w:t>
            </w:r>
          </w:p>
        </w:tc>
        <w:tc>
          <w:tcPr>
            <w:tcW w:w="794" w:type="dxa"/>
          </w:tcPr>
          <w:p w14:paraId="5AE739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73A5E3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3E0A45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2B0F1F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261</w:t>
            </w:r>
          </w:p>
        </w:tc>
        <w:tc>
          <w:tcPr>
            <w:tcW w:w="794" w:type="dxa"/>
          </w:tcPr>
          <w:p w14:paraId="7E2668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261</w:t>
            </w:r>
          </w:p>
        </w:tc>
      </w:tr>
      <w:tr w:rsidR="004135EE" w14:paraId="7F32559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FFB9212" w14:textId="77777777" w:rsidR="004135EE" w:rsidRDefault="004135EE" w:rsidP="008670FF">
            <w:r>
              <w:t>Other miscellaneous revenue</w:t>
            </w:r>
          </w:p>
        </w:tc>
        <w:tc>
          <w:tcPr>
            <w:tcW w:w="794" w:type="dxa"/>
          </w:tcPr>
          <w:p w14:paraId="411F76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631</w:t>
            </w:r>
          </w:p>
        </w:tc>
        <w:tc>
          <w:tcPr>
            <w:tcW w:w="794" w:type="dxa"/>
          </w:tcPr>
          <w:p w14:paraId="6F132F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722</w:t>
            </w:r>
          </w:p>
        </w:tc>
        <w:tc>
          <w:tcPr>
            <w:tcW w:w="794" w:type="dxa"/>
          </w:tcPr>
          <w:p w14:paraId="4E2070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701</w:t>
            </w:r>
          </w:p>
        </w:tc>
        <w:tc>
          <w:tcPr>
            <w:tcW w:w="794" w:type="dxa"/>
          </w:tcPr>
          <w:p w14:paraId="4D88CD5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704</w:t>
            </w:r>
          </w:p>
        </w:tc>
        <w:tc>
          <w:tcPr>
            <w:tcW w:w="794" w:type="dxa"/>
          </w:tcPr>
          <w:p w14:paraId="14398F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701</w:t>
            </w:r>
          </w:p>
        </w:tc>
      </w:tr>
      <w:tr w:rsidR="004135EE" w14:paraId="7BB8A44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9098613" w14:textId="77777777" w:rsidR="004135EE" w:rsidRDefault="004135EE" w:rsidP="008670FF">
            <w:r>
              <w:rPr>
                <w:b/>
              </w:rPr>
              <w:t>Amounts recognised as income of not‑for‑profit entities (AASB 1058)</w:t>
            </w:r>
          </w:p>
        </w:tc>
        <w:tc>
          <w:tcPr>
            <w:tcW w:w="794" w:type="dxa"/>
          </w:tcPr>
          <w:p w14:paraId="0D695E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E49AF5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BD8E3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AAF48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16A72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30CF7ED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582D53D" w14:textId="77777777" w:rsidR="004135EE" w:rsidRDefault="004135EE" w:rsidP="008670FF">
            <w:r>
              <w:t>Fair value of assets received free of charge or for nominal consideration</w:t>
            </w:r>
            <w:r>
              <w:rPr>
                <w:vertAlign w:val="superscript"/>
              </w:rPr>
              <w:t xml:space="preserve"> (a)</w:t>
            </w:r>
          </w:p>
        </w:tc>
        <w:tc>
          <w:tcPr>
            <w:tcW w:w="794" w:type="dxa"/>
          </w:tcPr>
          <w:p w14:paraId="373B6D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98</w:t>
            </w:r>
          </w:p>
        </w:tc>
        <w:tc>
          <w:tcPr>
            <w:tcW w:w="794" w:type="dxa"/>
          </w:tcPr>
          <w:p w14:paraId="7DF17B2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481</w:t>
            </w:r>
          </w:p>
        </w:tc>
        <w:tc>
          <w:tcPr>
            <w:tcW w:w="794" w:type="dxa"/>
          </w:tcPr>
          <w:p w14:paraId="340DEA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14DA88A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1EB8C0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r>
      <w:tr w:rsidR="004135EE" w14:paraId="4EC39FC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34230BD" w14:textId="77777777" w:rsidR="004135EE" w:rsidRDefault="004135EE" w:rsidP="008670FF">
            <w:r>
              <w:t>Fines</w:t>
            </w:r>
          </w:p>
        </w:tc>
        <w:tc>
          <w:tcPr>
            <w:tcW w:w="794" w:type="dxa"/>
          </w:tcPr>
          <w:p w14:paraId="3D5477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946</w:t>
            </w:r>
          </w:p>
        </w:tc>
        <w:tc>
          <w:tcPr>
            <w:tcW w:w="794" w:type="dxa"/>
          </w:tcPr>
          <w:p w14:paraId="6C72EC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976</w:t>
            </w:r>
          </w:p>
        </w:tc>
        <w:tc>
          <w:tcPr>
            <w:tcW w:w="794" w:type="dxa"/>
          </w:tcPr>
          <w:p w14:paraId="0FE0C3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882</w:t>
            </w:r>
          </w:p>
        </w:tc>
        <w:tc>
          <w:tcPr>
            <w:tcW w:w="794" w:type="dxa"/>
          </w:tcPr>
          <w:p w14:paraId="3CBCE5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944</w:t>
            </w:r>
          </w:p>
        </w:tc>
        <w:tc>
          <w:tcPr>
            <w:tcW w:w="794" w:type="dxa"/>
          </w:tcPr>
          <w:p w14:paraId="35C12C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967</w:t>
            </w:r>
          </w:p>
        </w:tc>
      </w:tr>
      <w:tr w:rsidR="004135EE" w14:paraId="119A5AC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1D65456" w14:textId="77777777" w:rsidR="004135EE" w:rsidRDefault="004135EE" w:rsidP="008670FF">
            <w:r>
              <w:t>Donations and gifts</w:t>
            </w:r>
            <w:r>
              <w:rPr>
                <w:vertAlign w:val="superscript"/>
              </w:rPr>
              <w:t xml:space="preserve"> (b)</w:t>
            </w:r>
          </w:p>
        </w:tc>
        <w:tc>
          <w:tcPr>
            <w:tcW w:w="794" w:type="dxa"/>
          </w:tcPr>
          <w:p w14:paraId="566E516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214</w:t>
            </w:r>
          </w:p>
        </w:tc>
        <w:tc>
          <w:tcPr>
            <w:tcW w:w="794" w:type="dxa"/>
          </w:tcPr>
          <w:p w14:paraId="613638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216</w:t>
            </w:r>
          </w:p>
        </w:tc>
        <w:tc>
          <w:tcPr>
            <w:tcW w:w="794" w:type="dxa"/>
          </w:tcPr>
          <w:p w14:paraId="781353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217</w:t>
            </w:r>
          </w:p>
        </w:tc>
        <w:tc>
          <w:tcPr>
            <w:tcW w:w="794" w:type="dxa"/>
          </w:tcPr>
          <w:p w14:paraId="1878353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w:t>
            </w:r>
          </w:p>
        </w:tc>
        <w:tc>
          <w:tcPr>
            <w:tcW w:w="794" w:type="dxa"/>
          </w:tcPr>
          <w:p w14:paraId="569E4A6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w:t>
            </w:r>
          </w:p>
        </w:tc>
      </w:tr>
      <w:tr w:rsidR="004135EE" w14:paraId="0BE7775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999E8BF" w14:textId="77C85590" w:rsidR="004135EE" w:rsidRDefault="004135EE" w:rsidP="008670FF">
            <w:r>
              <w:t xml:space="preserve">Other income – </w:t>
            </w:r>
            <w:r w:rsidR="00C52C74">
              <w:t>Education</w:t>
            </w:r>
          </w:p>
        </w:tc>
        <w:tc>
          <w:tcPr>
            <w:tcW w:w="794" w:type="dxa"/>
          </w:tcPr>
          <w:p w14:paraId="5082E0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373</w:t>
            </w:r>
          </w:p>
        </w:tc>
        <w:tc>
          <w:tcPr>
            <w:tcW w:w="794" w:type="dxa"/>
          </w:tcPr>
          <w:p w14:paraId="47F5C94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373</w:t>
            </w:r>
          </w:p>
        </w:tc>
        <w:tc>
          <w:tcPr>
            <w:tcW w:w="794" w:type="dxa"/>
          </w:tcPr>
          <w:p w14:paraId="3B3839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382</w:t>
            </w:r>
          </w:p>
        </w:tc>
        <w:tc>
          <w:tcPr>
            <w:tcW w:w="794" w:type="dxa"/>
          </w:tcPr>
          <w:p w14:paraId="76FE371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391</w:t>
            </w:r>
          </w:p>
        </w:tc>
        <w:tc>
          <w:tcPr>
            <w:tcW w:w="794" w:type="dxa"/>
          </w:tcPr>
          <w:p w14:paraId="1194936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401</w:t>
            </w:r>
          </w:p>
        </w:tc>
      </w:tr>
      <w:tr w:rsidR="004135EE" w14:paraId="2FCCA34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9D907F0" w14:textId="77777777" w:rsidR="004135EE" w:rsidRDefault="004135EE" w:rsidP="008670FF">
            <w:r>
              <w:t>Other miscellaneous income</w:t>
            </w:r>
            <w:r>
              <w:rPr>
                <w:vertAlign w:val="superscript"/>
              </w:rPr>
              <w:t xml:space="preserve"> (c)</w:t>
            </w:r>
          </w:p>
        </w:tc>
        <w:tc>
          <w:tcPr>
            <w:tcW w:w="794" w:type="dxa"/>
          </w:tcPr>
          <w:p w14:paraId="26124D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73F22C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C2662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78FF93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308</w:t>
            </w:r>
          </w:p>
        </w:tc>
        <w:tc>
          <w:tcPr>
            <w:tcW w:w="794" w:type="dxa"/>
          </w:tcPr>
          <w:p w14:paraId="5958694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1C8D087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8A01795" w14:textId="77777777" w:rsidR="004135EE" w:rsidRDefault="004135EE" w:rsidP="008670FF">
            <w:r>
              <w:rPr>
                <w:b/>
              </w:rPr>
              <w:t>Amounts recognised as lease income (AASB 16)</w:t>
            </w:r>
          </w:p>
        </w:tc>
        <w:tc>
          <w:tcPr>
            <w:tcW w:w="794" w:type="dxa"/>
          </w:tcPr>
          <w:p w14:paraId="10B58B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FB8FF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724A9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4919F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1A25B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38135B6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98AED9C" w14:textId="77777777" w:rsidR="004135EE" w:rsidRDefault="004135EE" w:rsidP="008670FF">
            <w:r>
              <w:t>Other non</w:t>
            </w:r>
            <w:r>
              <w:noBreakHyphen/>
              <w:t>property rental</w:t>
            </w:r>
          </w:p>
        </w:tc>
        <w:tc>
          <w:tcPr>
            <w:tcW w:w="794" w:type="dxa"/>
          </w:tcPr>
          <w:p w14:paraId="11CA69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1D4B33B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690C19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102D919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3F36E5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29</w:t>
            </w:r>
          </w:p>
        </w:tc>
      </w:tr>
      <w:tr w:rsidR="004135EE" w14:paraId="240B31B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9A64E11" w14:textId="77777777" w:rsidR="004135EE" w:rsidRDefault="004135EE" w:rsidP="008670FF">
            <w:r>
              <w:rPr>
                <w:b/>
              </w:rPr>
              <w:t>Revenue items accounted for under AASB 1059</w:t>
            </w:r>
          </w:p>
        </w:tc>
        <w:tc>
          <w:tcPr>
            <w:tcW w:w="794" w:type="dxa"/>
          </w:tcPr>
          <w:p w14:paraId="5C0DBF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66E51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13BE9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272806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DB496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4046E8F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C7DEB47" w14:textId="77777777" w:rsidR="004135EE" w:rsidRDefault="004135EE" w:rsidP="008670FF">
            <w:r>
              <w:t>Revenue related to economic service concession arrangements</w:t>
            </w:r>
          </w:p>
        </w:tc>
        <w:tc>
          <w:tcPr>
            <w:tcW w:w="794" w:type="dxa"/>
            <w:tcBorders>
              <w:bottom w:val="single" w:sz="6" w:space="0" w:color="auto"/>
            </w:tcBorders>
          </w:tcPr>
          <w:p w14:paraId="65B7E16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502</w:t>
            </w:r>
          </w:p>
        </w:tc>
        <w:tc>
          <w:tcPr>
            <w:tcW w:w="794" w:type="dxa"/>
            <w:tcBorders>
              <w:bottom w:val="single" w:sz="6" w:space="0" w:color="auto"/>
            </w:tcBorders>
          </w:tcPr>
          <w:p w14:paraId="5A4FFC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502</w:t>
            </w:r>
          </w:p>
        </w:tc>
        <w:tc>
          <w:tcPr>
            <w:tcW w:w="794" w:type="dxa"/>
            <w:tcBorders>
              <w:bottom w:val="single" w:sz="6" w:space="0" w:color="auto"/>
            </w:tcBorders>
          </w:tcPr>
          <w:p w14:paraId="498CDB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648</w:t>
            </w:r>
          </w:p>
        </w:tc>
        <w:tc>
          <w:tcPr>
            <w:tcW w:w="794" w:type="dxa"/>
            <w:tcBorders>
              <w:bottom w:val="single" w:sz="6" w:space="0" w:color="auto"/>
            </w:tcBorders>
          </w:tcPr>
          <w:p w14:paraId="3BBD27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809</w:t>
            </w:r>
          </w:p>
        </w:tc>
        <w:tc>
          <w:tcPr>
            <w:tcW w:w="794" w:type="dxa"/>
            <w:tcBorders>
              <w:bottom w:val="single" w:sz="6" w:space="0" w:color="auto"/>
            </w:tcBorders>
          </w:tcPr>
          <w:p w14:paraId="62AA74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813</w:t>
            </w:r>
          </w:p>
        </w:tc>
      </w:tr>
      <w:tr w:rsidR="004135EE" w14:paraId="7EDEDB0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B653DF3" w14:textId="77777777" w:rsidR="004135EE" w:rsidRDefault="004135EE" w:rsidP="008670FF">
            <w:r>
              <w:rPr>
                <w:b/>
              </w:rPr>
              <w:t>Total other revenue and income</w:t>
            </w:r>
          </w:p>
        </w:tc>
        <w:tc>
          <w:tcPr>
            <w:tcW w:w="794" w:type="dxa"/>
            <w:tcBorders>
              <w:top w:val="single" w:sz="6" w:space="0" w:color="auto"/>
              <w:bottom w:val="single" w:sz="12" w:space="0" w:color="auto"/>
            </w:tcBorders>
          </w:tcPr>
          <w:p w14:paraId="76067F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3 201</w:t>
            </w:r>
          </w:p>
        </w:tc>
        <w:tc>
          <w:tcPr>
            <w:tcW w:w="794" w:type="dxa"/>
            <w:tcBorders>
              <w:top w:val="single" w:sz="6" w:space="0" w:color="auto"/>
              <w:bottom w:val="single" w:sz="12" w:space="0" w:color="auto"/>
            </w:tcBorders>
          </w:tcPr>
          <w:p w14:paraId="7260A95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3 706</w:t>
            </w:r>
          </w:p>
        </w:tc>
        <w:tc>
          <w:tcPr>
            <w:tcW w:w="794" w:type="dxa"/>
            <w:tcBorders>
              <w:top w:val="single" w:sz="6" w:space="0" w:color="auto"/>
              <w:bottom w:val="single" w:sz="12" w:space="0" w:color="auto"/>
            </w:tcBorders>
          </w:tcPr>
          <w:p w14:paraId="014E5E4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3 269</w:t>
            </w:r>
          </w:p>
        </w:tc>
        <w:tc>
          <w:tcPr>
            <w:tcW w:w="794" w:type="dxa"/>
            <w:tcBorders>
              <w:top w:val="single" w:sz="6" w:space="0" w:color="auto"/>
              <w:bottom w:val="single" w:sz="12" w:space="0" w:color="auto"/>
            </w:tcBorders>
          </w:tcPr>
          <w:p w14:paraId="3683AF9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3 813</w:t>
            </w:r>
          </w:p>
        </w:tc>
        <w:tc>
          <w:tcPr>
            <w:tcW w:w="794" w:type="dxa"/>
            <w:tcBorders>
              <w:top w:val="single" w:sz="6" w:space="0" w:color="auto"/>
              <w:bottom w:val="single" w:sz="12" w:space="0" w:color="auto"/>
            </w:tcBorders>
          </w:tcPr>
          <w:p w14:paraId="74F53A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3 536</w:t>
            </w:r>
          </w:p>
        </w:tc>
      </w:tr>
    </w:tbl>
    <w:p w14:paraId="4685EA92" w14:textId="77777777" w:rsidR="004135EE" w:rsidRPr="00307B52" w:rsidRDefault="004135EE" w:rsidP="004135EE">
      <w:pPr>
        <w:pStyle w:val="Note"/>
      </w:pPr>
      <w:r w:rsidRPr="00307B52">
        <w:t>Note</w:t>
      </w:r>
      <w:r>
        <w:t>s</w:t>
      </w:r>
      <w:r w:rsidRPr="00307B52">
        <w:t xml:space="preserve">: </w:t>
      </w:r>
    </w:p>
    <w:p w14:paraId="1A84B816" w14:textId="77777777" w:rsidR="004135EE" w:rsidRDefault="004135EE" w:rsidP="004135EE">
      <w:pPr>
        <w:pStyle w:val="Note"/>
      </w:pPr>
      <w:r w:rsidRPr="006E6562">
        <w:t>(a</w:t>
      </w:r>
      <w:r>
        <w:t>)</w:t>
      </w:r>
      <w:r>
        <w:tab/>
      </w:r>
      <w:r w:rsidRPr="00066DA0">
        <w:t xml:space="preserve">The fair value of assets and services received free of charge or for nominal consideration in 2024-25 reflect adjustments for expected costs under the Metro Tunnel service concession arrangement. </w:t>
      </w:r>
    </w:p>
    <w:p w14:paraId="7096DDAF" w14:textId="77777777" w:rsidR="004135EE" w:rsidRDefault="004135EE" w:rsidP="004135EE">
      <w:pPr>
        <w:pStyle w:val="Note"/>
      </w:pPr>
      <w:r>
        <w:t>(b)</w:t>
      </w:r>
      <w:r>
        <w:tab/>
        <w:t>Primarily relates to donations to health services from non</w:t>
      </w:r>
      <w:r>
        <w:noBreakHyphen/>
        <w:t xml:space="preserve">government sources. </w:t>
      </w:r>
    </w:p>
    <w:p w14:paraId="66C37D88" w14:textId="77777777" w:rsidR="004135EE" w:rsidRDefault="004135EE" w:rsidP="004135EE">
      <w:pPr>
        <w:pStyle w:val="Note"/>
      </w:pPr>
      <w:r>
        <w:t>(c)</w:t>
      </w:r>
      <w:r>
        <w:tab/>
        <w:t>Other miscellaneous income reflects the estimated amounts for reimbursement of expenditure.</w:t>
      </w:r>
    </w:p>
    <w:p w14:paraId="74B3A717" w14:textId="77777777" w:rsidR="004135EE" w:rsidRDefault="004135EE" w:rsidP="004135EE">
      <w:pPr>
        <w:pStyle w:val="Heading30"/>
        <w:pageBreakBefore/>
      </w:pPr>
      <w:bookmarkStart w:id="88" w:name="_Toc184299753"/>
      <w:r>
        <w:t>4.2.6</w:t>
      </w:r>
      <w:r w:rsidRPr="00982DAF">
        <w:tab/>
        <w:t>Receivables and contract assets</w:t>
      </w:r>
      <w:r w:rsidRPr="00BA109B">
        <w:tab/>
        <w:t>($ million)</w:t>
      </w:r>
      <w:bookmarkEnd w:id="88"/>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Receivables|MergedHeadingRow:1"/>
      </w:tblPr>
      <w:tblGrid>
        <w:gridCol w:w="3740"/>
        <w:gridCol w:w="794"/>
        <w:gridCol w:w="794"/>
        <w:gridCol w:w="794"/>
        <w:gridCol w:w="794"/>
        <w:gridCol w:w="794"/>
      </w:tblGrid>
      <w:tr w:rsidR="004135EE" w14:paraId="372FC2A7"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B1E11A5" w14:textId="77777777" w:rsidR="004135EE" w:rsidRDefault="004135EE" w:rsidP="008670FF">
            <w:pPr>
              <w:keepNext/>
            </w:pPr>
          </w:p>
        </w:tc>
        <w:tc>
          <w:tcPr>
            <w:tcW w:w="794" w:type="dxa"/>
          </w:tcPr>
          <w:p w14:paraId="3B97BD2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4741908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3952B72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354935C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54A0C84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2EE9428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E4B545D" w14:textId="77777777" w:rsidR="004135EE" w:rsidRDefault="004135EE" w:rsidP="008670FF">
            <w:r>
              <w:rPr>
                <w:b/>
              </w:rPr>
              <w:t>Contractual</w:t>
            </w:r>
          </w:p>
        </w:tc>
        <w:tc>
          <w:tcPr>
            <w:tcW w:w="794" w:type="dxa"/>
          </w:tcPr>
          <w:p w14:paraId="6AF049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F40ABE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F0FDF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F0164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37732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957E54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5AB0B9D" w14:textId="77777777" w:rsidR="004135EE" w:rsidRDefault="004135EE" w:rsidP="008670FF">
            <w:r>
              <w:t>Sales of goods and services</w:t>
            </w:r>
          </w:p>
        </w:tc>
        <w:tc>
          <w:tcPr>
            <w:tcW w:w="794" w:type="dxa"/>
          </w:tcPr>
          <w:p w14:paraId="4DE971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710</w:t>
            </w:r>
          </w:p>
        </w:tc>
        <w:tc>
          <w:tcPr>
            <w:tcW w:w="794" w:type="dxa"/>
          </w:tcPr>
          <w:p w14:paraId="0FB647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707</w:t>
            </w:r>
          </w:p>
        </w:tc>
        <w:tc>
          <w:tcPr>
            <w:tcW w:w="794" w:type="dxa"/>
          </w:tcPr>
          <w:p w14:paraId="5EE2D1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744</w:t>
            </w:r>
          </w:p>
        </w:tc>
        <w:tc>
          <w:tcPr>
            <w:tcW w:w="794" w:type="dxa"/>
          </w:tcPr>
          <w:p w14:paraId="3E9D0A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778</w:t>
            </w:r>
          </w:p>
        </w:tc>
        <w:tc>
          <w:tcPr>
            <w:tcW w:w="794" w:type="dxa"/>
          </w:tcPr>
          <w:p w14:paraId="29B53F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812</w:t>
            </w:r>
          </w:p>
        </w:tc>
      </w:tr>
      <w:tr w:rsidR="004135EE" w14:paraId="2315F96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C048993" w14:textId="77777777" w:rsidR="004135EE" w:rsidRDefault="004135EE" w:rsidP="008670FF">
            <w:r>
              <w:t>Accrued investment income</w:t>
            </w:r>
          </w:p>
        </w:tc>
        <w:tc>
          <w:tcPr>
            <w:tcW w:w="794" w:type="dxa"/>
          </w:tcPr>
          <w:p w14:paraId="451E94A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4138E89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3F3FA5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86</w:t>
            </w:r>
          </w:p>
        </w:tc>
        <w:tc>
          <w:tcPr>
            <w:tcW w:w="794" w:type="dxa"/>
          </w:tcPr>
          <w:p w14:paraId="07B34B2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89</w:t>
            </w:r>
          </w:p>
        </w:tc>
        <w:tc>
          <w:tcPr>
            <w:tcW w:w="794" w:type="dxa"/>
          </w:tcPr>
          <w:p w14:paraId="0457459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92</w:t>
            </w:r>
          </w:p>
        </w:tc>
      </w:tr>
      <w:tr w:rsidR="004135EE" w14:paraId="7D75786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D0D4001" w14:textId="77777777" w:rsidR="004135EE" w:rsidRDefault="004135EE" w:rsidP="008670FF">
            <w:r>
              <w:t>Other receivables</w:t>
            </w:r>
          </w:p>
        </w:tc>
        <w:tc>
          <w:tcPr>
            <w:tcW w:w="794" w:type="dxa"/>
          </w:tcPr>
          <w:p w14:paraId="205D35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2 481</w:t>
            </w:r>
          </w:p>
        </w:tc>
        <w:tc>
          <w:tcPr>
            <w:tcW w:w="794" w:type="dxa"/>
          </w:tcPr>
          <w:p w14:paraId="32DCAE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2 624</w:t>
            </w:r>
          </w:p>
        </w:tc>
        <w:tc>
          <w:tcPr>
            <w:tcW w:w="794" w:type="dxa"/>
          </w:tcPr>
          <w:p w14:paraId="572F9D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2 671</w:t>
            </w:r>
          </w:p>
        </w:tc>
        <w:tc>
          <w:tcPr>
            <w:tcW w:w="794" w:type="dxa"/>
          </w:tcPr>
          <w:p w14:paraId="58AF9F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2 740</w:t>
            </w:r>
          </w:p>
        </w:tc>
        <w:tc>
          <w:tcPr>
            <w:tcW w:w="794" w:type="dxa"/>
          </w:tcPr>
          <w:p w14:paraId="64932E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2 811</w:t>
            </w:r>
          </w:p>
        </w:tc>
      </w:tr>
      <w:tr w:rsidR="004135EE" w14:paraId="745927F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E99F765" w14:textId="77777777" w:rsidR="004135EE" w:rsidRDefault="004135EE" w:rsidP="008670FF">
            <w:r>
              <w:t>Allowance for impairment losses of contractual receivables</w:t>
            </w:r>
          </w:p>
        </w:tc>
        <w:tc>
          <w:tcPr>
            <w:tcW w:w="794" w:type="dxa"/>
          </w:tcPr>
          <w:p w14:paraId="13B492A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(155)</w:t>
            </w:r>
          </w:p>
        </w:tc>
        <w:tc>
          <w:tcPr>
            <w:tcW w:w="794" w:type="dxa"/>
          </w:tcPr>
          <w:p w14:paraId="116B6D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615C8C7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3684ED7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(158)</w:t>
            </w:r>
          </w:p>
        </w:tc>
        <w:tc>
          <w:tcPr>
            <w:tcW w:w="794" w:type="dxa"/>
          </w:tcPr>
          <w:p w14:paraId="2497F3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(158)</w:t>
            </w:r>
          </w:p>
        </w:tc>
      </w:tr>
      <w:tr w:rsidR="004135EE" w14:paraId="16FB335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B5E2889" w14:textId="77777777" w:rsidR="004135EE" w:rsidRDefault="004135EE" w:rsidP="008670FF">
            <w:r>
              <w:rPr>
                <w:b/>
              </w:rPr>
              <w:t>Statutory</w:t>
            </w:r>
          </w:p>
        </w:tc>
        <w:tc>
          <w:tcPr>
            <w:tcW w:w="794" w:type="dxa"/>
          </w:tcPr>
          <w:p w14:paraId="0645DD7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14E2C4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F0622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955EA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01D81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0A2655B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DECD33D" w14:textId="77777777" w:rsidR="004135EE" w:rsidRDefault="004135EE" w:rsidP="008670FF">
            <w:r>
              <w:t>Sales of goods and services</w:t>
            </w:r>
          </w:p>
        </w:tc>
        <w:tc>
          <w:tcPr>
            <w:tcW w:w="794" w:type="dxa"/>
          </w:tcPr>
          <w:p w14:paraId="4170AE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1AD293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1B5F26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2C5A5D2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21B3CF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r>
      <w:tr w:rsidR="004135EE" w14:paraId="700AEDB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BB1F7EE" w14:textId="77777777" w:rsidR="004135EE" w:rsidRDefault="004135EE" w:rsidP="008670FF">
            <w:r>
              <w:t>Taxes receivable</w:t>
            </w:r>
          </w:p>
        </w:tc>
        <w:tc>
          <w:tcPr>
            <w:tcW w:w="794" w:type="dxa"/>
          </w:tcPr>
          <w:p w14:paraId="758172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6 853</w:t>
            </w:r>
          </w:p>
        </w:tc>
        <w:tc>
          <w:tcPr>
            <w:tcW w:w="794" w:type="dxa"/>
          </w:tcPr>
          <w:p w14:paraId="020327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6 045</w:t>
            </w:r>
          </w:p>
        </w:tc>
        <w:tc>
          <w:tcPr>
            <w:tcW w:w="794" w:type="dxa"/>
          </w:tcPr>
          <w:p w14:paraId="4DFD6B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6 498</w:t>
            </w:r>
          </w:p>
        </w:tc>
        <w:tc>
          <w:tcPr>
            <w:tcW w:w="794" w:type="dxa"/>
          </w:tcPr>
          <w:p w14:paraId="0E0453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6 932</w:t>
            </w:r>
          </w:p>
        </w:tc>
        <w:tc>
          <w:tcPr>
            <w:tcW w:w="794" w:type="dxa"/>
          </w:tcPr>
          <w:p w14:paraId="56FE2C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7 314</w:t>
            </w:r>
          </w:p>
        </w:tc>
      </w:tr>
      <w:tr w:rsidR="004135EE" w14:paraId="7DFF369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E4EC632" w14:textId="77777777" w:rsidR="004135EE" w:rsidRDefault="004135EE" w:rsidP="008670FF">
            <w:r>
              <w:t>Fines and regulatory fees</w:t>
            </w:r>
          </w:p>
        </w:tc>
        <w:tc>
          <w:tcPr>
            <w:tcW w:w="794" w:type="dxa"/>
          </w:tcPr>
          <w:p w14:paraId="5F164C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2 716</w:t>
            </w:r>
          </w:p>
        </w:tc>
        <w:tc>
          <w:tcPr>
            <w:tcW w:w="794" w:type="dxa"/>
          </w:tcPr>
          <w:p w14:paraId="7590DA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2 716</w:t>
            </w:r>
          </w:p>
        </w:tc>
        <w:tc>
          <w:tcPr>
            <w:tcW w:w="794" w:type="dxa"/>
          </w:tcPr>
          <w:p w14:paraId="51102E7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2 796</w:t>
            </w:r>
          </w:p>
        </w:tc>
        <w:tc>
          <w:tcPr>
            <w:tcW w:w="794" w:type="dxa"/>
          </w:tcPr>
          <w:p w14:paraId="74D39E5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2 775</w:t>
            </w:r>
          </w:p>
        </w:tc>
        <w:tc>
          <w:tcPr>
            <w:tcW w:w="794" w:type="dxa"/>
          </w:tcPr>
          <w:p w14:paraId="756D52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2 780</w:t>
            </w:r>
          </w:p>
        </w:tc>
      </w:tr>
      <w:tr w:rsidR="004135EE" w14:paraId="42300D9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2DF5FAF" w14:textId="77777777" w:rsidR="004135EE" w:rsidRDefault="004135EE" w:rsidP="008670FF">
            <w:r>
              <w:t>GST input tax credits recoverable</w:t>
            </w:r>
          </w:p>
        </w:tc>
        <w:tc>
          <w:tcPr>
            <w:tcW w:w="794" w:type="dxa"/>
          </w:tcPr>
          <w:p w14:paraId="0E6682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531</w:t>
            </w:r>
          </w:p>
        </w:tc>
        <w:tc>
          <w:tcPr>
            <w:tcW w:w="794" w:type="dxa"/>
          </w:tcPr>
          <w:p w14:paraId="0D9755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527</w:t>
            </w:r>
          </w:p>
        </w:tc>
        <w:tc>
          <w:tcPr>
            <w:tcW w:w="794" w:type="dxa"/>
          </w:tcPr>
          <w:p w14:paraId="01B265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527</w:t>
            </w:r>
          </w:p>
        </w:tc>
        <w:tc>
          <w:tcPr>
            <w:tcW w:w="794" w:type="dxa"/>
          </w:tcPr>
          <w:p w14:paraId="33F9C48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528</w:t>
            </w:r>
          </w:p>
        </w:tc>
        <w:tc>
          <w:tcPr>
            <w:tcW w:w="794" w:type="dxa"/>
          </w:tcPr>
          <w:p w14:paraId="0FF4ECE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529</w:t>
            </w:r>
          </w:p>
        </w:tc>
      </w:tr>
      <w:tr w:rsidR="004135EE" w14:paraId="478C5A3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88626E2" w14:textId="77777777" w:rsidR="004135EE" w:rsidRDefault="004135EE" w:rsidP="008670FF">
            <w:r>
              <w:t>Allowance for impairment losses of statutory receivables</w:t>
            </w:r>
          </w:p>
        </w:tc>
        <w:tc>
          <w:tcPr>
            <w:tcW w:w="794" w:type="dxa"/>
          </w:tcPr>
          <w:p w14:paraId="5D8E7B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(2 482)</w:t>
            </w:r>
          </w:p>
        </w:tc>
        <w:tc>
          <w:tcPr>
            <w:tcW w:w="794" w:type="dxa"/>
          </w:tcPr>
          <w:p w14:paraId="3E22D25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(2 482)</w:t>
            </w:r>
          </w:p>
        </w:tc>
        <w:tc>
          <w:tcPr>
            <w:tcW w:w="794" w:type="dxa"/>
          </w:tcPr>
          <w:p w14:paraId="58EBBB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(2 536)</w:t>
            </w:r>
          </w:p>
        </w:tc>
        <w:tc>
          <w:tcPr>
            <w:tcW w:w="794" w:type="dxa"/>
          </w:tcPr>
          <w:p w14:paraId="668144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(2 487)</w:t>
            </w:r>
          </w:p>
        </w:tc>
        <w:tc>
          <w:tcPr>
            <w:tcW w:w="794" w:type="dxa"/>
          </w:tcPr>
          <w:p w14:paraId="083DD7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(2 467)</w:t>
            </w:r>
          </w:p>
        </w:tc>
      </w:tr>
      <w:tr w:rsidR="004135EE" w14:paraId="4B9ACD0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E6DD727" w14:textId="77777777" w:rsidR="004135EE" w:rsidRDefault="004135EE" w:rsidP="008670FF">
            <w:r>
              <w:rPr>
                <w:b/>
              </w:rPr>
              <w:t>Total receivables and contract assets</w:t>
            </w:r>
          </w:p>
        </w:tc>
        <w:tc>
          <w:tcPr>
            <w:tcW w:w="794" w:type="dxa"/>
            <w:tcBorders>
              <w:top w:val="single" w:sz="6" w:space="0" w:color="auto"/>
              <w:bottom w:val="single" w:sz="12" w:space="0" w:color="auto"/>
            </w:tcBorders>
          </w:tcPr>
          <w:p w14:paraId="06E3F7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10 738</w:t>
            </w:r>
          </w:p>
        </w:tc>
        <w:tc>
          <w:tcPr>
            <w:tcW w:w="794" w:type="dxa"/>
            <w:tcBorders>
              <w:top w:val="single" w:sz="6" w:space="0" w:color="auto"/>
              <w:bottom w:val="single" w:sz="12" w:space="0" w:color="auto"/>
            </w:tcBorders>
          </w:tcPr>
          <w:p w14:paraId="72ABAD4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10 063</w:t>
            </w:r>
          </w:p>
        </w:tc>
        <w:tc>
          <w:tcPr>
            <w:tcW w:w="794" w:type="dxa"/>
            <w:tcBorders>
              <w:top w:val="single" w:sz="6" w:space="0" w:color="auto"/>
              <w:bottom w:val="single" w:sz="12" w:space="0" w:color="auto"/>
            </w:tcBorders>
          </w:tcPr>
          <w:p w14:paraId="3F2400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10 629</w:t>
            </w:r>
          </w:p>
        </w:tc>
        <w:tc>
          <w:tcPr>
            <w:tcW w:w="794" w:type="dxa"/>
            <w:tcBorders>
              <w:top w:val="single" w:sz="6" w:space="0" w:color="auto"/>
              <w:bottom w:val="single" w:sz="12" w:space="0" w:color="auto"/>
            </w:tcBorders>
          </w:tcPr>
          <w:p w14:paraId="633F50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11 197</w:t>
            </w:r>
          </w:p>
        </w:tc>
        <w:tc>
          <w:tcPr>
            <w:tcW w:w="794" w:type="dxa"/>
            <w:tcBorders>
              <w:top w:val="single" w:sz="6" w:space="0" w:color="auto"/>
              <w:bottom w:val="single" w:sz="12" w:space="0" w:color="auto"/>
            </w:tcBorders>
          </w:tcPr>
          <w:p w14:paraId="0F1249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11 713</w:t>
            </w:r>
          </w:p>
        </w:tc>
      </w:tr>
      <w:tr w:rsidR="004135EE" w14:paraId="13C7C72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CB8665B" w14:textId="77777777" w:rsidR="004135EE" w:rsidRDefault="004135EE" w:rsidP="008670FF">
            <w:r>
              <w:t>Current receivables and contract assets</w:t>
            </w:r>
          </w:p>
        </w:tc>
        <w:tc>
          <w:tcPr>
            <w:tcW w:w="794" w:type="dxa"/>
            <w:tcBorders>
              <w:top w:val="single" w:sz="6" w:space="0" w:color="auto"/>
            </w:tcBorders>
          </w:tcPr>
          <w:p w14:paraId="193B58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9 968</w:t>
            </w:r>
          </w:p>
        </w:tc>
        <w:tc>
          <w:tcPr>
            <w:tcW w:w="794" w:type="dxa"/>
            <w:tcBorders>
              <w:top w:val="single" w:sz="6" w:space="0" w:color="auto"/>
            </w:tcBorders>
          </w:tcPr>
          <w:p w14:paraId="14B542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9 296</w:t>
            </w:r>
          </w:p>
        </w:tc>
        <w:tc>
          <w:tcPr>
            <w:tcW w:w="794" w:type="dxa"/>
            <w:tcBorders>
              <w:top w:val="single" w:sz="6" w:space="0" w:color="auto"/>
            </w:tcBorders>
          </w:tcPr>
          <w:p w14:paraId="08CACB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9 865</w:t>
            </w:r>
          </w:p>
        </w:tc>
        <w:tc>
          <w:tcPr>
            <w:tcW w:w="794" w:type="dxa"/>
            <w:tcBorders>
              <w:top w:val="single" w:sz="6" w:space="0" w:color="auto"/>
            </w:tcBorders>
          </w:tcPr>
          <w:p w14:paraId="66E8D90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10 437</w:t>
            </w:r>
          </w:p>
        </w:tc>
        <w:tc>
          <w:tcPr>
            <w:tcW w:w="794" w:type="dxa"/>
            <w:tcBorders>
              <w:top w:val="single" w:sz="6" w:space="0" w:color="auto"/>
            </w:tcBorders>
          </w:tcPr>
          <w:p w14:paraId="0DDA89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10 956</w:t>
            </w:r>
          </w:p>
        </w:tc>
      </w:tr>
      <w:tr w:rsidR="004135EE" w14:paraId="41EC14E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231104A" w14:textId="77777777" w:rsidR="004135EE" w:rsidRDefault="004135EE" w:rsidP="008670FF">
            <w:r>
              <w:t>Non</w:t>
            </w:r>
            <w:r>
              <w:noBreakHyphen/>
              <w:t>current receivables and contract assets</w:t>
            </w:r>
          </w:p>
        </w:tc>
        <w:tc>
          <w:tcPr>
            <w:tcW w:w="794" w:type="dxa"/>
          </w:tcPr>
          <w:p w14:paraId="5F4AEC4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770</w:t>
            </w:r>
          </w:p>
        </w:tc>
        <w:tc>
          <w:tcPr>
            <w:tcW w:w="794" w:type="dxa"/>
          </w:tcPr>
          <w:p w14:paraId="58565F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768</w:t>
            </w:r>
          </w:p>
        </w:tc>
        <w:tc>
          <w:tcPr>
            <w:tcW w:w="794" w:type="dxa"/>
          </w:tcPr>
          <w:p w14:paraId="04A3C59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764</w:t>
            </w:r>
          </w:p>
        </w:tc>
        <w:tc>
          <w:tcPr>
            <w:tcW w:w="794" w:type="dxa"/>
          </w:tcPr>
          <w:p w14:paraId="19E08D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760</w:t>
            </w:r>
          </w:p>
        </w:tc>
        <w:tc>
          <w:tcPr>
            <w:tcW w:w="794" w:type="dxa"/>
          </w:tcPr>
          <w:p w14:paraId="568EDE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756</w:t>
            </w:r>
          </w:p>
        </w:tc>
      </w:tr>
    </w:tbl>
    <w:p w14:paraId="50F6C78C" w14:textId="77777777" w:rsidR="005C5C20" w:rsidRDefault="005C5C20" w:rsidP="005C5C20"/>
    <w:p w14:paraId="363277BD" w14:textId="77777777" w:rsidR="005C5C20" w:rsidRDefault="005C5C20" w:rsidP="005C5C20"/>
    <w:p w14:paraId="149E87E8" w14:textId="16B5A139" w:rsidR="004135EE" w:rsidRPr="00D52465" w:rsidRDefault="004135EE" w:rsidP="005C5C20">
      <w:pPr>
        <w:pStyle w:val="Heading30"/>
        <w:ind w:left="0" w:firstLine="0"/>
      </w:pPr>
      <w:bookmarkStart w:id="89" w:name="_Toc184299754"/>
      <w:r>
        <w:t>4.2.7</w:t>
      </w:r>
      <w:r w:rsidRPr="00982DAF">
        <w:tab/>
      </w:r>
      <w:r>
        <w:t>Other liabilities</w:t>
      </w:r>
      <w:r w:rsidRPr="00BA109B">
        <w:tab/>
        <w:t>($ million)</w:t>
      </w:r>
      <w:bookmarkEnd w:id="89"/>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Other_liabilities|MergedHeadingRow:1"/>
      </w:tblPr>
      <w:tblGrid>
        <w:gridCol w:w="3740"/>
        <w:gridCol w:w="794"/>
        <w:gridCol w:w="794"/>
        <w:gridCol w:w="794"/>
        <w:gridCol w:w="794"/>
        <w:gridCol w:w="794"/>
      </w:tblGrid>
      <w:tr w:rsidR="004135EE" w14:paraId="0F35FC17"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0D09950" w14:textId="77777777" w:rsidR="004135EE" w:rsidRDefault="004135EE" w:rsidP="008670FF">
            <w:pPr>
              <w:keepNext/>
            </w:pPr>
          </w:p>
        </w:tc>
        <w:tc>
          <w:tcPr>
            <w:tcW w:w="794" w:type="dxa"/>
          </w:tcPr>
          <w:p w14:paraId="7D96573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0B9CF24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1F07A69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038E16E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7D10F93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182A17B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514C5EA" w14:textId="77777777" w:rsidR="004135EE" w:rsidRDefault="004135EE" w:rsidP="008670FF">
            <w:r>
              <w:t>Contract liabilities</w:t>
            </w:r>
          </w:p>
        </w:tc>
        <w:tc>
          <w:tcPr>
            <w:tcW w:w="794" w:type="dxa"/>
          </w:tcPr>
          <w:p w14:paraId="28F967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478</w:t>
            </w:r>
          </w:p>
        </w:tc>
        <w:tc>
          <w:tcPr>
            <w:tcW w:w="794" w:type="dxa"/>
          </w:tcPr>
          <w:p w14:paraId="030048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478</w:t>
            </w:r>
          </w:p>
        </w:tc>
        <w:tc>
          <w:tcPr>
            <w:tcW w:w="794" w:type="dxa"/>
          </w:tcPr>
          <w:p w14:paraId="3CF613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481</w:t>
            </w:r>
          </w:p>
        </w:tc>
        <w:tc>
          <w:tcPr>
            <w:tcW w:w="794" w:type="dxa"/>
          </w:tcPr>
          <w:p w14:paraId="4747A77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481</w:t>
            </w:r>
          </w:p>
        </w:tc>
        <w:tc>
          <w:tcPr>
            <w:tcW w:w="794" w:type="dxa"/>
          </w:tcPr>
          <w:p w14:paraId="22F125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481</w:t>
            </w:r>
          </w:p>
        </w:tc>
      </w:tr>
      <w:tr w:rsidR="004135EE" w14:paraId="1A9AC5E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1DD82B5" w14:textId="77777777" w:rsidR="004135EE" w:rsidRDefault="004135EE" w:rsidP="008670FF">
            <w:r>
              <w:t>Grant of a right to the operator liability</w:t>
            </w:r>
          </w:p>
        </w:tc>
        <w:tc>
          <w:tcPr>
            <w:tcW w:w="794" w:type="dxa"/>
          </w:tcPr>
          <w:p w14:paraId="49EC13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19 950</w:t>
            </w:r>
          </w:p>
        </w:tc>
        <w:tc>
          <w:tcPr>
            <w:tcW w:w="794" w:type="dxa"/>
          </w:tcPr>
          <w:p w14:paraId="00B2F7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19 979</w:t>
            </w:r>
          </w:p>
        </w:tc>
        <w:tc>
          <w:tcPr>
            <w:tcW w:w="794" w:type="dxa"/>
          </w:tcPr>
          <w:p w14:paraId="6CC8D41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19 575</w:t>
            </w:r>
          </w:p>
        </w:tc>
        <w:tc>
          <w:tcPr>
            <w:tcW w:w="794" w:type="dxa"/>
          </w:tcPr>
          <w:p w14:paraId="6F7E96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18 785</w:t>
            </w:r>
          </w:p>
        </w:tc>
        <w:tc>
          <w:tcPr>
            <w:tcW w:w="794" w:type="dxa"/>
          </w:tcPr>
          <w:p w14:paraId="6663B8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17 991</w:t>
            </w:r>
          </w:p>
        </w:tc>
      </w:tr>
      <w:tr w:rsidR="004135EE" w14:paraId="72E4439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EA68CC0" w14:textId="77777777" w:rsidR="004135EE" w:rsidRDefault="004135EE" w:rsidP="008670FF">
            <w:r>
              <w:t>Unearned income</w:t>
            </w:r>
          </w:p>
        </w:tc>
        <w:tc>
          <w:tcPr>
            <w:tcW w:w="794" w:type="dxa"/>
            <w:tcBorders>
              <w:bottom w:val="single" w:sz="6" w:space="0" w:color="auto"/>
            </w:tcBorders>
          </w:tcPr>
          <w:p w14:paraId="167282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1 748</w:t>
            </w:r>
          </w:p>
        </w:tc>
        <w:tc>
          <w:tcPr>
            <w:tcW w:w="794" w:type="dxa"/>
            <w:tcBorders>
              <w:bottom w:val="single" w:sz="6" w:space="0" w:color="auto"/>
            </w:tcBorders>
          </w:tcPr>
          <w:p w14:paraId="41F9162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1 599</w:t>
            </w:r>
          </w:p>
        </w:tc>
        <w:tc>
          <w:tcPr>
            <w:tcW w:w="794" w:type="dxa"/>
            <w:tcBorders>
              <w:bottom w:val="single" w:sz="6" w:space="0" w:color="auto"/>
            </w:tcBorders>
          </w:tcPr>
          <w:p w14:paraId="0BD377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1 536</w:t>
            </w:r>
          </w:p>
        </w:tc>
        <w:tc>
          <w:tcPr>
            <w:tcW w:w="794" w:type="dxa"/>
            <w:tcBorders>
              <w:bottom w:val="single" w:sz="6" w:space="0" w:color="auto"/>
            </w:tcBorders>
          </w:tcPr>
          <w:p w14:paraId="4AA82F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1 470</w:t>
            </w:r>
          </w:p>
        </w:tc>
        <w:tc>
          <w:tcPr>
            <w:tcW w:w="794" w:type="dxa"/>
            <w:tcBorders>
              <w:bottom w:val="single" w:sz="6" w:space="0" w:color="auto"/>
            </w:tcBorders>
          </w:tcPr>
          <w:p w14:paraId="312EFE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1 528</w:t>
            </w:r>
          </w:p>
        </w:tc>
      </w:tr>
      <w:tr w:rsidR="004135EE" w14:paraId="05B5A1B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A00D796" w14:textId="77777777" w:rsidR="004135EE" w:rsidRDefault="004135EE" w:rsidP="008670FF">
            <w:r>
              <w:rPr>
                <w:b/>
              </w:rPr>
              <w:t>Total other liabilities</w:t>
            </w:r>
          </w:p>
        </w:tc>
        <w:tc>
          <w:tcPr>
            <w:tcW w:w="794" w:type="dxa"/>
            <w:tcBorders>
              <w:top w:val="single" w:sz="6" w:space="0" w:color="auto"/>
              <w:bottom w:val="single" w:sz="12" w:space="0" w:color="auto"/>
            </w:tcBorders>
          </w:tcPr>
          <w:p w14:paraId="4D5B5B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22 176</w:t>
            </w:r>
          </w:p>
        </w:tc>
        <w:tc>
          <w:tcPr>
            <w:tcW w:w="794" w:type="dxa"/>
            <w:tcBorders>
              <w:top w:val="single" w:sz="6" w:space="0" w:color="auto"/>
              <w:bottom w:val="single" w:sz="12" w:space="0" w:color="auto"/>
            </w:tcBorders>
          </w:tcPr>
          <w:p w14:paraId="44C2C47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22 056</w:t>
            </w:r>
          </w:p>
        </w:tc>
        <w:tc>
          <w:tcPr>
            <w:tcW w:w="794" w:type="dxa"/>
            <w:tcBorders>
              <w:top w:val="single" w:sz="6" w:space="0" w:color="auto"/>
              <w:bottom w:val="single" w:sz="12" w:space="0" w:color="auto"/>
            </w:tcBorders>
          </w:tcPr>
          <w:p w14:paraId="7EF809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21 592</w:t>
            </w:r>
          </w:p>
        </w:tc>
        <w:tc>
          <w:tcPr>
            <w:tcW w:w="794" w:type="dxa"/>
            <w:tcBorders>
              <w:top w:val="single" w:sz="6" w:space="0" w:color="auto"/>
              <w:bottom w:val="single" w:sz="12" w:space="0" w:color="auto"/>
            </w:tcBorders>
          </w:tcPr>
          <w:p w14:paraId="0C8339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20 736</w:t>
            </w:r>
          </w:p>
        </w:tc>
        <w:tc>
          <w:tcPr>
            <w:tcW w:w="794" w:type="dxa"/>
            <w:tcBorders>
              <w:top w:val="single" w:sz="6" w:space="0" w:color="auto"/>
              <w:bottom w:val="single" w:sz="12" w:space="0" w:color="auto"/>
            </w:tcBorders>
          </w:tcPr>
          <w:p w14:paraId="214240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20 000</w:t>
            </w:r>
          </w:p>
        </w:tc>
      </w:tr>
      <w:tr w:rsidR="004135EE" w14:paraId="6827EDE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40921A0" w14:textId="77777777" w:rsidR="004135EE" w:rsidRDefault="004135EE" w:rsidP="008670FF">
            <w:r>
              <w:rPr>
                <w:b/>
              </w:rPr>
              <w:t>Represented by:</w:t>
            </w:r>
          </w:p>
        </w:tc>
        <w:tc>
          <w:tcPr>
            <w:tcW w:w="794" w:type="dxa"/>
            <w:tcBorders>
              <w:top w:val="single" w:sz="6" w:space="0" w:color="auto"/>
            </w:tcBorders>
          </w:tcPr>
          <w:p w14:paraId="0D5BC9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54FD23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24006A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D4B44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B89FF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5BC2098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EDFD113" w14:textId="77777777" w:rsidR="004135EE" w:rsidRDefault="004135EE" w:rsidP="008670FF">
            <w:r>
              <w:t>Current other liabilities</w:t>
            </w:r>
          </w:p>
        </w:tc>
        <w:tc>
          <w:tcPr>
            <w:tcW w:w="794" w:type="dxa"/>
          </w:tcPr>
          <w:p w14:paraId="4B64AB4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1 826</w:t>
            </w:r>
          </w:p>
        </w:tc>
        <w:tc>
          <w:tcPr>
            <w:tcW w:w="794" w:type="dxa"/>
          </w:tcPr>
          <w:p w14:paraId="700BB9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1 677</w:t>
            </w:r>
          </w:p>
        </w:tc>
        <w:tc>
          <w:tcPr>
            <w:tcW w:w="794" w:type="dxa"/>
          </w:tcPr>
          <w:p w14:paraId="0CE2F2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1 825</w:t>
            </w:r>
          </w:p>
        </w:tc>
        <w:tc>
          <w:tcPr>
            <w:tcW w:w="794" w:type="dxa"/>
          </w:tcPr>
          <w:p w14:paraId="797309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1 825</w:t>
            </w:r>
          </w:p>
        </w:tc>
        <w:tc>
          <w:tcPr>
            <w:tcW w:w="794" w:type="dxa"/>
          </w:tcPr>
          <w:p w14:paraId="4D4499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1 823</w:t>
            </w:r>
          </w:p>
        </w:tc>
      </w:tr>
      <w:tr w:rsidR="004135EE" w14:paraId="1F4B538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DF4A988" w14:textId="77777777" w:rsidR="004135EE" w:rsidRDefault="004135EE" w:rsidP="008670FF">
            <w:r>
              <w:t>Non</w:t>
            </w:r>
            <w:r>
              <w:noBreakHyphen/>
              <w:t>current other liabilities</w:t>
            </w:r>
          </w:p>
        </w:tc>
        <w:tc>
          <w:tcPr>
            <w:tcW w:w="794" w:type="dxa"/>
          </w:tcPr>
          <w:p w14:paraId="6E189B4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20 351</w:t>
            </w:r>
          </w:p>
        </w:tc>
        <w:tc>
          <w:tcPr>
            <w:tcW w:w="794" w:type="dxa"/>
          </w:tcPr>
          <w:p w14:paraId="410AAB1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20 379</w:t>
            </w:r>
          </w:p>
        </w:tc>
        <w:tc>
          <w:tcPr>
            <w:tcW w:w="794" w:type="dxa"/>
          </w:tcPr>
          <w:p w14:paraId="515294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19 767</w:t>
            </w:r>
          </w:p>
        </w:tc>
        <w:tc>
          <w:tcPr>
            <w:tcW w:w="794" w:type="dxa"/>
          </w:tcPr>
          <w:p w14:paraId="6819E77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18 912</w:t>
            </w:r>
          </w:p>
        </w:tc>
        <w:tc>
          <w:tcPr>
            <w:tcW w:w="794" w:type="dxa"/>
          </w:tcPr>
          <w:p w14:paraId="44D0F4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18 177</w:t>
            </w:r>
          </w:p>
        </w:tc>
      </w:tr>
    </w:tbl>
    <w:p w14:paraId="27CF5435" w14:textId="77777777" w:rsidR="004135EE" w:rsidRDefault="004135EE" w:rsidP="004135EE"/>
    <w:p w14:paraId="7803DF45" w14:textId="77777777" w:rsidR="004135EE" w:rsidRPr="00D52465" w:rsidRDefault="004135EE" w:rsidP="004135EE"/>
    <w:bookmarkEnd w:id="75"/>
    <w:p w14:paraId="47995985" w14:textId="6CB540CC" w:rsidR="004135EE" w:rsidRDefault="004135EE" w:rsidP="0097358A">
      <w:pPr>
        <w:pStyle w:val="Heading2"/>
        <w:pageBreakBefore/>
      </w:pPr>
      <w:r w:rsidRPr="007F4217">
        <w:t>HOW FUNDS ARE SPENT</w:t>
      </w:r>
    </w:p>
    <w:p w14:paraId="38C0819A" w14:textId="77777777" w:rsidR="00D02EA5" w:rsidRDefault="00D02EA5" w:rsidP="004135EE">
      <w:pPr>
        <w:pStyle w:val="Heading30"/>
        <w:sectPr w:rsidR="00D02EA5" w:rsidSect="00A12B31">
          <w:type w:val="continuous"/>
          <w:pgSz w:w="9979" w:h="14175" w:code="34"/>
          <w:pgMar w:top="1134" w:right="1134" w:bottom="1134" w:left="1134" w:header="624" w:footer="567" w:gutter="0"/>
          <w:cols w:space="708"/>
          <w:docGrid w:linePitch="360"/>
        </w:sectPr>
      </w:pPr>
    </w:p>
    <w:p w14:paraId="610C1C1B" w14:textId="77777777" w:rsidR="004135EE" w:rsidRDefault="004135EE" w:rsidP="004135EE">
      <w:pPr>
        <w:pStyle w:val="Heading30"/>
      </w:pPr>
      <w:r w:rsidRPr="007F4217">
        <w:t>Introduction</w:t>
      </w:r>
    </w:p>
    <w:p w14:paraId="289F1B04" w14:textId="77777777" w:rsidR="004135EE" w:rsidRDefault="004135EE" w:rsidP="004135EE">
      <w:r w:rsidRPr="00FC6AC0">
        <w:t xml:space="preserve">This section </w:t>
      </w:r>
      <w:r>
        <w:t>presents</w:t>
      </w:r>
      <w:r w:rsidRPr="00FC6AC0">
        <w:t xml:space="preserve"> the major components of expenditure incurred by the State towards the delivery of services and on capital or infrastructure projects during the year.</w:t>
      </w:r>
    </w:p>
    <w:p w14:paraId="292000D0" w14:textId="77777777" w:rsidR="00D02EA5" w:rsidRDefault="00D02EA5" w:rsidP="00D02EA5">
      <w:pPr>
        <w:pStyle w:val="Heading30"/>
      </w:pPr>
      <w:r>
        <w:br w:type="column"/>
        <w:t>Structure</w:t>
      </w:r>
    </w:p>
    <w:p w14:paraId="013FBFD6" w14:textId="13497495" w:rsidR="00A9612C" w:rsidRDefault="00D02EA5">
      <w:pPr>
        <w:pStyle w:val="TOC9"/>
        <w:rPr>
          <w:rFonts w:eastAsiaTheme="minorEastAsia"/>
          <w:noProof/>
          <w:kern w:val="2"/>
          <w:sz w:val="24"/>
          <w:szCs w:val="24"/>
          <w:lang w:eastAsia="en-AU"/>
          <w14:ligatures w14:val="standardContextual"/>
        </w:rPr>
      </w:pPr>
      <w:r>
        <w:fldChar w:fldCharType="begin"/>
      </w:r>
      <w:r>
        <w:instrText xml:space="preserve"> TOC \h \z \t "Heading 3,9" \b "Section_4_3" </w:instrText>
      </w:r>
      <w:r>
        <w:fldChar w:fldCharType="separate"/>
      </w:r>
      <w:hyperlink w:anchor="_Toc184299093" w:history="1">
        <w:r w:rsidR="00A9612C" w:rsidRPr="0071061B">
          <w:rPr>
            <w:rStyle w:val="Hyperlink"/>
            <w:noProof/>
          </w:rPr>
          <w:t>4.3.1</w:t>
        </w:r>
        <w:r w:rsidR="00A9612C">
          <w:rPr>
            <w:rFonts w:eastAsiaTheme="minorEastAsia"/>
            <w:noProof/>
            <w:kern w:val="2"/>
            <w:sz w:val="24"/>
            <w:szCs w:val="24"/>
            <w:lang w:eastAsia="en-AU"/>
            <w14:ligatures w14:val="standardContextual"/>
          </w:rPr>
          <w:tab/>
        </w:r>
        <w:r w:rsidR="00A9612C" w:rsidRPr="0071061B">
          <w:rPr>
            <w:rStyle w:val="Hyperlink"/>
            <w:noProof/>
          </w:rPr>
          <w:t xml:space="preserve">Employee expenses and provision </w:t>
        </w:r>
        <w:r w:rsidR="00DE43C4">
          <w:rPr>
            <w:rStyle w:val="Hyperlink"/>
            <w:noProof/>
          </w:rPr>
          <w:br/>
        </w:r>
        <w:r w:rsidR="00A9612C" w:rsidRPr="0071061B">
          <w:rPr>
            <w:rStyle w:val="Hyperlink"/>
            <w:noProof/>
          </w:rPr>
          <w:t>for outstanding employee benefits liabilities</w:t>
        </w:r>
        <w:r w:rsidR="00A9612C">
          <w:rPr>
            <w:noProof/>
            <w:webHidden/>
          </w:rPr>
          <w:tab/>
        </w:r>
        <w:r w:rsidR="00A9612C">
          <w:rPr>
            <w:noProof/>
            <w:webHidden/>
          </w:rPr>
          <w:fldChar w:fldCharType="begin"/>
        </w:r>
        <w:r w:rsidR="00A9612C">
          <w:rPr>
            <w:noProof/>
            <w:webHidden/>
          </w:rPr>
          <w:instrText xml:space="preserve"> PAGEREF _Toc184299093 \h </w:instrText>
        </w:r>
        <w:r w:rsidR="00A9612C">
          <w:rPr>
            <w:noProof/>
            <w:webHidden/>
          </w:rPr>
        </w:r>
        <w:r w:rsidR="00A9612C">
          <w:rPr>
            <w:noProof/>
            <w:webHidden/>
          </w:rPr>
          <w:fldChar w:fldCharType="separate"/>
        </w:r>
        <w:r w:rsidR="00DE43C4">
          <w:rPr>
            <w:noProof/>
            <w:webHidden/>
          </w:rPr>
          <w:t>62</w:t>
        </w:r>
        <w:r w:rsidR="00A9612C">
          <w:rPr>
            <w:noProof/>
            <w:webHidden/>
          </w:rPr>
          <w:fldChar w:fldCharType="end"/>
        </w:r>
      </w:hyperlink>
    </w:p>
    <w:p w14:paraId="05AF1737" w14:textId="147CD364" w:rsidR="00A9612C" w:rsidRDefault="00A9612C">
      <w:pPr>
        <w:pStyle w:val="TOC9"/>
        <w:rPr>
          <w:rFonts w:eastAsiaTheme="minorEastAsia"/>
          <w:noProof/>
          <w:kern w:val="2"/>
          <w:sz w:val="24"/>
          <w:szCs w:val="24"/>
          <w:lang w:eastAsia="en-AU"/>
          <w14:ligatures w14:val="standardContextual"/>
        </w:rPr>
      </w:pPr>
      <w:hyperlink w:anchor="_Toc184299094" w:history="1">
        <w:r w:rsidRPr="0071061B">
          <w:rPr>
            <w:rStyle w:val="Hyperlink"/>
            <w:noProof/>
          </w:rPr>
          <w:t>4.3.2</w:t>
        </w:r>
        <w:r>
          <w:rPr>
            <w:rFonts w:eastAsiaTheme="minorEastAsia"/>
            <w:noProof/>
            <w:kern w:val="2"/>
            <w:sz w:val="24"/>
            <w:szCs w:val="24"/>
            <w:lang w:eastAsia="en-AU"/>
            <w14:ligatures w14:val="standardContextual"/>
          </w:rPr>
          <w:tab/>
        </w:r>
        <w:r w:rsidRPr="0071061B">
          <w:rPr>
            <w:rStyle w:val="Hyperlink"/>
            <w:noProof/>
          </w:rPr>
          <w:t>Superannuation expense</w:t>
        </w:r>
        <w:r>
          <w:rPr>
            <w:noProof/>
            <w:webHidden/>
          </w:rPr>
          <w:tab/>
        </w:r>
        <w:r>
          <w:rPr>
            <w:noProof/>
            <w:webHidden/>
          </w:rPr>
          <w:fldChar w:fldCharType="begin"/>
        </w:r>
        <w:r>
          <w:rPr>
            <w:noProof/>
            <w:webHidden/>
          </w:rPr>
          <w:instrText xml:space="preserve"> PAGEREF _Toc184299094 \h </w:instrText>
        </w:r>
        <w:r>
          <w:rPr>
            <w:noProof/>
            <w:webHidden/>
          </w:rPr>
        </w:r>
        <w:r>
          <w:rPr>
            <w:noProof/>
            <w:webHidden/>
          </w:rPr>
          <w:fldChar w:fldCharType="separate"/>
        </w:r>
        <w:r w:rsidR="00DE43C4">
          <w:rPr>
            <w:noProof/>
            <w:webHidden/>
          </w:rPr>
          <w:t>63</w:t>
        </w:r>
        <w:r>
          <w:rPr>
            <w:noProof/>
            <w:webHidden/>
          </w:rPr>
          <w:fldChar w:fldCharType="end"/>
        </w:r>
      </w:hyperlink>
    </w:p>
    <w:p w14:paraId="291A3B60" w14:textId="3AD1D073" w:rsidR="00A9612C" w:rsidRDefault="00A9612C">
      <w:pPr>
        <w:pStyle w:val="TOC9"/>
        <w:rPr>
          <w:rFonts w:eastAsiaTheme="minorEastAsia"/>
          <w:noProof/>
          <w:kern w:val="2"/>
          <w:sz w:val="24"/>
          <w:szCs w:val="24"/>
          <w:lang w:eastAsia="en-AU"/>
          <w14:ligatures w14:val="standardContextual"/>
        </w:rPr>
      </w:pPr>
      <w:hyperlink w:anchor="_Toc184299095" w:history="1">
        <w:r w:rsidRPr="0071061B">
          <w:rPr>
            <w:rStyle w:val="Hyperlink"/>
            <w:noProof/>
          </w:rPr>
          <w:t>4.3.3</w:t>
        </w:r>
        <w:r>
          <w:rPr>
            <w:rFonts w:eastAsiaTheme="minorEastAsia"/>
            <w:noProof/>
            <w:kern w:val="2"/>
            <w:sz w:val="24"/>
            <w:szCs w:val="24"/>
            <w:lang w:eastAsia="en-AU"/>
            <w14:ligatures w14:val="standardContextual"/>
          </w:rPr>
          <w:tab/>
        </w:r>
        <w:r w:rsidRPr="0071061B">
          <w:rPr>
            <w:rStyle w:val="Hyperlink"/>
            <w:noProof/>
          </w:rPr>
          <w:t>Superannuation liability</w:t>
        </w:r>
        <w:r>
          <w:rPr>
            <w:noProof/>
            <w:webHidden/>
          </w:rPr>
          <w:tab/>
        </w:r>
        <w:r>
          <w:rPr>
            <w:noProof/>
            <w:webHidden/>
          </w:rPr>
          <w:fldChar w:fldCharType="begin"/>
        </w:r>
        <w:r>
          <w:rPr>
            <w:noProof/>
            <w:webHidden/>
          </w:rPr>
          <w:instrText xml:space="preserve"> PAGEREF _Toc184299095 \h </w:instrText>
        </w:r>
        <w:r>
          <w:rPr>
            <w:noProof/>
            <w:webHidden/>
          </w:rPr>
        </w:r>
        <w:r>
          <w:rPr>
            <w:noProof/>
            <w:webHidden/>
          </w:rPr>
          <w:fldChar w:fldCharType="separate"/>
        </w:r>
        <w:r w:rsidR="00DE43C4">
          <w:rPr>
            <w:noProof/>
            <w:webHidden/>
          </w:rPr>
          <w:t>64</w:t>
        </w:r>
        <w:r>
          <w:rPr>
            <w:noProof/>
            <w:webHidden/>
          </w:rPr>
          <w:fldChar w:fldCharType="end"/>
        </w:r>
      </w:hyperlink>
    </w:p>
    <w:p w14:paraId="6E649F28" w14:textId="2F2F2A95" w:rsidR="00A9612C" w:rsidRDefault="00A9612C">
      <w:pPr>
        <w:pStyle w:val="TOC9"/>
        <w:rPr>
          <w:rFonts w:eastAsiaTheme="minorEastAsia"/>
          <w:noProof/>
          <w:kern w:val="2"/>
          <w:sz w:val="24"/>
          <w:szCs w:val="24"/>
          <w:lang w:eastAsia="en-AU"/>
          <w14:ligatures w14:val="standardContextual"/>
        </w:rPr>
      </w:pPr>
      <w:hyperlink w:anchor="_Toc184299096" w:history="1">
        <w:r w:rsidRPr="0071061B">
          <w:rPr>
            <w:rStyle w:val="Hyperlink"/>
            <w:noProof/>
          </w:rPr>
          <w:t>4.3.4</w:t>
        </w:r>
        <w:r>
          <w:rPr>
            <w:rFonts w:eastAsiaTheme="minorEastAsia"/>
            <w:noProof/>
            <w:kern w:val="2"/>
            <w:sz w:val="24"/>
            <w:szCs w:val="24"/>
            <w:lang w:eastAsia="en-AU"/>
            <w14:ligatures w14:val="standardContextual"/>
          </w:rPr>
          <w:tab/>
        </w:r>
        <w:r w:rsidRPr="0071061B">
          <w:rPr>
            <w:rStyle w:val="Hyperlink"/>
            <w:noProof/>
          </w:rPr>
          <w:t>Grant expense</w:t>
        </w:r>
        <w:r>
          <w:rPr>
            <w:noProof/>
            <w:webHidden/>
          </w:rPr>
          <w:tab/>
        </w:r>
        <w:r>
          <w:rPr>
            <w:noProof/>
            <w:webHidden/>
          </w:rPr>
          <w:fldChar w:fldCharType="begin"/>
        </w:r>
        <w:r>
          <w:rPr>
            <w:noProof/>
            <w:webHidden/>
          </w:rPr>
          <w:instrText xml:space="preserve"> PAGEREF _Toc184299096 \h </w:instrText>
        </w:r>
        <w:r>
          <w:rPr>
            <w:noProof/>
            <w:webHidden/>
          </w:rPr>
        </w:r>
        <w:r>
          <w:rPr>
            <w:noProof/>
            <w:webHidden/>
          </w:rPr>
          <w:fldChar w:fldCharType="separate"/>
        </w:r>
        <w:r w:rsidR="00DE43C4">
          <w:rPr>
            <w:noProof/>
            <w:webHidden/>
          </w:rPr>
          <w:t>66</w:t>
        </w:r>
        <w:r>
          <w:rPr>
            <w:noProof/>
            <w:webHidden/>
          </w:rPr>
          <w:fldChar w:fldCharType="end"/>
        </w:r>
      </w:hyperlink>
    </w:p>
    <w:p w14:paraId="253AB4CF" w14:textId="63BFAE1E" w:rsidR="00A9612C" w:rsidRDefault="00A9612C">
      <w:pPr>
        <w:pStyle w:val="TOC9"/>
        <w:rPr>
          <w:rFonts w:eastAsiaTheme="minorEastAsia"/>
          <w:noProof/>
          <w:kern w:val="2"/>
          <w:sz w:val="24"/>
          <w:szCs w:val="24"/>
          <w:lang w:eastAsia="en-AU"/>
          <w14:ligatures w14:val="standardContextual"/>
        </w:rPr>
      </w:pPr>
      <w:hyperlink w:anchor="_Toc184299097" w:history="1">
        <w:r w:rsidRPr="0071061B">
          <w:rPr>
            <w:rStyle w:val="Hyperlink"/>
            <w:noProof/>
          </w:rPr>
          <w:t>4.3.5</w:t>
        </w:r>
        <w:r>
          <w:rPr>
            <w:rFonts w:eastAsiaTheme="minorEastAsia"/>
            <w:noProof/>
            <w:kern w:val="2"/>
            <w:sz w:val="24"/>
            <w:szCs w:val="24"/>
            <w:lang w:eastAsia="en-AU"/>
            <w14:ligatures w14:val="standardContextual"/>
          </w:rPr>
          <w:tab/>
        </w:r>
        <w:r w:rsidRPr="0071061B">
          <w:rPr>
            <w:rStyle w:val="Hyperlink"/>
            <w:noProof/>
          </w:rPr>
          <w:t>Other operating expenses</w:t>
        </w:r>
        <w:r>
          <w:rPr>
            <w:noProof/>
            <w:webHidden/>
          </w:rPr>
          <w:tab/>
        </w:r>
        <w:r>
          <w:rPr>
            <w:noProof/>
            <w:webHidden/>
          </w:rPr>
          <w:fldChar w:fldCharType="begin"/>
        </w:r>
        <w:r>
          <w:rPr>
            <w:noProof/>
            <w:webHidden/>
          </w:rPr>
          <w:instrText xml:space="preserve"> PAGEREF _Toc184299097 \h </w:instrText>
        </w:r>
        <w:r>
          <w:rPr>
            <w:noProof/>
            <w:webHidden/>
          </w:rPr>
        </w:r>
        <w:r>
          <w:rPr>
            <w:noProof/>
            <w:webHidden/>
          </w:rPr>
          <w:fldChar w:fldCharType="separate"/>
        </w:r>
        <w:r w:rsidR="00DE43C4">
          <w:rPr>
            <w:noProof/>
            <w:webHidden/>
          </w:rPr>
          <w:t>67</w:t>
        </w:r>
        <w:r>
          <w:rPr>
            <w:noProof/>
            <w:webHidden/>
          </w:rPr>
          <w:fldChar w:fldCharType="end"/>
        </w:r>
      </w:hyperlink>
    </w:p>
    <w:p w14:paraId="58374163" w14:textId="2D13BC76" w:rsidR="00A9612C" w:rsidRDefault="00A9612C">
      <w:pPr>
        <w:pStyle w:val="TOC9"/>
        <w:rPr>
          <w:rFonts w:eastAsiaTheme="minorEastAsia"/>
          <w:noProof/>
          <w:kern w:val="2"/>
          <w:sz w:val="24"/>
          <w:szCs w:val="24"/>
          <w:lang w:eastAsia="en-AU"/>
          <w14:ligatures w14:val="standardContextual"/>
        </w:rPr>
      </w:pPr>
      <w:hyperlink w:anchor="_Toc184299098" w:history="1">
        <w:r w:rsidRPr="0071061B">
          <w:rPr>
            <w:rStyle w:val="Hyperlink"/>
            <w:noProof/>
          </w:rPr>
          <w:t>4.3.6</w:t>
        </w:r>
        <w:r>
          <w:rPr>
            <w:rFonts w:eastAsiaTheme="minorEastAsia"/>
            <w:noProof/>
            <w:kern w:val="2"/>
            <w:sz w:val="24"/>
            <w:szCs w:val="24"/>
            <w:lang w:eastAsia="en-AU"/>
            <w14:ligatures w14:val="standardContextual"/>
          </w:rPr>
          <w:tab/>
        </w:r>
        <w:r w:rsidRPr="0071061B">
          <w:rPr>
            <w:rStyle w:val="Hyperlink"/>
            <w:noProof/>
          </w:rPr>
          <w:t>Payables</w:t>
        </w:r>
        <w:r>
          <w:rPr>
            <w:noProof/>
            <w:webHidden/>
          </w:rPr>
          <w:tab/>
        </w:r>
        <w:r>
          <w:rPr>
            <w:noProof/>
            <w:webHidden/>
          </w:rPr>
          <w:fldChar w:fldCharType="begin"/>
        </w:r>
        <w:r>
          <w:rPr>
            <w:noProof/>
            <w:webHidden/>
          </w:rPr>
          <w:instrText xml:space="preserve"> PAGEREF _Toc184299098 \h </w:instrText>
        </w:r>
        <w:r>
          <w:rPr>
            <w:noProof/>
            <w:webHidden/>
          </w:rPr>
        </w:r>
        <w:r>
          <w:rPr>
            <w:noProof/>
            <w:webHidden/>
          </w:rPr>
          <w:fldChar w:fldCharType="separate"/>
        </w:r>
        <w:r w:rsidR="00DE43C4">
          <w:rPr>
            <w:noProof/>
            <w:webHidden/>
          </w:rPr>
          <w:t>68</w:t>
        </w:r>
        <w:r>
          <w:rPr>
            <w:noProof/>
            <w:webHidden/>
          </w:rPr>
          <w:fldChar w:fldCharType="end"/>
        </w:r>
      </w:hyperlink>
    </w:p>
    <w:p w14:paraId="5AD46B26" w14:textId="32FA0C22" w:rsidR="00A9612C" w:rsidRDefault="00A9612C">
      <w:pPr>
        <w:pStyle w:val="TOC9"/>
        <w:rPr>
          <w:rFonts w:eastAsiaTheme="minorEastAsia"/>
          <w:noProof/>
          <w:kern w:val="2"/>
          <w:sz w:val="24"/>
          <w:szCs w:val="24"/>
          <w:lang w:eastAsia="en-AU"/>
          <w14:ligatures w14:val="standardContextual"/>
        </w:rPr>
      </w:pPr>
      <w:hyperlink w:anchor="_Toc184299099" w:history="1">
        <w:r w:rsidRPr="0071061B">
          <w:rPr>
            <w:rStyle w:val="Hyperlink"/>
            <w:noProof/>
          </w:rPr>
          <w:t>4.3.7</w:t>
        </w:r>
        <w:r>
          <w:rPr>
            <w:rFonts w:eastAsiaTheme="minorEastAsia"/>
            <w:noProof/>
            <w:kern w:val="2"/>
            <w:sz w:val="24"/>
            <w:szCs w:val="24"/>
            <w:lang w:eastAsia="en-AU"/>
            <w14:ligatures w14:val="standardContextual"/>
          </w:rPr>
          <w:tab/>
        </w:r>
        <w:r w:rsidRPr="0071061B">
          <w:rPr>
            <w:rStyle w:val="Hyperlink"/>
            <w:noProof/>
          </w:rPr>
          <w:t xml:space="preserve">Total expenses by classification of </w:t>
        </w:r>
        <w:r>
          <w:rPr>
            <w:rStyle w:val="Hyperlink"/>
            <w:noProof/>
          </w:rPr>
          <w:br/>
        </w:r>
        <w:r w:rsidRPr="0071061B">
          <w:rPr>
            <w:rStyle w:val="Hyperlink"/>
            <w:noProof/>
          </w:rPr>
          <w:t>the functions of government (COFOG) and by portfolio department</w:t>
        </w:r>
        <w:r>
          <w:rPr>
            <w:noProof/>
            <w:webHidden/>
          </w:rPr>
          <w:tab/>
        </w:r>
        <w:r>
          <w:rPr>
            <w:noProof/>
            <w:webHidden/>
          </w:rPr>
          <w:fldChar w:fldCharType="begin"/>
        </w:r>
        <w:r>
          <w:rPr>
            <w:noProof/>
            <w:webHidden/>
          </w:rPr>
          <w:instrText xml:space="preserve"> PAGEREF _Toc184299099 \h </w:instrText>
        </w:r>
        <w:r>
          <w:rPr>
            <w:noProof/>
            <w:webHidden/>
          </w:rPr>
        </w:r>
        <w:r>
          <w:rPr>
            <w:noProof/>
            <w:webHidden/>
          </w:rPr>
          <w:fldChar w:fldCharType="separate"/>
        </w:r>
        <w:r w:rsidR="00DE43C4">
          <w:rPr>
            <w:noProof/>
            <w:webHidden/>
          </w:rPr>
          <w:t>69</w:t>
        </w:r>
        <w:r>
          <w:rPr>
            <w:noProof/>
            <w:webHidden/>
          </w:rPr>
          <w:fldChar w:fldCharType="end"/>
        </w:r>
      </w:hyperlink>
    </w:p>
    <w:p w14:paraId="221F7822" w14:textId="2C6A455E" w:rsidR="00A9612C" w:rsidRDefault="00A9612C">
      <w:pPr>
        <w:pStyle w:val="TOC9"/>
        <w:rPr>
          <w:rFonts w:eastAsiaTheme="minorEastAsia"/>
          <w:noProof/>
          <w:kern w:val="2"/>
          <w:sz w:val="24"/>
          <w:szCs w:val="24"/>
          <w:lang w:eastAsia="en-AU"/>
          <w14:ligatures w14:val="standardContextual"/>
        </w:rPr>
      </w:pPr>
      <w:hyperlink w:anchor="_Toc184299100" w:history="1">
        <w:r w:rsidRPr="0071061B">
          <w:rPr>
            <w:rStyle w:val="Hyperlink"/>
            <w:noProof/>
          </w:rPr>
          <w:t>4.3.8</w:t>
        </w:r>
        <w:r>
          <w:rPr>
            <w:rFonts w:eastAsiaTheme="minorEastAsia"/>
            <w:noProof/>
            <w:kern w:val="2"/>
            <w:sz w:val="24"/>
            <w:szCs w:val="24"/>
            <w:lang w:eastAsia="en-AU"/>
            <w14:ligatures w14:val="standardContextual"/>
          </w:rPr>
          <w:tab/>
        </w:r>
        <w:r w:rsidRPr="0071061B">
          <w:rPr>
            <w:rStyle w:val="Hyperlink"/>
            <w:noProof/>
          </w:rPr>
          <w:t>Purchases of non</w:t>
        </w:r>
        <w:r w:rsidRPr="0071061B">
          <w:rPr>
            <w:rStyle w:val="Hyperlink"/>
            <w:noProof/>
          </w:rPr>
          <w:noBreakHyphen/>
          <w:t xml:space="preserve">financial assets </w:t>
        </w:r>
        <w:r>
          <w:rPr>
            <w:rStyle w:val="Hyperlink"/>
            <w:noProof/>
          </w:rPr>
          <w:br/>
        </w:r>
        <w:r w:rsidRPr="0071061B">
          <w:rPr>
            <w:rStyle w:val="Hyperlink"/>
            <w:noProof/>
          </w:rPr>
          <w:t>by COFOG and by portfolio department</w:t>
        </w:r>
        <w:r>
          <w:rPr>
            <w:noProof/>
            <w:webHidden/>
          </w:rPr>
          <w:tab/>
        </w:r>
        <w:r>
          <w:rPr>
            <w:noProof/>
            <w:webHidden/>
          </w:rPr>
          <w:fldChar w:fldCharType="begin"/>
        </w:r>
        <w:r>
          <w:rPr>
            <w:noProof/>
            <w:webHidden/>
          </w:rPr>
          <w:instrText xml:space="preserve"> PAGEREF _Toc184299100 \h </w:instrText>
        </w:r>
        <w:r>
          <w:rPr>
            <w:noProof/>
            <w:webHidden/>
          </w:rPr>
        </w:r>
        <w:r>
          <w:rPr>
            <w:noProof/>
            <w:webHidden/>
          </w:rPr>
          <w:fldChar w:fldCharType="separate"/>
        </w:r>
        <w:r w:rsidR="00DE43C4">
          <w:rPr>
            <w:noProof/>
            <w:webHidden/>
          </w:rPr>
          <w:t>71</w:t>
        </w:r>
        <w:r>
          <w:rPr>
            <w:noProof/>
            <w:webHidden/>
          </w:rPr>
          <w:fldChar w:fldCharType="end"/>
        </w:r>
      </w:hyperlink>
    </w:p>
    <w:p w14:paraId="2C507656" w14:textId="3FC03F26" w:rsidR="00A9612C" w:rsidRDefault="00A9612C">
      <w:pPr>
        <w:pStyle w:val="TOC9"/>
        <w:rPr>
          <w:rFonts w:eastAsiaTheme="minorEastAsia"/>
          <w:noProof/>
          <w:kern w:val="2"/>
          <w:sz w:val="24"/>
          <w:szCs w:val="24"/>
          <w:lang w:eastAsia="en-AU"/>
          <w14:ligatures w14:val="standardContextual"/>
        </w:rPr>
      </w:pPr>
      <w:hyperlink w:anchor="_Toc184299101" w:history="1">
        <w:r w:rsidRPr="0071061B">
          <w:rPr>
            <w:rStyle w:val="Hyperlink"/>
            <w:noProof/>
          </w:rPr>
          <w:t>4.3.9</w:t>
        </w:r>
        <w:r>
          <w:rPr>
            <w:rFonts w:eastAsiaTheme="minorEastAsia"/>
            <w:noProof/>
            <w:kern w:val="2"/>
            <w:sz w:val="24"/>
            <w:szCs w:val="24"/>
            <w:lang w:eastAsia="en-AU"/>
            <w14:ligatures w14:val="standardContextual"/>
          </w:rPr>
          <w:tab/>
        </w:r>
        <w:r w:rsidRPr="0071061B">
          <w:rPr>
            <w:rStyle w:val="Hyperlink"/>
            <w:noProof/>
          </w:rPr>
          <w:t>Net acquisition of non</w:t>
        </w:r>
        <w:r w:rsidRPr="0071061B">
          <w:rPr>
            <w:rStyle w:val="Hyperlink"/>
            <w:noProof/>
          </w:rPr>
          <w:noBreakHyphen/>
          <w:t>financial assets from transactions</w:t>
        </w:r>
        <w:r>
          <w:rPr>
            <w:noProof/>
            <w:webHidden/>
          </w:rPr>
          <w:tab/>
        </w:r>
        <w:r>
          <w:rPr>
            <w:noProof/>
            <w:webHidden/>
          </w:rPr>
          <w:fldChar w:fldCharType="begin"/>
        </w:r>
        <w:r>
          <w:rPr>
            <w:noProof/>
            <w:webHidden/>
          </w:rPr>
          <w:instrText xml:space="preserve"> PAGEREF _Toc184299101 \h </w:instrText>
        </w:r>
        <w:r>
          <w:rPr>
            <w:noProof/>
            <w:webHidden/>
          </w:rPr>
        </w:r>
        <w:r>
          <w:rPr>
            <w:noProof/>
            <w:webHidden/>
          </w:rPr>
          <w:fldChar w:fldCharType="separate"/>
        </w:r>
        <w:r w:rsidR="00DE43C4">
          <w:rPr>
            <w:noProof/>
            <w:webHidden/>
          </w:rPr>
          <w:t>72</w:t>
        </w:r>
        <w:r>
          <w:rPr>
            <w:noProof/>
            <w:webHidden/>
          </w:rPr>
          <w:fldChar w:fldCharType="end"/>
        </w:r>
      </w:hyperlink>
    </w:p>
    <w:p w14:paraId="76C5CE82" w14:textId="25D88DBF" w:rsidR="00D02EA5" w:rsidRDefault="00D02EA5" w:rsidP="00A9612C">
      <w:pPr>
        <w:pStyle w:val="TOC9"/>
      </w:pPr>
      <w:r>
        <w:fldChar w:fldCharType="end"/>
      </w:r>
      <w:bookmarkStart w:id="90" w:name="Section_4_3"/>
    </w:p>
    <w:p w14:paraId="4C38BF18" w14:textId="4720DC60" w:rsidR="00D02EA5" w:rsidRPr="00D02EA5" w:rsidRDefault="00D02EA5" w:rsidP="00D02EA5">
      <w:pPr>
        <w:sectPr w:rsidR="00D02EA5" w:rsidRPr="00D02EA5" w:rsidSect="00D02EA5">
          <w:type w:val="continuous"/>
          <w:pgSz w:w="9979" w:h="14175" w:code="34"/>
          <w:pgMar w:top="1134" w:right="1134" w:bottom="1134" w:left="1134" w:header="624" w:footer="567" w:gutter="0"/>
          <w:cols w:num="2" w:space="708"/>
          <w:docGrid w:linePitch="360"/>
        </w:sectPr>
      </w:pPr>
    </w:p>
    <w:p w14:paraId="38682194" w14:textId="77777777" w:rsidR="00A9612C" w:rsidRDefault="00A9612C">
      <w:pPr>
        <w:keepLines w:val="0"/>
        <w:rPr>
          <w:rFonts w:asciiTheme="majorHAnsi" w:eastAsiaTheme="majorEastAsia" w:hAnsiTheme="majorHAnsi" w:cstheme="majorBidi"/>
          <w:b/>
          <w:sz w:val="20"/>
          <w:szCs w:val="24"/>
        </w:rPr>
      </w:pPr>
      <w:r>
        <w:br w:type="page"/>
      </w:r>
    </w:p>
    <w:p w14:paraId="7ADC2ECF" w14:textId="77777777" w:rsidR="004135EE" w:rsidRPr="000404D2" w:rsidRDefault="004135EE" w:rsidP="004135EE">
      <w:pPr>
        <w:pStyle w:val="Heading30"/>
      </w:pPr>
      <w:bookmarkStart w:id="91" w:name="_Toc184299093"/>
      <w:r>
        <w:t>4.3.1</w:t>
      </w:r>
      <w:r>
        <w:tab/>
      </w:r>
      <w:r w:rsidRPr="000404D2">
        <w:t xml:space="preserve">Employee expenses and provision for </w:t>
      </w:r>
      <w:r>
        <w:t>outstanding</w:t>
      </w:r>
      <w:r w:rsidRPr="000404D2">
        <w:t xml:space="preserve"> employee benefits</w:t>
      </w:r>
      <w:r>
        <w:t xml:space="preserve"> liabilities</w:t>
      </w:r>
      <w:bookmarkEnd w:id="91"/>
    </w:p>
    <w:p w14:paraId="6BFCAA8A" w14:textId="77777777" w:rsidR="004135EE" w:rsidRDefault="004135EE" w:rsidP="004135EE">
      <w:r>
        <w:t>Employee expenses and employee benefits are forecast on the basis of staffing profiles and current salaries, conditions and on</w:t>
      </w:r>
      <w:r>
        <w:noBreakHyphen/>
        <w:t>costs. For the forecast period, employee expenses and employee benefits mainly include the expected financial impact of</w:t>
      </w:r>
      <w:r w:rsidDel="008C057F">
        <w:t xml:space="preserve"> </w:t>
      </w:r>
      <w:r>
        <w:t xml:space="preserve">budget decisions and approved wage outcomes in line with the Government’s Wages Policy, which applies to all Victorian public sector enterprise agreements. Forecast employee expenses also reflect the estimated impact of budget decisions that affect employee expense levels. Greater than 95 per cent of employee expenses over the budget and forward estimates in the operating statement are salaries and wages. Employee expenses are recognised in the period in which the employee provides the services. </w:t>
      </w:r>
    </w:p>
    <w:p w14:paraId="57276D56" w14:textId="77777777" w:rsidR="004135EE" w:rsidRDefault="004135EE" w:rsidP="005C5C20">
      <w:pPr>
        <w:pStyle w:val="TableHeading"/>
      </w:pPr>
      <w:r>
        <w:t>Provision for e</w:t>
      </w:r>
      <w:r w:rsidRPr="007F4217">
        <w:t>mployee benefits (balance sheet)</w:t>
      </w:r>
      <w:r w:rsidRPr="007F4217">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Employee_benefits|MergedHeadingRow:1"/>
      </w:tblPr>
      <w:tblGrid>
        <w:gridCol w:w="3740"/>
        <w:gridCol w:w="794"/>
        <w:gridCol w:w="794"/>
        <w:gridCol w:w="794"/>
        <w:gridCol w:w="794"/>
        <w:gridCol w:w="794"/>
      </w:tblGrid>
      <w:tr w:rsidR="004135EE" w14:paraId="5D78A9B0"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E9A6A2A" w14:textId="77777777" w:rsidR="004135EE" w:rsidRDefault="004135EE" w:rsidP="008670FF">
            <w:pPr>
              <w:keepNext/>
            </w:pPr>
          </w:p>
        </w:tc>
        <w:tc>
          <w:tcPr>
            <w:tcW w:w="794" w:type="dxa"/>
          </w:tcPr>
          <w:p w14:paraId="24E792A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62F17F0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65A4485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6A787FB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2BC91D60"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5216148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912BF84" w14:textId="77777777" w:rsidR="004135EE" w:rsidRDefault="004135EE" w:rsidP="008670FF">
            <w:r>
              <w:rPr>
                <w:b/>
              </w:rPr>
              <w:t>Current</w:t>
            </w:r>
          </w:p>
        </w:tc>
        <w:tc>
          <w:tcPr>
            <w:tcW w:w="794" w:type="dxa"/>
          </w:tcPr>
          <w:p w14:paraId="5F4A31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57E46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2E295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9A00E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C519D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7A780DC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41F0F09" w14:textId="77777777" w:rsidR="004135EE" w:rsidRDefault="004135EE" w:rsidP="008670FF">
            <w:r>
              <w:t>Accrued salaries and wages</w:t>
            </w:r>
          </w:p>
        </w:tc>
        <w:tc>
          <w:tcPr>
            <w:tcW w:w="794" w:type="dxa"/>
          </w:tcPr>
          <w:p w14:paraId="26908D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475</w:t>
            </w:r>
          </w:p>
        </w:tc>
        <w:tc>
          <w:tcPr>
            <w:tcW w:w="794" w:type="dxa"/>
          </w:tcPr>
          <w:p w14:paraId="128CBC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835</w:t>
            </w:r>
          </w:p>
        </w:tc>
        <w:tc>
          <w:tcPr>
            <w:tcW w:w="794" w:type="dxa"/>
          </w:tcPr>
          <w:p w14:paraId="3C2924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850</w:t>
            </w:r>
          </w:p>
        </w:tc>
        <w:tc>
          <w:tcPr>
            <w:tcW w:w="794" w:type="dxa"/>
          </w:tcPr>
          <w:p w14:paraId="117AF7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865</w:t>
            </w:r>
          </w:p>
        </w:tc>
        <w:tc>
          <w:tcPr>
            <w:tcW w:w="794" w:type="dxa"/>
          </w:tcPr>
          <w:p w14:paraId="356B8FC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880</w:t>
            </w:r>
          </w:p>
        </w:tc>
      </w:tr>
      <w:tr w:rsidR="004135EE" w14:paraId="2191B5D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AB64E02" w14:textId="77777777" w:rsidR="004135EE" w:rsidRDefault="004135EE" w:rsidP="008670FF">
            <w:r>
              <w:t>Other employee benefits</w:t>
            </w:r>
          </w:p>
        </w:tc>
        <w:tc>
          <w:tcPr>
            <w:tcW w:w="794" w:type="dxa"/>
          </w:tcPr>
          <w:p w14:paraId="6EDB89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138</w:t>
            </w:r>
          </w:p>
        </w:tc>
        <w:tc>
          <w:tcPr>
            <w:tcW w:w="794" w:type="dxa"/>
          </w:tcPr>
          <w:p w14:paraId="772982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138</w:t>
            </w:r>
          </w:p>
        </w:tc>
        <w:tc>
          <w:tcPr>
            <w:tcW w:w="794" w:type="dxa"/>
          </w:tcPr>
          <w:p w14:paraId="0E84E5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138</w:t>
            </w:r>
          </w:p>
        </w:tc>
        <w:tc>
          <w:tcPr>
            <w:tcW w:w="794" w:type="dxa"/>
          </w:tcPr>
          <w:p w14:paraId="1B6554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138</w:t>
            </w:r>
          </w:p>
        </w:tc>
        <w:tc>
          <w:tcPr>
            <w:tcW w:w="794" w:type="dxa"/>
          </w:tcPr>
          <w:p w14:paraId="196061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138</w:t>
            </w:r>
          </w:p>
        </w:tc>
      </w:tr>
      <w:tr w:rsidR="004135EE" w14:paraId="4FD9329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DF91B4B" w14:textId="77777777" w:rsidR="004135EE" w:rsidRDefault="004135EE" w:rsidP="008670FF">
            <w:r>
              <w:t>Annual leave</w:t>
            </w:r>
          </w:p>
        </w:tc>
        <w:tc>
          <w:tcPr>
            <w:tcW w:w="794" w:type="dxa"/>
          </w:tcPr>
          <w:p w14:paraId="0898FC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3 075</w:t>
            </w:r>
          </w:p>
        </w:tc>
        <w:tc>
          <w:tcPr>
            <w:tcW w:w="794" w:type="dxa"/>
          </w:tcPr>
          <w:p w14:paraId="701E04F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3 077</w:t>
            </w:r>
          </w:p>
        </w:tc>
        <w:tc>
          <w:tcPr>
            <w:tcW w:w="794" w:type="dxa"/>
          </w:tcPr>
          <w:p w14:paraId="4AB0693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3 110</w:t>
            </w:r>
          </w:p>
        </w:tc>
        <w:tc>
          <w:tcPr>
            <w:tcW w:w="794" w:type="dxa"/>
          </w:tcPr>
          <w:p w14:paraId="6CC150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3 146</w:t>
            </w:r>
          </w:p>
        </w:tc>
        <w:tc>
          <w:tcPr>
            <w:tcW w:w="794" w:type="dxa"/>
          </w:tcPr>
          <w:p w14:paraId="4F49734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3 181</w:t>
            </w:r>
          </w:p>
        </w:tc>
      </w:tr>
      <w:tr w:rsidR="004135EE" w14:paraId="0F9B8A5D"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A7731C8" w14:textId="77777777" w:rsidR="004135EE" w:rsidRDefault="004135EE" w:rsidP="008670FF">
            <w:r>
              <w:t>Long service leave</w:t>
            </w:r>
          </w:p>
        </w:tc>
        <w:tc>
          <w:tcPr>
            <w:tcW w:w="794" w:type="dxa"/>
            <w:tcBorders>
              <w:bottom w:val="single" w:sz="6" w:space="0" w:color="auto"/>
            </w:tcBorders>
          </w:tcPr>
          <w:p w14:paraId="29BDBED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6 172</w:t>
            </w:r>
          </w:p>
        </w:tc>
        <w:tc>
          <w:tcPr>
            <w:tcW w:w="794" w:type="dxa"/>
            <w:tcBorders>
              <w:bottom w:val="single" w:sz="6" w:space="0" w:color="auto"/>
            </w:tcBorders>
          </w:tcPr>
          <w:p w14:paraId="6F4E26B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6 172</w:t>
            </w:r>
          </w:p>
        </w:tc>
        <w:tc>
          <w:tcPr>
            <w:tcW w:w="794" w:type="dxa"/>
            <w:tcBorders>
              <w:bottom w:val="single" w:sz="6" w:space="0" w:color="auto"/>
            </w:tcBorders>
          </w:tcPr>
          <w:p w14:paraId="243170E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6 320</w:t>
            </w:r>
          </w:p>
        </w:tc>
        <w:tc>
          <w:tcPr>
            <w:tcW w:w="794" w:type="dxa"/>
            <w:tcBorders>
              <w:bottom w:val="single" w:sz="6" w:space="0" w:color="auto"/>
            </w:tcBorders>
          </w:tcPr>
          <w:p w14:paraId="17C485E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6 466</w:t>
            </w:r>
          </w:p>
        </w:tc>
        <w:tc>
          <w:tcPr>
            <w:tcW w:w="794" w:type="dxa"/>
            <w:tcBorders>
              <w:bottom w:val="single" w:sz="6" w:space="0" w:color="auto"/>
            </w:tcBorders>
          </w:tcPr>
          <w:p w14:paraId="6952267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6 613</w:t>
            </w:r>
          </w:p>
        </w:tc>
      </w:tr>
      <w:tr w:rsidR="004135EE" w14:paraId="09E50BA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D17DC6A" w14:textId="77777777" w:rsidR="004135EE" w:rsidRDefault="004135EE" w:rsidP="008670FF">
            <w:r>
              <w:rPr>
                <w:b/>
              </w:rPr>
              <w:t>Total current employee benefits and on</w:t>
            </w:r>
            <w:r>
              <w:rPr>
                <w:b/>
              </w:rPr>
              <w:noBreakHyphen/>
              <w:t>costs</w:t>
            </w:r>
          </w:p>
        </w:tc>
        <w:tc>
          <w:tcPr>
            <w:tcW w:w="794" w:type="dxa"/>
            <w:tcBorders>
              <w:top w:val="single" w:sz="6" w:space="0" w:color="auto"/>
            </w:tcBorders>
          </w:tcPr>
          <w:p w14:paraId="776FA5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9 860</w:t>
            </w:r>
          </w:p>
        </w:tc>
        <w:tc>
          <w:tcPr>
            <w:tcW w:w="794" w:type="dxa"/>
            <w:tcBorders>
              <w:top w:val="single" w:sz="6" w:space="0" w:color="auto"/>
            </w:tcBorders>
          </w:tcPr>
          <w:p w14:paraId="111BB5B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10 222</w:t>
            </w:r>
          </w:p>
        </w:tc>
        <w:tc>
          <w:tcPr>
            <w:tcW w:w="794" w:type="dxa"/>
            <w:tcBorders>
              <w:top w:val="single" w:sz="6" w:space="0" w:color="auto"/>
            </w:tcBorders>
          </w:tcPr>
          <w:p w14:paraId="6F163C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10 419</w:t>
            </w:r>
          </w:p>
        </w:tc>
        <w:tc>
          <w:tcPr>
            <w:tcW w:w="794" w:type="dxa"/>
            <w:tcBorders>
              <w:top w:val="single" w:sz="6" w:space="0" w:color="auto"/>
            </w:tcBorders>
          </w:tcPr>
          <w:p w14:paraId="432404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10 615</w:t>
            </w:r>
          </w:p>
        </w:tc>
        <w:tc>
          <w:tcPr>
            <w:tcW w:w="794" w:type="dxa"/>
            <w:tcBorders>
              <w:top w:val="single" w:sz="6" w:space="0" w:color="auto"/>
            </w:tcBorders>
          </w:tcPr>
          <w:p w14:paraId="57C05E0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10 812</w:t>
            </w:r>
          </w:p>
        </w:tc>
      </w:tr>
      <w:tr w:rsidR="004135EE" w14:paraId="6215CC7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2FD44A9" w14:textId="77777777" w:rsidR="004135EE" w:rsidRDefault="004135EE" w:rsidP="008670FF">
            <w:r>
              <w:rPr>
                <w:b/>
              </w:rPr>
              <w:t>Non</w:t>
            </w:r>
            <w:r>
              <w:rPr>
                <w:b/>
              </w:rPr>
              <w:noBreakHyphen/>
              <w:t>current</w:t>
            </w:r>
          </w:p>
        </w:tc>
        <w:tc>
          <w:tcPr>
            <w:tcW w:w="794" w:type="dxa"/>
          </w:tcPr>
          <w:p w14:paraId="393FE1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2B36C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8501AE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423D1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D3B2C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1AB073E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9518755" w14:textId="77777777" w:rsidR="004135EE" w:rsidRDefault="004135EE" w:rsidP="008670FF">
            <w:r>
              <w:t>Long service leave</w:t>
            </w:r>
          </w:p>
        </w:tc>
        <w:tc>
          <w:tcPr>
            <w:tcW w:w="794" w:type="dxa"/>
            <w:tcBorders>
              <w:bottom w:val="single" w:sz="6" w:space="0" w:color="auto"/>
            </w:tcBorders>
          </w:tcPr>
          <w:p w14:paraId="47C1B81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1 245</w:t>
            </w:r>
          </w:p>
        </w:tc>
        <w:tc>
          <w:tcPr>
            <w:tcW w:w="794" w:type="dxa"/>
            <w:tcBorders>
              <w:bottom w:val="single" w:sz="6" w:space="0" w:color="auto"/>
            </w:tcBorders>
          </w:tcPr>
          <w:p w14:paraId="6DC15AF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1 251</w:t>
            </w:r>
          </w:p>
        </w:tc>
        <w:tc>
          <w:tcPr>
            <w:tcW w:w="794" w:type="dxa"/>
            <w:tcBorders>
              <w:bottom w:val="single" w:sz="6" w:space="0" w:color="auto"/>
            </w:tcBorders>
          </w:tcPr>
          <w:p w14:paraId="2DCCCB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1 408</w:t>
            </w:r>
          </w:p>
        </w:tc>
        <w:tc>
          <w:tcPr>
            <w:tcW w:w="794" w:type="dxa"/>
            <w:tcBorders>
              <w:bottom w:val="single" w:sz="6" w:space="0" w:color="auto"/>
            </w:tcBorders>
          </w:tcPr>
          <w:p w14:paraId="24A3A4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1 565</w:t>
            </w:r>
          </w:p>
        </w:tc>
        <w:tc>
          <w:tcPr>
            <w:tcW w:w="794" w:type="dxa"/>
            <w:tcBorders>
              <w:bottom w:val="single" w:sz="6" w:space="0" w:color="auto"/>
            </w:tcBorders>
          </w:tcPr>
          <w:p w14:paraId="34F449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1 727</w:t>
            </w:r>
          </w:p>
        </w:tc>
      </w:tr>
      <w:tr w:rsidR="004135EE" w14:paraId="571C7AF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E5AE79D" w14:textId="77777777" w:rsidR="004135EE" w:rsidRDefault="004135EE" w:rsidP="008670FF">
            <w:r>
              <w:rPr>
                <w:b/>
              </w:rPr>
              <w:t>Total non</w:t>
            </w:r>
            <w:r>
              <w:rPr>
                <w:b/>
              </w:rPr>
              <w:noBreakHyphen/>
              <w:t>current employee benefits and on</w:t>
            </w:r>
            <w:r>
              <w:rPr>
                <w:b/>
              </w:rPr>
              <w:noBreakHyphen/>
              <w:t>costs</w:t>
            </w:r>
          </w:p>
        </w:tc>
        <w:tc>
          <w:tcPr>
            <w:tcW w:w="794" w:type="dxa"/>
            <w:tcBorders>
              <w:top w:val="single" w:sz="6" w:space="0" w:color="auto"/>
              <w:bottom w:val="single" w:sz="6" w:space="0" w:color="auto"/>
            </w:tcBorders>
          </w:tcPr>
          <w:p w14:paraId="007460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1 245</w:t>
            </w:r>
          </w:p>
        </w:tc>
        <w:tc>
          <w:tcPr>
            <w:tcW w:w="794" w:type="dxa"/>
            <w:tcBorders>
              <w:top w:val="single" w:sz="6" w:space="0" w:color="auto"/>
              <w:bottom w:val="single" w:sz="6" w:space="0" w:color="auto"/>
            </w:tcBorders>
          </w:tcPr>
          <w:p w14:paraId="0BA8FE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1 251</w:t>
            </w:r>
          </w:p>
        </w:tc>
        <w:tc>
          <w:tcPr>
            <w:tcW w:w="794" w:type="dxa"/>
            <w:tcBorders>
              <w:top w:val="single" w:sz="6" w:space="0" w:color="auto"/>
              <w:bottom w:val="single" w:sz="6" w:space="0" w:color="auto"/>
            </w:tcBorders>
          </w:tcPr>
          <w:p w14:paraId="6D3589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1 408</w:t>
            </w:r>
          </w:p>
        </w:tc>
        <w:tc>
          <w:tcPr>
            <w:tcW w:w="794" w:type="dxa"/>
            <w:tcBorders>
              <w:top w:val="single" w:sz="6" w:space="0" w:color="auto"/>
              <w:bottom w:val="single" w:sz="6" w:space="0" w:color="auto"/>
            </w:tcBorders>
          </w:tcPr>
          <w:p w14:paraId="39E6A4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1 565</w:t>
            </w:r>
          </w:p>
        </w:tc>
        <w:tc>
          <w:tcPr>
            <w:tcW w:w="794" w:type="dxa"/>
            <w:tcBorders>
              <w:top w:val="single" w:sz="6" w:space="0" w:color="auto"/>
              <w:bottom w:val="single" w:sz="6" w:space="0" w:color="auto"/>
            </w:tcBorders>
          </w:tcPr>
          <w:p w14:paraId="603B1EE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1 727</w:t>
            </w:r>
          </w:p>
        </w:tc>
      </w:tr>
      <w:tr w:rsidR="004135EE" w14:paraId="05329CB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AA5949D" w14:textId="77777777" w:rsidR="004135EE" w:rsidRDefault="004135EE" w:rsidP="008670FF">
            <w:r>
              <w:rPr>
                <w:b/>
              </w:rPr>
              <w:t>Total employee benefits</w:t>
            </w:r>
          </w:p>
        </w:tc>
        <w:tc>
          <w:tcPr>
            <w:tcW w:w="794" w:type="dxa"/>
            <w:tcBorders>
              <w:top w:val="single" w:sz="6" w:space="0" w:color="auto"/>
              <w:bottom w:val="single" w:sz="12" w:space="0" w:color="auto"/>
            </w:tcBorders>
          </w:tcPr>
          <w:p w14:paraId="3D4351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11 105</w:t>
            </w:r>
          </w:p>
        </w:tc>
        <w:tc>
          <w:tcPr>
            <w:tcW w:w="794" w:type="dxa"/>
            <w:tcBorders>
              <w:top w:val="single" w:sz="6" w:space="0" w:color="auto"/>
              <w:bottom w:val="single" w:sz="12" w:space="0" w:color="auto"/>
            </w:tcBorders>
          </w:tcPr>
          <w:p w14:paraId="5A8D4A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11 473</w:t>
            </w:r>
          </w:p>
        </w:tc>
        <w:tc>
          <w:tcPr>
            <w:tcW w:w="794" w:type="dxa"/>
            <w:tcBorders>
              <w:top w:val="single" w:sz="6" w:space="0" w:color="auto"/>
              <w:bottom w:val="single" w:sz="12" w:space="0" w:color="auto"/>
            </w:tcBorders>
          </w:tcPr>
          <w:p w14:paraId="797A15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11 826</w:t>
            </w:r>
          </w:p>
        </w:tc>
        <w:tc>
          <w:tcPr>
            <w:tcW w:w="794" w:type="dxa"/>
            <w:tcBorders>
              <w:top w:val="single" w:sz="6" w:space="0" w:color="auto"/>
              <w:bottom w:val="single" w:sz="12" w:space="0" w:color="auto"/>
            </w:tcBorders>
          </w:tcPr>
          <w:p w14:paraId="5BA5EF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12 180</w:t>
            </w:r>
          </w:p>
        </w:tc>
        <w:tc>
          <w:tcPr>
            <w:tcW w:w="794" w:type="dxa"/>
            <w:tcBorders>
              <w:top w:val="single" w:sz="6" w:space="0" w:color="auto"/>
              <w:bottom w:val="single" w:sz="12" w:space="0" w:color="auto"/>
            </w:tcBorders>
          </w:tcPr>
          <w:p w14:paraId="07E55D2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12 540</w:t>
            </w:r>
          </w:p>
        </w:tc>
      </w:tr>
    </w:tbl>
    <w:p w14:paraId="01B22D1D" w14:textId="77777777" w:rsidR="004135EE" w:rsidRPr="00BC25D0" w:rsidRDefault="004135EE" w:rsidP="004135EE">
      <w:bookmarkStart w:id="92" w:name="_Toc149221029"/>
    </w:p>
    <w:p w14:paraId="2B7959D9" w14:textId="77777777" w:rsidR="004135EE" w:rsidRPr="000404D2" w:rsidRDefault="004135EE" w:rsidP="004135EE">
      <w:pPr>
        <w:pStyle w:val="Heading30"/>
        <w:pageBreakBefore/>
      </w:pPr>
      <w:bookmarkStart w:id="93" w:name="_Toc184299094"/>
      <w:r>
        <w:t>4.3.2</w:t>
      </w:r>
      <w:r>
        <w:tab/>
      </w:r>
      <w:r w:rsidRPr="000404D2">
        <w:t>Superannuation expense</w:t>
      </w:r>
      <w:bookmarkEnd w:id="92"/>
      <w:bookmarkEnd w:id="93"/>
    </w:p>
    <w:p w14:paraId="6978A908" w14:textId="77777777" w:rsidR="004135EE" w:rsidRDefault="004135EE" w:rsidP="005C5C20">
      <w:pPr>
        <w:pStyle w:val="TableHeading"/>
      </w:pPr>
      <w:r>
        <w:t>Superannuation expense recognised in the operating statement</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Superannuation_OS|MergedHeadingRow:1"/>
      </w:tblPr>
      <w:tblGrid>
        <w:gridCol w:w="3740"/>
        <w:gridCol w:w="794"/>
        <w:gridCol w:w="794"/>
        <w:gridCol w:w="794"/>
        <w:gridCol w:w="794"/>
        <w:gridCol w:w="794"/>
      </w:tblGrid>
      <w:tr w:rsidR="004135EE" w14:paraId="197C62B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4F98886" w14:textId="77777777" w:rsidR="004135EE" w:rsidRDefault="004135EE" w:rsidP="008670FF">
            <w:pPr>
              <w:keepNext/>
            </w:pPr>
          </w:p>
        </w:tc>
        <w:tc>
          <w:tcPr>
            <w:tcW w:w="794" w:type="dxa"/>
          </w:tcPr>
          <w:p w14:paraId="03F756B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2C79D9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7EF5E9F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B1DC4C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0013FA7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1153ABE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3E43597" w14:textId="77777777" w:rsidR="004135EE" w:rsidRDefault="004135EE" w:rsidP="008670FF">
            <w:r>
              <w:rPr>
                <w:b/>
              </w:rPr>
              <w:t>Defined benefit plans</w:t>
            </w:r>
          </w:p>
        </w:tc>
        <w:tc>
          <w:tcPr>
            <w:tcW w:w="794" w:type="dxa"/>
          </w:tcPr>
          <w:p w14:paraId="74E8B5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E98CF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7535E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45F50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78E83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6738C79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1F5D00C" w14:textId="77777777" w:rsidR="004135EE" w:rsidRDefault="004135EE" w:rsidP="008670FF">
            <w:r>
              <w:t>Net superannuation interest expense</w:t>
            </w:r>
          </w:p>
        </w:tc>
        <w:tc>
          <w:tcPr>
            <w:tcW w:w="794" w:type="dxa"/>
          </w:tcPr>
          <w:p w14:paraId="5E3B39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774</w:t>
            </w:r>
          </w:p>
        </w:tc>
        <w:tc>
          <w:tcPr>
            <w:tcW w:w="794" w:type="dxa"/>
          </w:tcPr>
          <w:p w14:paraId="210B2F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783</w:t>
            </w:r>
          </w:p>
        </w:tc>
        <w:tc>
          <w:tcPr>
            <w:tcW w:w="794" w:type="dxa"/>
          </w:tcPr>
          <w:p w14:paraId="451CE3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00565A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796</w:t>
            </w:r>
          </w:p>
        </w:tc>
        <w:tc>
          <w:tcPr>
            <w:tcW w:w="794" w:type="dxa"/>
          </w:tcPr>
          <w:p w14:paraId="0BDAE2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785</w:t>
            </w:r>
          </w:p>
        </w:tc>
      </w:tr>
      <w:tr w:rsidR="004135EE" w14:paraId="11B15EC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84D17A1" w14:textId="77777777" w:rsidR="004135EE" w:rsidRDefault="004135EE" w:rsidP="008670FF">
            <w:r>
              <w:t>Current service cost</w:t>
            </w:r>
          </w:p>
        </w:tc>
        <w:tc>
          <w:tcPr>
            <w:tcW w:w="794" w:type="dxa"/>
          </w:tcPr>
          <w:p w14:paraId="10903F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1 037</w:t>
            </w:r>
          </w:p>
        </w:tc>
        <w:tc>
          <w:tcPr>
            <w:tcW w:w="794" w:type="dxa"/>
          </w:tcPr>
          <w:p w14:paraId="08EA6E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998</w:t>
            </w:r>
          </w:p>
        </w:tc>
        <w:tc>
          <w:tcPr>
            <w:tcW w:w="794" w:type="dxa"/>
          </w:tcPr>
          <w:p w14:paraId="249B6F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1 156</w:t>
            </w:r>
          </w:p>
        </w:tc>
        <w:tc>
          <w:tcPr>
            <w:tcW w:w="794" w:type="dxa"/>
          </w:tcPr>
          <w:p w14:paraId="7A0A4BD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1 232</w:t>
            </w:r>
          </w:p>
        </w:tc>
        <w:tc>
          <w:tcPr>
            <w:tcW w:w="794" w:type="dxa"/>
          </w:tcPr>
          <w:p w14:paraId="780C7A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1 316</w:t>
            </w:r>
          </w:p>
        </w:tc>
      </w:tr>
      <w:tr w:rsidR="004135EE" w14:paraId="3344135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C8E50E9" w14:textId="77777777" w:rsidR="004135EE" w:rsidRDefault="004135EE" w:rsidP="008670FF">
            <w:r>
              <w:t>Remeasurements:</w:t>
            </w:r>
          </w:p>
        </w:tc>
        <w:tc>
          <w:tcPr>
            <w:tcW w:w="794" w:type="dxa"/>
          </w:tcPr>
          <w:p w14:paraId="5AC2D9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01382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784FD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3F7FE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BF6B9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30D5A0D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5A6B4A4" w14:textId="77777777" w:rsidR="004135EE" w:rsidRDefault="004135EE" w:rsidP="008670FF">
            <w:r>
              <w:t>Expected return on superannuation assets excluding interest income</w:t>
            </w:r>
          </w:p>
        </w:tc>
        <w:tc>
          <w:tcPr>
            <w:tcW w:w="794" w:type="dxa"/>
          </w:tcPr>
          <w:p w14:paraId="776CCE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(725)</w:t>
            </w:r>
          </w:p>
        </w:tc>
        <w:tc>
          <w:tcPr>
            <w:tcW w:w="794" w:type="dxa"/>
          </w:tcPr>
          <w:p w14:paraId="24434C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(641)</w:t>
            </w:r>
          </w:p>
        </w:tc>
        <w:tc>
          <w:tcPr>
            <w:tcW w:w="794" w:type="dxa"/>
          </w:tcPr>
          <w:p w14:paraId="44CF14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(718)</w:t>
            </w:r>
          </w:p>
        </w:tc>
        <w:tc>
          <w:tcPr>
            <w:tcW w:w="794" w:type="dxa"/>
          </w:tcPr>
          <w:p w14:paraId="576463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(702)</w:t>
            </w:r>
          </w:p>
        </w:tc>
        <w:tc>
          <w:tcPr>
            <w:tcW w:w="794" w:type="dxa"/>
          </w:tcPr>
          <w:p w14:paraId="413BDE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(702)</w:t>
            </w:r>
          </w:p>
        </w:tc>
      </w:tr>
      <w:tr w:rsidR="004135EE" w14:paraId="7EFB4CF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E8814E0" w14:textId="77777777" w:rsidR="004135EE" w:rsidRDefault="004135EE" w:rsidP="008670FF">
            <w:r>
              <w:t>Other actuarial (gain)/loss on superannuation assets</w:t>
            </w:r>
          </w:p>
        </w:tc>
        <w:tc>
          <w:tcPr>
            <w:tcW w:w="794" w:type="dxa"/>
          </w:tcPr>
          <w:p w14:paraId="159594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678F0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(361)</w:t>
            </w:r>
          </w:p>
        </w:tc>
        <w:tc>
          <w:tcPr>
            <w:tcW w:w="794" w:type="dxa"/>
          </w:tcPr>
          <w:p w14:paraId="08A7B6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51708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F9E825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65ED0A1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9C3DE2C" w14:textId="77777777" w:rsidR="004135EE" w:rsidRDefault="004135EE" w:rsidP="008670FF">
            <w:r>
              <w:t>Actuarial and other adjustments to unfunded superannuation liability</w:t>
            </w:r>
          </w:p>
        </w:tc>
        <w:tc>
          <w:tcPr>
            <w:tcW w:w="794" w:type="dxa"/>
            <w:tcBorders>
              <w:bottom w:val="single" w:sz="6" w:space="0" w:color="auto"/>
            </w:tcBorders>
          </w:tcPr>
          <w:p w14:paraId="3A2EF4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653C9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1 522</w:t>
            </w:r>
          </w:p>
        </w:tc>
        <w:tc>
          <w:tcPr>
            <w:tcW w:w="794" w:type="dxa"/>
            <w:tcBorders>
              <w:bottom w:val="single" w:sz="6" w:space="0" w:color="auto"/>
            </w:tcBorders>
          </w:tcPr>
          <w:p w14:paraId="475850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2220C9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EEA849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0F59E42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1A80205" w14:textId="77777777" w:rsidR="004135EE" w:rsidRDefault="004135EE" w:rsidP="008670FF">
            <w:r>
              <w:rPr>
                <w:b/>
              </w:rPr>
              <w:t>Total expense recognised in respect of defined benefit plans</w:t>
            </w:r>
          </w:p>
        </w:tc>
        <w:tc>
          <w:tcPr>
            <w:tcW w:w="794" w:type="dxa"/>
            <w:tcBorders>
              <w:top w:val="single" w:sz="6" w:space="0" w:color="auto"/>
            </w:tcBorders>
          </w:tcPr>
          <w:p w14:paraId="35625D7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1 086</w:t>
            </w:r>
          </w:p>
        </w:tc>
        <w:tc>
          <w:tcPr>
            <w:tcW w:w="794" w:type="dxa"/>
            <w:tcBorders>
              <w:top w:val="single" w:sz="6" w:space="0" w:color="auto"/>
            </w:tcBorders>
          </w:tcPr>
          <w:p w14:paraId="19A8B4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2 302</w:t>
            </w:r>
          </w:p>
        </w:tc>
        <w:tc>
          <w:tcPr>
            <w:tcW w:w="794" w:type="dxa"/>
            <w:tcBorders>
              <w:top w:val="single" w:sz="6" w:space="0" w:color="auto"/>
            </w:tcBorders>
          </w:tcPr>
          <w:p w14:paraId="782B737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1 225</w:t>
            </w:r>
          </w:p>
        </w:tc>
        <w:tc>
          <w:tcPr>
            <w:tcW w:w="794" w:type="dxa"/>
            <w:tcBorders>
              <w:top w:val="single" w:sz="6" w:space="0" w:color="auto"/>
            </w:tcBorders>
          </w:tcPr>
          <w:p w14:paraId="35F9287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1 326</w:t>
            </w:r>
          </w:p>
        </w:tc>
        <w:tc>
          <w:tcPr>
            <w:tcW w:w="794" w:type="dxa"/>
            <w:tcBorders>
              <w:top w:val="single" w:sz="6" w:space="0" w:color="auto"/>
            </w:tcBorders>
          </w:tcPr>
          <w:p w14:paraId="329168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1 398</w:t>
            </w:r>
          </w:p>
        </w:tc>
      </w:tr>
      <w:tr w:rsidR="004135EE" w14:paraId="442B203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69271C8" w14:textId="77777777" w:rsidR="004135EE" w:rsidRDefault="004135EE" w:rsidP="008670FF">
            <w:r>
              <w:rPr>
                <w:b/>
              </w:rPr>
              <w:t>Defined contribution plans</w:t>
            </w:r>
          </w:p>
        </w:tc>
        <w:tc>
          <w:tcPr>
            <w:tcW w:w="794" w:type="dxa"/>
          </w:tcPr>
          <w:p w14:paraId="3B23AF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3098F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0E4D2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57B5EB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8ECEC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3CBD8D4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57F348C" w14:textId="77777777" w:rsidR="004135EE" w:rsidRDefault="004135EE" w:rsidP="008670FF">
            <w:r>
              <w:t>Employer contributions to defined contribution plans</w:t>
            </w:r>
          </w:p>
        </w:tc>
        <w:tc>
          <w:tcPr>
            <w:tcW w:w="794" w:type="dxa"/>
          </w:tcPr>
          <w:p w14:paraId="3C0FA7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2 732</w:t>
            </w:r>
          </w:p>
        </w:tc>
        <w:tc>
          <w:tcPr>
            <w:tcW w:w="794" w:type="dxa"/>
          </w:tcPr>
          <w:p w14:paraId="3F9B3A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2 982</w:t>
            </w:r>
          </w:p>
        </w:tc>
        <w:tc>
          <w:tcPr>
            <w:tcW w:w="794" w:type="dxa"/>
          </w:tcPr>
          <w:p w14:paraId="4118FF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2 865</w:t>
            </w:r>
          </w:p>
        </w:tc>
        <w:tc>
          <w:tcPr>
            <w:tcW w:w="794" w:type="dxa"/>
          </w:tcPr>
          <w:p w14:paraId="770CF0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2 905</w:t>
            </w:r>
          </w:p>
        </w:tc>
        <w:tc>
          <w:tcPr>
            <w:tcW w:w="794" w:type="dxa"/>
          </w:tcPr>
          <w:p w14:paraId="467976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2 983</w:t>
            </w:r>
          </w:p>
        </w:tc>
      </w:tr>
      <w:tr w:rsidR="004135EE" w14:paraId="4C95174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EE25E19" w14:textId="77777777" w:rsidR="004135EE" w:rsidRDefault="004135EE" w:rsidP="008670FF">
            <w:r>
              <w:t>Other (including pensions)</w:t>
            </w:r>
          </w:p>
        </w:tc>
        <w:tc>
          <w:tcPr>
            <w:tcW w:w="794" w:type="dxa"/>
            <w:tcBorders>
              <w:bottom w:val="single" w:sz="6" w:space="0" w:color="auto"/>
            </w:tcBorders>
          </w:tcPr>
          <w:p w14:paraId="5D40B5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103</w:t>
            </w:r>
          </w:p>
        </w:tc>
        <w:tc>
          <w:tcPr>
            <w:tcW w:w="794" w:type="dxa"/>
            <w:tcBorders>
              <w:bottom w:val="single" w:sz="6" w:space="0" w:color="auto"/>
            </w:tcBorders>
          </w:tcPr>
          <w:p w14:paraId="167F05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103</w:t>
            </w:r>
          </w:p>
        </w:tc>
        <w:tc>
          <w:tcPr>
            <w:tcW w:w="794" w:type="dxa"/>
            <w:tcBorders>
              <w:bottom w:val="single" w:sz="6" w:space="0" w:color="auto"/>
            </w:tcBorders>
          </w:tcPr>
          <w:p w14:paraId="220A91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105</w:t>
            </w:r>
          </w:p>
        </w:tc>
        <w:tc>
          <w:tcPr>
            <w:tcW w:w="794" w:type="dxa"/>
            <w:tcBorders>
              <w:bottom w:val="single" w:sz="6" w:space="0" w:color="auto"/>
            </w:tcBorders>
          </w:tcPr>
          <w:p w14:paraId="0A8DDC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108</w:t>
            </w:r>
          </w:p>
        </w:tc>
        <w:tc>
          <w:tcPr>
            <w:tcW w:w="794" w:type="dxa"/>
            <w:tcBorders>
              <w:bottom w:val="single" w:sz="6" w:space="0" w:color="auto"/>
            </w:tcBorders>
          </w:tcPr>
          <w:p w14:paraId="7F5720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110</w:t>
            </w:r>
          </w:p>
        </w:tc>
      </w:tr>
      <w:tr w:rsidR="004135EE" w14:paraId="3FFEB26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EAAD9D6" w14:textId="77777777" w:rsidR="004135EE" w:rsidRDefault="004135EE" w:rsidP="008670FF">
            <w:r>
              <w:rPr>
                <w:b/>
              </w:rPr>
              <w:t>Total expense recognised in respect of defined contribution plans</w:t>
            </w:r>
          </w:p>
        </w:tc>
        <w:tc>
          <w:tcPr>
            <w:tcW w:w="794" w:type="dxa"/>
            <w:tcBorders>
              <w:top w:val="single" w:sz="6" w:space="0" w:color="auto"/>
              <w:bottom w:val="single" w:sz="6" w:space="0" w:color="auto"/>
            </w:tcBorders>
          </w:tcPr>
          <w:p w14:paraId="4B738E7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2 835</w:t>
            </w:r>
          </w:p>
        </w:tc>
        <w:tc>
          <w:tcPr>
            <w:tcW w:w="794" w:type="dxa"/>
            <w:tcBorders>
              <w:top w:val="single" w:sz="6" w:space="0" w:color="auto"/>
              <w:bottom w:val="single" w:sz="6" w:space="0" w:color="auto"/>
            </w:tcBorders>
          </w:tcPr>
          <w:p w14:paraId="2B2CDC5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3 086</w:t>
            </w:r>
          </w:p>
        </w:tc>
        <w:tc>
          <w:tcPr>
            <w:tcW w:w="794" w:type="dxa"/>
            <w:tcBorders>
              <w:top w:val="single" w:sz="6" w:space="0" w:color="auto"/>
              <w:bottom w:val="single" w:sz="6" w:space="0" w:color="auto"/>
            </w:tcBorders>
          </w:tcPr>
          <w:p w14:paraId="730D0A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2 970</w:t>
            </w:r>
          </w:p>
        </w:tc>
        <w:tc>
          <w:tcPr>
            <w:tcW w:w="794" w:type="dxa"/>
            <w:tcBorders>
              <w:top w:val="single" w:sz="6" w:space="0" w:color="auto"/>
              <w:bottom w:val="single" w:sz="6" w:space="0" w:color="auto"/>
            </w:tcBorders>
          </w:tcPr>
          <w:p w14:paraId="5645CED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3 013</w:t>
            </w:r>
          </w:p>
        </w:tc>
        <w:tc>
          <w:tcPr>
            <w:tcW w:w="794" w:type="dxa"/>
            <w:tcBorders>
              <w:top w:val="single" w:sz="6" w:space="0" w:color="auto"/>
              <w:bottom w:val="single" w:sz="6" w:space="0" w:color="auto"/>
            </w:tcBorders>
          </w:tcPr>
          <w:p w14:paraId="4F1DA9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3 093</w:t>
            </w:r>
          </w:p>
        </w:tc>
      </w:tr>
      <w:tr w:rsidR="004135EE" w14:paraId="6DBE593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90F295B" w14:textId="77777777" w:rsidR="004135EE" w:rsidRDefault="004135EE" w:rsidP="008670FF">
            <w:r>
              <w:rPr>
                <w:b/>
              </w:rPr>
              <w:t>Total superannuation (gain)/expense recognised in operating statement</w:t>
            </w:r>
          </w:p>
        </w:tc>
        <w:tc>
          <w:tcPr>
            <w:tcW w:w="794" w:type="dxa"/>
            <w:tcBorders>
              <w:top w:val="single" w:sz="6" w:space="0" w:color="auto"/>
              <w:bottom w:val="single" w:sz="12" w:space="0" w:color="auto"/>
            </w:tcBorders>
          </w:tcPr>
          <w:p w14:paraId="45B25F4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3 921</w:t>
            </w:r>
          </w:p>
        </w:tc>
        <w:tc>
          <w:tcPr>
            <w:tcW w:w="794" w:type="dxa"/>
            <w:tcBorders>
              <w:top w:val="single" w:sz="6" w:space="0" w:color="auto"/>
              <w:bottom w:val="single" w:sz="12" w:space="0" w:color="auto"/>
            </w:tcBorders>
          </w:tcPr>
          <w:p w14:paraId="66FDEA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5 387</w:t>
            </w:r>
          </w:p>
        </w:tc>
        <w:tc>
          <w:tcPr>
            <w:tcW w:w="794" w:type="dxa"/>
            <w:tcBorders>
              <w:top w:val="single" w:sz="6" w:space="0" w:color="auto"/>
              <w:bottom w:val="single" w:sz="12" w:space="0" w:color="auto"/>
            </w:tcBorders>
          </w:tcPr>
          <w:p w14:paraId="3623BE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4 195</w:t>
            </w:r>
          </w:p>
        </w:tc>
        <w:tc>
          <w:tcPr>
            <w:tcW w:w="794" w:type="dxa"/>
            <w:tcBorders>
              <w:top w:val="single" w:sz="6" w:space="0" w:color="auto"/>
              <w:bottom w:val="single" w:sz="12" w:space="0" w:color="auto"/>
            </w:tcBorders>
          </w:tcPr>
          <w:p w14:paraId="1447DE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4 338</w:t>
            </w:r>
          </w:p>
        </w:tc>
        <w:tc>
          <w:tcPr>
            <w:tcW w:w="794" w:type="dxa"/>
            <w:tcBorders>
              <w:top w:val="single" w:sz="6" w:space="0" w:color="auto"/>
              <w:bottom w:val="single" w:sz="12" w:space="0" w:color="auto"/>
            </w:tcBorders>
          </w:tcPr>
          <w:p w14:paraId="241C53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4 490</w:t>
            </w:r>
          </w:p>
        </w:tc>
      </w:tr>
      <w:tr w:rsidR="004135EE" w14:paraId="7CE9960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A71324D" w14:textId="77777777" w:rsidR="004135EE" w:rsidRDefault="004135EE" w:rsidP="008670FF">
            <w:r>
              <w:rPr>
                <w:b/>
              </w:rPr>
              <w:t>Represented by:</w:t>
            </w:r>
          </w:p>
        </w:tc>
        <w:tc>
          <w:tcPr>
            <w:tcW w:w="794" w:type="dxa"/>
            <w:tcBorders>
              <w:top w:val="single" w:sz="6" w:space="0" w:color="auto"/>
            </w:tcBorders>
          </w:tcPr>
          <w:p w14:paraId="23A38B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41CBAE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D3A911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ADE39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A4B7C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6E824A2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2CBBDF" w14:textId="77777777" w:rsidR="004135EE" w:rsidRDefault="004135EE" w:rsidP="008670FF">
            <w:r>
              <w:t>Net superannuation interest expense</w:t>
            </w:r>
          </w:p>
        </w:tc>
        <w:tc>
          <w:tcPr>
            <w:tcW w:w="794" w:type="dxa"/>
          </w:tcPr>
          <w:p w14:paraId="573018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774</w:t>
            </w:r>
          </w:p>
        </w:tc>
        <w:tc>
          <w:tcPr>
            <w:tcW w:w="794" w:type="dxa"/>
          </w:tcPr>
          <w:p w14:paraId="6B2033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783</w:t>
            </w:r>
          </w:p>
        </w:tc>
        <w:tc>
          <w:tcPr>
            <w:tcW w:w="794" w:type="dxa"/>
          </w:tcPr>
          <w:p w14:paraId="4D62FD4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787</w:t>
            </w:r>
          </w:p>
        </w:tc>
        <w:tc>
          <w:tcPr>
            <w:tcW w:w="794" w:type="dxa"/>
          </w:tcPr>
          <w:p w14:paraId="699B445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796</w:t>
            </w:r>
          </w:p>
        </w:tc>
        <w:tc>
          <w:tcPr>
            <w:tcW w:w="794" w:type="dxa"/>
          </w:tcPr>
          <w:p w14:paraId="0498A1C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785</w:t>
            </w:r>
          </w:p>
        </w:tc>
      </w:tr>
      <w:tr w:rsidR="004135EE" w14:paraId="61F655ED"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7634FE6" w14:textId="77777777" w:rsidR="004135EE" w:rsidRDefault="004135EE" w:rsidP="008670FF">
            <w:r>
              <w:t>Other superannuation</w:t>
            </w:r>
          </w:p>
        </w:tc>
        <w:tc>
          <w:tcPr>
            <w:tcW w:w="794" w:type="dxa"/>
            <w:tcBorders>
              <w:bottom w:val="single" w:sz="6" w:space="0" w:color="auto"/>
            </w:tcBorders>
          </w:tcPr>
          <w:p w14:paraId="57FCF8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3 872</w:t>
            </w:r>
          </w:p>
        </w:tc>
        <w:tc>
          <w:tcPr>
            <w:tcW w:w="794" w:type="dxa"/>
            <w:tcBorders>
              <w:bottom w:val="single" w:sz="6" w:space="0" w:color="auto"/>
            </w:tcBorders>
          </w:tcPr>
          <w:p w14:paraId="1EC6FD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4 084</w:t>
            </w:r>
          </w:p>
        </w:tc>
        <w:tc>
          <w:tcPr>
            <w:tcW w:w="794" w:type="dxa"/>
            <w:tcBorders>
              <w:bottom w:val="single" w:sz="6" w:space="0" w:color="auto"/>
            </w:tcBorders>
          </w:tcPr>
          <w:p w14:paraId="52FABB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4 126</w:t>
            </w:r>
          </w:p>
        </w:tc>
        <w:tc>
          <w:tcPr>
            <w:tcW w:w="794" w:type="dxa"/>
            <w:tcBorders>
              <w:bottom w:val="single" w:sz="6" w:space="0" w:color="auto"/>
            </w:tcBorders>
          </w:tcPr>
          <w:p w14:paraId="77E8D8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4 245</w:t>
            </w:r>
          </w:p>
        </w:tc>
        <w:tc>
          <w:tcPr>
            <w:tcW w:w="794" w:type="dxa"/>
            <w:tcBorders>
              <w:bottom w:val="single" w:sz="6" w:space="0" w:color="auto"/>
            </w:tcBorders>
          </w:tcPr>
          <w:p w14:paraId="3ABF8FA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4 408</w:t>
            </w:r>
          </w:p>
        </w:tc>
      </w:tr>
      <w:tr w:rsidR="004135EE" w14:paraId="36D489F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24B4CA6" w14:textId="77777777" w:rsidR="004135EE" w:rsidRDefault="004135EE" w:rsidP="008670FF">
            <w:r>
              <w:rPr>
                <w:b/>
              </w:rPr>
              <w:t>Superannuation expense from transactions</w:t>
            </w:r>
          </w:p>
        </w:tc>
        <w:tc>
          <w:tcPr>
            <w:tcW w:w="794" w:type="dxa"/>
            <w:tcBorders>
              <w:top w:val="single" w:sz="6" w:space="0" w:color="auto"/>
              <w:bottom w:val="single" w:sz="6" w:space="0" w:color="auto"/>
            </w:tcBorders>
          </w:tcPr>
          <w:p w14:paraId="5DC8573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4 646</w:t>
            </w:r>
          </w:p>
        </w:tc>
        <w:tc>
          <w:tcPr>
            <w:tcW w:w="794" w:type="dxa"/>
            <w:tcBorders>
              <w:top w:val="single" w:sz="6" w:space="0" w:color="auto"/>
              <w:bottom w:val="single" w:sz="6" w:space="0" w:color="auto"/>
            </w:tcBorders>
          </w:tcPr>
          <w:p w14:paraId="69C5D94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4 867</w:t>
            </w:r>
          </w:p>
        </w:tc>
        <w:tc>
          <w:tcPr>
            <w:tcW w:w="794" w:type="dxa"/>
            <w:tcBorders>
              <w:top w:val="single" w:sz="6" w:space="0" w:color="auto"/>
              <w:bottom w:val="single" w:sz="6" w:space="0" w:color="auto"/>
            </w:tcBorders>
          </w:tcPr>
          <w:p w14:paraId="662E4B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4 913</w:t>
            </w:r>
          </w:p>
        </w:tc>
        <w:tc>
          <w:tcPr>
            <w:tcW w:w="794" w:type="dxa"/>
            <w:tcBorders>
              <w:top w:val="single" w:sz="6" w:space="0" w:color="auto"/>
              <w:bottom w:val="single" w:sz="6" w:space="0" w:color="auto"/>
            </w:tcBorders>
          </w:tcPr>
          <w:p w14:paraId="190F352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5 040</w:t>
            </w:r>
          </w:p>
        </w:tc>
        <w:tc>
          <w:tcPr>
            <w:tcW w:w="794" w:type="dxa"/>
            <w:tcBorders>
              <w:top w:val="single" w:sz="6" w:space="0" w:color="auto"/>
              <w:bottom w:val="single" w:sz="6" w:space="0" w:color="auto"/>
            </w:tcBorders>
          </w:tcPr>
          <w:p w14:paraId="77774D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5 193</w:t>
            </w:r>
          </w:p>
        </w:tc>
      </w:tr>
      <w:tr w:rsidR="004135EE" w14:paraId="0E1091E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2BD0406" w14:textId="77777777" w:rsidR="004135EE" w:rsidRDefault="004135EE" w:rsidP="008670FF">
            <w:r>
              <w:rPr>
                <w:b/>
              </w:rPr>
              <w:t>Remeasurements recognised in other comprehensive income</w:t>
            </w:r>
          </w:p>
        </w:tc>
        <w:tc>
          <w:tcPr>
            <w:tcW w:w="794" w:type="dxa"/>
            <w:tcBorders>
              <w:top w:val="single" w:sz="6" w:space="0" w:color="auto"/>
              <w:bottom w:val="single" w:sz="6" w:space="0" w:color="auto"/>
            </w:tcBorders>
          </w:tcPr>
          <w:p w14:paraId="78501E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(725)</w:t>
            </w:r>
          </w:p>
        </w:tc>
        <w:tc>
          <w:tcPr>
            <w:tcW w:w="794" w:type="dxa"/>
            <w:tcBorders>
              <w:top w:val="single" w:sz="6" w:space="0" w:color="auto"/>
              <w:bottom w:val="single" w:sz="6" w:space="0" w:color="auto"/>
            </w:tcBorders>
          </w:tcPr>
          <w:p w14:paraId="34A9BAD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520</w:t>
            </w:r>
          </w:p>
        </w:tc>
        <w:tc>
          <w:tcPr>
            <w:tcW w:w="794" w:type="dxa"/>
            <w:tcBorders>
              <w:top w:val="single" w:sz="6" w:space="0" w:color="auto"/>
              <w:bottom w:val="single" w:sz="6" w:space="0" w:color="auto"/>
            </w:tcBorders>
          </w:tcPr>
          <w:p w14:paraId="6E728B7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(718)</w:t>
            </w:r>
          </w:p>
        </w:tc>
        <w:tc>
          <w:tcPr>
            <w:tcW w:w="794" w:type="dxa"/>
            <w:tcBorders>
              <w:top w:val="single" w:sz="6" w:space="0" w:color="auto"/>
              <w:bottom w:val="single" w:sz="6" w:space="0" w:color="auto"/>
            </w:tcBorders>
          </w:tcPr>
          <w:p w14:paraId="3B5D7C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(702)</w:t>
            </w:r>
          </w:p>
        </w:tc>
        <w:tc>
          <w:tcPr>
            <w:tcW w:w="794" w:type="dxa"/>
            <w:tcBorders>
              <w:top w:val="single" w:sz="6" w:space="0" w:color="auto"/>
              <w:bottom w:val="single" w:sz="6" w:space="0" w:color="auto"/>
            </w:tcBorders>
          </w:tcPr>
          <w:p w14:paraId="0C9012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(702)</w:t>
            </w:r>
          </w:p>
        </w:tc>
      </w:tr>
      <w:tr w:rsidR="004135EE" w14:paraId="63E367D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CB91777" w14:textId="77777777" w:rsidR="004135EE" w:rsidRDefault="004135EE" w:rsidP="008670FF">
            <w:r>
              <w:rPr>
                <w:b/>
              </w:rPr>
              <w:t>Total superannuation expense recognised in operating statement</w:t>
            </w:r>
          </w:p>
        </w:tc>
        <w:tc>
          <w:tcPr>
            <w:tcW w:w="794" w:type="dxa"/>
            <w:tcBorders>
              <w:top w:val="single" w:sz="6" w:space="0" w:color="auto"/>
              <w:bottom w:val="single" w:sz="12" w:space="0" w:color="auto"/>
            </w:tcBorders>
          </w:tcPr>
          <w:p w14:paraId="53C608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3 921</w:t>
            </w:r>
          </w:p>
        </w:tc>
        <w:tc>
          <w:tcPr>
            <w:tcW w:w="794" w:type="dxa"/>
            <w:tcBorders>
              <w:top w:val="single" w:sz="6" w:space="0" w:color="auto"/>
              <w:bottom w:val="single" w:sz="12" w:space="0" w:color="auto"/>
            </w:tcBorders>
          </w:tcPr>
          <w:p w14:paraId="6F52082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5 387</w:t>
            </w:r>
          </w:p>
        </w:tc>
        <w:tc>
          <w:tcPr>
            <w:tcW w:w="794" w:type="dxa"/>
            <w:tcBorders>
              <w:top w:val="single" w:sz="6" w:space="0" w:color="auto"/>
              <w:bottom w:val="single" w:sz="12" w:space="0" w:color="auto"/>
            </w:tcBorders>
          </w:tcPr>
          <w:p w14:paraId="390F8A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4 195</w:t>
            </w:r>
          </w:p>
        </w:tc>
        <w:tc>
          <w:tcPr>
            <w:tcW w:w="794" w:type="dxa"/>
            <w:tcBorders>
              <w:top w:val="single" w:sz="6" w:space="0" w:color="auto"/>
              <w:bottom w:val="single" w:sz="12" w:space="0" w:color="auto"/>
            </w:tcBorders>
          </w:tcPr>
          <w:p w14:paraId="2446CB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4 338</w:t>
            </w:r>
          </w:p>
        </w:tc>
        <w:tc>
          <w:tcPr>
            <w:tcW w:w="794" w:type="dxa"/>
            <w:tcBorders>
              <w:top w:val="single" w:sz="6" w:space="0" w:color="auto"/>
              <w:bottom w:val="single" w:sz="12" w:space="0" w:color="auto"/>
            </w:tcBorders>
          </w:tcPr>
          <w:p w14:paraId="4AE8E69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4 490</w:t>
            </w:r>
          </w:p>
        </w:tc>
      </w:tr>
    </w:tbl>
    <w:p w14:paraId="26140218" w14:textId="77777777" w:rsidR="004135EE" w:rsidRPr="008329E1" w:rsidRDefault="004135EE" w:rsidP="004135EE">
      <w:r w:rsidRPr="008329E1">
        <w:t xml:space="preserve">The accounting policies relating to superannuation expenses and liabilities are consistent with the </w:t>
      </w:r>
      <w:r w:rsidRPr="008329E1">
        <w:rPr>
          <w:i/>
        </w:rPr>
        <w:t>202</w:t>
      </w:r>
      <w:r>
        <w:rPr>
          <w:i/>
        </w:rPr>
        <w:t>4-25</w:t>
      </w:r>
      <w:r w:rsidRPr="008329E1">
        <w:rPr>
          <w:i/>
        </w:rPr>
        <w:t xml:space="preserve"> Budget</w:t>
      </w:r>
      <w:r w:rsidRPr="008329E1">
        <w:t>. However, the forecast assumptions have been revised for each relevant defined benefit superannuation scheme as in the following table.</w:t>
      </w:r>
    </w:p>
    <w:p w14:paraId="49EC8B8F" w14:textId="77777777" w:rsidR="005C5C20" w:rsidRDefault="005C5C20">
      <w:pPr>
        <w:keepLines w:val="0"/>
        <w:rPr>
          <w:rFonts w:asciiTheme="majorHAnsi" w:hAnsiTheme="majorHAnsi" w:cstheme="minorBidi"/>
          <w:b/>
          <w:iCs/>
          <w:sz w:val="20"/>
          <w:szCs w:val="18"/>
        </w:rPr>
      </w:pPr>
      <w:r>
        <w:br w:type="page"/>
      </w:r>
    </w:p>
    <w:p w14:paraId="68A11BC6" w14:textId="5FC955C7" w:rsidR="004135EE" w:rsidRDefault="004135EE" w:rsidP="005C5C20">
      <w:pPr>
        <w:pStyle w:val="TableHeading"/>
      </w:pPr>
      <w:r w:rsidRPr="008329E1">
        <w:t>Superannuation assumptions</w:t>
      </w:r>
      <w:r w:rsidRPr="008329E1">
        <w:tab/>
        <w:t>(per cent)</w:t>
      </w:r>
    </w:p>
    <w:tbl>
      <w:tblPr>
        <w:tblStyle w:val="DTFTable"/>
        <w:tblW w:w="7710" w:type="dxa"/>
        <w:tblLayout w:type="fixed"/>
        <w:tblLook w:val="06A0" w:firstRow="1" w:lastRow="0" w:firstColumn="1" w:lastColumn="0" w:noHBand="1" w:noVBand="1"/>
      </w:tblPr>
      <w:tblGrid>
        <w:gridCol w:w="6663"/>
        <w:gridCol w:w="1047"/>
      </w:tblGrid>
      <w:tr w:rsidR="004135EE" w:rsidRPr="00141EE5" w14:paraId="5739A4F9" w14:textId="77777777" w:rsidTr="00867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07B35898" w14:textId="77777777" w:rsidR="004135EE" w:rsidRPr="00141EE5" w:rsidRDefault="004135EE" w:rsidP="008670FF">
            <w:r w:rsidRPr="00141EE5">
              <w:t xml:space="preserve">Underlying assumptions for all listed schemes </w:t>
            </w:r>
            <w:r w:rsidRPr="0089318D">
              <w:rPr>
                <w:vertAlign w:val="superscript"/>
              </w:rPr>
              <w:t>(a)</w:t>
            </w:r>
          </w:p>
        </w:tc>
        <w:tc>
          <w:tcPr>
            <w:tcW w:w="1047" w:type="dxa"/>
          </w:tcPr>
          <w:p w14:paraId="065A74A5" w14:textId="77777777" w:rsidR="004135EE" w:rsidRPr="00141EE5" w:rsidRDefault="004135EE" w:rsidP="008670FF">
            <w:pPr>
              <w:cnfStyle w:val="100000000000" w:firstRow="1" w:lastRow="0" w:firstColumn="0" w:lastColumn="0" w:oddVBand="0" w:evenVBand="0" w:oddHBand="0" w:evenHBand="0" w:firstRowFirstColumn="0" w:firstRowLastColumn="0" w:lastRowFirstColumn="0" w:lastRowLastColumn="0"/>
            </w:pPr>
          </w:p>
        </w:tc>
      </w:tr>
      <w:tr w:rsidR="004135EE" w:rsidRPr="00141EE5" w14:paraId="3FE76F9D" w14:textId="77777777" w:rsidTr="008670FF">
        <w:tc>
          <w:tcPr>
            <w:cnfStyle w:val="001000000000" w:firstRow="0" w:lastRow="0" w:firstColumn="1" w:lastColumn="0" w:oddVBand="0" w:evenVBand="0" w:oddHBand="0" w:evenHBand="0" w:firstRowFirstColumn="0" w:firstRowLastColumn="0" w:lastRowFirstColumn="0" w:lastRowLastColumn="0"/>
            <w:tcW w:w="6663" w:type="dxa"/>
          </w:tcPr>
          <w:p w14:paraId="597AC5CA" w14:textId="77777777" w:rsidR="004135EE" w:rsidRPr="00141EE5" w:rsidRDefault="004135EE" w:rsidP="008670FF">
            <w:r w:rsidRPr="00141EE5">
              <w:t xml:space="preserve">Discount rate </w:t>
            </w:r>
            <w:r w:rsidRPr="0089318D">
              <w:rPr>
                <w:vertAlign w:val="superscript"/>
              </w:rPr>
              <w:t>(b)</w:t>
            </w:r>
          </w:p>
        </w:tc>
        <w:tc>
          <w:tcPr>
            <w:tcW w:w="1047" w:type="dxa"/>
          </w:tcPr>
          <w:p w14:paraId="5602AE59"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4.1</w:t>
            </w:r>
          </w:p>
        </w:tc>
      </w:tr>
      <w:tr w:rsidR="004135EE" w:rsidRPr="00141EE5" w14:paraId="43581402" w14:textId="77777777" w:rsidTr="008670FF">
        <w:tc>
          <w:tcPr>
            <w:cnfStyle w:val="001000000000" w:firstRow="0" w:lastRow="0" w:firstColumn="1" w:lastColumn="0" w:oddVBand="0" w:evenVBand="0" w:oddHBand="0" w:evenHBand="0" w:firstRowFirstColumn="0" w:firstRowLastColumn="0" w:lastRowFirstColumn="0" w:lastRowLastColumn="0"/>
            <w:tcW w:w="6663" w:type="dxa"/>
          </w:tcPr>
          <w:p w14:paraId="2CB1A75D" w14:textId="77777777" w:rsidR="004135EE" w:rsidRPr="00141EE5" w:rsidRDefault="004135EE" w:rsidP="008670FF">
            <w:r w:rsidRPr="00141EE5">
              <w:t xml:space="preserve">Wages growth </w:t>
            </w:r>
            <w:r w:rsidRPr="0089318D">
              <w:rPr>
                <w:vertAlign w:val="superscript"/>
              </w:rPr>
              <w:t>(c)</w:t>
            </w:r>
          </w:p>
        </w:tc>
        <w:tc>
          <w:tcPr>
            <w:tcW w:w="1047" w:type="dxa"/>
          </w:tcPr>
          <w:p w14:paraId="366E5FA5"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3.3</w:t>
            </w:r>
          </w:p>
        </w:tc>
      </w:tr>
      <w:tr w:rsidR="004135EE" w:rsidRPr="00141EE5" w14:paraId="25825602" w14:textId="77777777" w:rsidTr="008670FF">
        <w:tc>
          <w:tcPr>
            <w:cnfStyle w:val="001000000000" w:firstRow="0" w:lastRow="0" w:firstColumn="1" w:lastColumn="0" w:oddVBand="0" w:evenVBand="0" w:oddHBand="0" w:evenHBand="0" w:firstRowFirstColumn="0" w:firstRowLastColumn="0" w:lastRowFirstColumn="0" w:lastRowLastColumn="0"/>
            <w:tcW w:w="6663" w:type="dxa"/>
            <w:tcBorders>
              <w:bottom w:val="nil"/>
            </w:tcBorders>
          </w:tcPr>
          <w:p w14:paraId="25046D1D" w14:textId="77777777" w:rsidR="004135EE" w:rsidRPr="00141EE5" w:rsidRDefault="004135EE" w:rsidP="008670FF">
            <w:r w:rsidRPr="00141EE5">
              <w:t xml:space="preserve">Inflation rate </w:t>
            </w:r>
            <w:r w:rsidRPr="0089318D">
              <w:rPr>
                <w:vertAlign w:val="superscript"/>
              </w:rPr>
              <w:t>(c)(d)</w:t>
            </w:r>
          </w:p>
        </w:tc>
        <w:tc>
          <w:tcPr>
            <w:tcW w:w="1047" w:type="dxa"/>
            <w:tcBorders>
              <w:bottom w:val="nil"/>
            </w:tcBorders>
          </w:tcPr>
          <w:p w14:paraId="35DAC9F4"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2.5</w:t>
            </w:r>
          </w:p>
        </w:tc>
      </w:tr>
      <w:tr w:rsidR="004135EE" w:rsidRPr="001F7012" w14:paraId="3DD7FC10" w14:textId="77777777" w:rsidTr="008670FF">
        <w:tc>
          <w:tcPr>
            <w:cnfStyle w:val="001000000000" w:firstRow="0" w:lastRow="0" w:firstColumn="1" w:lastColumn="0" w:oddVBand="0" w:evenVBand="0" w:oddHBand="0" w:evenHBand="0" w:firstRowFirstColumn="0" w:firstRowLastColumn="0" w:lastRowFirstColumn="0" w:lastRowLastColumn="0"/>
            <w:tcW w:w="6663" w:type="dxa"/>
            <w:tcBorders>
              <w:bottom w:val="nil"/>
            </w:tcBorders>
            <w:shd w:val="clear" w:color="auto" w:fill="000000" w:themeFill="text1"/>
          </w:tcPr>
          <w:p w14:paraId="142A3F54" w14:textId="77777777" w:rsidR="004135EE" w:rsidRPr="001F7012" w:rsidRDefault="004135EE" w:rsidP="008670FF">
            <w:pPr>
              <w:rPr>
                <w:i/>
                <w:iCs/>
              </w:rPr>
            </w:pPr>
            <w:r w:rsidRPr="001F7012">
              <w:rPr>
                <w:i/>
                <w:iCs/>
              </w:rPr>
              <w:t xml:space="preserve">Expected return on assets </w:t>
            </w:r>
            <w:r w:rsidRPr="001F7012">
              <w:rPr>
                <w:i/>
                <w:iCs/>
                <w:vertAlign w:val="superscript"/>
              </w:rPr>
              <w:t>(e)</w:t>
            </w:r>
          </w:p>
        </w:tc>
        <w:tc>
          <w:tcPr>
            <w:tcW w:w="1047" w:type="dxa"/>
            <w:tcBorders>
              <w:bottom w:val="nil"/>
            </w:tcBorders>
            <w:shd w:val="clear" w:color="auto" w:fill="000000" w:themeFill="text1"/>
          </w:tcPr>
          <w:p w14:paraId="33CC40A0" w14:textId="77777777" w:rsidR="004135EE" w:rsidRPr="001F7012" w:rsidRDefault="004135EE" w:rsidP="008670FF">
            <w:pPr>
              <w:cnfStyle w:val="000000000000" w:firstRow="0" w:lastRow="0" w:firstColumn="0" w:lastColumn="0" w:oddVBand="0" w:evenVBand="0" w:oddHBand="0" w:evenHBand="0" w:firstRowFirstColumn="0" w:firstRowLastColumn="0" w:lastRowFirstColumn="0" w:lastRowLastColumn="0"/>
              <w:rPr>
                <w:i/>
                <w:iCs/>
              </w:rPr>
            </w:pPr>
          </w:p>
        </w:tc>
      </w:tr>
      <w:tr w:rsidR="004135EE" w:rsidRPr="00141EE5" w14:paraId="477BA6BE" w14:textId="77777777" w:rsidTr="008670FF">
        <w:tc>
          <w:tcPr>
            <w:cnfStyle w:val="001000000000" w:firstRow="0" w:lastRow="0" w:firstColumn="1" w:lastColumn="0" w:oddVBand="0" w:evenVBand="0" w:oddHBand="0" w:evenHBand="0" w:firstRowFirstColumn="0" w:firstRowLastColumn="0" w:lastRowFirstColumn="0" w:lastRowLastColumn="0"/>
            <w:tcW w:w="6663" w:type="dxa"/>
            <w:tcBorders>
              <w:top w:val="nil"/>
            </w:tcBorders>
          </w:tcPr>
          <w:p w14:paraId="21EDC5A9" w14:textId="77777777" w:rsidR="004135EE" w:rsidRPr="00141EE5" w:rsidRDefault="004135EE" w:rsidP="008670FF">
            <w:r w:rsidRPr="00141EE5">
              <w:t>Emergency Services and State Super</w:t>
            </w:r>
          </w:p>
        </w:tc>
        <w:tc>
          <w:tcPr>
            <w:tcW w:w="1047" w:type="dxa"/>
            <w:tcBorders>
              <w:top w:val="nil"/>
            </w:tcBorders>
          </w:tcPr>
          <w:p w14:paraId="39C4A1B0"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7.0</w:t>
            </w:r>
          </w:p>
        </w:tc>
      </w:tr>
      <w:tr w:rsidR="004135EE" w:rsidRPr="00141EE5" w14:paraId="1A9D3A2C" w14:textId="77777777" w:rsidTr="008670FF">
        <w:tc>
          <w:tcPr>
            <w:cnfStyle w:val="001000000000" w:firstRow="0" w:lastRow="0" w:firstColumn="1" w:lastColumn="0" w:oddVBand="0" w:evenVBand="0" w:oddHBand="0" w:evenHBand="0" w:firstRowFirstColumn="0" w:firstRowLastColumn="0" w:lastRowFirstColumn="0" w:lastRowLastColumn="0"/>
            <w:tcW w:w="6663" w:type="dxa"/>
          </w:tcPr>
          <w:p w14:paraId="6DB89DA3" w14:textId="77777777" w:rsidR="004135EE" w:rsidRPr="00141EE5" w:rsidRDefault="004135EE" w:rsidP="008670FF">
            <w:r w:rsidRPr="00141EE5">
              <w:t>Health Super Fund Defined Benefit Scheme</w:t>
            </w:r>
          </w:p>
        </w:tc>
        <w:tc>
          <w:tcPr>
            <w:tcW w:w="1047" w:type="dxa"/>
          </w:tcPr>
          <w:p w14:paraId="5E847584"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4.6</w:t>
            </w:r>
          </w:p>
        </w:tc>
      </w:tr>
      <w:tr w:rsidR="004135EE" w:rsidRPr="00141EE5" w14:paraId="54C040D4" w14:textId="77777777" w:rsidTr="008670FF">
        <w:tc>
          <w:tcPr>
            <w:cnfStyle w:val="001000000000" w:firstRow="0" w:lastRow="0" w:firstColumn="1" w:lastColumn="0" w:oddVBand="0" w:evenVBand="0" w:oddHBand="0" w:evenHBand="0" w:firstRowFirstColumn="0" w:firstRowLastColumn="0" w:lastRowFirstColumn="0" w:lastRowLastColumn="0"/>
            <w:tcW w:w="6663" w:type="dxa"/>
          </w:tcPr>
          <w:p w14:paraId="1CCD6F12" w14:textId="77777777" w:rsidR="004135EE" w:rsidRPr="00141EE5" w:rsidRDefault="004135EE" w:rsidP="008670FF">
            <w:r w:rsidRPr="00141EE5">
              <w:t xml:space="preserve">Constitutionally protected schemes </w:t>
            </w:r>
            <w:r w:rsidRPr="0089318D">
              <w:rPr>
                <w:vertAlign w:val="superscript"/>
              </w:rPr>
              <w:t>(f)</w:t>
            </w:r>
          </w:p>
        </w:tc>
        <w:tc>
          <w:tcPr>
            <w:tcW w:w="1047" w:type="dxa"/>
          </w:tcPr>
          <w:p w14:paraId="102ACB27" w14:textId="77777777" w:rsidR="004135EE" w:rsidRPr="00141EE5" w:rsidRDefault="004135EE" w:rsidP="008670FF">
            <w:pPr>
              <w:cnfStyle w:val="000000000000" w:firstRow="0" w:lastRow="0" w:firstColumn="0" w:lastColumn="0" w:oddVBand="0" w:evenVBand="0" w:oddHBand="0" w:evenHBand="0" w:firstRowFirstColumn="0" w:firstRowLastColumn="0" w:lastRowFirstColumn="0" w:lastRowLastColumn="0"/>
            </w:pPr>
            <w:r>
              <w:t>n.a.</w:t>
            </w:r>
          </w:p>
        </w:tc>
      </w:tr>
    </w:tbl>
    <w:p w14:paraId="6E83DE8D" w14:textId="77777777" w:rsidR="004135EE" w:rsidRPr="00FC6AC0" w:rsidRDefault="004135EE" w:rsidP="004135EE">
      <w:pPr>
        <w:pStyle w:val="Note"/>
      </w:pPr>
      <w:r w:rsidRPr="00FC6AC0">
        <w:t>Notes:</w:t>
      </w:r>
    </w:p>
    <w:p w14:paraId="53FDC9BF" w14:textId="77777777" w:rsidR="004135EE" w:rsidRPr="00FC6AC0" w:rsidRDefault="004135EE" w:rsidP="004135EE">
      <w:pPr>
        <w:pStyle w:val="Note"/>
      </w:pPr>
      <w:r w:rsidRPr="00FC6AC0">
        <w:t>(a)</w:t>
      </w:r>
      <w:r w:rsidRPr="00FC6AC0">
        <w:tab/>
        <w:t>All rates are nominal annual rates and are applicable to all the listed schemes.</w:t>
      </w:r>
    </w:p>
    <w:p w14:paraId="4A318E69" w14:textId="77777777" w:rsidR="004135EE" w:rsidRPr="00FC6AC0" w:rsidRDefault="004135EE" w:rsidP="004135EE">
      <w:pPr>
        <w:pStyle w:val="Note"/>
      </w:pPr>
      <w:r w:rsidRPr="00FC6AC0">
        <w:t>(b)</w:t>
      </w:r>
      <w:r w:rsidRPr="00FC6AC0">
        <w:tab/>
        <w:t>The discount rate is based on a long</w:t>
      </w:r>
      <w:r>
        <w:noBreakHyphen/>
      </w:r>
      <w:r w:rsidRPr="00FC6AC0">
        <w:t>term fixed interest Commonwealth bond rate. The rate stated above is an annual effective rate, gross of tax.</w:t>
      </w:r>
    </w:p>
    <w:p w14:paraId="6A312CCE" w14:textId="77777777" w:rsidR="004135EE" w:rsidRPr="00FC6AC0" w:rsidRDefault="004135EE" w:rsidP="004135EE">
      <w:pPr>
        <w:pStyle w:val="Note"/>
      </w:pPr>
      <w:r w:rsidRPr="00FC6AC0">
        <w:t>(c)</w:t>
      </w:r>
      <w:r w:rsidRPr="00FC6AC0">
        <w:tab/>
      </w:r>
      <w:r>
        <w:t>The wages growth and inflation rates, for both salary and pension increases, assumed by the actuary are based on the experience of the fund along with long</w:t>
      </w:r>
      <w:r>
        <w:noBreakHyphen/>
        <w:t>term economic and market indicators.</w:t>
      </w:r>
    </w:p>
    <w:p w14:paraId="7B90D2CB" w14:textId="369F0AE2" w:rsidR="004135EE" w:rsidRPr="00FC6AC0" w:rsidRDefault="004135EE" w:rsidP="004135EE">
      <w:pPr>
        <w:pStyle w:val="Note"/>
      </w:pPr>
      <w:r w:rsidRPr="00FC6AC0">
        <w:t>(d)</w:t>
      </w:r>
      <w:r w:rsidRPr="00FC6AC0">
        <w:tab/>
      </w:r>
      <w:r>
        <w:t xml:space="preserve">The superannuation assumptions are determined in accordance with AASB 119 </w:t>
      </w:r>
      <w:r w:rsidRPr="00F8428F">
        <w:rPr>
          <w:i w:val="0"/>
          <w:iCs/>
        </w:rPr>
        <w:t>Employee Benefits</w:t>
      </w:r>
      <w:r>
        <w:t>.</w:t>
      </w:r>
    </w:p>
    <w:p w14:paraId="7DF3AE87" w14:textId="77777777" w:rsidR="004135EE" w:rsidRPr="00FC6AC0" w:rsidRDefault="004135EE" w:rsidP="004135EE">
      <w:pPr>
        <w:pStyle w:val="Note"/>
      </w:pPr>
      <w:r w:rsidRPr="00FC6AC0">
        <w:t>(e)</w:t>
      </w:r>
      <w:r w:rsidRPr="00FC6AC0">
        <w:tab/>
        <w:t xml:space="preserve">The expected return on assets stated is gross of tax. Estimated tax payments are explicitly allowed for in the calculation process. </w:t>
      </w:r>
    </w:p>
    <w:p w14:paraId="087B69C2" w14:textId="77777777" w:rsidR="004135EE" w:rsidRDefault="004135EE" w:rsidP="004135EE">
      <w:pPr>
        <w:pStyle w:val="Note"/>
      </w:pPr>
      <w:r w:rsidRPr="00FC6AC0">
        <w:t>(f)</w:t>
      </w:r>
      <w:r w:rsidRPr="00FC6AC0">
        <w:tab/>
        <w:t>Pensions payable from constitutionally protected schemes are paid from the Consolidated Fund. These schemes hold no assets, so</w:t>
      </w:r>
      <w:r>
        <w:t> </w:t>
      </w:r>
      <w:r w:rsidRPr="00FC6AC0">
        <w:t>there is no expected return on assets.</w:t>
      </w:r>
    </w:p>
    <w:p w14:paraId="0194DC92" w14:textId="77777777" w:rsidR="004135EE" w:rsidRPr="00FC6AC0" w:rsidRDefault="004135EE" w:rsidP="004135EE"/>
    <w:p w14:paraId="46DE7D25" w14:textId="3F0CB992" w:rsidR="004135EE" w:rsidRPr="00BC2EDC" w:rsidRDefault="004135EE" w:rsidP="004135EE">
      <w:pPr>
        <w:pStyle w:val="Heading30"/>
      </w:pPr>
      <w:bookmarkStart w:id="94" w:name="_Toc184299095"/>
      <w:bookmarkStart w:id="95" w:name="_Toc149221030"/>
      <w:r>
        <w:t>4.3.3</w:t>
      </w:r>
      <w:r>
        <w:tab/>
      </w:r>
      <w:r w:rsidRPr="00BC2EDC">
        <w:t>Superannuation</w:t>
      </w:r>
      <w:r>
        <w:t xml:space="preserve"> </w:t>
      </w:r>
      <w:r w:rsidR="005C5C20">
        <w:t>liability</w:t>
      </w:r>
      <w:bookmarkEnd w:id="94"/>
    </w:p>
    <w:p w14:paraId="6073BF72" w14:textId="77777777" w:rsidR="004135EE" w:rsidRDefault="004135EE" w:rsidP="005C5C20">
      <w:pPr>
        <w:pStyle w:val="TableHeading"/>
      </w:pPr>
      <w:r w:rsidRPr="00D02438">
        <w:t>Reconciliation of the superannuation liabilities</w:t>
      </w:r>
      <w:r w:rsidRPr="00D02438">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Superannuation.xlsx|Table:Superannuation_liability|MergedHeadingRow:1"/>
      </w:tblPr>
      <w:tblGrid>
        <w:gridCol w:w="3686"/>
        <w:gridCol w:w="709"/>
        <w:gridCol w:w="850"/>
        <w:gridCol w:w="877"/>
        <w:gridCol w:w="794"/>
        <w:gridCol w:w="794"/>
      </w:tblGrid>
      <w:tr w:rsidR="004135EE" w14:paraId="09EF1DD3"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538456E6" w14:textId="77777777" w:rsidR="004135EE" w:rsidRDefault="004135EE" w:rsidP="008670FF">
            <w:pPr>
              <w:keepNext/>
            </w:pPr>
          </w:p>
        </w:tc>
        <w:tc>
          <w:tcPr>
            <w:tcW w:w="709" w:type="dxa"/>
            <w:tcBorders>
              <w:top w:val="single" w:sz="6" w:space="0" w:color="auto"/>
            </w:tcBorders>
          </w:tcPr>
          <w:p w14:paraId="1706914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850" w:type="dxa"/>
            <w:tcBorders>
              <w:top w:val="single" w:sz="6" w:space="0" w:color="auto"/>
            </w:tcBorders>
          </w:tcPr>
          <w:p w14:paraId="71FFC42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77" w:type="dxa"/>
            <w:tcBorders>
              <w:top w:val="single" w:sz="6" w:space="0" w:color="auto"/>
            </w:tcBorders>
          </w:tcPr>
          <w:p w14:paraId="7C140B70"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Borders>
              <w:top w:val="single" w:sz="6" w:space="0" w:color="auto"/>
            </w:tcBorders>
          </w:tcPr>
          <w:p w14:paraId="2807C5C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Borders>
              <w:top w:val="single" w:sz="6" w:space="0" w:color="auto"/>
            </w:tcBorders>
          </w:tcPr>
          <w:p w14:paraId="4D3BCB3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2745AB46"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3557E744" w14:textId="77777777" w:rsidR="004135EE" w:rsidRDefault="004135EE" w:rsidP="008670FF">
            <w:r>
              <w:rPr>
                <w:b/>
              </w:rPr>
              <w:t>Emergency Services and State Super</w:t>
            </w:r>
          </w:p>
        </w:tc>
        <w:tc>
          <w:tcPr>
            <w:tcW w:w="709" w:type="dxa"/>
            <w:tcBorders>
              <w:top w:val="single" w:sz="6" w:space="0" w:color="auto"/>
            </w:tcBorders>
          </w:tcPr>
          <w:p w14:paraId="084FFD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7FC4F9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6" w:space="0" w:color="auto"/>
            </w:tcBorders>
          </w:tcPr>
          <w:p w14:paraId="42940C1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4A0C5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6C8252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7EA53F73"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36C86410" w14:textId="77777777" w:rsidR="004135EE" w:rsidRDefault="004135EE" w:rsidP="008670FF">
            <w:r>
              <w:t>Defined benefit obligation</w:t>
            </w:r>
          </w:p>
        </w:tc>
        <w:tc>
          <w:tcPr>
            <w:tcW w:w="709" w:type="dxa"/>
          </w:tcPr>
          <w:p w14:paraId="40B3862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39 315</w:t>
            </w:r>
          </w:p>
        </w:tc>
        <w:tc>
          <w:tcPr>
            <w:tcW w:w="850" w:type="dxa"/>
          </w:tcPr>
          <w:p w14:paraId="422ED6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41 189</w:t>
            </w:r>
          </w:p>
        </w:tc>
        <w:tc>
          <w:tcPr>
            <w:tcW w:w="877" w:type="dxa"/>
          </w:tcPr>
          <w:p w14:paraId="19EC51A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41 187</w:t>
            </w:r>
          </w:p>
        </w:tc>
        <w:tc>
          <w:tcPr>
            <w:tcW w:w="794" w:type="dxa"/>
          </w:tcPr>
          <w:p w14:paraId="1A06315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41 232</w:t>
            </w:r>
          </w:p>
        </w:tc>
        <w:tc>
          <w:tcPr>
            <w:tcW w:w="794" w:type="dxa"/>
          </w:tcPr>
          <w:p w14:paraId="7AA09C9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41 351</w:t>
            </w:r>
          </w:p>
        </w:tc>
      </w:tr>
      <w:tr w:rsidR="004135EE" w14:paraId="139E7BFC"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48007E7" w14:textId="77777777" w:rsidR="004135EE" w:rsidRDefault="004135EE" w:rsidP="008670FF">
            <w:r>
              <w:t xml:space="preserve">Tax liability </w:t>
            </w:r>
            <w:r>
              <w:rPr>
                <w:vertAlign w:val="superscript"/>
              </w:rPr>
              <w:t>(a)</w:t>
            </w:r>
          </w:p>
        </w:tc>
        <w:tc>
          <w:tcPr>
            <w:tcW w:w="709" w:type="dxa"/>
          </w:tcPr>
          <w:p w14:paraId="5EBBFC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2 218</w:t>
            </w:r>
          </w:p>
        </w:tc>
        <w:tc>
          <w:tcPr>
            <w:tcW w:w="850" w:type="dxa"/>
          </w:tcPr>
          <w:p w14:paraId="6CDCA8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2 039</w:t>
            </w:r>
          </w:p>
        </w:tc>
        <w:tc>
          <w:tcPr>
            <w:tcW w:w="877" w:type="dxa"/>
          </w:tcPr>
          <w:p w14:paraId="6838D9F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2 074</w:t>
            </w:r>
          </w:p>
        </w:tc>
        <w:tc>
          <w:tcPr>
            <w:tcW w:w="794" w:type="dxa"/>
          </w:tcPr>
          <w:p w14:paraId="680DC9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2 075</w:t>
            </w:r>
          </w:p>
        </w:tc>
        <w:tc>
          <w:tcPr>
            <w:tcW w:w="794" w:type="dxa"/>
          </w:tcPr>
          <w:p w14:paraId="73EE2F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1 870</w:t>
            </w:r>
          </w:p>
        </w:tc>
      </w:tr>
      <w:tr w:rsidR="004135EE" w14:paraId="1E87B5B2"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4207311D" w14:textId="77777777" w:rsidR="004135EE" w:rsidRDefault="004135EE" w:rsidP="008670FF">
            <w:r>
              <w:t>Plan assets</w:t>
            </w:r>
          </w:p>
        </w:tc>
        <w:tc>
          <w:tcPr>
            <w:tcW w:w="709" w:type="dxa"/>
            <w:tcBorders>
              <w:bottom w:val="single" w:sz="6" w:space="0" w:color="auto"/>
            </w:tcBorders>
          </w:tcPr>
          <w:p w14:paraId="28F3F2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(24 410)</w:t>
            </w:r>
          </w:p>
        </w:tc>
        <w:tc>
          <w:tcPr>
            <w:tcW w:w="850" w:type="dxa"/>
            <w:tcBorders>
              <w:bottom w:val="single" w:sz="6" w:space="0" w:color="auto"/>
            </w:tcBorders>
          </w:tcPr>
          <w:p w14:paraId="31B30D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(24 801)</w:t>
            </w:r>
          </w:p>
        </w:tc>
        <w:tc>
          <w:tcPr>
            <w:tcW w:w="877" w:type="dxa"/>
            <w:tcBorders>
              <w:bottom w:val="single" w:sz="6" w:space="0" w:color="auto"/>
            </w:tcBorders>
          </w:tcPr>
          <w:p w14:paraId="3D1607B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(24 582)</w:t>
            </w:r>
          </w:p>
        </w:tc>
        <w:tc>
          <w:tcPr>
            <w:tcW w:w="794" w:type="dxa"/>
            <w:tcBorders>
              <w:bottom w:val="single" w:sz="6" w:space="0" w:color="auto"/>
            </w:tcBorders>
          </w:tcPr>
          <w:p w14:paraId="113346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(24 523)</w:t>
            </w:r>
          </w:p>
        </w:tc>
        <w:tc>
          <w:tcPr>
            <w:tcW w:w="794" w:type="dxa"/>
            <w:tcBorders>
              <w:bottom w:val="single" w:sz="6" w:space="0" w:color="auto"/>
            </w:tcBorders>
          </w:tcPr>
          <w:p w14:paraId="77193E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(25 617)</w:t>
            </w:r>
          </w:p>
        </w:tc>
      </w:tr>
      <w:tr w:rsidR="004135EE" w14:paraId="7CB7FF82"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57521E97" w14:textId="77777777" w:rsidR="004135EE" w:rsidRDefault="004135EE" w:rsidP="008670FF">
            <w:r>
              <w:rPr>
                <w:b/>
              </w:rPr>
              <w:t>Net liability/(asset)</w:t>
            </w:r>
          </w:p>
        </w:tc>
        <w:tc>
          <w:tcPr>
            <w:tcW w:w="709" w:type="dxa"/>
            <w:tcBorders>
              <w:top w:val="single" w:sz="6" w:space="0" w:color="auto"/>
              <w:bottom w:val="single" w:sz="6" w:space="0" w:color="auto"/>
            </w:tcBorders>
          </w:tcPr>
          <w:p w14:paraId="046C78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17 122</w:t>
            </w:r>
          </w:p>
        </w:tc>
        <w:tc>
          <w:tcPr>
            <w:tcW w:w="850" w:type="dxa"/>
            <w:tcBorders>
              <w:top w:val="single" w:sz="6" w:space="0" w:color="auto"/>
              <w:bottom w:val="single" w:sz="6" w:space="0" w:color="auto"/>
            </w:tcBorders>
          </w:tcPr>
          <w:p w14:paraId="504A15D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18 427</w:t>
            </w:r>
          </w:p>
        </w:tc>
        <w:tc>
          <w:tcPr>
            <w:tcW w:w="877" w:type="dxa"/>
            <w:tcBorders>
              <w:top w:val="single" w:sz="6" w:space="0" w:color="auto"/>
              <w:bottom w:val="single" w:sz="6" w:space="0" w:color="auto"/>
            </w:tcBorders>
          </w:tcPr>
          <w:p w14:paraId="45355A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18 679</w:t>
            </w:r>
          </w:p>
        </w:tc>
        <w:tc>
          <w:tcPr>
            <w:tcW w:w="794" w:type="dxa"/>
            <w:tcBorders>
              <w:top w:val="single" w:sz="6" w:space="0" w:color="auto"/>
              <w:bottom w:val="single" w:sz="6" w:space="0" w:color="auto"/>
            </w:tcBorders>
          </w:tcPr>
          <w:p w14:paraId="2ADA3E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18 784</w:t>
            </w:r>
          </w:p>
        </w:tc>
        <w:tc>
          <w:tcPr>
            <w:tcW w:w="794" w:type="dxa"/>
            <w:tcBorders>
              <w:top w:val="single" w:sz="6" w:space="0" w:color="auto"/>
              <w:bottom w:val="single" w:sz="6" w:space="0" w:color="auto"/>
            </w:tcBorders>
          </w:tcPr>
          <w:p w14:paraId="119E30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17 604</w:t>
            </w:r>
          </w:p>
        </w:tc>
      </w:tr>
      <w:tr w:rsidR="004135EE" w14:paraId="50E2FCA2"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39D209F9" w14:textId="77777777" w:rsidR="004135EE" w:rsidRDefault="004135EE" w:rsidP="008670FF">
            <w:r>
              <w:rPr>
                <w:b/>
              </w:rPr>
              <w:t xml:space="preserve">Other funds </w:t>
            </w:r>
            <w:r>
              <w:rPr>
                <w:b/>
                <w:vertAlign w:val="superscript"/>
              </w:rPr>
              <w:t>(b)</w:t>
            </w:r>
          </w:p>
        </w:tc>
        <w:tc>
          <w:tcPr>
            <w:tcW w:w="709" w:type="dxa"/>
            <w:tcBorders>
              <w:top w:val="single" w:sz="6" w:space="0" w:color="auto"/>
            </w:tcBorders>
          </w:tcPr>
          <w:p w14:paraId="49D577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D467A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6" w:space="0" w:color="auto"/>
            </w:tcBorders>
          </w:tcPr>
          <w:p w14:paraId="33E310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8F05D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8333E1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0374A3B"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F02B6BB" w14:textId="77777777" w:rsidR="004135EE" w:rsidRDefault="004135EE" w:rsidP="008670FF">
            <w:r>
              <w:t>Defined benefit obligation</w:t>
            </w:r>
          </w:p>
        </w:tc>
        <w:tc>
          <w:tcPr>
            <w:tcW w:w="709" w:type="dxa"/>
          </w:tcPr>
          <w:p w14:paraId="162902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1 850</w:t>
            </w:r>
          </w:p>
        </w:tc>
        <w:tc>
          <w:tcPr>
            <w:tcW w:w="850" w:type="dxa"/>
          </w:tcPr>
          <w:p w14:paraId="3E573E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1 748</w:t>
            </w:r>
          </w:p>
        </w:tc>
        <w:tc>
          <w:tcPr>
            <w:tcW w:w="877" w:type="dxa"/>
          </w:tcPr>
          <w:p w14:paraId="33F9DE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1 763</w:t>
            </w:r>
          </w:p>
        </w:tc>
        <w:tc>
          <w:tcPr>
            <w:tcW w:w="794" w:type="dxa"/>
          </w:tcPr>
          <w:p w14:paraId="13CF3D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1 780</w:t>
            </w:r>
          </w:p>
        </w:tc>
        <w:tc>
          <w:tcPr>
            <w:tcW w:w="794" w:type="dxa"/>
          </w:tcPr>
          <w:p w14:paraId="107CD6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1 800</w:t>
            </w:r>
          </w:p>
        </w:tc>
      </w:tr>
      <w:tr w:rsidR="004135EE" w14:paraId="590C5744"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04277AA0" w14:textId="77777777" w:rsidR="004135EE" w:rsidRDefault="004135EE" w:rsidP="008670FF">
            <w:r>
              <w:t xml:space="preserve">Tax liability </w:t>
            </w:r>
            <w:r>
              <w:rPr>
                <w:vertAlign w:val="superscript"/>
              </w:rPr>
              <w:t>(a)</w:t>
            </w:r>
          </w:p>
        </w:tc>
        <w:tc>
          <w:tcPr>
            <w:tcW w:w="709" w:type="dxa"/>
          </w:tcPr>
          <w:p w14:paraId="799800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575DC6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877" w:type="dxa"/>
          </w:tcPr>
          <w:p w14:paraId="43A0B9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7EFEC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A4EB8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33341852"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497CA072" w14:textId="77777777" w:rsidR="004135EE" w:rsidRDefault="004135EE" w:rsidP="008670FF">
            <w:r>
              <w:t>Plan assets</w:t>
            </w:r>
          </w:p>
        </w:tc>
        <w:tc>
          <w:tcPr>
            <w:tcW w:w="709" w:type="dxa"/>
            <w:tcBorders>
              <w:bottom w:val="single" w:sz="6" w:space="0" w:color="auto"/>
            </w:tcBorders>
          </w:tcPr>
          <w:p w14:paraId="4D241F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(850)</w:t>
            </w:r>
          </w:p>
        </w:tc>
        <w:tc>
          <w:tcPr>
            <w:tcW w:w="850" w:type="dxa"/>
            <w:tcBorders>
              <w:bottom w:val="single" w:sz="6" w:space="0" w:color="auto"/>
            </w:tcBorders>
          </w:tcPr>
          <w:p w14:paraId="7DEB05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(829)</w:t>
            </w:r>
          </w:p>
        </w:tc>
        <w:tc>
          <w:tcPr>
            <w:tcW w:w="877" w:type="dxa"/>
            <w:tcBorders>
              <w:bottom w:val="single" w:sz="6" w:space="0" w:color="auto"/>
            </w:tcBorders>
          </w:tcPr>
          <w:p w14:paraId="3C3CC1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(801)</w:t>
            </w:r>
          </w:p>
        </w:tc>
        <w:tc>
          <w:tcPr>
            <w:tcW w:w="794" w:type="dxa"/>
            <w:tcBorders>
              <w:bottom w:val="single" w:sz="6" w:space="0" w:color="auto"/>
            </w:tcBorders>
          </w:tcPr>
          <w:p w14:paraId="01D92D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(772)</w:t>
            </w:r>
          </w:p>
        </w:tc>
        <w:tc>
          <w:tcPr>
            <w:tcW w:w="794" w:type="dxa"/>
            <w:tcBorders>
              <w:bottom w:val="single" w:sz="6" w:space="0" w:color="auto"/>
            </w:tcBorders>
          </w:tcPr>
          <w:p w14:paraId="03A385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(748)</w:t>
            </w:r>
          </w:p>
        </w:tc>
      </w:tr>
      <w:tr w:rsidR="004135EE" w14:paraId="718AA490"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7095CF07" w14:textId="77777777" w:rsidR="004135EE" w:rsidRDefault="004135EE" w:rsidP="008670FF">
            <w:r>
              <w:rPr>
                <w:b/>
              </w:rPr>
              <w:t>Net liability/(asset)</w:t>
            </w:r>
          </w:p>
        </w:tc>
        <w:tc>
          <w:tcPr>
            <w:tcW w:w="709" w:type="dxa"/>
            <w:tcBorders>
              <w:top w:val="single" w:sz="6" w:space="0" w:color="auto"/>
              <w:bottom w:val="single" w:sz="6" w:space="0" w:color="auto"/>
            </w:tcBorders>
          </w:tcPr>
          <w:p w14:paraId="3E343AE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1 000</w:t>
            </w:r>
          </w:p>
        </w:tc>
        <w:tc>
          <w:tcPr>
            <w:tcW w:w="850" w:type="dxa"/>
            <w:tcBorders>
              <w:top w:val="single" w:sz="6" w:space="0" w:color="auto"/>
              <w:bottom w:val="single" w:sz="6" w:space="0" w:color="auto"/>
            </w:tcBorders>
          </w:tcPr>
          <w:p w14:paraId="74C4EC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919</w:t>
            </w:r>
          </w:p>
        </w:tc>
        <w:tc>
          <w:tcPr>
            <w:tcW w:w="877" w:type="dxa"/>
            <w:tcBorders>
              <w:top w:val="single" w:sz="6" w:space="0" w:color="auto"/>
              <w:bottom w:val="single" w:sz="6" w:space="0" w:color="auto"/>
            </w:tcBorders>
          </w:tcPr>
          <w:p w14:paraId="41B23E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963</w:t>
            </w:r>
          </w:p>
        </w:tc>
        <w:tc>
          <w:tcPr>
            <w:tcW w:w="794" w:type="dxa"/>
            <w:tcBorders>
              <w:top w:val="single" w:sz="6" w:space="0" w:color="auto"/>
              <w:bottom w:val="single" w:sz="6" w:space="0" w:color="auto"/>
            </w:tcBorders>
          </w:tcPr>
          <w:p w14:paraId="6E1C1C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1 008</w:t>
            </w:r>
          </w:p>
        </w:tc>
        <w:tc>
          <w:tcPr>
            <w:tcW w:w="794" w:type="dxa"/>
            <w:tcBorders>
              <w:top w:val="single" w:sz="6" w:space="0" w:color="auto"/>
              <w:bottom w:val="single" w:sz="6" w:space="0" w:color="auto"/>
            </w:tcBorders>
          </w:tcPr>
          <w:p w14:paraId="476E67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1 052</w:t>
            </w:r>
          </w:p>
        </w:tc>
      </w:tr>
      <w:tr w:rsidR="004135EE" w14:paraId="11B1DDF1"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6ED82C09" w14:textId="77777777" w:rsidR="004135EE" w:rsidRDefault="004135EE" w:rsidP="008670FF">
            <w:r>
              <w:rPr>
                <w:b/>
              </w:rPr>
              <w:t>Total superannuation</w:t>
            </w:r>
          </w:p>
        </w:tc>
        <w:tc>
          <w:tcPr>
            <w:tcW w:w="709" w:type="dxa"/>
            <w:tcBorders>
              <w:top w:val="single" w:sz="6" w:space="0" w:color="auto"/>
            </w:tcBorders>
          </w:tcPr>
          <w:p w14:paraId="761E3B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00E501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6" w:space="0" w:color="auto"/>
            </w:tcBorders>
          </w:tcPr>
          <w:p w14:paraId="6C6B936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603F2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08D24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0EF79A8"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6F9C293C" w14:textId="77777777" w:rsidR="004135EE" w:rsidRDefault="004135EE" w:rsidP="008670FF">
            <w:r>
              <w:t>Defined benefit obligation</w:t>
            </w:r>
          </w:p>
        </w:tc>
        <w:tc>
          <w:tcPr>
            <w:tcW w:w="709" w:type="dxa"/>
          </w:tcPr>
          <w:p w14:paraId="54E6D5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41 165</w:t>
            </w:r>
          </w:p>
        </w:tc>
        <w:tc>
          <w:tcPr>
            <w:tcW w:w="850" w:type="dxa"/>
          </w:tcPr>
          <w:p w14:paraId="36AB1F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42 937</w:t>
            </w:r>
          </w:p>
        </w:tc>
        <w:tc>
          <w:tcPr>
            <w:tcW w:w="877" w:type="dxa"/>
          </w:tcPr>
          <w:p w14:paraId="5DDAAE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42 950</w:t>
            </w:r>
          </w:p>
        </w:tc>
        <w:tc>
          <w:tcPr>
            <w:tcW w:w="794" w:type="dxa"/>
          </w:tcPr>
          <w:p w14:paraId="296F91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43 012</w:t>
            </w:r>
          </w:p>
        </w:tc>
        <w:tc>
          <w:tcPr>
            <w:tcW w:w="794" w:type="dxa"/>
          </w:tcPr>
          <w:p w14:paraId="38228F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43 151</w:t>
            </w:r>
          </w:p>
        </w:tc>
      </w:tr>
      <w:tr w:rsidR="004135EE" w14:paraId="73B34DD5"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1E1ADB47" w14:textId="77777777" w:rsidR="004135EE" w:rsidRDefault="004135EE" w:rsidP="008670FF">
            <w:r>
              <w:t xml:space="preserve">Tax liability </w:t>
            </w:r>
            <w:r>
              <w:rPr>
                <w:vertAlign w:val="superscript"/>
              </w:rPr>
              <w:t>(a)</w:t>
            </w:r>
          </w:p>
        </w:tc>
        <w:tc>
          <w:tcPr>
            <w:tcW w:w="709" w:type="dxa"/>
          </w:tcPr>
          <w:p w14:paraId="075B03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2 218</w:t>
            </w:r>
          </w:p>
        </w:tc>
        <w:tc>
          <w:tcPr>
            <w:tcW w:w="850" w:type="dxa"/>
          </w:tcPr>
          <w:p w14:paraId="49B303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2 039</w:t>
            </w:r>
          </w:p>
        </w:tc>
        <w:tc>
          <w:tcPr>
            <w:tcW w:w="877" w:type="dxa"/>
          </w:tcPr>
          <w:p w14:paraId="739B16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2 074</w:t>
            </w:r>
          </w:p>
        </w:tc>
        <w:tc>
          <w:tcPr>
            <w:tcW w:w="794" w:type="dxa"/>
          </w:tcPr>
          <w:p w14:paraId="1FC4B3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2 075</w:t>
            </w:r>
          </w:p>
        </w:tc>
        <w:tc>
          <w:tcPr>
            <w:tcW w:w="794" w:type="dxa"/>
          </w:tcPr>
          <w:p w14:paraId="581D36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1 870</w:t>
            </w:r>
          </w:p>
        </w:tc>
      </w:tr>
      <w:tr w:rsidR="004135EE" w14:paraId="47F607B5"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40BDD226" w14:textId="77777777" w:rsidR="004135EE" w:rsidRDefault="004135EE" w:rsidP="008670FF">
            <w:r>
              <w:t>Plan assets</w:t>
            </w:r>
          </w:p>
        </w:tc>
        <w:tc>
          <w:tcPr>
            <w:tcW w:w="709" w:type="dxa"/>
            <w:tcBorders>
              <w:bottom w:val="single" w:sz="6" w:space="0" w:color="auto"/>
            </w:tcBorders>
          </w:tcPr>
          <w:p w14:paraId="4D33D9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(25 261)</w:t>
            </w:r>
          </w:p>
        </w:tc>
        <w:tc>
          <w:tcPr>
            <w:tcW w:w="850" w:type="dxa"/>
            <w:tcBorders>
              <w:bottom w:val="single" w:sz="6" w:space="0" w:color="auto"/>
            </w:tcBorders>
          </w:tcPr>
          <w:p w14:paraId="593325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(25 630)</w:t>
            </w:r>
          </w:p>
        </w:tc>
        <w:tc>
          <w:tcPr>
            <w:tcW w:w="877" w:type="dxa"/>
            <w:tcBorders>
              <w:bottom w:val="single" w:sz="6" w:space="0" w:color="auto"/>
            </w:tcBorders>
          </w:tcPr>
          <w:p w14:paraId="1A3772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(25 383)</w:t>
            </w:r>
          </w:p>
        </w:tc>
        <w:tc>
          <w:tcPr>
            <w:tcW w:w="794" w:type="dxa"/>
            <w:tcBorders>
              <w:bottom w:val="single" w:sz="6" w:space="0" w:color="auto"/>
            </w:tcBorders>
          </w:tcPr>
          <w:p w14:paraId="5C313A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(25 295)</w:t>
            </w:r>
          </w:p>
        </w:tc>
        <w:tc>
          <w:tcPr>
            <w:tcW w:w="794" w:type="dxa"/>
            <w:tcBorders>
              <w:bottom w:val="single" w:sz="6" w:space="0" w:color="auto"/>
            </w:tcBorders>
          </w:tcPr>
          <w:p w14:paraId="67A88B5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(26 365)</w:t>
            </w:r>
          </w:p>
        </w:tc>
      </w:tr>
      <w:tr w:rsidR="004135EE" w14:paraId="31606CE1"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44927DB3" w14:textId="77777777" w:rsidR="004135EE" w:rsidRDefault="004135EE" w:rsidP="008670FF">
            <w:r>
              <w:rPr>
                <w:b/>
              </w:rPr>
              <w:t>Total superannuation liability</w:t>
            </w:r>
          </w:p>
        </w:tc>
        <w:tc>
          <w:tcPr>
            <w:tcW w:w="709" w:type="dxa"/>
            <w:tcBorders>
              <w:top w:val="single" w:sz="6" w:space="0" w:color="auto"/>
              <w:bottom w:val="single" w:sz="12" w:space="0" w:color="auto"/>
            </w:tcBorders>
          </w:tcPr>
          <w:p w14:paraId="42ED18C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18 122</w:t>
            </w:r>
          </w:p>
        </w:tc>
        <w:tc>
          <w:tcPr>
            <w:tcW w:w="850" w:type="dxa"/>
            <w:tcBorders>
              <w:top w:val="single" w:sz="6" w:space="0" w:color="auto"/>
              <w:bottom w:val="single" w:sz="12" w:space="0" w:color="auto"/>
            </w:tcBorders>
          </w:tcPr>
          <w:p w14:paraId="1CDCD2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19 346</w:t>
            </w:r>
          </w:p>
        </w:tc>
        <w:tc>
          <w:tcPr>
            <w:tcW w:w="877" w:type="dxa"/>
            <w:tcBorders>
              <w:top w:val="single" w:sz="6" w:space="0" w:color="auto"/>
              <w:bottom w:val="single" w:sz="12" w:space="0" w:color="auto"/>
            </w:tcBorders>
          </w:tcPr>
          <w:p w14:paraId="5E7BBFE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19 642</w:t>
            </w:r>
          </w:p>
        </w:tc>
        <w:tc>
          <w:tcPr>
            <w:tcW w:w="794" w:type="dxa"/>
            <w:tcBorders>
              <w:top w:val="single" w:sz="6" w:space="0" w:color="auto"/>
              <w:bottom w:val="single" w:sz="12" w:space="0" w:color="auto"/>
            </w:tcBorders>
          </w:tcPr>
          <w:p w14:paraId="4C7E50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19 792</w:t>
            </w:r>
          </w:p>
        </w:tc>
        <w:tc>
          <w:tcPr>
            <w:tcW w:w="794" w:type="dxa"/>
            <w:tcBorders>
              <w:top w:val="single" w:sz="6" w:space="0" w:color="auto"/>
              <w:bottom w:val="single" w:sz="12" w:space="0" w:color="auto"/>
            </w:tcBorders>
          </w:tcPr>
          <w:p w14:paraId="24F04A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18 656</w:t>
            </w:r>
          </w:p>
        </w:tc>
      </w:tr>
      <w:tr w:rsidR="004135EE" w14:paraId="3306C30F"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0" w:space="0" w:color="auto"/>
            </w:tcBorders>
          </w:tcPr>
          <w:p w14:paraId="5B3DD0F3" w14:textId="77777777" w:rsidR="004135EE" w:rsidRDefault="004135EE" w:rsidP="008670FF">
            <w:r>
              <w:rPr>
                <w:b/>
              </w:rPr>
              <w:t>Represented by:</w:t>
            </w:r>
          </w:p>
        </w:tc>
        <w:tc>
          <w:tcPr>
            <w:tcW w:w="709" w:type="dxa"/>
            <w:tcBorders>
              <w:top w:val="single" w:sz="0" w:space="0" w:color="auto"/>
            </w:tcBorders>
          </w:tcPr>
          <w:p w14:paraId="6D85D2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0" w:space="0" w:color="auto"/>
            </w:tcBorders>
          </w:tcPr>
          <w:p w14:paraId="41EDD7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77" w:type="dxa"/>
            <w:tcBorders>
              <w:top w:val="single" w:sz="0" w:space="0" w:color="auto"/>
            </w:tcBorders>
          </w:tcPr>
          <w:p w14:paraId="5C63F8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024B4BE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0" w:space="0" w:color="auto"/>
            </w:tcBorders>
          </w:tcPr>
          <w:p w14:paraId="1DAA8D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B60C1AA"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575E1D4" w14:textId="77777777" w:rsidR="004135EE" w:rsidRDefault="004135EE" w:rsidP="008670FF">
            <w:r>
              <w:t>Current superannuation liability</w:t>
            </w:r>
          </w:p>
        </w:tc>
        <w:tc>
          <w:tcPr>
            <w:tcW w:w="709" w:type="dxa"/>
          </w:tcPr>
          <w:p w14:paraId="366551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317</w:t>
            </w:r>
          </w:p>
        </w:tc>
        <w:tc>
          <w:tcPr>
            <w:tcW w:w="850" w:type="dxa"/>
          </w:tcPr>
          <w:p w14:paraId="67F5041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317</w:t>
            </w:r>
          </w:p>
        </w:tc>
        <w:tc>
          <w:tcPr>
            <w:tcW w:w="877" w:type="dxa"/>
          </w:tcPr>
          <w:p w14:paraId="3DAA45E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550</w:t>
            </w:r>
          </w:p>
        </w:tc>
        <w:tc>
          <w:tcPr>
            <w:tcW w:w="794" w:type="dxa"/>
          </w:tcPr>
          <w:p w14:paraId="4848E2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1 885</w:t>
            </w:r>
          </w:p>
        </w:tc>
        <w:tc>
          <w:tcPr>
            <w:tcW w:w="794" w:type="dxa"/>
          </w:tcPr>
          <w:p w14:paraId="2F3550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1 858</w:t>
            </w:r>
          </w:p>
        </w:tc>
      </w:tr>
      <w:tr w:rsidR="004135EE" w14:paraId="30742B53"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12" w:space="0" w:color="auto"/>
            </w:tcBorders>
          </w:tcPr>
          <w:p w14:paraId="39F25B51" w14:textId="77777777" w:rsidR="004135EE" w:rsidRDefault="004135EE" w:rsidP="008670FF">
            <w:r>
              <w:t>Non</w:t>
            </w:r>
            <w:r>
              <w:noBreakHyphen/>
              <w:t>current superannuation liability</w:t>
            </w:r>
          </w:p>
        </w:tc>
        <w:tc>
          <w:tcPr>
            <w:tcW w:w="709" w:type="dxa"/>
            <w:tcBorders>
              <w:bottom w:val="single" w:sz="12" w:space="0" w:color="auto"/>
            </w:tcBorders>
          </w:tcPr>
          <w:p w14:paraId="21A613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17 805</w:t>
            </w:r>
          </w:p>
        </w:tc>
        <w:tc>
          <w:tcPr>
            <w:tcW w:w="850" w:type="dxa"/>
            <w:tcBorders>
              <w:bottom w:val="single" w:sz="12" w:space="0" w:color="auto"/>
            </w:tcBorders>
          </w:tcPr>
          <w:p w14:paraId="7B59710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19 030</w:t>
            </w:r>
          </w:p>
        </w:tc>
        <w:tc>
          <w:tcPr>
            <w:tcW w:w="877" w:type="dxa"/>
            <w:tcBorders>
              <w:bottom w:val="single" w:sz="12" w:space="0" w:color="auto"/>
            </w:tcBorders>
          </w:tcPr>
          <w:p w14:paraId="3152FD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19 092</w:t>
            </w:r>
          </w:p>
        </w:tc>
        <w:tc>
          <w:tcPr>
            <w:tcW w:w="794" w:type="dxa"/>
            <w:tcBorders>
              <w:bottom w:val="single" w:sz="12" w:space="0" w:color="auto"/>
            </w:tcBorders>
          </w:tcPr>
          <w:p w14:paraId="57C0DD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17 907</w:t>
            </w:r>
          </w:p>
        </w:tc>
        <w:tc>
          <w:tcPr>
            <w:tcW w:w="794" w:type="dxa"/>
            <w:tcBorders>
              <w:bottom w:val="single" w:sz="12" w:space="0" w:color="auto"/>
            </w:tcBorders>
          </w:tcPr>
          <w:p w14:paraId="1D0A553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16 798</w:t>
            </w:r>
          </w:p>
        </w:tc>
      </w:tr>
    </w:tbl>
    <w:p w14:paraId="73AECACB" w14:textId="77777777" w:rsidR="004135EE" w:rsidRDefault="004135EE" w:rsidP="004135EE">
      <w:pPr>
        <w:pStyle w:val="Note"/>
      </w:pPr>
      <w:r>
        <w:t>Notes:</w:t>
      </w:r>
    </w:p>
    <w:p w14:paraId="13A6BE11" w14:textId="77777777" w:rsidR="004135EE" w:rsidRDefault="004135EE" w:rsidP="004135EE">
      <w:pPr>
        <w:pStyle w:val="Note"/>
      </w:pPr>
      <w:r>
        <w:t>(a)</w:t>
      </w:r>
      <w:r>
        <w:tab/>
        <w:t>Tax liability is the present value of tax payments on contributions that are expected to be required to fund accrued benefits.</w:t>
      </w:r>
    </w:p>
    <w:p w14:paraId="7ED65070" w14:textId="77777777" w:rsidR="004135EE" w:rsidRDefault="004135EE" w:rsidP="004135EE">
      <w:pPr>
        <w:pStyle w:val="Note"/>
      </w:pPr>
      <w:r>
        <w:t>(b)</w:t>
      </w:r>
      <w:r>
        <w:tab/>
        <w:t>Other funds include constitutionally protected schemes and the State’s share of liabilities of the defined benefit scheme of the Health Super Fund (which is now part of Aware Super).</w:t>
      </w:r>
    </w:p>
    <w:p w14:paraId="7ED8D6B7" w14:textId="77777777" w:rsidR="004135EE" w:rsidRDefault="004135EE" w:rsidP="004135EE"/>
    <w:p w14:paraId="4E5EECE0" w14:textId="77777777" w:rsidR="004135EE" w:rsidRDefault="004135EE" w:rsidP="005C5C20">
      <w:pPr>
        <w:pStyle w:val="TableHeading"/>
      </w:pPr>
      <w:r w:rsidRPr="00D02438">
        <w:t>Reconciliation of the present value of the defined benefit obligation</w:t>
      </w:r>
      <w:r w:rsidRPr="00D02438">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Superannuation.xlsx|Table:Superannuation_defined_benefits|MergedHeadingRow:1"/>
      </w:tblPr>
      <w:tblGrid>
        <w:gridCol w:w="3544"/>
        <w:gridCol w:w="851"/>
        <w:gridCol w:w="850"/>
        <w:gridCol w:w="851"/>
        <w:gridCol w:w="820"/>
        <w:gridCol w:w="794"/>
      </w:tblGrid>
      <w:tr w:rsidR="004135EE" w14:paraId="0B76EABD"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2AB235D4" w14:textId="77777777" w:rsidR="004135EE" w:rsidRDefault="004135EE" w:rsidP="008670FF">
            <w:pPr>
              <w:keepNext/>
            </w:pPr>
          </w:p>
        </w:tc>
        <w:tc>
          <w:tcPr>
            <w:tcW w:w="851" w:type="dxa"/>
            <w:tcBorders>
              <w:top w:val="single" w:sz="6" w:space="0" w:color="auto"/>
            </w:tcBorders>
          </w:tcPr>
          <w:p w14:paraId="11C7C170"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850" w:type="dxa"/>
            <w:tcBorders>
              <w:top w:val="single" w:sz="6" w:space="0" w:color="auto"/>
            </w:tcBorders>
          </w:tcPr>
          <w:p w14:paraId="37549AB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51" w:type="dxa"/>
            <w:tcBorders>
              <w:top w:val="single" w:sz="6" w:space="0" w:color="auto"/>
            </w:tcBorders>
          </w:tcPr>
          <w:p w14:paraId="43C10F3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20" w:type="dxa"/>
            <w:tcBorders>
              <w:top w:val="single" w:sz="6" w:space="0" w:color="auto"/>
            </w:tcBorders>
          </w:tcPr>
          <w:p w14:paraId="6071808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Borders>
              <w:top w:val="single" w:sz="6" w:space="0" w:color="auto"/>
            </w:tcBorders>
          </w:tcPr>
          <w:p w14:paraId="7D5D9DA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54B8A8C9"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6C1815EC" w14:textId="77777777" w:rsidR="004135EE" w:rsidRDefault="004135EE" w:rsidP="008670FF">
            <w:r>
              <w:rPr>
                <w:b/>
              </w:rPr>
              <w:t>Opening balance of defined benefit obligation</w:t>
            </w:r>
          </w:p>
        </w:tc>
        <w:tc>
          <w:tcPr>
            <w:tcW w:w="851" w:type="dxa"/>
            <w:tcBorders>
              <w:top w:val="single" w:sz="6" w:space="0" w:color="auto"/>
            </w:tcBorders>
          </w:tcPr>
          <w:p w14:paraId="730DE0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43 661</w:t>
            </w:r>
          </w:p>
        </w:tc>
        <w:tc>
          <w:tcPr>
            <w:tcW w:w="850" w:type="dxa"/>
            <w:tcBorders>
              <w:top w:val="single" w:sz="6" w:space="0" w:color="auto"/>
            </w:tcBorders>
          </w:tcPr>
          <w:p w14:paraId="766DE3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43 661</w:t>
            </w:r>
          </w:p>
        </w:tc>
        <w:tc>
          <w:tcPr>
            <w:tcW w:w="851" w:type="dxa"/>
            <w:tcBorders>
              <w:top w:val="single" w:sz="6" w:space="0" w:color="auto"/>
            </w:tcBorders>
          </w:tcPr>
          <w:p w14:paraId="70B9216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44 976</w:t>
            </w:r>
          </w:p>
        </w:tc>
        <w:tc>
          <w:tcPr>
            <w:tcW w:w="820" w:type="dxa"/>
            <w:tcBorders>
              <w:top w:val="single" w:sz="6" w:space="0" w:color="auto"/>
            </w:tcBorders>
          </w:tcPr>
          <w:p w14:paraId="094387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45 024</w:t>
            </w:r>
          </w:p>
        </w:tc>
        <w:tc>
          <w:tcPr>
            <w:tcW w:w="794" w:type="dxa"/>
            <w:tcBorders>
              <w:top w:val="single" w:sz="6" w:space="0" w:color="auto"/>
            </w:tcBorders>
          </w:tcPr>
          <w:p w14:paraId="7EC132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45 087</w:t>
            </w:r>
          </w:p>
        </w:tc>
      </w:tr>
      <w:tr w:rsidR="004135EE" w14:paraId="50AAE99E"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B30068E" w14:textId="77777777" w:rsidR="004135EE" w:rsidRDefault="004135EE" w:rsidP="008670FF">
            <w:r>
              <w:t>Current service cost</w:t>
            </w:r>
          </w:p>
        </w:tc>
        <w:tc>
          <w:tcPr>
            <w:tcW w:w="851" w:type="dxa"/>
          </w:tcPr>
          <w:p w14:paraId="0C783F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1 037</w:t>
            </w:r>
          </w:p>
        </w:tc>
        <w:tc>
          <w:tcPr>
            <w:tcW w:w="850" w:type="dxa"/>
          </w:tcPr>
          <w:p w14:paraId="7C33154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998</w:t>
            </w:r>
          </w:p>
        </w:tc>
        <w:tc>
          <w:tcPr>
            <w:tcW w:w="851" w:type="dxa"/>
          </w:tcPr>
          <w:p w14:paraId="4EC4EF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1 156</w:t>
            </w:r>
          </w:p>
        </w:tc>
        <w:tc>
          <w:tcPr>
            <w:tcW w:w="820" w:type="dxa"/>
          </w:tcPr>
          <w:p w14:paraId="741D76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1 232</w:t>
            </w:r>
          </w:p>
        </w:tc>
        <w:tc>
          <w:tcPr>
            <w:tcW w:w="794" w:type="dxa"/>
          </w:tcPr>
          <w:p w14:paraId="29522D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1 316</w:t>
            </w:r>
          </w:p>
        </w:tc>
      </w:tr>
      <w:tr w:rsidR="004135EE" w14:paraId="5E12453B"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7D1395A" w14:textId="77777777" w:rsidR="004135EE" w:rsidRDefault="004135EE" w:rsidP="008670FF">
            <w:r>
              <w:t>Interest expense</w:t>
            </w:r>
          </w:p>
        </w:tc>
        <w:tc>
          <w:tcPr>
            <w:tcW w:w="851" w:type="dxa"/>
          </w:tcPr>
          <w:p w14:paraId="4091FB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1 788</w:t>
            </w:r>
          </w:p>
        </w:tc>
        <w:tc>
          <w:tcPr>
            <w:tcW w:w="850" w:type="dxa"/>
          </w:tcPr>
          <w:p w14:paraId="3B5EB4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1 873</w:t>
            </w:r>
          </w:p>
        </w:tc>
        <w:tc>
          <w:tcPr>
            <w:tcW w:w="851" w:type="dxa"/>
          </w:tcPr>
          <w:p w14:paraId="3B4494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1 797</w:t>
            </w:r>
          </w:p>
        </w:tc>
        <w:tc>
          <w:tcPr>
            <w:tcW w:w="820" w:type="dxa"/>
          </w:tcPr>
          <w:p w14:paraId="50F931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1 797</w:t>
            </w:r>
          </w:p>
        </w:tc>
        <w:tc>
          <w:tcPr>
            <w:tcW w:w="794" w:type="dxa"/>
          </w:tcPr>
          <w:p w14:paraId="02DC721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1 795</w:t>
            </w:r>
          </w:p>
        </w:tc>
      </w:tr>
      <w:tr w:rsidR="004135EE" w14:paraId="57FF0D8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7DF6D6F4" w14:textId="77777777" w:rsidR="004135EE" w:rsidRDefault="004135EE" w:rsidP="008670FF">
            <w:r>
              <w:t>Contributions by plan participants</w:t>
            </w:r>
          </w:p>
        </w:tc>
        <w:tc>
          <w:tcPr>
            <w:tcW w:w="851" w:type="dxa"/>
          </w:tcPr>
          <w:p w14:paraId="01A13C6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221</w:t>
            </w:r>
          </w:p>
        </w:tc>
        <w:tc>
          <w:tcPr>
            <w:tcW w:w="850" w:type="dxa"/>
          </w:tcPr>
          <w:p w14:paraId="2197660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w:t>
            </w:r>
          </w:p>
        </w:tc>
        <w:tc>
          <w:tcPr>
            <w:tcW w:w="851" w:type="dxa"/>
          </w:tcPr>
          <w:p w14:paraId="48320B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w:t>
            </w:r>
          </w:p>
        </w:tc>
        <w:tc>
          <w:tcPr>
            <w:tcW w:w="820" w:type="dxa"/>
          </w:tcPr>
          <w:p w14:paraId="42E5E9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220</w:t>
            </w:r>
          </w:p>
        </w:tc>
        <w:tc>
          <w:tcPr>
            <w:tcW w:w="794" w:type="dxa"/>
          </w:tcPr>
          <w:p w14:paraId="09352C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223</w:t>
            </w:r>
          </w:p>
        </w:tc>
      </w:tr>
      <w:tr w:rsidR="004135EE" w14:paraId="7020B0CC"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6EB62451" w14:textId="77777777" w:rsidR="004135EE" w:rsidRDefault="004135EE" w:rsidP="008670FF">
            <w:r>
              <w:t>Actuarial (gains)/losses on the defined benefit obligation, due to:</w:t>
            </w:r>
          </w:p>
        </w:tc>
        <w:tc>
          <w:tcPr>
            <w:tcW w:w="851" w:type="dxa"/>
          </w:tcPr>
          <w:p w14:paraId="5C9C2D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6E87FE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51" w:type="dxa"/>
          </w:tcPr>
          <w:p w14:paraId="7247B6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820" w:type="dxa"/>
          </w:tcPr>
          <w:p w14:paraId="441EE8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0BF25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5A449F31"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312B7F51" w14:textId="77777777" w:rsidR="004135EE" w:rsidRDefault="004135EE" w:rsidP="008670FF">
            <w:r>
              <w:t xml:space="preserve">   Changes in financial assumptions</w:t>
            </w:r>
          </w:p>
        </w:tc>
        <w:tc>
          <w:tcPr>
            <w:tcW w:w="851" w:type="dxa"/>
          </w:tcPr>
          <w:p w14:paraId="6CC00DF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850" w:type="dxa"/>
          </w:tcPr>
          <w:p w14:paraId="1EE541E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1 522</w:t>
            </w:r>
          </w:p>
        </w:tc>
        <w:tc>
          <w:tcPr>
            <w:tcW w:w="851" w:type="dxa"/>
          </w:tcPr>
          <w:p w14:paraId="5C1F29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820" w:type="dxa"/>
          </w:tcPr>
          <w:p w14:paraId="32784B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BE98F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6F9B1300"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159BF7F1" w14:textId="77777777" w:rsidR="004135EE" w:rsidRDefault="004135EE" w:rsidP="008670FF">
            <w:r>
              <w:t>Benefits paid (including tax paid)</w:t>
            </w:r>
          </w:p>
        </w:tc>
        <w:tc>
          <w:tcPr>
            <w:tcW w:w="851" w:type="dxa"/>
            <w:tcBorders>
              <w:bottom w:val="single" w:sz="6" w:space="0" w:color="auto"/>
            </w:tcBorders>
          </w:tcPr>
          <w:p w14:paraId="1B83839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(3 326)</w:t>
            </w:r>
          </w:p>
        </w:tc>
        <w:tc>
          <w:tcPr>
            <w:tcW w:w="850" w:type="dxa"/>
            <w:tcBorders>
              <w:bottom w:val="single" w:sz="6" w:space="0" w:color="auto"/>
            </w:tcBorders>
          </w:tcPr>
          <w:p w14:paraId="1F5AE8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(3 296)</w:t>
            </w:r>
          </w:p>
        </w:tc>
        <w:tc>
          <w:tcPr>
            <w:tcW w:w="851" w:type="dxa"/>
            <w:tcBorders>
              <w:bottom w:val="single" w:sz="6" w:space="0" w:color="auto"/>
            </w:tcBorders>
          </w:tcPr>
          <w:p w14:paraId="7DA2EB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(3 123)</w:t>
            </w:r>
          </w:p>
        </w:tc>
        <w:tc>
          <w:tcPr>
            <w:tcW w:w="820" w:type="dxa"/>
            <w:tcBorders>
              <w:bottom w:val="single" w:sz="6" w:space="0" w:color="auto"/>
            </w:tcBorders>
          </w:tcPr>
          <w:p w14:paraId="6E3A08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(3 188)</w:t>
            </w:r>
          </w:p>
        </w:tc>
        <w:tc>
          <w:tcPr>
            <w:tcW w:w="794" w:type="dxa"/>
            <w:tcBorders>
              <w:bottom w:val="single" w:sz="6" w:space="0" w:color="auto"/>
            </w:tcBorders>
          </w:tcPr>
          <w:p w14:paraId="437160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(3 399)</w:t>
            </w:r>
          </w:p>
        </w:tc>
      </w:tr>
      <w:tr w:rsidR="004135EE" w14:paraId="0CE08D99"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2B34DD3D" w14:textId="77777777" w:rsidR="004135EE" w:rsidRDefault="004135EE" w:rsidP="008670FF">
            <w:r>
              <w:rPr>
                <w:b/>
              </w:rPr>
              <w:t>Closing balance of defined benefit obligation</w:t>
            </w:r>
          </w:p>
        </w:tc>
        <w:tc>
          <w:tcPr>
            <w:tcW w:w="851" w:type="dxa"/>
            <w:tcBorders>
              <w:top w:val="single" w:sz="6" w:space="0" w:color="auto"/>
              <w:bottom w:val="single" w:sz="12" w:space="0" w:color="auto"/>
            </w:tcBorders>
          </w:tcPr>
          <w:p w14:paraId="261838E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43 382</w:t>
            </w:r>
          </w:p>
        </w:tc>
        <w:tc>
          <w:tcPr>
            <w:tcW w:w="850" w:type="dxa"/>
            <w:tcBorders>
              <w:top w:val="single" w:sz="6" w:space="0" w:color="auto"/>
              <w:bottom w:val="single" w:sz="12" w:space="0" w:color="auto"/>
            </w:tcBorders>
          </w:tcPr>
          <w:p w14:paraId="0A4C34F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44 976</w:t>
            </w:r>
          </w:p>
        </w:tc>
        <w:tc>
          <w:tcPr>
            <w:tcW w:w="851" w:type="dxa"/>
            <w:tcBorders>
              <w:top w:val="single" w:sz="6" w:space="0" w:color="auto"/>
              <w:bottom w:val="single" w:sz="12" w:space="0" w:color="auto"/>
            </w:tcBorders>
          </w:tcPr>
          <w:p w14:paraId="289988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45 024</w:t>
            </w:r>
          </w:p>
        </w:tc>
        <w:tc>
          <w:tcPr>
            <w:tcW w:w="820" w:type="dxa"/>
            <w:tcBorders>
              <w:top w:val="single" w:sz="6" w:space="0" w:color="auto"/>
              <w:bottom w:val="single" w:sz="12" w:space="0" w:color="auto"/>
            </w:tcBorders>
          </w:tcPr>
          <w:p w14:paraId="2513B8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45 087</w:t>
            </w:r>
          </w:p>
        </w:tc>
        <w:tc>
          <w:tcPr>
            <w:tcW w:w="794" w:type="dxa"/>
            <w:tcBorders>
              <w:top w:val="single" w:sz="6" w:space="0" w:color="auto"/>
              <w:bottom w:val="single" w:sz="12" w:space="0" w:color="auto"/>
            </w:tcBorders>
          </w:tcPr>
          <w:p w14:paraId="00991C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45 021</w:t>
            </w:r>
          </w:p>
        </w:tc>
      </w:tr>
    </w:tbl>
    <w:p w14:paraId="1DA4DA36" w14:textId="77777777" w:rsidR="004135EE" w:rsidRPr="00652E54" w:rsidRDefault="004135EE" w:rsidP="004135EE"/>
    <w:p w14:paraId="2BB7E595" w14:textId="77777777" w:rsidR="004135EE" w:rsidRDefault="004135EE" w:rsidP="005C5C20">
      <w:pPr>
        <w:pStyle w:val="TableHeading"/>
      </w:pPr>
      <w:r w:rsidRPr="00D02438">
        <w:t>Reconciliation of the fair value of superannuation plan assets</w:t>
      </w:r>
      <w:r w:rsidRPr="00D02438">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Superannuation.xlsx|Table:Superannuation_plan_assets|MergedHeadingRow:1"/>
      </w:tblPr>
      <w:tblGrid>
        <w:gridCol w:w="3544"/>
        <w:gridCol w:w="851"/>
        <w:gridCol w:w="850"/>
        <w:gridCol w:w="877"/>
        <w:gridCol w:w="794"/>
        <w:gridCol w:w="794"/>
      </w:tblGrid>
      <w:tr w:rsidR="004135EE" w14:paraId="6AF07911"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48EF548D" w14:textId="77777777" w:rsidR="004135EE" w:rsidRDefault="004135EE" w:rsidP="008670FF">
            <w:pPr>
              <w:keepNext/>
            </w:pPr>
          </w:p>
        </w:tc>
        <w:tc>
          <w:tcPr>
            <w:tcW w:w="851" w:type="dxa"/>
            <w:tcBorders>
              <w:top w:val="single" w:sz="6" w:space="0" w:color="auto"/>
            </w:tcBorders>
          </w:tcPr>
          <w:p w14:paraId="208B93B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850" w:type="dxa"/>
            <w:tcBorders>
              <w:top w:val="single" w:sz="6" w:space="0" w:color="auto"/>
            </w:tcBorders>
          </w:tcPr>
          <w:p w14:paraId="25AFB6C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77" w:type="dxa"/>
            <w:tcBorders>
              <w:top w:val="single" w:sz="6" w:space="0" w:color="auto"/>
            </w:tcBorders>
          </w:tcPr>
          <w:p w14:paraId="61044A4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Borders>
              <w:top w:val="single" w:sz="6" w:space="0" w:color="auto"/>
            </w:tcBorders>
          </w:tcPr>
          <w:p w14:paraId="7CA1AED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Borders>
              <w:top w:val="single" w:sz="6" w:space="0" w:color="auto"/>
            </w:tcBorders>
          </w:tcPr>
          <w:p w14:paraId="61BEAC9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355E9DE9"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26617B50" w14:textId="77777777" w:rsidR="004135EE" w:rsidRDefault="004135EE" w:rsidP="008670FF">
            <w:r>
              <w:rPr>
                <w:b/>
              </w:rPr>
              <w:t>Opening balance of plan assets</w:t>
            </w:r>
          </w:p>
        </w:tc>
        <w:tc>
          <w:tcPr>
            <w:tcW w:w="851" w:type="dxa"/>
            <w:tcBorders>
              <w:top w:val="single" w:sz="6" w:space="0" w:color="auto"/>
            </w:tcBorders>
          </w:tcPr>
          <w:p w14:paraId="04C462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25 435</w:t>
            </w:r>
          </w:p>
        </w:tc>
        <w:tc>
          <w:tcPr>
            <w:tcW w:w="850" w:type="dxa"/>
            <w:tcBorders>
              <w:top w:val="single" w:sz="6" w:space="0" w:color="auto"/>
            </w:tcBorders>
          </w:tcPr>
          <w:p w14:paraId="7D04FD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25 435</w:t>
            </w:r>
          </w:p>
        </w:tc>
        <w:tc>
          <w:tcPr>
            <w:tcW w:w="877" w:type="dxa"/>
            <w:tcBorders>
              <w:top w:val="single" w:sz="6" w:space="0" w:color="auto"/>
            </w:tcBorders>
          </w:tcPr>
          <w:p w14:paraId="4382FD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25 630</w:t>
            </w:r>
          </w:p>
        </w:tc>
        <w:tc>
          <w:tcPr>
            <w:tcW w:w="794" w:type="dxa"/>
            <w:tcBorders>
              <w:top w:val="single" w:sz="6" w:space="0" w:color="auto"/>
            </w:tcBorders>
          </w:tcPr>
          <w:p w14:paraId="1351717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25 383</w:t>
            </w:r>
          </w:p>
        </w:tc>
        <w:tc>
          <w:tcPr>
            <w:tcW w:w="794" w:type="dxa"/>
            <w:tcBorders>
              <w:top w:val="single" w:sz="6" w:space="0" w:color="auto"/>
            </w:tcBorders>
          </w:tcPr>
          <w:p w14:paraId="367B5A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25 295</w:t>
            </w:r>
          </w:p>
        </w:tc>
      </w:tr>
      <w:tr w:rsidR="004135EE" w14:paraId="29D824F1"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9DCD31B" w14:textId="77777777" w:rsidR="004135EE" w:rsidRDefault="004135EE" w:rsidP="008670FF">
            <w:r>
              <w:t>Interest income</w:t>
            </w:r>
          </w:p>
        </w:tc>
        <w:tc>
          <w:tcPr>
            <w:tcW w:w="851" w:type="dxa"/>
          </w:tcPr>
          <w:p w14:paraId="779B76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1 015</w:t>
            </w:r>
          </w:p>
        </w:tc>
        <w:tc>
          <w:tcPr>
            <w:tcW w:w="850" w:type="dxa"/>
          </w:tcPr>
          <w:p w14:paraId="220B75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1 089</w:t>
            </w:r>
          </w:p>
        </w:tc>
        <w:tc>
          <w:tcPr>
            <w:tcW w:w="877" w:type="dxa"/>
          </w:tcPr>
          <w:p w14:paraId="2C959E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1 011</w:t>
            </w:r>
          </w:p>
        </w:tc>
        <w:tc>
          <w:tcPr>
            <w:tcW w:w="794" w:type="dxa"/>
          </w:tcPr>
          <w:p w14:paraId="02E40D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1 002</w:t>
            </w:r>
          </w:p>
        </w:tc>
        <w:tc>
          <w:tcPr>
            <w:tcW w:w="794" w:type="dxa"/>
          </w:tcPr>
          <w:p w14:paraId="01EADAC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1 010</w:t>
            </w:r>
          </w:p>
        </w:tc>
      </w:tr>
      <w:tr w:rsidR="004135EE" w14:paraId="72AD2F63"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640E0CCF" w14:textId="77777777" w:rsidR="004135EE" w:rsidRDefault="004135EE" w:rsidP="008670FF">
            <w:r>
              <w:t>Return on plan assets not included in interest income</w:t>
            </w:r>
          </w:p>
        </w:tc>
        <w:tc>
          <w:tcPr>
            <w:tcW w:w="851" w:type="dxa"/>
          </w:tcPr>
          <w:p w14:paraId="0A0E3C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725</w:t>
            </w:r>
          </w:p>
        </w:tc>
        <w:tc>
          <w:tcPr>
            <w:tcW w:w="850" w:type="dxa"/>
          </w:tcPr>
          <w:p w14:paraId="5F353D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1 002</w:t>
            </w:r>
          </w:p>
        </w:tc>
        <w:tc>
          <w:tcPr>
            <w:tcW w:w="877" w:type="dxa"/>
          </w:tcPr>
          <w:p w14:paraId="188D8F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718</w:t>
            </w:r>
          </w:p>
        </w:tc>
        <w:tc>
          <w:tcPr>
            <w:tcW w:w="794" w:type="dxa"/>
          </w:tcPr>
          <w:p w14:paraId="09C876D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702</w:t>
            </w:r>
          </w:p>
        </w:tc>
        <w:tc>
          <w:tcPr>
            <w:tcW w:w="794" w:type="dxa"/>
          </w:tcPr>
          <w:p w14:paraId="6A845B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702</w:t>
            </w:r>
          </w:p>
        </w:tc>
      </w:tr>
      <w:tr w:rsidR="004135EE" w14:paraId="0D476464"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78FFEF4F" w14:textId="77777777" w:rsidR="004135EE" w:rsidRDefault="004135EE" w:rsidP="008670FF">
            <w:r>
              <w:t>Employer contributions</w:t>
            </w:r>
          </w:p>
        </w:tc>
        <w:tc>
          <w:tcPr>
            <w:tcW w:w="851" w:type="dxa"/>
          </w:tcPr>
          <w:p w14:paraId="0D8C9D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1 191</w:t>
            </w:r>
          </w:p>
        </w:tc>
        <w:tc>
          <w:tcPr>
            <w:tcW w:w="850" w:type="dxa"/>
          </w:tcPr>
          <w:p w14:paraId="668D299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1 182</w:t>
            </w:r>
          </w:p>
        </w:tc>
        <w:tc>
          <w:tcPr>
            <w:tcW w:w="877" w:type="dxa"/>
          </w:tcPr>
          <w:p w14:paraId="50825B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929</w:t>
            </w:r>
          </w:p>
        </w:tc>
        <w:tc>
          <w:tcPr>
            <w:tcW w:w="794" w:type="dxa"/>
          </w:tcPr>
          <w:p w14:paraId="3409AE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1 176</w:t>
            </w:r>
          </w:p>
        </w:tc>
        <w:tc>
          <w:tcPr>
            <w:tcW w:w="794" w:type="dxa"/>
          </w:tcPr>
          <w:p w14:paraId="726AFB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2 534</w:t>
            </w:r>
          </w:p>
        </w:tc>
      </w:tr>
      <w:tr w:rsidR="004135EE" w14:paraId="5CCC067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6E2F9C4" w14:textId="77777777" w:rsidR="004135EE" w:rsidRDefault="004135EE" w:rsidP="008670FF">
            <w:r>
              <w:t>Contributions by plan participants</w:t>
            </w:r>
          </w:p>
        </w:tc>
        <w:tc>
          <w:tcPr>
            <w:tcW w:w="851" w:type="dxa"/>
          </w:tcPr>
          <w:p w14:paraId="4C9498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221</w:t>
            </w:r>
          </w:p>
        </w:tc>
        <w:tc>
          <w:tcPr>
            <w:tcW w:w="850" w:type="dxa"/>
          </w:tcPr>
          <w:p w14:paraId="7BB832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w:t>
            </w:r>
          </w:p>
        </w:tc>
        <w:tc>
          <w:tcPr>
            <w:tcW w:w="877" w:type="dxa"/>
          </w:tcPr>
          <w:p w14:paraId="646D43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219</w:t>
            </w:r>
          </w:p>
        </w:tc>
        <w:tc>
          <w:tcPr>
            <w:tcW w:w="794" w:type="dxa"/>
          </w:tcPr>
          <w:p w14:paraId="4EC190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220</w:t>
            </w:r>
          </w:p>
        </w:tc>
        <w:tc>
          <w:tcPr>
            <w:tcW w:w="794" w:type="dxa"/>
          </w:tcPr>
          <w:p w14:paraId="72D47C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223</w:t>
            </w:r>
          </w:p>
        </w:tc>
      </w:tr>
      <w:tr w:rsidR="004135EE" w14:paraId="5E1925F5"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1A202C17" w14:textId="77777777" w:rsidR="004135EE" w:rsidRDefault="004135EE" w:rsidP="008670FF">
            <w:r>
              <w:t>Benefits paid (including tax paid)</w:t>
            </w:r>
          </w:p>
        </w:tc>
        <w:tc>
          <w:tcPr>
            <w:tcW w:w="851" w:type="dxa"/>
            <w:tcBorders>
              <w:bottom w:val="single" w:sz="6" w:space="0" w:color="auto"/>
            </w:tcBorders>
          </w:tcPr>
          <w:p w14:paraId="5F483EA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(3 326)</w:t>
            </w:r>
          </w:p>
        </w:tc>
        <w:tc>
          <w:tcPr>
            <w:tcW w:w="850" w:type="dxa"/>
            <w:tcBorders>
              <w:bottom w:val="single" w:sz="6" w:space="0" w:color="auto"/>
            </w:tcBorders>
          </w:tcPr>
          <w:p w14:paraId="719968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(3 296)</w:t>
            </w:r>
          </w:p>
        </w:tc>
        <w:tc>
          <w:tcPr>
            <w:tcW w:w="877" w:type="dxa"/>
            <w:tcBorders>
              <w:bottom w:val="single" w:sz="6" w:space="0" w:color="auto"/>
            </w:tcBorders>
          </w:tcPr>
          <w:p w14:paraId="25419E0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(3 123)</w:t>
            </w:r>
          </w:p>
        </w:tc>
        <w:tc>
          <w:tcPr>
            <w:tcW w:w="794" w:type="dxa"/>
            <w:tcBorders>
              <w:bottom w:val="single" w:sz="6" w:space="0" w:color="auto"/>
            </w:tcBorders>
          </w:tcPr>
          <w:p w14:paraId="6157EA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(3 188)</w:t>
            </w:r>
          </w:p>
        </w:tc>
        <w:tc>
          <w:tcPr>
            <w:tcW w:w="794" w:type="dxa"/>
            <w:tcBorders>
              <w:bottom w:val="single" w:sz="6" w:space="0" w:color="auto"/>
            </w:tcBorders>
          </w:tcPr>
          <w:p w14:paraId="04DE45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(3 399)</w:t>
            </w:r>
          </w:p>
        </w:tc>
      </w:tr>
      <w:tr w:rsidR="004135EE" w14:paraId="5D67E062"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05D201EC" w14:textId="77777777" w:rsidR="004135EE" w:rsidRDefault="004135EE" w:rsidP="008670FF">
            <w:r>
              <w:rPr>
                <w:b/>
              </w:rPr>
              <w:t>Closing balance of plan assets</w:t>
            </w:r>
          </w:p>
        </w:tc>
        <w:tc>
          <w:tcPr>
            <w:tcW w:w="851" w:type="dxa"/>
            <w:tcBorders>
              <w:top w:val="single" w:sz="6" w:space="0" w:color="auto"/>
              <w:bottom w:val="single" w:sz="12" w:space="0" w:color="auto"/>
            </w:tcBorders>
          </w:tcPr>
          <w:p w14:paraId="64A06D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25 261</w:t>
            </w:r>
          </w:p>
        </w:tc>
        <w:tc>
          <w:tcPr>
            <w:tcW w:w="850" w:type="dxa"/>
            <w:tcBorders>
              <w:top w:val="single" w:sz="6" w:space="0" w:color="auto"/>
              <w:bottom w:val="single" w:sz="12" w:space="0" w:color="auto"/>
            </w:tcBorders>
          </w:tcPr>
          <w:p w14:paraId="7982E15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25 630</w:t>
            </w:r>
          </w:p>
        </w:tc>
        <w:tc>
          <w:tcPr>
            <w:tcW w:w="877" w:type="dxa"/>
            <w:tcBorders>
              <w:top w:val="single" w:sz="6" w:space="0" w:color="auto"/>
              <w:bottom w:val="single" w:sz="12" w:space="0" w:color="auto"/>
            </w:tcBorders>
          </w:tcPr>
          <w:p w14:paraId="2D0C55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25 383</w:t>
            </w:r>
          </w:p>
        </w:tc>
        <w:tc>
          <w:tcPr>
            <w:tcW w:w="794" w:type="dxa"/>
            <w:tcBorders>
              <w:top w:val="single" w:sz="6" w:space="0" w:color="auto"/>
              <w:bottom w:val="single" w:sz="12" w:space="0" w:color="auto"/>
            </w:tcBorders>
          </w:tcPr>
          <w:p w14:paraId="4D268F7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25 295</w:t>
            </w:r>
          </w:p>
        </w:tc>
        <w:tc>
          <w:tcPr>
            <w:tcW w:w="794" w:type="dxa"/>
            <w:tcBorders>
              <w:top w:val="single" w:sz="6" w:space="0" w:color="auto"/>
              <w:bottom w:val="single" w:sz="12" w:space="0" w:color="auto"/>
            </w:tcBorders>
          </w:tcPr>
          <w:p w14:paraId="5B5B6C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26 365</w:t>
            </w:r>
          </w:p>
        </w:tc>
      </w:tr>
    </w:tbl>
    <w:p w14:paraId="7517F93F" w14:textId="77777777" w:rsidR="004135EE" w:rsidRDefault="004135EE" w:rsidP="004135EE"/>
    <w:p w14:paraId="7C70ADB3" w14:textId="77777777" w:rsidR="005C5C20" w:rsidRDefault="005C5C20">
      <w:pPr>
        <w:keepLines w:val="0"/>
        <w:rPr>
          <w:rFonts w:asciiTheme="majorHAnsi" w:eastAsiaTheme="majorEastAsia" w:hAnsiTheme="majorHAnsi" w:cstheme="majorBidi"/>
          <w:b/>
          <w:szCs w:val="24"/>
        </w:rPr>
      </w:pPr>
      <w:r>
        <w:br w:type="page"/>
      </w:r>
    </w:p>
    <w:p w14:paraId="314B8A9A" w14:textId="148CE66D" w:rsidR="004135EE" w:rsidRPr="000A6E7A" w:rsidRDefault="004135EE" w:rsidP="004135EE">
      <w:pPr>
        <w:pStyle w:val="Heading30"/>
      </w:pPr>
      <w:bookmarkStart w:id="96" w:name="_Toc184299096"/>
      <w:r>
        <w:t>4.3.4</w:t>
      </w:r>
      <w:r>
        <w:tab/>
      </w:r>
      <w:r w:rsidRPr="000A6E7A">
        <w:t>Grant expense</w:t>
      </w:r>
      <w:r w:rsidRPr="000A6E7A">
        <w:tab/>
        <w:t>($ million)</w:t>
      </w:r>
      <w:bookmarkEnd w:id="95"/>
      <w:bookmarkEnd w:id="96"/>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Grant_expense|MergedHeadingRow:1"/>
      </w:tblPr>
      <w:tblGrid>
        <w:gridCol w:w="3740"/>
        <w:gridCol w:w="794"/>
        <w:gridCol w:w="794"/>
        <w:gridCol w:w="794"/>
        <w:gridCol w:w="794"/>
        <w:gridCol w:w="794"/>
      </w:tblGrid>
      <w:tr w:rsidR="004135EE" w14:paraId="2C3A9E16"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A110D76" w14:textId="77777777" w:rsidR="004135EE" w:rsidRDefault="004135EE" w:rsidP="008670FF">
            <w:pPr>
              <w:keepNext/>
            </w:pPr>
          </w:p>
        </w:tc>
        <w:tc>
          <w:tcPr>
            <w:tcW w:w="794" w:type="dxa"/>
          </w:tcPr>
          <w:p w14:paraId="3B3E47B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5F51841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5544DC3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DC1FC5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25FB13F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2818472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FCF8F47" w14:textId="77777777" w:rsidR="004135EE" w:rsidRDefault="004135EE" w:rsidP="008670FF">
            <w:r>
              <w:rPr>
                <w:b/>
              </w:rPr>
              <w:t>Current grant expense</w:t>
            </w:r>
          </w:p>
        </w:tc>
        <w:tc>
          <w:tcPr>
            <w:tcW w:w="794" w:type="dxa"/>
          </w:tcPr>
          <w:p w14:paraId="38B876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7979F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EBEC8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80EDD9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D56DAE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450D534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66E7357" w14:textId="77777777" w:rsidR="004135EE" w:rsidRDefault="004135EE" w:rsidP="008670FF">
            <w:r>
              <w:t>Commonwealth Government</w:t>
            </w:r>
          </w:p>
        </w:tc>
        <w:tc>
          <w:tcPr>
            <w:tcW w:w="794" w:type="dxa"/>
          </w:tcPr>
          <w:p w14:paraId="164BB8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3 297</w:t>
            </w:r>
          </w:p>
        </w:tc>
        <w:tc>
          <w:tcPr>
            <w:tcW w:w="794" w:type="dxa"/>
          </w:tcPr>
          <w:p w14:paraId="71E1D1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3 304</w:t>
            </w:r>
          </w:p>
        </w:tc>
        <w:tc>
          <w:tcPr>
            <w:tcW w:w="794" w:type="dxa"/>
          </w:tcPr>
          <w:p w14:paraId="7F30D2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3 463</w:t>
            </w:r>
          </w:p>
        </w:tc>
        <w:tc>
          <w:tcPr>
            <w:tcW w:w="794" w:type="dxa"/>
          </w:tcPr>
          <w:p w14:paraId="0F07A4C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3 584</w:t>
            </w:r>
          </w:p>
        </w:tc>
        <w:tc>
          <w:tcPr>
            <w:tcW w:w="794" w:type="dxa"/>
          </w:tcPr>
          <w:p w14:paraId="334A50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3 717</w:t>
            </w:r>
          </w:p>
        </w:tc>
      </w:tr>
      <w:tr w:rsidR="004135EE" w14:paraId="2C7B0DB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B40A396" w14:textId="77777777" w:rsidR="004135EE" w:rsidRDefault="004135EE" w:rsidP="008670FF">
            <w:r>
              <w:t>Local government (including grants for on</w:t>
            </w:r>
            <w:r>
              <w:noBreakHyphen/>
              <w:t>passing)</w:t>
            </w:r>
          </w:p>
        </w:tc>
        <w:tc>
          <w:tcPr>
            <w:tcW w:w="794" w:type="dxa"/>
          </w:tcPr>
          <w:p w14:paraId="69D06E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1 476</w:t>
            </w:r>
          </w:p>
        </w:tc>
        <w:tc>
          <w:tcPr>
            <w:tcW w:w="794" w:type="dxa"/>
          </w:tcPr>
          <w:p w14:paraId="7C259F9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880</w:t>
            </w:r>
          </w:p>
        </w:tc>
        <w:tc>
          <w:tcPr>
            <w:tcW w:w="794" w:type="dxa"/>
          </w:tcPr>
          <w:p w14:paraId="4A689F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1 464</w:t>
            </w:r>
          </w:p>
        </w:tc>
        <w:tc>
          <w:tcPr>
            <w:tcW w:w="794" w:type="dxa"/>
          </w:tcPr>
          <w:p w14:paraId="2ACC1D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1 146</w:t>
            </w:r>
          </w:p>
        </w:tc>
        <w:tc>
          <w:tcPr>
            <w:tcW w:w="794" w:type="dxa"/>
          </w:tcPr>
          <w:p w14:paraId="73A56E0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1 072</w:t>
            </w:r>
          </w:p>
        </w:tc>
      </w:tr>
      <w:tr w:rsidR="004135EE" w14:paraId="3665B70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7C8D841" w14:textId="77777777" w:rsidR="004135EE" w:rsidRDefault="004135EE" w:rsidP="008670FF">
            <w:r>
              <w:t>Private sector and not</w:t>
            </w:r>
            <w:r>
              <w:noBreakHyphen/>
              <w:t>for</w:t>
            </w:r>
            <w:r>
              <w:noBreakHyphen/>
              <w:t>profit for on</w:t>
            </w:r>
            <w:r>
              <w:noBreakHyphen/>
              <w:t>passing</w:t>
            </w:r>
          </w:p>
        </w:tc>
        <w:tc>
          <w:tcPr>
            <w:tcW w:w="794" w:type="dxa"/>
          </w:tcPr>
          <w:p w14:paraId="3F1CFBB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5 235</w:t>
            </w:r>
          </w:p>
        </w:tc>
        <w:tc>
          <w:tcPr>
            <w:tcW w:w="794" w:type="dxa"/>
          </w:tcPr>
          <w:p w14:paraId="55F2A8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5 252</w:t>
            </w:r>
          </w:p>
        </w:tc>
        <w:tc>
          <w:tcPr>
            <w:tcW w:w="794" w:type="dxa"/>
          </w:tcPr>
          <w:p w14:paraId="594389B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5 368</w:t>
            </w:r>
          </w:p>
        </w:tc>
        <w:tc>
          <w:tcPr>
            <w:tcW w:w="794" w:type="dxa"/>
          </w:tcPr>
          <w:p w14:paraId="0F06C3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5 594</w:t>
            </w:r>
          </w:p>
        </w:tc>
        <w:tc>
          <w:tcPr>
            <w:tcW w:w="794" w:type="dxa"/>
          </w:tcPr>
          <w:p w14:paraId="118856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5 827</w:t>
            </w:r>
          </w:p>
        </w:tc>
      </w:tr>
      <w:tr w:rsidR="004135EE" w14:paraId="456A138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72A61F3" w14:textId="77777777" w:rsidR="004135EE" w:rsidRDefault="004135EE" w:rsidP="008670FF">
            <w:r>
              <w:t>Other private sector and not</w:t>
            </w:r>
            <w:r>
              <w:noBreakHyphen/>
              <w:t>for</w:t>
            </w:r>
            <w:r>
              <w:noBreakHyphen/>
              <w:t>profit</w:t>
            </w:r>
          </w:p>
        </w:tc>
        <w:tc>
          <w:tcPr>
            <w:tcW w:w="794" w:type="dxa"/>
          </w:tcPr>
          <w:p w14:paraId="2FFC972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4 769</w:t>
            </w:r>
          </w:p>
        </w:tc>
        <w:tc>
          <w:tcPr>
            <w:tcW w:w="794" w:type="dxa"/>
          </w:tcPr>
          <w:p w14:paraId="083F47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5 099</w:t>
            </w:r>
          </w:p>
        </w:tc>
        <w:tc>
          <w:tcPr>
            <w:tcW w:w="794" w:type="dxa"/>
          </w:tcPr>
          <w:p w14:paraId="7EAB8F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4 610</w:t>
            </w:r>
          </w:p>
        </w:tc>
        <w:tc>
          <w:tcPr>
            <w:tcW w:w="794" w:type="dxa"/>
          </w:tcPr>
          <w:p w14:paraId="169FB6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4 713</w:t>
            </w:r>
          </w:p>
        </w:tc>
        <w:tc>
          <w:tcPr>
            <w:tcW w:w="794" w:type="dxa"/>
          </w:tcPr>
          <w:p w14:paraId="083070F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4 628</w:t>
            </w:r>
          </w:p>
        </w:tc>
      </w:tr>
      <w:tr w:rsidR="004135EE" w14:paraId="522B509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17B5E63" w14:textId="77777777" w:rsidR="004135EE" w:rsidRDefault="004135EE" w:rsidP="008670FF">
            <w:r>
              <w:t>Grants within the Victorian Government</w:t>
            </w:r>
          </w:p>
        </w:tc>
        <w:tc>
          <w:tcPr>
            <w:tcW w:w="794" w:type="dxa"/>
          </w:tcPr>
          <w:p w14:paraId="44E0AE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2 339</w:t>
            </w:r>
          </w:p>
        </w:tc>
        <w:tc>
          <w:tcPr>
            <w:tcW w:w="794" w:type="dxa"/>
          </w:tcPr>
          <w:p w14:paraId="7A97B5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2 536</w:t>
            </w:r>
          </w:p>
        </w:tc>
        <w:tc>
          <w:tcPr>
            <w:tcW w:w="794" w:type="dxa"/>
          </w:tcPr>
          <w:p w14:paraId="290D2C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2 140</w:t>
            </w:r>
          </w:p>
        </w:tc>
        <w:tc>
          <w:tcPr>
            <w:tcW w:w="794" w:type="dxa"/>
          </w:tcPr>
          <w:p w14:paraId="797C7E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1 941</w:t>
            </w:r>
          </w:p>
        </w:tc>
        <w:tc>
          <w:tcPr>
            <w:tcW w:w="794" w:type="dxa"/>
          </w:tcPr>
          <w:p w14:paraId="38167F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1 946</w:t>
            </w:r>
          </w:p>
        </w:tc>
      </w:tr>
      <w:tr w:rsidR="004135EE" w14:paraId="116E487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2BF18BA" w14:textId="77777777" w:rsidR="004135EE" w:rsidRDefault="004135EE" w:rsidP="008670FF">
            <w:r>
              <w:t>Grants to other state governments</w:t>
            </w:r>
          </w:p>
        </w:tc>
        <w:tc>
          <w:tcPr>
            <w:tcW w:w="794" w:type="dxa"/>
            <w:tcBorders>
              <w:bottom w:val="single" w:sz="6" w:space="0" w:color="auto"/>
            </w:tcBorders>
          </w:tcPr>
          <w:p w14:paraId="582485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102</w:t>
            </w:r>
          </w:p>
        </w:tc>
        <w:tc>
          <w:tcPr>
            <w:tcW w:w="794" w:type="dxa"/>
            <w:tcBorders>
              <w:bottom w:val="single" w:sz="6" w:space="0" w:color="auto"/>
            </w:tcBorders>
          </w:tcPr>
          <w:p w14:paraId="0C10B8F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141</w:t>
            </w:r>
          </w:p>
        </w:tc>
        <w:tc>
          <w:tcPr>
            <w:tcW w:w="794" w:type="dxa"/>
            <w:tcBorders>
              <w:bottom w:val="single" w:sz="6" w:space="0" w:color="auto"/>
            </w:tcBorders>
          </w:tcPr>
          <w:p w14:paraId="78937C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121</w:t>
            </w:r>
          </w:p>
        </w:tc>
        <w:tc>
          <w:tcPr>
            <w:tcW w:w="794" w:type="dxa"/>
            <w:tcBorders>
              <w:bottom w:val="single" w:sz="6" w:space="0" w:color="auto"/>
            </w:tcBorders>
          </w:tcPr>
          <w:p w14:paraId="4D228FC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123</w:t>
            </w:r>
          </w:p>
        </w:tc>
        <w:tc>
          <w:tcPr>
            <w:tcW w:w="794" w:type="dxa"/>
            <w:tcBorders>
              <w:bottom w:val="single" w:sz="6" w:space="0" w:color="auto"/>
            </w:tcBorders>
          </w:tcPr>
          <w:p w14:paraId="41F28F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97</w:t>
            </w:r>
          </w:p>
        </w:tc>
      </w:tr>
      <w:tr w:rsidR="004135EE" w14:paraId="61CC1B8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EDDE7BF" w14:textId="77777777" w:rsidR="004135EE" w:rsidRDefault="004135EE" w:rsidP="008670FF">
            <w:r>
              <w:rPr>
                <w:b/>
              </w:rPr>
              <w:t>Total current grant expense</w:t>
            </w:r>
          </w:p>
        </w:tc>
        <w:tc>
          <w:tcPr>
            <w:tcW w:w="794" w:type="dxa"/>
            <w:tcBorders>
              <w:top w:val="single" w:sz="6" w:space="0" w:color="auto"/>
              <w:bottom w:val="single" w:sz="6" w:space="0" w:color="auto"/>
            </w:tcBorders>
          </w:tcPr>
          <w:p w14:paraId="32107C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17 218</w:t>
            </w:r>
          </w:p>
        </w:tc>
        <w:tc>
          <w:tcPr>
            <w:tcW w:w="794" w:type="dxa"/>
            <w:tcBorders>
              <w:top w:val="single" w:sz="6" w:space="0" w:color="auto"/>
              <w:bottom w:val="single" w:sz="6" w:space="0" w:color="auto"/>
            </w:tcBorders>
          </w:tcPr>
          <w:p w14:paraId="3D7C8D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17 213</w:t>
            </w:r>
          </w:p>
        </w:tc>
        <w:tc>
          <w:tcPr>
            <w:tcW w:w="794" w:type="dxa"/>
            <w:tcBorders>
              <w:top w:val="single" w:sz="6" w:space="0" w:color="auto"/>
              <w:bottom w:val="single" w:sz="6" w:space="0" w:color="auto"/>
            </w:tcBorders>
          </w:tcPr>
          <w:p w14:paraId="6E42D75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17 165</w:t>
            </w:r>
          </w:p>
        </w:tc>
        <w:tc>
          <w:tcPr>
            <w:tcW w:w="794" w:type="dxa"/>
            <w:tcBorders>
              <w:top w:val="single" w:sz="6" w:space="0" w:color="auto"/>
              <w:bottom w:val="single" w:sz="6" w:space="0" w:color="auto"/>
            </w:tcBorders>
          </w:tcPr>
          <w:p w14:paraId="154B11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17 100</w:t>
            </w:r>
          </w:p>
        </w:tc>
        <w:tc>
          <w:tcPr>
            <w:tcW w:w="794" w:type="dxa"/>
            <w:tcBorders>
              <w:top w:val="single" w:sz="6" w:space="0" w:color="auto"/>
              <w:bottom w:val="single" w:sz="6" w:space="0" w:color="auto"/>
            </w:tcBorders>
          </w:tcPr>
          <w:p w14:paraId="7BF785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17 286</w:t>
            </w:r>
          </w:p>
        </w:tc>
      </w:tr>
      <w:tr w:rsidR="004135EE" w14:paraId="25E8517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E494D61" w14:textId="77777777" w:rsidR="004135EE" w:rsidRDefault="004135EE" w:rsidP="008670FF">
            <w:r>
              <w:rPr>
                <w:b/>
              </w:rPr>
              <w:t>Capital grant expense</w:t>
            </w:r>
          </w:p>
        </w:tc>
        <w:tc>
          <w:tcPr>
            <w:tcW w:w="794" w:type="dxa"/>
            <w:tcBorders>
              <w:top w:val="single" w:sz="6" w:space="0" w:color="auto"/>
            </w:tcBorders>
          </w:tcPr>
          <w:p w14:paraId="0D2A70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031B9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EA71C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BF3A3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CD581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3ECB4A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C8A8052" w14:textId="77777777" w:rsidR="004135EE" w:rsidRDefault="004135EE" w:rsidP="008670FF">
            <w:r>
              <w:t>Local government (including grants for on</w:t>
            </w:r>
            <w:r>
              <w:noBreakHyphen/>
              <w:t>passing)</w:t>
            </w:r>
          </w:p>
        </w:tc>
        <w:tc>
          <w:tcPr>
            <w:tcW w:w="794" w:type="dxa"/>
          </w:tcPr>
          <w:p w14:paraId="4869C32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191</w:t>
            </w:r>
          </w:p>
        </w:tc>
        <w:tc>
          <w:tcPr>
            <w:tcW w:w="794" w:type="dxa"/>
          </w:tcPr>
          <w:p w14:paraId="1C7152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191</w:t>
            </w:r>
          </w:p>
        </w:tc>
        <w:tc>
          <w:tcPr>
            <w:tcW w:w="794" w:type="dxa"/>
          </w:tcPr>
          <w:p w14:paraId="427F074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120</w:t>
            </w:r>
          </w:p>
        </w:tc>
        <w:tc>
          <w:tcPr>
            <w:tcW w:w="794" w:type="dxa"/>
          </w:tcPr>
          <w:p w14:paraId="1E461B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028ADA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114</w:t>
            </w:r>
          </w:p>
        </w:tc>
      </w:tr>
      <w:tr w:rsidR="004135EE" w14:paraId="5C984D3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ADBD3FF" w14:textId="77777777" w:rsidR="004135EE" w:rsidRDefault="004135EE" w:rsidP="008670FF">
            <w:r>
              <w:t>Private sector and not</w:t>
            </w:r>
            <w:r>
              <w:noBreakHyphen/>
              <w:t>for</w:t>
            </w:r>
            <w:r>
              <w:noBreakHyphen/>
              <w:t>profit on</w:t>
            </w:r>
            <w:r>
              <w:noBreakHyphen/>
              <w:t>passing</w:t>
            </w:r>
          </w:p>
        </w:tc>
        <w:tc>
          <w:tcPr>
            <w:tcW w:w="794" w:type="dxa"/>
          </w:tcPr>
          <w:p w14:paraId="6E60C0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187</w:t>
            </w:r>
          </w:p>
        </w:tc>
        <w:tc>
          <w:tcPr>
            <w:tcW w:w="794" w:type="dxa"/>
          </w:tcPr>
          <w:p w14:paraId="10BBE5D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238</w:t>
            </w:r>
          </w:p>
        </w:tc>
        <w:tc>
          <w:tcPr>
            <w:tcW w:w="794" w:type="dxa"/>
          </w:tcPr>
          <w:p w14:paraId="136E12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168</w:t>
            </w:r>
          </w:p>
        </w:tc>
        <w:tc>
          <w:tcPr>
            <w:tcW w:w="794" w:type="dxa"/>
          </w:tcPr>
          <w:p w14:paraId="00D9A8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124</w:t>
            </w:r>
          </w:p>
        </w:tc>
        <w:tc>
          <w:tcPr>
            <w:tcW w:w="794" w:type="dxa"/>
          </w:tcPr>
          <w:p w14:paraId="392507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87</w:t>
            </w:r>
          </w:p>
        </w:tc>
      </w:tr>
      <w:tr w:rsidR="004135EE" w14:paraId="6CE376C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9D6C810" w14:textId="77777777" w:rsidR="004135EE" w:rsidRDefault="004135EE" w:rsidP="008670FF">
            <w:r>
              <w:t>Other private sector and not</w:t>
            </w:r>
            <w:r>
              <w:noBreakHyphen/>
              <w:t>for</w:t>
            </w:r>
            <w:r>
              <w:noBreakHyphen/>
              <w:t>profit</w:t>
            </w:r>
          </w:p>
        </w:tc>
        <w:tc>
          <w:tcPr>
            <w:tcW w:w="794" w:type="dxa"/>
          </w:tcPr>
          <w:p w14:paraId="1FC5F7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8B627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w:t>
            </w:r>
          </w:p>
        </w:tc>
        <w:tc>
          <w:tcPr>
            <w:tcW w:w="794" w:type="dxa"/>
          </w:tcPr>
          <w:p w14:paraId="4F266AD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FDCA4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EACF9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06529B1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D50784C" w14:textId="77777777" w:rsidR="004135EE" w:rsidRDefault="004135EE" w:rsidP="008670FF">
            <w:r>
              <w:t>Grants within the Victorian Government</w:t>
            </w:r>
          </w:p>
        </w:tc>
        <w:tc>
          <w:tcPr>
            <w:tcW w:w="794" w:type="dxa"/>
          </w:tcPr>
          <w:p w14:paraId="4323EAE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3F689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340737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3F342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653C2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r>
      <w:tr w:rsidR="004135EE" w14:paraId="5668672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A143FA2" w14:textId="77777777" w:rsidR="004135EE" w:rsidRDefault="004135EE" w:rsidP="008670FF">
            <w:r>
              <w:t>Other grants</w:t>
            </w:r>
          </w:p>
        </w:tc>
        <w:tc>
          <w:tcPr>
            <w:tcW w:w="794" w:type="dxa"/>
            <w:tcBorders>
              <w:bottom w:val="single" w:sz="6" w:space="0" w:color="auto"/>
            </w:tcBorders>
          </w:tcPr>
          <w:p w14:paraId="65D9FC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w:t>
            </w:r>
          </w:p>
        </w:tc>
        <w:tc>
          <w:tcPr>
            <w:tcW w:w="794" w:type="dxa"/>
            <w:tcBorders>
              <w:bottom w:val="single" w:sz="6" w:space="0" w:color="auto"/>
            </w:tcBorders>
          </w:tcPr>
          <w:p w14:paraId="76C6DA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w:t>
            </w:r>
          </w:p>
        </w:tc>
        <w:tc>
          <w:tcPr>
            <w:tcW w:w="794" w:type="dxa"/>
            <w:tcBorders>
              <w:bottom w:val="single" w:sz="6" w:space="0" w:color="auto"/>
            </w:tcBorders>
          </w:tcPr>
          <w:p w14:paraId="45C27B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511413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c>
          <w:tcPr>
            <w:tcW w:w="794" w:type="dxa"/>
            <w:tcBorders>
              <w:bottom w:val="single" w:sz="6" w:space="0" w:color="auto"/>
            </w:tcBorders>
          </w:tcPr>
          <w:p w14:paraId="0A46BA5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w:t>
            </w:r>
          </w:p>
        </w:tc>
      </w:tr>
      <w:tr w:rsidR="004135EE" w14:paraId="42D4EF0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E4A86E1" w14:textId="77777777" w:rsidR="004135EE" w:rsidRDefault="004135EE" w:rsidP="008670FF">
            <w:r>
              <w:rPr>
                <w:b/>
              </w:rPr>
              <w:t>Total capital grant expense</w:t>
            </w:r>
          </w:p>
        </w:tc>
        <w:tc>
          <w:tcPr>
            <w:tcW w:w="794" w:type="dxa"/>
            <w:tcBorders>
              <w:top w:val="single" w:sz="6" w:space="0" w:color="auto"/>
              <w:bottom w:val="single" w:sz="6" w:space="0" w:color="auto"/>
            </w:tcBorders>
          </w:tcPr>
          <w:p w14:paraId="0C2550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401</w:t>
            </w:r>
          </w:p>
        </w:tc>
        <w:tc>
          <w:tcPr>
            <w:tcW w:w="794" w:type="dxa"/>
            <w:tcBorders>
              <w:top w:val="single" w:sz="6" w:space="0" w:color="auto"/>
              <w:bottom w:val="single" w:sz="6" w:space="0" w:color="auto"/>
            </w:tcBorders>
          </w:tcPr>
          <w:p w14:paraId="0E94450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515</w:t>
            </w:r>
          </w:p>
        </w:tc>
        <w:tc>
          <w:tcPr>
            <w:tcW w:w="794" w:type="dxa"/>
            <w:tcBorders>
              <w:top w:val="single" w:sz="6" w:space="0" w:color="auto"/>
              <w:bottom w:val="single" w:sz="6" w:space="0" w:color="auto"/>
            </w:tcBorders>
          </w:tcPr>
          <w:p w14:paraId="6928EB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317</w:t>
            </w:r>
          </w:p>
        </w:tc>
        <w:tc>
          <w:tcPr>
            <w:tcW w:w="794" w:type="dxa"/>
            <w:tcBorders>
              <w:top w:val="single" w:sz="6" w:space="0" w:color="auto"/>
              <w:bottom w:val="single" w:sz="6" w:space="0" w:color="auto"/>
            </w:tcBorders>
          </w:tcPr>
          <w:p w14:paraId="61CCF1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262</w:t>
            </w:r>
          </w:p>
        </w:tc>
        <w:tc>
          <w:tcPr>
            <w:tcW w:w="794" w:type="dxa"/>
            <w:tcBorders>
              <w:top w:val="single" w:sz="6" w:space="0" w:color="auto"/>
              <w:bottom w:val="single" w:sz="6" w:space="0" w:color="auto"/>
            </w:tcBorders>
          </w:tcPr>
          <w:p w14:paraId="0E5DE2D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211</w:t>
            </w:r>
          </w:p>
        </w:tc>
      </w:tr>
      <w:tr w:rsidR="004135EE" w14:paraId="13FB416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DE3E3D1" w14:textId="77777777" w:rsidR="004135EE" w:rsidRDefault="004135EE" w:rsidP="008670FF">
            <w:r>
              <w:rPr>
                <w:b/>
              </w:rPr>
              <w:t>Total grant expense</w:t>
            </w:r>
          </w:p>
        </w:tc>
        <w:tc>
          <w:tcPr>
            <w:tcW w:w="794" w:type="dxa"/>
            <w:tcBorders>
              <w:top w:val="single" w:sz="6" w:space="0" w:color="auto"/>
              <w:bottom w:val="single" w:sz="12" w:space="0" w:color="auto"/>
            </w:tcBorders>
          </w:tcPr>
          <w:p w14:paraId="2AA7D32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17 619</w:t>
            </w:r>
          </w:p>
        </w:tc>
        <w:tc>
          <w:tcPr>
            <w:tcW w:w="794" w:type="dxa"/>
            <w:tcBorders>
              <w:top w:val="single" w:sz="6" w:space="0" w:color="auto"/>
              <w:bottom w:val="single" w:sz="12" w:space="0" w:color="auto"/>
            </w:tcBorders>
          </w:tcPr>
          <w:p w14:paraId="035CF7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17 728</w:t>
            </w:r>
          </w:p>
        </w:tc>
        <w:tc>
          <w:tcPr>
            <w:tcW w:w="794" w:type="dxa"/>
            <w:tcBorders>
              <w:top w:val="single" w:sz="6" w:space="0" w:color="auto"/>
              <w:bottom w:val="single" w:sz="12" w:space="0" w:color="auto"/>
            </w:tcBorders>
          </w:tcPr>
          <w:p w14:paraId="208C22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17 483</w:t>
            </w:r>
          </w:p>
        </w:tc>
        <w:tc>
          <w:tcPr>
            <w:tcW w:w="794" w:type="dxa"/>
            <w:tcBorders>
              <w:top w:val="single" w:sz="6" w:space="0" w:color="auto"/>
              <w:bottom w:val="single" w:sz="12" w:space="0" w:color="auto"/>
            </w:tcBorders>
          </w:tcPr>
          <w:p w14:paraId="3B0156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17 362</w:t>
            </w:r>
          </w:p>
        </w:tc>
        <w:tc>
          <w:tcPr>
            <w:tcW w:w="794" w:type="dxa"/>
            <w:tcBorders>
              <w:top w:val="single" w:sz="6" w:space="0" w:color="auto"/>
              <w:bottom w:val="single" w:sz="12" w:space="0" w:color="auto"/>
            </w:tcBorders>
          </w:tcPr>
          <w:p w14:paraId="3D58D5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17 497</w:t>
            </w:r>
          </w:p>
        </w:tc>
      </w:tr>
    </w:tbl>
    <w:p w14:paraId="29085413" w14:textId="77777777" w:rsidR="004135EE" w:rsidRDefault="004135EE" w:rsidP="004135EE"/>
    <w:p w14:paraId="3F8E1FF7" w14:textId="77777777" w:rsidR="004135EE" w:rsidRPr="003822E3" w:rsidRDefault="004135EE" w:rsidP="004135EE">
      <w:pPr>
        <w:pStyle w:val="Heading30"/>
        <w:pageBreakBefore/>
      </w:pPr>
      <w:bookmarkStart w:id="97" w:name="_Toc149221031"/>
      <w:bookmarkStart w:id="98" w:name="_Toc184299097"/>
      <w:r>
        <w:t>4.3.5</w:t>
      </w:r>
      <w:r>
        <w:tab/>
      </w:r>
      <w:r w:rsidRPr="003822E3">
        <w:t xml:space="preserve">Other operating expenses </w:t>
      </w:r>
      <w:r w:rsidRPr="003822E3">
        <w:tab/>
        <w:t>($ million)</w:t>
      </w:r>
      <w:bookmarkEnd w:id="97"/>
      <w:bookmarkEnd w:id="98"/>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Other_operating_expenses|MergedHeadingRow:1"/>
      </w:tblPr>
      <w:tblGrid>
        <w:gridCol w:w="3740"/>
        <w:gridCol w:w="794"/>
        <w:gridCol w:w="794"/>
        <w:gridCol w:w="794"/>
        <w:gridCol w:w="794"/>
        <w:gridCol w:w="794"/>
      </w:tblGrid>
      <w:tr w:rsidR="004135EE" w14:paraId="1DE1F45F"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A6D1003" w14:textId="77777777" w:rsidR="004135EE" w:rsidRDefault="004135EE" w:rsidP="008670FF">
            <w:pPr>
              <w:keepNext/>
            </w:pPr>
          </w:p>
        </w:tc>
        <w:tc>
          <w:tcPr>
            <w:tcW w:w="794" w:type="dxa"/>
          </w:tcPr>
          <w:p w14:paraId="550C0F4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AB37FA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6335B1A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1DECB75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1D4291D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3A464A5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0689F61" w14:textId="77777777" w:rsidR="004135EE" w:rsidRDefault="004135EE" w:rsidP="008670FF">
            <w:r>
              <w:t>Purchase of supplies and consumables</w:t>
            </w:r>
            <w:r>
              <w:rPr>
                <w:vertAlign w:val="superscript"/>
              </w:rPr>
              <w:t xml:space="preserve"> (a)</w:t>
            </w:r>
          </w:p>
        </w:tc>
        <w:tc>
          <w:tcPr>
            <w:tcW w:w="794" w:type="dxa"/>
          </w:tcPr>
          <w:p w14:paraId="48B70E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8 392</w:t>
            </w:r>
          </w:p>
        </w:tc>
        <w:tc>
          <w:tcPr>
            <w:tcW w:w="794" w:type="dxa"/>
          </w:tcPr>
          <w:p w14:paraId="31C466E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7 886</w:t>
            </w:r>
          </w:p>
        </w:tc>
        <w:tc>
          <w:tcPr>
            <w:tcW w:w="794" w:type="dxa"/>
          </w:tcPr>
          <w:p w14:paraId="56AC74B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7 723</w:t>
            </w:r>
          </w:p>
        </w:tc>
        <w:tc>
          <w:tcPr>
            <w:tcW w:w="794" w:type="dxa"/>
          </w:tcPr>
          <w:p w14:paraId="3107B2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9 108</w:t>
            </w:r>
          </w:p>
        </w:tc>
        <w:tc>
          <w:tcPr>
            <w:tcW w:w="794" w:type="dxa"/>
          </w:tcPr>
          <w:p w14:paraId="0F57E7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9 685</w:t>
            </w:r>
          </w:p>
        </w:tc>
      </w:tr>
      <w:tr w:rsidR="004135EE" w14:paraId="0305610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59F9752" w14:textId="77777777" w:rsidR="004135EE" w:rsidRDefault="004135EE" w:rsidP="008670FF">
            <w:r>
              <w:t>Cost of goods sold</w:t>
            </w:r>
          </w:p>
        </w:tc>
        <w:tc>
          <w:tcPr>
            <w:tcW w:w="794" w:type="dxa"/>
          </w:tcPr>
          <w:p w14:paraId="467CED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41BD55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w:t>
            </w:r>
          </w:p>
        </w:tc>
        <w:tc>
          <w:tcPr>
            <w:tcW w:w="794" w:type="dxa"/>
          </w:tcPr>
          <w:p w14:paraId="1777AE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6578CF5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c>
          <w:tcPr>
            <w:tcW w:w="794" w:type="dxa"/>
          </w:tcPr>
          <w:p w14:paraId="66B684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w:t>
            </w:r>
          </w:p>
        </w:tc>
      </w:tr>
      <w:tr w:rsidR="004135EE" w14:paraId="496F566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0679360" w14:textId="77777777" w:rsidR="004135EE" w:rsidRDefault="004135EE" w:rsidP="008670FF">
            <w:r>
              <w:t>Finance expenses and fees</w:t>
            </w:r>
            <w:r>
              <w:rPr>
                <w:vertAlign w:val="superscript"/>
              </w:rPr>
              <w:t xml:space="preserve"> (b)</w:t>
            </w:r>
          </w:p>
        </w:tc>
        <w:tc>
          <w:tcPr>
            <w:tcW w:w="794" w:type="dxa"/>
          </w:tcPr>
          <w:p w14:paraId="208D70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6D2EC3F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3620987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1B8627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049B00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r>
      <w:tr w:rsidR="004135EE" w14:paraId="43EC8F6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F52FC85" w14:textId="77777777" w:rsidR="004135EE" w:rsidRDefault="004135EE" w:rsidP="008670FF">
            <w:r>
              <w:t>Purchase of services</w:t>
            </w:r>
            <w:r>
              <w:rPr>
                <w:vertAlign w:val="superscript"/>
              </w:rPr>
              <w:t xml:space="preserve"> (a)</w:t>
            </w:r>
          </w:p>
        </w:tc>
        <w:tc>
          <w:tcPr>
            <w:tcW w:w="794" w:type="dxa"/>
          </w:tcPr>
          <w:p w14:paraId="3DAE564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16 386</w:t>
            </w:r>
          </w:p>
        </w:tc>
        <w:tc>
          <w:tcPr>
            <w:tcW w:w="794" w:type="dxa"/>
          </w:tcPr>
          <w:p w14:paraId="642FD0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17 767</w:t>
            </w:r>
          </w:p>
        </w:tc>
        <w:tc>
          <w:tcPr>
            <w:tcW w:w="794" w:type="dxa"/>
          </w:tcPr>
          <w:p w14:paraId="1961BD3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16 878</w:t>
            </w:r>
          </w:p>
        </w:tc>
        <w:tc>
          <w:tcPr>
            <w:tcW w:w="794" w:type="dxa"/>
          </w:tcPr>
          <w:p w14:paraId="55A4E60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16 360</w:t>
            </w:r>
          </w:p>
        </w:tc>
        <w:tc>
          <w:tcPr>
            <w:tcW w:w="794" w:type="dxa"/>
          </w:tcPr>
          <w:p w14:paraId="321AA9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16 233</w:t>
            </w:r>
          </w:p>
        </w:tc>
      </w:tr>
      <w:tr w:rsidR="004135EE" w14:paraId="184B237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546C47A" w14:textId="77777777" w:rsidR="004135EE" w:rsidRDefault="004135EE" w:rsidP="008670FF">
            <w:r>
              <w:t>Insurance claims expense</w:t>
            </w:r>
          </w:p>
        </w:tc>
        <w:tc>
          <w:tcPr>
            <w:tcW w:w="794" w:type="dxa"/>
          </w:tcPr>
          <w:p w14:paraId="66EC56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369</w:t>
            </w:r>
          </w:p>
        </w:tc>
        <w:tc>
          <w:tcPr>
            <w:tcW w:w="794" w:type="dxa"/>
          </w:tcPr>
          <w:p w14:paraId="13C093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481</w:t>
            </w:r>
          </w:p>
        </w:tc>
        <w:tc>
          <w:tcPr>
            <w:tcW w:w="794" w:type="dxa"/>
          </w:tcPr>
          <w:p w14:paraId="5DF789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393</w:t>
            </w:r>
          </w:p>
        </w:tc>
        <w:tc>
          <w:tcPr>
            <w:tcW w:w="794" w:type="dxa"/>
          </w:tcPr>
          <w:p w14:paraId="7C6383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397</w:t>
            </w:r>
          </w:p>
        </w:tc>
        <w:tc>
          <w:tcPr>
            <w:tcW w:w="794" w:type="dxa"/>
          </w:tcPr>
          <w:p w14:paraId="10B55A0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400</w:t>
            </w:r>
          </w:p>
        </w:tc>
      </w:tr>
      <w:tr w:rsidR="004135EE" w14:paraId="15EA954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59D8306" w14:textId="77777777" w:rsidR="004135EE" w:rsidRDefault="004135EE" w:rsidP="008670FF">
            <w:r>
              <w:t>Maintenance</w:t>
            </w:r>
          </w:p>
        </w:tc>
        <w:tc>
          <w:tcPr>
            <w:tcW w:w="794" w:type="dxa"/>
          </w:tcPr>
          <w:p w14:paraId="56B846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1 352</w:t>
            </w:r>
          </w:p>
        </w:tc>
        <w:tc>
          <w:tcPr>
            <w:tcW w:w="794" w:type="dxa"/>
          </w:tcPr>
          <w:p w14:paraId="767109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1 377</w:t>
            </w:r>
          </w:p>
        </w:tc>
        <w:tc>
          <w:tcPr>
            <w:tcW w:w="794" w:type="dxa"/>
          </w:tcPr>
          <w:p w14:paraId="697ABD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1 353</w:t>
            </w:r>
          </w:p>
        </w:tc>
        <w:tc>
          <w:tcPr>
            <w:tcW w:w="794" w:type="dxa"/>
          </w:tcPr>
          <w:p w14:paraId="24B449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1 366</w:t>
            </w:r>
          </w:p>
        </w:tc>
        <w:tc>
          <w:tcPr>
            <w:tcW w:w="794" w:type="dxa"/>
          </w:tcPr>
          <w:p w14:paraId="337E78B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1 370</w:t>
            </w:r>
          </w:p>
        </w:tc>
      </w:tr>
      <w:tr w:rsidR="004135EE" w14:paraId="20423E6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36E45A5" w14:textId="77777777" w:rsidR="004135EE" w:rsidRDefault="004135EE" w:rsidP="008670FF">
            <w:r>
              <w:t>Short</w:t>
            </w:r>
            <w:r>
              <w:noBreakHyphen/>
              <w:t>term and low value lease expense</w:t>
            </w:r>
          </w:p>
        </w:tc>
        <w:tc>
          <w:tcPr>
            <w:tcW w:w="794" w:type="dxa"/>
          </w:tcPr>
          <w:p w14:paraId="1872BE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100</w:t>
            </w:r>
          </w:p>
        </w:tc>
        <w:tc>
          <w:tcPr>
            <w:tcW w:w="794" w:type="dxa"/>
          </w:tcPr>
          <w:p w14:paraId="04F9B2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117</w:t>
            </w:r>
          </w:p>
        </w:tc>
        <w:tc>
          <w:tcPr>
            <w:tcW w:w="794" w:type="dxa"/>
          </w:tcPr>
          <w:p w14:paraId="7A3C38B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113</w:t>
            </w:r>
          </w:p>
        </w:tc>
        <w:tc>
          <w:tcPr>
            <w:tcW w:w="794" w:type="dxa"/>
          </w:tcPr>
          <w:p w14:paraId="7359387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40D757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117</w:t>
            </w:r>
          </w:p>
        </w:tc>
      </w:tr>
      <w:tr w:rsidR="004135EE" w14:paraId="5797FD8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861B42A" w14:textId="77777777" w:rsidR="004135EE" w:rsidRDefault="004135EE" w:rsidP="008670FF">
            <w:r>
              <w:t>Other</w:t>
            </w:r>
          </w:p>
        </w:tc>
        <w:tc>
          <w:tcPr>
            <w:tcW w:w="794" w:type="dxa"/>
            <w:tcBorders>
              <w:bottom w:val="single" w:sz="6" w:space="0" w:color="auto"/>
            </w:tcBorders>
          </w:tcPr>
          <w:p w14:paraId="47497D8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1 079</w:t>
            </w:r>
          </w:p>
        </w:tc>
        <w:tc>
          <w:tcPr>
            <w:tcW w:w="794" w:type="dxa"/>
            <w:tcBorders>
              <w:bottom w:val="single" w:sz="6" w:space="0" w:color="auto"/>
            </w:tcBorders>
          </w:tcPr>
          <w:p w14:paraId="6962A9A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1 748</w:t>
            </w:r>
          </w:p>
        </w:tc>
        <w:tc>
          <w:tcPr>
            <w:tcW w:w="794" w:type="dxa"/>
            <w:tcBorders>
              <w:bottom w:val="single" w:sz="6" w:space="0" w:color="auto"/>
            </w:tcBorders>
          </w:tcPr>
          <w:p w14:paraId="0913F35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1 250</w:t>
            </w:r>
          </w:p>
        </w:tc>
        <w:tc>
          <w:tcPr>
            <w:tcW w:w="794" w:type="dxa"/>
            <w:tcBorders>
              <w:bottom w:val="single" w:sz="6" w:space="0" w:color="auto"/>
            </w:tcBorders>
          </w:tcPr>
          <w:p w14:paraId="5D6B31D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1 080</w:t>
            </w:r>
          </w:p>
        </w:tc>
        <w:tc>
          <w:tcPr>
            <w:tcW w:w="794" w:type="dxa"/>
            <w:tcBorders>
              <w:bottom w:val="single" w:sz="6" w:space="0" w:color="auto"/>
            </w:tcBorders>
          </w:tcPr>
          <w:p w14:paraId="7464BC4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1 131</w:t>
            </w:r>
          </w:p>
        </w:tc>
      </w:tr>
      <w:tr w:rsidR="004135EE" w14:paraId="624D802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CE723E6" w14:textId="77777777" w:rsidR="004135EE" w:rsidRDefault="004135EE" w:rsidP="008670FF">
            <w:r>
              <w:rPr>
                <w:b/>
              </w:rPr>
              <w:t>Total other operating expenses</w:t>
            </w:r>
          </w:p>
        </w:tc>
        <w:tc>
          <w:tcPr>
            <w:tcW w:w="794" w:type="dxa"/>
            <w:tcBorders>
              <w:top w:val="single" w:sz="6" w:space="0" w:color="auto"/>
              <w:bottom w:val="single" w:sz="12" w:space="0" w:color="auto"/>
            </w:tcBorders>
          </w:tcPr>
          <w:p w14:paraId="4A591D4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27 737</w:t>
            </w:r>
          </w:p>
        </w:tc>
        <w:tc>
          <w:tcPr>
            <w:tcW w:w="794" w:type="dxa"/>
            <w:tcBorders>
              <w:top w:val="single" w:sz="6" w:space="0" w:color="auto"/>
              <w:bottom w:val="single" w:sz="12" w:space="0" w:color="auto"/>
            </w:tcBorders>
          </w:tcPr>
          <w:p w14:paraId="57C5D8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29 438</w:t>
            </w:r>
          </w:p>
        </w:tc>
        <w:tc>
          <w:tcPr>
            <w:tcW w:w="794" w:type="dxa"/>
            <w:tcBorders>
              <w:top w:val="single" w:sz="6" w:space="0" w:color="auto"/>
              <w:bottom w:val="single" w:sz="12" w:space="0" w:color="auto"/>
            </w:tcBorders>
          </w:tcPr>
          <w:p w14:paraId="5C0CDC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27 769</w:t>
            </w:r>
          </w:p>
        </w:tc>
        <w:tc>
          <w:tcPr>
            <w:tcW w:w="794" w:type="dxa"/>
            <w:tcBorders>
              <w:top w:val="single" w:sz="6" w:space="0" w:color="auto"/>
              <w:bottom w:val="single" w:sz="12" w:space="0" w:color="auto"/>
            </w:tcBorders>
          </w:tcPr>
          <w:p w14:paraId="747089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28 486</w:t>
            </w:r>
          </w:p>
        </w:tc>
        <w:tc>
          <w:tcPr>
            <w:tcW w:w="794" w:type="dxa"/>
            <w:tcBorders>
              <w:top w:val="single" w:sz="6" w:space="0" w:color="auto"/>
              <w:bottom w:val="single" w:sz="12" w:space="0" w:color="auto"/>
            </w:tcBorders>
          </w:tcPr>
          <w:p w14:paraId="1C6824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28 993</w:t>
            </w:r>
          </w:p>
        </w:tc>
      </w:tr>
    </w:tbl>
    <w:p w14:paraId="5239DB04" w14:textId="77777777" w:rsidR="004135EE" w:rsidRPr="00FC6AC0" w:rsidRDefault="004135EE" w:rsidP="004135EE">
      <w:pPr>
        <w:pStyle w:val="Note"/>
      </w:pPr>
      <w:bookmarkStart w:id="99" w:name="_Hlk180585968"/>
      <w:r w:rsidRPr="00FC6AC0">
        <w:t>Note</w:t>
      </w:r>
      <w:r>
        <w:t>s</w:t>
      </w:r>
      <w:r w:rsidRPr="00FC6AC0">
        <w:t>:</w:t>
      </w:r>
    </w:p>
    <w:p w14:paraId="1093FE8D" w14:textId="77777777" w:rsidR="004135EE" w:rsidRDefault="004135EE" w:rsidP="004135EE">
      <w:pPr>
        <w:pStyle w:val="Note"/>
      </w:pPr>
      <w:r>
        <w:t>(a)</w:t>
      </w:r>
      <w:r>
        <w:tab/>
      </w:r>
      <w:r w:rsidRPr="00FC6AC0">
        <w:t>The following two tables break down the purchase of supplies and consumables and the purchase of services.</w:t>
      </w:r>
      <w:bookmarkEnd w:id="99"/>
    </w:p>
    <w:p w14:paraId="18990F63" w14:textId="77777777" w:rsidR="004135EE" w:rsidRDefault="004135EE" w:rsidP="004135EE">
      <w:pPr>
        <w:pStyle w:val="Note"/>
      </w:pPr>
      <w:r>
        <w:t>(b)</w:t>
      </w:r>
      <w:r>
        <w:tab/>
        <w:t>Includes items such as bank fees and associated costs involved in entering into loan transactions, and credit card and corporate card charges.</w:t>
      </w:r>
    </w:p>
    <w:p w14:paraId="42F00A3A" w14:textId="77777777" w:rsidR="004135EE" w:rsidRDefault="004135EE" w:rsidP="005C5C20"/>
    <w:p w14:paraId="0DC534EE" w14:textId="77777777" w:rsidR="004135EE" w:rsidRPr="00E60C19" w:rsidRDefault="004135EE" w:rsidP="005C5C20">
      <w:pPr>
        <w:pStyle w:val="TableHeading"/>
      </w:pPr>
      <w:r w:rsidRPr="00E60C19">
        <w:t>Purchase of supplies and consumables</w:t>
      </w:r>
      <w:r w:rsidRPr="00E60C1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Purchase_supplies|MergedHeadingRow:1"/>
      </w:tblPr>
      <w:tblGrid>
        <w:gridCol w:w="3740"/>
        <w:gridCol w:w="794"/>
        <w:gridCol w:w="794"/>
        <w:gridCol w:w="794"/>
        <w:gridCol w:w="794"/>
        <w:gridCol w:w="794"/>
      </w:tblGrid>
      <w:tr w:rsidR="004135EE" w14:paraId="5592DE12"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18C4A7A" w14:textId="77777777" w:rsidR="004135EE" w:rsidRDefault="004135EE" w:rsidP="008670FF">
            <w:pPr>
              <w:keepNext/>
            </w:pPr>
          </w:p>
        </w:tc>
        <w:tc>
          <w:tcPr>
            <w:tcW w:w="794" w:type="dxa"/>
          </w:tcPr>
          <w:p w14:paraId="5E12171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770DA9D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6239BC6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BFD9BD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2B50CB4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4F85838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E5E47BB" w14:textId="77777777" w:rsidR="004135EE" w:rsidRDefault="004135EE" w:rsidP="008670FF">
            <w:r>
              <w:t>Medicinal pharmacy and medical supplies</w:t>
            </w:r>
          </w:p>
        </w:tc>
        <w:tc>
          <w:tcPr>
            <w:tcW w:w="794" w:type="dxa"/>
          </w:tcPr>
          <w:p w14:paraId="01F2C0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2 159</w:t>
            </w:r>
          </w:p>
        </w:tc>
        <w:tc>
          <w:tcPr>
            <w:tcW w:w="794" w:type="dxa"/>
          </w:tcPr>
          <w:p w14:paraId="58BE9A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2 436</w:t>
            </w:r>
          </w:p>
        </w:tc>
        <w:tc>
          <w:tcPr>
            <w:tcW w:w="794" w:type="dxa"/>
          </w:tcPr>
          <w:p w14:paraId="234B29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2 261</w:t>
            </w:r>
          </w:p>
        </w:tc>
        <w:tc>
          <w:tcPr>
            <w:tcW w:w="794" w:type="dxa"/>
          </w:tcPr>
          <w:p w14:paraId="1576BB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2 271</w:t>
            </w:r>
          </w:p>
        </w:tc>
        <w:tc>
          <w:tcPr>
            <w:tcW w:w="794" w:type="dxa"/>
          </w:tcPr>
          <w:p w14:paraId="071519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2 252</w:t>
            </w:r>
          </w:p>
        </w:tc>
      </w:tr>
      <w:tr w:rsidR="004135EE" w14:paraId="518E070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014329A" w14:textId="77777777" w:rsidR="004135EE" w:rsidRDefault="004135EE" w:rsidP="008670FF">
            <w:r>
              <w:t>Office supplies and consumables</w:t>
            </w:r>
          </w:p>
        </w:tc>
        <w:tc>
          <w:tcPr>
            <w:tcW w:w="794" w:type="dxa"/>
          </w:tcPr>
          <w:p w14:paraId="31E626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190</w:t>
            </w:r>
          </w:p>
        </w:tc>
        <w:tc>
          <w:tcPr>
            <w:tcW w:w="794" w:type="dxa"/>
          </w:tcPr>
          <w:p w14:paraId="655612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213</w:t>
            </w:r>
          </w:p>
        </w:tc>
        <w:tc>
          <w:tcPr>
            <w:tcW w:w="794" w:type="dxa"/>
          </w:tcPr>
          <w:p w14:paraId="321973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208</w:t>
            </w:r>
          </w:p>
        </w:tc>
        <w:tc>
          <w:tcPr>
            <w:tcW w:w="794" w:type="dxa"/>
          </w:tcPr>
          <w:p w14:paraId="157431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201</w:t>
            </w:r>
          </w:p>
        </w:tc>
        <w:tc>
          <w:tcPr>
            <w:tcW w:w="794" w:type="dxa"/>
          </w:tcPr>
          <w:p w14:paraId="25A1F7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202</w:t>
            </w:r>
          </w:p>
        </w:tc>
      </w:tr>
      <w:tr w:rsidR="004135EE" w14:paraId="5D9394B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0B088AF" w14:textId="77777777" w:rsidR="004135EE" w:rsidRDefault="004135EE" w:rsidP="008670FF">
            <w:r>
              <w:t>Specialised operational supplies and consumables</w:t>
            </w:r>
          </w:p>
        </w:tc>
        <w:tc>
          <w:tcPr>
            <w:tcW w:w="794" w:type="dxa"/>
          </w:tcPr>
          <w:p w14:paraId="1F7886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286</w:t>
            </w:r>
          </w:p>
        </w:tc>
        <w:tc>
          <w:tcPr>
            <w:tcW w:w="794" w:type="dxa"/>
          </w:tcPr>
          <w:p w14:paraId="6DBB90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317</w:t>
            </w:r>
          </w:p>
        </w:tc>
        <w:tc>
          <w:tcPr>
            <w:tcW w:w="794" w:type="dxa"/>
          </w:tcPr>
          <w:p w14:paraId="4FAF71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207</w:t>
            </w:r>
          </w:p>
        </w:tc>
        <w:tc>
          <w:tcPr>
            <w:tcW w:w="794" w:type="dxa"/>
          </w:tcPr>
          <w:p w14:paraId="18A4F1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201</w:t>
            </w:r>
          </w:p>
        </w:tc>
        <w:tc>
          <w:tcPr>
            <w:tcW w:w="794" w:type="dxa"/>
          </w:tcPr>
          <w:p w14:paraId="0AD30C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201</w:t>
            </w:r>
          </w:p>
        </w:tc>
      </w:tr>
      <w:tr w:rsidR="004135EE" w14:paraId="7EDD1C5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1BE1BBD" w14:textId="77777777" w:rsidR="004135EE" w:rsidRDefault="004135EE" w:rsidP="008670FF">
            <w:r>
              <w:t>Other purchase of supplies and consumables</w:t>
            </w:r>
          </w:p>
        </w:tc>
        <w:tc>
          <w:tcPr>
            <w:tcW w:w="794" w:type="dxa"/>
            <w:tcBorders>
              <w:bottom w:val="single" w:sz="6" w:space="0" w:color="auto"/>
            </w:tcBorders>
          </w:tcPr>
          <w:p w14:paraId="753AC5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5 757</w:t>
            </w:r>
          </w:p>
        </w:tc>
        <w:tc>
          <w:tcPr>
            <w:tcW w:w="794" w:type="dxa"/>
            <w:tcBorders>
              <w:bottom w:val="single" w:sz="6" w:space="0" w:color="auto"/>
            </w:tcBorders>
          </w:tcPr>
          <w:p w14:paraId="6AB98C4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4 920</w:t>
            </w:r>
          </w:p>
        </w:tc>
        <w:tc>
          <w:tcPr>
            <w:tcW w:w="794" w:type="dxa"/>
            <w:tcBorders>
              <w:bottom w:val="single" w:sz="6" w:space="0" w:color="auto"/>
            </w:tcBorders>
          </w:tcPr>
          <w:p w14:paraId="6B47CA2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5 047</w:t>
            </w:r>
          </w:p>
        </w:tc>
        <w:tc>
          <w:tcPr>
            <w:tcW w:w="794" w:type="dxa"/>
            <w:tcBorders>
              <w:bottom w:val="single" w:sz="6" w:space="0" w:color="auto"/>
            </w:tcBorders>
          </w:tcPr>
          <w:p w14:paraId="3C23EB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6 434</w:t>
            </w:r>
          </w:p>
        </w:tc>
        <w:tc>
          <w:tcPr>
            <w:tcW w:w="794" w:type="dxa"/>
            <w:tcBorders>
              <w:bottom w:val="single" w:sz="6" w:space="0" w:color="auto"/>
            </w:tcBorders>
          </w:tcPr>
          <w:p w14:paraId="4905CE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7 030</w:t>
            </w:r>
          </w:p>
        </w:tc>
      </w:tr>
      <w:tr w:rsidR="004135EE" w14:paraId="531CB84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3944631" w14:textId="77777777" w:rsidR="004135EE" w:rsidRDefault="004135EE" w:rsidP="008670FF">
            <w:r>
              <w:rPr>
                <w:b/>
              </w:rPr>
              <w:t>Total purchase of supplies and consumables</w:t>
            </w:r>
          </w:p>
        </w:tc>
        <w:tc>
          <w:tcPr>
            <w:tcW w:w="794" w:type="dxa"/>
            <w:tcBorders>
              <w:top w:val="single" w:sz="6" w:space="0" w:color="auto"/>
              <w:bottom w:val="single" w:sz="12" w:space="0" w:color="auto"/>
            </w:tcBorders>
          </w:tcPr>
          <w:p w14:paraId="6A5575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8 392</w:t>
            </w:r>
          </w:p>
        </w:tc>
        <w:tc>
          <w:tcPr>
            <w:tcW w:w="794" w:type="dxa"/>
            <w:tcBorders>
              <w:top w:val="single" w:sz="6" w:space="0" w:color="auto"/>
              <w:bottom w:val="single" w:sz="12" w:space="0" w:color="auto"/>
            </w:tcBorders>
          </w:tcPr>
          <w:p w14:paraId="6B8AB0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7 886</w:t>
            </w:r>
          </w:p>
        </w:tc>
        <w:tc>
          <w:tcPr>
            <w:tcW w:w="794" w:type="dxa"/>
            <w:tcBorders>
              <w:top w:val="single" w:sz="6" w:space="0" w:color="auto"/>
              <w:bottom w:val="single" w:sz="12" w:space="0" w:color="auto"/>
            </w:tcBorders>
          </w:tcPr>
          <w:p w14:paraId="42B282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7 723</w:t>
            </w:r>
          </w:p>
        </w:tc>
        <w:tc>
          <w:tcPr>
            <w:tcW w:w="794" w:type="dxa"/>
            <w:tcBorders>
              <w:top w:val="single" w:sz="6" w:space="0" w:color="auto"/>
              <w:bottom w:val="single" w:sz="12" w:space="0" w:color="auto"/>
            </w:tcBorders>
          </w:tcPr>
          <w:p w14:paraId="553567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9 108</w:t>
            </w:r>
          </w:p>
        </w:tc>
        <w:tc>
          <w:tcPr>
            <w:tcW w:w="794" w:type="dxa"/>
            <w:tcBorders>
              <w:top w:val="single" w:sz="6" w:space="0" w:color="auto"/>
              <w:bottom w:val="single" w:sz="12" w:space="0" w:color="auto"/>
            </w:tcBorders>
          </w:tcPr>
          <w:p w14:paraId="7CE0B2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9 685</w:t>
            </w:r>
          </w:p>
        </w:tc>
      </w:tr>
    </w:tbl>
    <w:p w14:paraId="5373FA50" w14:textId="77777777" w:rsidR="004135EE" w:rsidRDefault="004135EE" w:rsidP="004135EE"/>
    <w:p w14:paraId="2356BCFC" w14:textId="77777777" w:rsidR="004135EE" w:rsidRPr="00E60C19" w:rsidRDefault="004135EE" w:rsidP="005C5C20">
      <w:pPr>
        <w:pStyle w:val="TableHeading"/>
      </w:pPr>
      <w:r w:rsidRPr="00E60C19">
        <w:t>Purchase of services</w:t>
      </w:r>
      <w:r w:rsidRPr="00E60C1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Purchase_services|MergedHeadingRow:1"/>
      </w:tblPr>
      <w:tblGrid>
        <w:gridCol w:w="3740"/>
        <w:gridCol w:w="794"/>
        <w:gridCol w:w="794"/>
        <w:gridCol w:w="794"/>
        <w:gridCol w:w="794"/>
        <w:gridCol w:w="794"/>
      </w:tblGrid>
      <w:tr w:rsidR="004135EE" w14:paraId="0514645D"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19CD4EE" w14:textId="77777777" w:rsidR="004135EE" w:rsidRDefault="004135EE" w:rsidP="008670FF">
            <w:pPr>
              <w:keepNext/>
            </w:pPr>
          </w:p>
        </w:tc>
        <w:tc>
          <w:tcPr>
            <w:tcW w:w="794" w:type="dxa"/>
          </w:tcPr>
          <w:p w14:paraId="08A18FF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391BF67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00CA9B2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7B001C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641603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4641CE5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A5B0379" w14:textId="77777777" w:rsidR="004135EE" w:rsidRDefault="004135EE" w:rsidP="008670FF">
            <w:r>
              <w:t>Service contracts</w:t>
            </w:r>
          </w:p>
        </w:tc>
        <w:tc>
          <w:tcPr>
            <w:tcW w:w="794" w:type="dxa"/>
          </w:tcPr>
          <w:p w14:paraId="10A121E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10 327</w:t>
            </w:r>
          </w:p>
        </w:tc>
        <w:tc>
          <w:tcPr>
            <w:tcW w:w="794" w:type="dxa"/>
          </w:tcPr>
          <w:p w14:paraId="109F93B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10 532</w:t>
            </w:r>
          </w:p>
        </w:tc>
        <w:tc>
          <w:tcPr>
            <w:tcW w:w="794" w:type="dxa"/>
          </w:tcPr>
          <w:p w14:paraId="54F358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10 768</w:t>
            </w:r>
          </w:p>
        </w:tc>
        <w:tc>
          <w:tcPr>
            <w:tcW w:w="794" w:type="dxa"/>
          </w:tcPr>
          <w:p w14:paraId="16A3AC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10 314</w:t>
            </w:r>
          </w:p>
        </w:tc>
        <w:tc>
          <w:tcPr>
            <w:tcW w:w="794" w:type="dxa"/>
          </w:tcPr>
          <w:p w14:paraId="201AFBF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10 421</w:t>
            </w:r>
          </w:p>
        </w:tc>
      </w:tr>
      <w:tr w:rsidR="004135EE" w14:paraId="17800E8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5958046" w14:textId="77777777" w:rsidR="004135EE" w:rsidRDefault="004135EE" w:rsidP="008670FF">
            <w:r>
              <w:t>Accommodation/occupancy</w:t>
            </w:r>
          </w:p>
        </w:tc>
        <w:tc>
          <w:tcPr>
            <w:tcW w:w="794" w:type="dxa"/>
          </w:tcPr>
          <w:p w14:paraId="3366DE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981</w:t>
            </w:r>
          </w:p>
        </w:tc>
        <w:tc>
          <w:tcPr>
            <w:tcW w:w="794" w:type="dxa"/>
          </w:tcPr>
          <w:p w14:paraId="0C7CB6C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1 122</w:t>
            </w:r>
          </w:p>
        </w:tc>
        <w:tc>
          <w:tcPr>
            <w:tcW w:w="794" w:type="dxa"/>
          </w:tcPr>
          <w:p w14:paraId="277DE0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1 069</w:t>
            </w:r>
          </w:p>
        </w:tc>
        <w:tc>
          <w:tcPr>
            <w:tcW w:w="794" w:type="dxa"/>
          </w:tcPr>
          <w:p w14:paraId="230BAC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1 080</w:t>
            </w:r>
          </w:p>
        </w:tc>
        <w:tc>
          <w:tcPr>
            <w:tcW w:w="794" w:type="dxa"/>
          </w:tcPr>
          <w:p w14:paraId="11DAF1E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1 081</w:t>
            </w:r>
          </w:p>
        </w:tc>
      </w:tr>
      <w:tr w:rsidR="004135EE" w14:paraId="6F045D9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6BA2D6E" w14:textId="77777777" w:rsidR="004135EE" w:rsidRDefault="004135EE" w:rsidP="008670FF">
            <w:r>
              <w:t>Medical and client care services</w:t>
            </w:r>
          </w:p>
        </w:tc>
        <w:tc>
          <w:tcPr>
            <w:tcW w:w="794" w:type="dxa"/>
          </w:tcPr>
          <w:p w14:paraId="4F6DAD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507</w:t>
            </w:r>
          </w:p>
        </w:tc>
        <w:tc>
          <w:tcPr>
            <w:tcW w:w="794" w:type="dxa"/>
          </w:tcPr>
          <w:p w14:paraId="3DA122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572</w:t>
            </w:r>
          </w:p>
        </w:tc>
        <w:tc>
          <w:tcPr>
            <w:tcW w:w="794" w:type="dxa"/>
          </w:tcPr>
          <w:p w14:paraId="69B948E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536</w:t>
            </w:r>
          </w:p>
        </w:tc>
        <w:tc>
          <w:tcPr>
            <w:tcW w:w="794" w:type="dxa"/>
          </w:tcPr>
          <w:p w14:paraId="042ED9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537</w:t>
            </w:r>
          </w:p>
        </w:tc>
        <w:tc>
          <w:tcPr>
            <w:tcW w:w="794" w:type="dxa"/>
          </w:tcPr>
          <w:p w14:paraId="146483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535</w:t>
            </w:r>
          </w:p>
        </w:tc>
      </w:tr>
      <w:tr w:rsidR="004135EE" w14:paraId="43EC442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5866755" w14:textId="77777777" w:rsidR="004135EE" w:rsidRDefault="004135EE" w:rsidP="008670FF">
            <w:r>
              <w:t>Staff related expenses (non</w:t>
            </w:r>
            <w:r>
              <w:noBreakHyphen/>
              <w:t>labour related)</w:t>
            </w:r>
          </w:p>
        </w:tc>
        <w:tc>
          <w:tcPr>
            <w:tcW w:w="794" w:type="dxa"/>
          </w:tcPr>
          <w:p w14:paraId="6036F1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388</w:t>
            </w:r>
          </w:p>
        </w:tc>
        <w:tc>
          <w:tcPr>
            <w:tcW w:w="794" w:type="dxa"/>
          </w:tcPr>
          <w:p w14:paraId="36E85CE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410</w:t>
            </w:r>
          </w:p>
        </w:tc>
        <w:tc>
          <w:tcPr>
            <w:tcW w:w="794" w:type="dxa"/>
          </w:tcPr>
          <w:p w14:paraId="0B420D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373</w:t>
            </w:r>
          </w:p>
        </w:tc>
        <w:tc>
          <w:tcPr>
            <w:tcW w:w="794" w:type="dxa"/>
          </w:tcPr>
          <w:p w14:paraId="000D99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359</w:t>
            </w:r>
          </w:p>
        </w:tc>
        <w:tc>
          <w:tcPr>
            <w:tcW w:w="794" w:type="dxa"/>
          </w:tcPr>
          <w:p w14:paraId="24BB63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357</w:t>
            </w:r>
          </w:p>
        </w:tc>
      </w:tr>
      <w:tr w:rsidR="004135EE" w14:paraId="037A25E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A00A01B" w14:textId="77777777" w:rsidR="004135EE" w:rsidRDefault="004135EE" w:rsidP="008670FF">
            <w:r>
              <w:t>Other purchase of services</w:t>
            </w:r>
          </w:p>
        </w:tc>
        <w:tc>
          <w:tcPr>
            <w:tcW w:w="794" w:type="dxa"/>
            <w:tcBorders>
              <w:bottom w:val="single" w:sz="6" w:space="0" w:color="auto"/>
            </w:tcBorders>
          </w:tcPr>
          <w:p w14:paraId="650B0E4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4 183</w:t>
            </w:r>
          </w:p>
        </w:tc>
        <w:tc>
          <w:tcPr>
            <w:tcW w:w="794" w:type="dxa"/>
            <w:tcBorders>
              <w:bottom w:val="single" w:sz="6" w:space="0" w:color="auto"/>
            </w:tcBorders>
          </w:tcPr>
          <w:p w14:paraId="742F14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5 132</w:t>
            </w:r>
          </w:p>
        </w:tc>
        <w:tc>
          <w:tcPr>
            <w:tcW w:w="794" w:type="dxa"/>
            <w:tcBorders>
              <w:bottom w:val="single" w:sz="6" w:space="0" w:color="auto"/>
            </w:tcBorders>
          </w:tcPr>
          <w:p w14:paraId="4D231B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4 133</w:t>
            </w:r>
          </w:p>
        </w:tc>
        <w:tc>
          <w:tcPr>
            <w:tcW w:w="794" w:type="dxa"/>
            <w:tcBorders>
              <w:bottom w:val="single" w:sz="6" w:space="0" w:color="auto"/>
            </w:tcBorders>
          </w:tcPr>
          <w:p w14:paraId="56E80F2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4 071</w:t>
            </w:r>
          </w:p>
        </w:tc>
        <w:tc>
          <w:tcPr>
            <w:tcW w:w="794" w:type="dxa"/>
            <w:tcBorders>
              <w:bottom w:val="single" w:sz="6" w:space="0" w:color="auto"/>
            </w:tcBorders>
          </w:tcPr>
          <w:p w14:paraId="1F9A74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3 840</w:t>
            </w:r>
          </w:p>
        </w:tc>
      </w:tr>
      <w:tr w:rsidR="004135EE" w14:paraId="7AE6F2AD"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00DC739" w14:textId="77777777" w:rsidR="004135EE" w:rsidRDefault="004135EE" w:rsidP="008670FF">
            <w:r>
              <w:rPr>
                <w:b/>
              </w:rPr>
              <w:t>Total purchase of services</w:t>
            </w:r>
          </w:p>
        </w:tc>
        <w:tc>
          <w:tcPr>
            <w:tcW w:w="794" w:type="dxa"/>
            <w:tcBorders>
              <w:top w:val="single" w:sz="6" w:space="0" w:color="auto"/>
              <w:bottom w:val="single" w:sz="12" w:space="0" w:color="auto"/>
            </w:tcBorders>
          </w:tcPr>
          <w:p w14:paraId="2BA08C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16 386</w:t>
            </w:r>
          </w:p>
        </w:tc>
        <w:tc>
          <w:tcPr>
            <w:tcW w:w="794" w:type="dxa"/>
            <w:tcBorders>
              <w:top w:val="single" w:sz="6" w:space="0" w:color="auto"/>
              <w:bottom w:val="single" w:sz="12" w:space="0" w:color="auto"/>
            </w:tcBorders>
          </w:tcPr>
          <w:p w14:paraId="492E9C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17 767</w:t>
            </w:r>
          </w:p>
        </w:tc>
        <w:tc>
          <w:tcPr>
            <w:tcW w:w="794" w:type="dxa"/>
            <w:tcBorders>
              <w:top w:val="single" w:sz="6" w:space="0" w:color="auto"/>
              <w:bottom w:val="single" w:sz="12" w:space="0" w:color="auto"/>
            </w:tcBorders>
          </w:tcPr>
          <w:p w14:paraId="1C398F0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16 878</w:t>
            </w:r>
          </w:p>
        </w:tc>
        <w:tc>
          <w:tcPr>
            <w:tcW w:w="794" w:type="dxa"/>
            <w:tcBorders>
              <w:top w:val="single" w:sz="6" w:space="0" w:color="auto"/>
              <w:bottom w:val="single" w:sz="12" w:space="0" w:color="auto"/>
            </w:tcBorders>
          </w:tcPr>
          <w:p w14:paraId="673152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16 360</w:t>
            </w:r>
          </w:p>
        </w:tc>
        <w:tc>
          <w:tcPr>
            <w:tcW w:w="794" w:type="dxa"/>
            <w:tcBorders>
              <w:top w:val="single" w:sz="6" w:space="0" w:color="auto"/>
              <w:bottom w:val="single" w:sz="12" w:space="0" w:color="auto"/>
            </w:tcBorders>
          </w:tcPr>
          <w:p w14:paraId="6A2725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16 233</w:t>
            </w:r>
          </w:p>
        </w:tc>
      </w:tr>
    </w:tbl>
    <w:p w14:paraId="08F8C12D" w14:textId="77777777" w:rsidR="004135EE" w:rsidRDefault="004135EE" w:rsidP="004135EE">
      <w:pPr>
        <w:rPr>
          <w:sz w:val="21"/>
          <w:szCs w:val="21"/>
        </w:rPr>
      </w:pPr>
      <w:bookmarkStart w:id="100" w:name="_Toc149221032"/>
    </w:p>
    <w:p w14:paraId="4A17853B" w14:textId="77777777" w:rsidR="004135EE" w:rsidRDefault="004135EE" w:rsidP="004135EE">
      <w:pPr>
        <w:keepLines w:val="0"/>
        <w:rPr>
          <w:sz w:val="21"/>
          <w:szCs w:val="21"/>
        </w:rPr>
      </w:pPr>
    </w:p>
    <w:p w14:paraId="035F16E2" w14:textId="77777777" w:rsidR="004135EE" w:rsidRDefault="004135EE" w:rsidP="004135EE">
      <w:pPr>
        <w:keepLines w:val="0"/>
        <w:rPr>
          <w:rFonts w:asciiTheme="majorHAnsi" w:eastAsiaTheme="majorEastAsia" w:hAnsiTheme="majorHAnsi" w:cstheme="majorBidi"/>
          <w:b/>
          <w:szCs w:val="28"/>
        </w:rPr>
      </w:pPr>
      <w:r>
        <w:br w:type="page"/>
      </w:r>
    </w:p>
    <w:p w14:paraId="71FD8589" w14:textId="77777777" w:rsidR="004135EE" w:rsidRPr="00BC2EDC" w:rsidRDefault="004135EE" w:rsidP="004135EE">
      <w:pPr>
        <w:pStyle w:val="Heading30"/>
      </w:pPr>
      <w:bookmarkStart w:id="101" w:name="_Toc184299098"/>
      <w:r>
        <w:t>4.3.6</w:t>
      </w:r>
      <w:r>
        <w:tab/>
        <w:t>Payables</w:t>
      </w:r>
      <w:r>
        <w:tab/>
        <w:t>($ million)</w:t>
      </w:r>
      <w:bookmarkEnd w:id="101"/>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Payables|MergedHeadingRow:1"/>
      </w:tblPr>
      <w:tblGrid>
        <w:gridCol w:w="3738"/>
        <w:gridCol w:w="794"/>
        <w:gridCol w:w="794"/>
        <w:gridCol w:w="795"/>
        <w:gridCol w:w="794"/>
        <w:gridCol w:w="795"/>
      </w:tblGrid>
      <w:tr w:rsidR="004135EE" w14:paraId="26D71CD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8" w:type="dxa"/>
          </w:tcPr>
          <w:p w14:paraId="25F8C3C5" w14:textId="77777777" w:rsidR="004135EE" w:rsidRDefault="004135EE" w:rsidP="008670FF">
            <w:pPr>
              <w:keepNext/>
            </w:pPr>
          </w:p>
        </w:tc>
        <w:tc>
          <w:tcPr>
            <w:tcW w:w="794" w:type="dxa"/>
          </w:tcPr>
          <w:p w14:paraId="537B1EB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3556AE5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5" w:type="dxa"/>
          </w:tcPr>
          <w:p w14:paraId="596A571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5F9B8B8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5" w:type="dxa"/>
          </w:tcPr>
          <w:p w14:paraId="6D45B900"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0F91DF2E" w14:textId="77777777" w:rsidTr="008670FF">
        <w:tc>
          <w:tcPr>
            <w:cnfStyle w:val="001000000000" w:firstRow="0" w:lastRow="0" w:firstColumn="1" w:lastColumn="0" w:oddVBand="0" w:evenVBand="0" w:oddHBand="0" w:evenHBand="0" w:firstRowFirstColumn="0" w:firstRowLastColumn="0" w:lastRowFirstColumn="0" w:lastRowLastColumn="0"/>
            <w:tcW w:w="3738" w:type="dxa"/>
          </w:tcPr>
          <w:p w14:paraId="257AA7BF" w14:textId="77777777" w:rsidR="004135EE" w:rsidRDefault="004135EE" w:rsidP="008670FF">
            <w:r>
              <w:rPr>
                <w:b/>
              </w:rPr>
              <w:t>Contractual</w:t>
            </w:r>
          </w:p>
        </w:tc>
        <w:tc>
          <w:tcPr>
            <w:tcW w:w="794" w:type="dxa"/>
          </w:tcPr>
          <w:p w14:paraId="6D8207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078E7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5" w:type="dxa"/>
          </w:tcPr>
          <w:p w14:paraId="2955DF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E74042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5" w:type="dxa"/>
          </w:tcPr>
          <w:p w14:paraId="23D077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74FA96E8" w14:textId="77777777" w:rsidTr="008670FF">
        <w:tc>
          <w:tcPr>
            <w:cnfStyle w:val="001000000000" w:firstRow="0" w:lastRow="0" w:firstColumn="1" w:lastColumn="0" w:oddVBand="0" w:evenVBand="0" w:oddHBand="0" w:evenHBand="0" w:firstRowFirstColumn="0" w:firstRowLastColumn="0" w:lastRowFirstColumn="0" w:lastRowLastColumn="0"/>
            <w:tcW w:w="3738" w:type="dxa"/>
          </w:tcPr>
          <w:p w14:paraId="6A2B8F0C" w14:textId="77777777" w:rsidR="004135EE" w:rsidRDefault="004135EE" w:rsidP="008670FF">
            <w:r>
              <w:t>Accounts payable</w:t>
            </w:r>
          </w:p>
        </w:tc>
        <w:tc>
          <w:tcPr>
            <w:tcW w:w="794" w:type="dxa"/>
          </w:tcPr>
          <w:p w14:paraId="241BA7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1 461</w:t>
            </w:r>
          </w:p>
        </w:tc>
        <w:tc>
          <w:tcPr>
            <w:tcW w:w="794" w:type="dxa"/>
          </w:tcPr>
          <w:p w14:paraId="53E4D34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1 337</w:t>
            </w:r>
          </w:p>
        </w:tc>
        <w:tc>
          <w:tcPr>
            <w:tcW w:w="795" w:type="dxa"/>
          </w:tcPr>
          <w:p w14:paraId="0C8A02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1 329</w:t>
            </w:r>
          </w:p>
        </w:tc>
        <w:tc>
          <w:tcPr>
            <w:tcW w:w="794" w:type="dxa"/>
          </w:tcPr>
          <w:p w14:paraId="2596071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1 322</w:t>
            </w:r>
          </w:p>
        </w:tc>
        <w:tc>
          <w:tcPr>
            <w:tcW w:w="795" w:type="dxa"/>
          </w:tcPr>
          <w:p w14:paraId="079B89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1 317</w:t>
            </w:r>
          </w:p>
        </w:tc>
      </w:tr>
      <w:tr w:rsidR="004135EE" w14:paraId="51788734" w14:textId="77777777" w:rsidTr="008670FF">
        <w:tc>
          <w:tcPr>
            <w:cnfStyle w:val="001000000000" w:firstRow="0" w:lastRow="0" w:firstColumn="1" w:lastColumn="0" w:oddVBand="0" w:evenVBand="0" w:oddHBand="0" w:evenHBand="0" w:firstRowFirstColumn="0" w:firstRowLastColumn="0" w:lastRowFirstColumn="0" w:lastRowLastColumn="0"/>
            <w:tcW w:w="3738" w:type="dxa"/>
          </w:tcPr>
          <w:p w14:paraId="4C7C4ACD" w14:textId="77777777" w:rsidR="004135EE" w:rsidRDefault="004135EE" w:rsidP="008670FF">
            <w:r>
              <w:t>Accrued expenses</w:t>
            </w:r>
          </w:p>
        </w:tc>
        <w:tc>
          <w:tcPr>
            <w:tcW w:w="794" w:type="dxa"/>
          </w:tcPr>
          <w:p w14:paraId="574E72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5 916</w:t>
            </w:r>
          </w:p>
        </w:tc>
        <w:tc>
          <w:tcPr>
            <w:tcW w:w="794" w:type="dxa"/>
          </w:tcPr>
          <w:p w14:paraId="778BF5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5 093</w:t>
            </w:r>
          </w:p>
        </w:tc>
        <w:tc>
          <w:tcPr>
            <w:tcW w:w="795" w:type="dxa"/>
          </w:tcPr>
          <w:p w14:paraId="4F6302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5 034</w:t>
            </w:r>
          </w:p>
        </w:tc>
        <w:tc>
          <w:tcPr>
            <w:tcW w:w="794" w:type="dxa"/>
          </w:tcPr>
          <w:p w14:paraId="245C7C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5 035</w:t>
            </w:r>
          </w:p>
        </w:tc>
        <w:tc>
          <w:tcPr>
            <w:tcW w:w="795" w:type="dxa"/>
          </w:tcPr>
          <w:p w14:paraId="0B1C23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5 036</w:t>
            </w:r>
          </w:p>
        </w:tc>
      </w:tr>
      <w:tr w:rsidR="004135EE" w14:paraId="5A466335" w14:textId="77777777" w:rsidTr="008670FF">
        <w:tc>
          <w:tcPr>
            <w:cnfStyle w:val="001000000000" w:firstRow="0" w:lastRow="0" w:firstColumn="1" w:lastColumn="0" w:oddVBand="0" w:evenVBand="0" w:oddHBand="0" w:evenHBand="0" w:firstRowFirstColumn="0" w:firstRowLastColumn="0" w:lastRowFirstColumn="0" w:lastRowLastColumn="0"/>
            <w:tcW w:w="3738" w:type="dxa"/>
          </w:tcPr>
          <w:p w14:paraId="17E7B08E" w14:textId="77777777" w:rsidR="004135EE" w:rsidRDefault="004135EE" w:rsidP="008670FF">
            <w:r>
              <w:rPr>
                <w:b/>
              </w:rPr>
              <w:t>Statutory</w:t>
            </w:r>
          </w:p>
        </w:tc>
        <w:tc>
          <w:tcPr>
            <w:tcW w:w="794" w:type="dxa"/>
          </w:tcPr>
          <w:p w14:paraId="2E6D09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806227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5" w:type="dxa"/>
          </w:tcPr>
          <w:p w14:paraId="0E66347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1F844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5" w:type="dxa"/>
          </w:tcPr>
          <w:p w14:paraId="2C65D9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6BC3DD2D" w14:textId="77777777" w:rsidTr="008670FF">
        <w:tc>
          <w:tcPr>
            <w:cnfStyle w:val="001000000000" w:firstRow="0" w:lastRow="0" w:firstColumn="1" w:lastColumn="0" w:oddVBand="0" w:evenVBand="0" w:oddHBand="0" w:evenHBand="0" w:firstRowFirstColumn="0" w:firstRowLastColumn="0" w:lastRowFirstColumn="0" w:lastRowLastColumn="0"/>
            <w:tcW w:w="3738" w:type="dxa"/>
            <w:tcBorders>
              <w:bottom w:val="single" w:sz="6" w:space="0" w:color="auto"/>
            </w:tcBorders>
          </w:tcPr>
          <w:p w14:paraId="5958D1E7" w14:textId="77777777" w:rsidR="004135EE" w:rsidRDefault="004135EE" w:rsidP="008670FF">
            <w:r>
              <w:t>Accrued taxes payable</w:t>
            </w:r>
          </w:p>
        </w:tc>
        <w:tc>
          <w:tcPr>
            <w:tcW w:w="794" w:type="dxa"/>
            <w:tcBorders>
              <w:bottom w:val="single" w:sz="6" w:space="0" w:color="auto"/>
            </w:tcBorders>
          </w:tcPr>
          <w:p w14:paraId="3F7969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6" w:space="0" w:color="auto"/>
            </w:tcBorders>
          </w:tcPr>
          <w:p w14:paraId="2FC1F0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68</w:t>
            </w:r>
          </w:p>
        </w:tc>
        <w:tc>
          <w:tcPr>
            <w:tcW w:w="795" w:type="dxa"/>
            <w:tcBorders>
              <w:bottom w:val="single" w:sz="6" w:space="0" w:color="auto"/>
            </w:tcBorders>
          </w:tcPr>
          <w:p w14:paraId="3E39E0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68</w:t>
            </w:r>
          </w:p>
        </w:tc>
        <w:tc>
          <w:tcPr>
            <w:tcW w:w="794" w:type="dxa"/>
            <w:tcBorders>
              <w:bottom w:val="single" w:sz="6" w:space="0" w:color="auto"/>
            </w:tcBorders>
          </w:tcPr>
          <w:p w14:paraId="4D73EF2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69</w:t>
            </w:r>
          </w:p>
        </w:tc>
        <w:tc>
          <w:tcPr>
            <w:tcW w:w="795" w:type="dxa"/>
            <w:tcBorders>
              <w:bottom w:val="single" w:sz="6" w:space="0" w:color="auto"/>
            </w:tcBorders>
          </w:tcPr>
          <w:p w14:paraId="73AA6A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69</w:t>
            </w:r>
          </w:p>
        </w:tc>
      </w:tr>
      <w:tr w:rsidR="004135EE" w14:paraId="26BD3991" w14:textId="77777777" w:rsidTr="008670FF">
        <w:tc>
          <w:tcPr>
            <w:cnfStyle w:val="001000000000" w:firstRow="0" w:lastRow="0" w:firstColumn="1" w:lastColumn="0" w:oddVBand="0" w:evenVBand="0" w:oddHBand="0" w:evenHBand="0" w:firstRowFirstColumn="0" w:firstRowLastColumn="0" w:lastRowFirstColumn="0" w:lastRowLastColumn="0"/>
            <w:tcW w:w="3738" w:type="dxa"/>
            <w:tcBorders>
              <w:top w:val="single" w:sz="6" w:space="0" w:color="auto"/>
              <w:bottom w:val="single" w:sz="12" w:space="0" w:color="auto"/>
            </w:tcBorders>
          </w:tcPr>
          <w:p w14:paraId="54090826" w14:textId="77777777" w:rsidR="004135EE" w:rsidRDefault="004135EE" w:rsidP="008670FF">
            <w:r>
              <w:rPr>
                <w:b/>
              </w:rPr>
              <w:t>Total payables</w:t>
            </w:r>
          </w:p>
        </w:tc>
        <w:tc>
          <w:tcPr>
            <w:tcW w:w="794" w:type="dxa"/>
            <w:tcBorders>
              <w:top w:val="single" w:sz="6" w:space="0" w:color="auto"/>
              <w:bottom w:val="single" w:sz="12" w:space="0" w:color="auto"/>
            </w:tcBorders>
          </w:tcPr>
          <w:p w14:paraId="798A7C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7 444</w:t>
            </w:r>
          </w:p>
        </w:tc>
        <w:tc>
          <w:tcPr>
            <w:tcW w:w="794" w:type="dxa"/>
            <w:tcBorders>
              <w:top w:val="single" w:sz="6" w:space="0" w:color="auto"/>
              <w:bottom w:val="single" w:sz="12" w:space="0" w:color="auto"/>
            </w:tcBorders>
          </w:tcPr>
          <w:p w14:paraId="50E7C2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6 498</w:t>
            </w:r>
          </w:p>
        </w:tc>
        <w:tc>
          <w:tcPr>
            <w:tcW w:w="795" w:type="dxa"/>
            <w:tcBorders>
              <w:top w:val="single" w:sz="6" w:space="0" w:color="auto"/>
              <w:bottom w:val="single" w:sz="12" w:space="0" w:color="auto"/>
            </w:tcBorders>
          </w:tcPr>
          <w:p w14:paraId="662075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6 432</w:t>
            </w:r>
          </w:p>
        </w:tc>
        <w:tc>
          <w:tcPr>
            <w:tcW w:w="794" w:type="dxa"/>
            <w:tcBorders>
              <w:top w:val="single" w:sz="6" w:space="0" w:color="auto"/>
              <w:bottom w:val="single" w:sz="12" w:space="0" w:color="auto"/>
            </w:tcBorders>
          </w:tcPr>
          <w:p w14:paraId="0635FE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6 426</w:t>
            </w:r>
          </w:p>
        </w:tc>
        <w:tc>
          <w:tcPr>
            <w:tcW w:w="795" w:type="dxa"/>
            <w:tcBorders>
              <w:top w:val="single" w:sz="6" w:space="0" w:color="auto"/>
              <w:bottom w:val="single" w:sz="12" w:space="0" w:color="auto"/>
            </w:tcBorders>
          </w:tcPr>
          <w:p w14:paraId="607940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6 422</w:t>
            </w:r>
          </w:p>
        </w:tc>
      </w:tr>
      <w:tr w:rsidR="004135EE" w14:paraId="22542B88" w14:textId="77777777" w:rsidTr="008670FF">
        <w:tc>
          <w:tcPr>
            <w:cnfStyle w:val="001000000000" w:firstRow="0" w:lastRow="0" w:firstColumn="1" w:lastColumn="0" w:oddVBand="0" w:evenVBand="0" w:oddHBand="0" w:evenHBand="0" w:firstRowFirstColumn="0" w:firstRowLastColumn="0" w:lastRowFirstColumn="0" w:lastRowLastColumn="0"/>
            <w:tcW w:w="3738" w:type="dxa"/>
            <w:tcBorders>
              <w:top w:val="single" w:sz="6" w:space="0" w:color="auto"/>
            </w:tcBorders>
          </w:tcPr>
          <w:p w14:paraId="44562540" w14:textId="77777777" w:rsidR="004135EE" w:rsidRDefault="004135EE" w:rsidP="008670FF">
            <w:r>
              <w:rPr>
                <w:b/>
              </w:rPr>
              <w:t>Represented by:</w:t>
            </w:r>
          </w:p>
        </w:tc>
        <w:tc>
          <w:tcPr>
            <w:tcW w:w="794" w:type="dxa"/>
            <w:tcBorders>
              <w:top w:val="single" w:sz="6" w:space="0" w:color="auto"/>
            </w:tcBorders>
          </w:tcPr>
          <w:p w14:paraId="37DFDD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23686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5" w:type="dxa"/>
            <w:tcBorders>
              <w:top w:val="single" w:sz="6" w:space="0" w:color="auto"/>
            </w:tcBorders>
          </w:tcPr>
          <w:p w14:paraId="20D0290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CC340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5" w:type="dxa"/>
            <w:tcBorders>
              <w:top w:val="single" w:sz="6" w:space="0" w:color="auto"/>
            </w:tcBorders>
          </w:tcPr>
          <w:p w14:paraId="199C75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431796D1" w14:textId="77777777" w:rsidTr="008670FF">
        <w:tc>
          <w:tcPr>
            <w:cnfStyle w:val="001000000000" w:firstRow="0" w:lastRow="0" w:firstColumn="1" w:lastColumn="0" w:oddVBand="0" w:evenVBand="0" w:oddHBand="0" w:evenHBand="0" w:firstRowFirstColumn="0" w:firstRowLastColumn="0" w:lastRowFirstColumn="0" w:lastRowLastColumn="0"/>
            <w:tcW w:w="3738" w:type="dxa"/>
          </w:tcPr>
          <w:p w14:paraId="1216C232" w14:textId="77777777" w:rsidR="004135EE" w:rsidRDefault="004135EE" w:rsidP="008670FF">
            <w:r>
              <w:t>Current payables</w:t>
            </w:r>
          </w:p>
        </w:tc>
        <w:tc>
          <w:tcPr>
            <w:tcW w:w="794" w:type="dxa"/>
          </w:tcPr>
          <w:p w14:paraId="0E24BE1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7 285</w:t>
            </w:r>
          </w:p>
        </w:tc>
        <w:tc>
          <w:tcPr>
            <w:tcW w:w="794" w:type="dxa"/>
          </w:tcPr>
          <w:p w14:paraId="329CA4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6 347</w:t>
            </w:r>
          </w:p>
        </w:tc>
        <w:tc>
          <w:tcPr>
            <w:tcW w:w="795" w:type="dxa"/>
          </w:tcPr>
          <w:p w14:paraId="3E5D25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6 281</w:t>
            </w:r>
          </w:p>
        </w:tc>
        <w:tc>
          <w:tcPr>
            <w:tcW w:w="794" w:type="dxa"/>
          </w:tcPr>
          <w:p w14:paraId="167DC7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6 275</w:t>
            </w:r>
          </w:p>
        </w:tc>
        <w:tc>
          <w:tcPr>
            <w:tcW w:w="795" w:type="dxa"/>
          </w:tcPr>
          <w:p w14:paraId="726260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6 270</w:t>
            </w:r>
          </w:p>
        </w:tc>
      </w:tr>
      <w:tr w:rsidR="004135EE" w14:paraId="0D1F7A72" w14:textId="77777777" w:rsidTr="008670FF">
        <w:tc>
          <w:tcPr>
            <w:cnfStyle w:val="001000000000" w:firstRow="0" w:lastRow="0" w:firstColumn="1" w:lastColumn="0" w:oddVBand="0" w:evenVBand="0" w:oddHBand="0" w:evenHBand="0" w:firstRowFirstColumn="0" w:firstRowLastColumn="0" w:lastRowFirstColumn="0" w:lastRowLastColumn="0"/>
            <w:tcW w:w="3738" w:type="dxa"/>
          </w:tcPr>
          <w:p w14:paraId="7B01B141" w14:textId="77777777" w:rsidR="004135EE" w:rsidRDefault="004135EE" w:rsidP="008670FF">
            <w:r>
              <w:t>Non</w:t>
            </w:r>
            <w:r>
              <w:noBreakHyphen/>
              <w:t>current payables</w:t>
            </w:r>
          </w:p>
        </w:tc>
        <w:tc>
          <w:tcPr>
            <w:tcW w:w="794" w:type="dxa"/>
          </w:tcPr>
          <w:p w14:paraId="0AFA08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159</w:t>
            </w:r>
          </w:p>
        </w:tc>
        <w:tc>
          <w:tcPr>
            <w:tcW w:w="794" w:type="dxa"/>
          </w:tcPr>
          <w:p w14:paraId="3535E8F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151</w:t>
            </w:r>
          </w:p>
        </w:tc>
        <w:tc>
          <w:tcPr>
            <w:tcW w:w="795" w:type="dxa"/>
          </w:tcPr>
          <w:p w14:paraId="7037C07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151</w:t>
            </w:r>
          </w:p>
        </w:tc>
        <w:tc>
          <w:tcPr>
            <w:tcW w:w="794" w:type="dxa"/>
          </w:tcPr>
          <w:p w14:paraId="25DEB8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151</w:t>
            </w:r>
          </w:p>
        </w:tc>
        <w:tc>
          <w:tcPr>
            <w:tcW w:w="795" w:type="dxa"/>
          </w:tcPr>
          <w:p w14:paraId="6C54D29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152</w:t>
            </w:r>
          </w:p>
        </w:tc>
      </w:tr>
    </w:tbl>
    <w:p w14:paraId="0BA91280" w14:textId="77777777" w:rsidR="004135EE" w:rsidRPr="000404D2" w:rsidRDefault="004135EE" w:rsidP="004135EE">
      <w:pPr>
        <w:pStyle w:val="Heading30"/>
        <w:pageBreakBefore/>
        <w:ind w:left="720" w:hanging="720"/>
      </w:pPr>
      <w:bookmarkStart w:id="102" w:name="_Toc184299099"/>
      <w:r>
        <w:t>4.3.7</w:t>
      </w:r>
      <w:r>
        <w:tab/>
      </w:r>
      <w:r w:rsidRPr="000404D2">
        <w:t>Total expenses by classification of the functions of government</w:t>
      </w:r>
      <w:r>
        <w:t xml:space="preserve"> (COFOG)</w:t>
      </w:r>
      <w:r w:rsidRPr="000404D2">
        <w:t xml:space="preserve"> </w:t>
      </w:r>
      <w:r w:rsidRPr="000404D2">
        <w:br/>
        <w:t>and by portfolio department</w:t>
      </w:r>
      <w:bookmarkEnd w:id="100"/>
      <w:bookmarkEnd w:id="102"/>
    </w:p>
    <w:p w14:paraId="70377CFB" w14:textId="77777777" w:rsidR="004135EE" w:rsidRDefault="004135EE" w:rsidP="005C5C20">
      <w:pPr>
        <w:pStyle w:val="TableHeading"/>
      </w:pPr>
      <w:r>
        <w:t xml:space="preserve">Expenses from transactions by classification of the functions of government </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Total_expenses_by_COFOG|MergedHeadingRow:1"/>
      </w:tblPr>
      <w:tblGrid>
        <w:gridCol w:w="3740"/>
        <w:gridCol w:w="794"/>
        <w:gridCol w:w="794"/>
        <w:gridCol w:w="794"/>
        <w:gridCol w:w="794"/>
        <w:gridCol w:w="794"/>
      </w:tblGrid>
      <w:tr w:rsidR="004135EE" w14:paraId="75613141"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BC2AA23" w14:textId="77777777" w:rsidR="004135EE" w:rsidRDefault="004135EE" w:rsidP="005C5C20">
            <w:pPr>
              <w:keepNext/>
              <w:spacing w:after="0"/>
            </w:pPr>
          </w:p>
        </w:tc>
        <w:tc>
          <w:tcPr>
            <w:tcW w:w="794" w:type="dxa"/>
          </w:tcPr>
          <w:p w14:paraId="1605CB6C"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7759A561"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452A6E74"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7DC277E"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23E3CDF7"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196B5B9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CAB711E" w14:textId="77777777" w:rsidR="004135EE" w:rsidRDefault="004135EE" w:rsidP="005C5C20">
            <w:pPr>
              <w:spacing w:after="0"/>
            </w:pPr>
            <w:r>
              <w:t>General public services</w:t>
            </w:r>
          </w:p>
        </w:tc>
        <w:tc>
          <w:tcPr>
            <w:tcW w:w="794" w:type="dxa"/>
          </w:tcPr>
          <w:p w14:paraId="481F51F5"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10 055</w:t>
            </w:r>
          </w:p>
        </w:tc>
        <w:tc>
          <w:tcPr>
            <w:tcW w:w="794" w:type="dxa"/>
          </w:tcPr>
          <w:p w14:paraId="7497F779"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10 265</w:t>
            </w:r>
          </w:p>
        </w:tc>
        <w:tc>
          <w:tcPr>
            <w:tcW w:w="794" w:type="dxa"/>
          </w:tcPr>
          <w:p w14:paraId="04FDC42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10 729</w:t>
            </w:r>
          </w:p>
        </w:tc>
        <w:tc>
          <w:tcPr>
            <w:tcW w:w="794" w:type="dxa"/>
          </w:tcPr>
          <w:p w14:paraId="165A2AD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12 048</w:t>
            </w:r>
          </w:p>
        </w:tc>
        <w:tc>
          <w:tcPr>
            <w:tcW w:w="794" w:type="dxa"/>
          </w:tcPr>
          <w:p w14:paraId="1C2A2F75"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13 097</w:t>
            </w:r>
          </w:p>
        </w:tc>
      </w:tr>
      <w:tr w:rsidR="004135EE" w14:paraId="7FE6981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6A4AF21" w14:textId="77777777" w:rsidR="004135EE" w:rsidRDefault="004135EE" w:rsidP="005C5C20">
            <w:pPr>
              <w:spacing w:after="0"/>
            </w:pPr>
            <w:r>
              <w:t>Public order and safety</w:t>
            </w:r>
            <w:r>
              <w:rPr>
                <w:vertAlign w:val="superscript"/>
              </w:rPr>
              <w:t xml:space="preserve"> (a)</w:t>
            </w:r>
          </w:p>
        </w:tc>
        <w:tc>
          <w:tcPr>
            <w:tcW w:w="794" w:type="dxa"/>
          </w:tcPr>
          <w:p w14:paraId="36DF5C95"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11 313</w:t>
            </w:r>
          </w:p>
        </w:tc>
        <w:tc>
          <w:tcPr>
            <w:tcW w:w="794" w:type="dxa"/>
          </w:tcPr>
          <w:p w14:paraId="31EF809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11 769</w:t>
            </w:r>
          </w:p>
        </w:tc>
        <w:tc>
          <w:tcPr>
            <w:tcW w:w="794" w:type="dxa"/>
          </w:tcPr>
          <w:p w14:paraId="4C241C9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10 901</w:t>
            </w:r>
          </w:p>
        </w:tc>
        <w:tc>
          <w:tcPr>
            <w:tcW w:w="794" w:type="dxa"/>
          </w:tcPr>
          <w:p w14:paraId="206A4FA9"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10 894</w:t>
            </w:r>
          </w:p>
        </w:tc>
        <w:tc>
          <w:tcPr>
            <w:tcW w:w="794" w:type="dxa"/>
          </w:tcPr>
          <w:p w14:paraId="297EC8B5"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10 837</w:t>
            </w:r>
          </w:p>
        </w:tc>
      </w:tr>
      <w:tr w:rsidR="004135EE" w14:paraId="3358D08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C650651" w14:textId="77777777" w:rsidR="004135EE" w:rsidRDefault="004135EE" w:rsidP="005C5C20">
            <w:pPr>
              <w:spacing w:after="0"/>
            </w:pPr>
            <w:r>
              <w:t>Economic affairs</w:t>
            </w:r>
            <w:r>
              <w:rPr>
                <w:vertAlign w:val="superscript"/>
              </w:rPr>
              <w:t xml:space="preserve"> (a)</w:t>
            </w:r>
          </w:p>
        </w:tc>
        <w:tc>
          <w:tcPr>
            <w:tcW w:w="794" w:type="dxa"/>
          </w:tcPr>
          <w:p w14:paraId="5AB01D2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3 013</w:t>
            </w:r>
          </w:p>
        </w:tc>
        <w:tc>
          <w:tcPr>
            <w:tcW w:w="794" w:type="dxa"/>
          </w:tcPr>
          <w:p w14:paraId="315C39B0"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3 598</w:t>
            </w:r>
          </w:p>
        </w:tc>
        <w:tc>
          <w:tcPr>
            <w:tcW w:w="794" w:type="dxa"/>
          </w:tcPr>
          <w:p w14:paraId="3A1DF5D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2 338</w:t>
            </w:r>
          </w:p>
        </w:tc>
        <w:tc>
          <w:tcPr>
            <w:tcW w:w="794" w:type="dxa"/>
          </w:tcPr>
          <w:p w14:paraId="2A6C4DC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1 828</w:t>
            </w:r>
          </w:p>
        </w:tc>
        <w:tc>
          <w:tcPr>
            <w:tcW w:w="794" w:type="dxa"/>
          </w:tcPr>
          <w:p w14:paraId="17F1D3D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1 625</w:t>
            </w:r>
          </w:p>
        </w:tc>
      </w:tr>
      <w:tr w:rsidR="004135EE" w14:paraId="6520A1D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14564D8" w14:textId="77777777" w:rsidR="004135EE" w:rsidRDefault="004135EE" w:rsidP="005C5C20">
            <w:pPr>
              <w:spacing w:after="0"/>
            </w:pPr>
            <w:r>
              <w:t>Environmental protection</w:t>
            </w:r>
          </w:p>
        </w:tc>
        <w:tc>
          <w:tcPr>
            <w:tcW w:w="794" w:type="dxa"/>
          </w:tcPr>
          <w:p w14:paraId="0E3AB87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1 021</w:t>
            </w:r>
          </w:p>
        </w:tc>
        <w:tc>
          <w:tcPr>
            <w:tcW w:w="794" w:type="dxa"/>
          </w:tcPr>
          <w:p w14:paraId="7DC2983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1 262</w:t>
            </w:r>
          </w:p>
        </w:tc>
        <w:tc>
          <w:tcPr>
            <w:tcW w:w="794" w:type="dxa"/>
          </w:tcPr>
          <w:p w14:paraId="2D55AB8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1 086</w:t>
            </w:r>
          </w:p>
        </w:tc>
        <w:tc>
          <w:tcPr>
            <w:tcW w:w="794" w:type="dxa"/>
          </w:tcPr>
          <w:p w14:paraId="4AA138B9"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1 027</w:t>
            </w:r>
          </w:p>
        </w:tc>
        <w:tc>
          <w:tcPr>
            <w:tcW w:w="794" w:type="dxa"/>
          </w:tcPr>
          <w:p w14:paraId="2609E84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1 026</w:t>
            </w:r>
          </w:p>
        </w:tc>
      </w:tr>
      <w:tr w:rsidR="004135EE" w14:paraId="5E58807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FECA758" w14:textId="77777777" w:rsidR="004135EE" w:rsidRDefault="004135EE" w:rsidP="005C5C20">
            <w:pPr>
              <w:spacing w:after="0"/>
            </w:pPr>
            <w:r>
              <w:t>Housing and community amenities</w:t>
            </w:r>
            <w:r>
              <w:rPr>
                <w:vertAlign w:val="superscript"/>
              </w:rPr>
              <w:t xml:space="preserve"> (b)</w:t>
            </w:r>
          </w:p>
        </w:tc>
        <w:tc>
          <w:tcPr>
            <w:tcW w:w="794" w:type="dxa"/>
          </w:tcPr>
          <w:p w14:paraId="24DC9B5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2 630</w:t>
            </w:r>
          </w:p>
        </w:tc>
        <w:tc>
          <w:tcPr>
            <w:tcW w:w="794" w:type="dxa"/>
          </w:tcPr>
          <w:p w14:paraId="3E3FE6D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2 069</w:t>
            </w:r>
          </w:p>
        </w:tc>
        <w:tc>
          <w:tcPr>
            <w:tcW w:w="794" w:type="dxa"/>
          </w:tcPr>
          <w:p w14:paraId="3487B39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2 417</w:t>
            </w:r>
          </w:p>
        </w:tc>
        <w:tc>
          <w:tcPr>
            <w:tcW w:w="794" w:type="dxa"/>
          </w:tcPr>
          <w:p w14:paraId="5500F6B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2 297</w:t>
            </w:r>
          </w:p>
        </w:tc>
        <w:tc>
          <w:tcPr>
            <w:tcW w:w="794" w:type="dxa"/>
          </w:tcPr>
          <w:p w14:paraId="21052B3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2 243</w:t>
            </w:r>
          </w:p>
        </w:tc>
      </w:tr>
      <w:tr w:rsidR="004135EE" w14:paraId="3953B2B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444ABF3" w14:textId="77777777" w:rsidR="004135EE" w:rsidRDefault="004135EE" w:rsidP="005C5C20">
            <w:pPr>
              <w:spacing w:after="0"/>
            </w:pPr>
            <w:r>
              <w:t>Health</w:t>
            </w:r>
          </w:p>
        </w:tc>
        <w:tc>
          <w:tcPr>
            <w:tcW w:w="794" w:type="dxa"/>
          </w:tcPr>
          <w:p w14:paraId="5985398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29 995</w:t>
            </w:r>
          </w:p>
        </w:tc>
        <w:tc>
          <w:tcPr>
            <w:tcW w:w="794" w:type="dxa"/>
          </w:tcPr>
          <w:p w14:paraId="66FCEF5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31 822</w:t>
            </w:r>
          </w:p>
        </w:tc>
        <w:tc>
          <w:tcPr>
            <w:tcW w:w="794" w:type="dxa"/>
          </w:tcPr>
          <w:p w14:paraId="1076F41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31 231</w:t>
            </w:r>
          </w:p>
        </w:tc>
        <w:tc>
          <w:tcPr>
            <w:tcW w:w="794" w:type="dxa"/>
          </w:tcPr>
          <w:p w14:paraId="3E7FBAA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32 383</w:t>
            </w:r>
          </w:p>
        </w:tc>
        <w:tc>
          <w:tcPr>
            <w:tcW w:w="794" w:type="dxa"/>
          </w:tcPr>
          <w:p w14:paraId="4528626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33 412</w:t>
            </w:r>
          </w:p>
        </w:tc>
      </w:tr>
      <w:tr w:rsidR="004135EE" w14:paraId="244579A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AFB8073" w14:textId="77777777" w:rsidR="004135EE" w:rsidRDefault="004135EE" w:rsidP="005C5C20">
            <w:pPr>
              <w:spacing w:after="0"/>
            </w:pPr>
            <w:r>
              <w:t>Recreation, culture and religion</w:t>
            </w:r>
            <w:r>
              <w:rPr>
                <w:vertAlign w:val="superscript"/>
              </w:rPr>
              <w:t xml:space="preserve"> (a)</w:t>
            </w:r>
          </w:p>
        </w:tc>
        <w:tc>
          <w:tcPr>
            <w:tcW w:w="794" w:type="dxa"/>
          </w:tcPr>
          <w:p w14:paraId="7D7BAC8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1 158</w:t>
            </w:r>
          </w:p>
        </w:tc>
        <w:tc>
          <w:tcPr>
            <w:tcW w:w="794" w:type="dxa"/>
          </w:tcPr>
          <w:p w14:paraId="0C973880"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1 350</w:t>
            </w:r>
          </w:p>
        </w:tc>
        <w:tc>
          <w:tcPr>
            <w:tcW w:w="794" w:type="dxa"/>
          </w:tcPr>
          <w:p w14:paraId="205F3E79"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1 137</w:t>
            </w:r>
          </w:p>
        </w:tc>
        <w:tc>
          <w:tcPr>
            <w:tcW w:w="794" w:type="dxa"/>
          </w:tcPr>
          <w:p w14:paraId="00EC75B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800</w:t>
            </w:r>
          </w:p>
        </w:tc>
        <w:tc>
          <w:tcPr>
            <w:tcW w:w="794" w:type="dxa"/>
          </w:tcPr>
          <w:p w14:paraId="0A6D759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678</w:t>
            </w:r>
          </w:p>
        </w:tc>
      </w:tr>
      <w:tr w:rsidR="004135EE" w14:paraId="2A957CD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858BF71" w14:textId="77777777" w:rsidR="004135EE" w:rsidRDefault="004135EE" w:rsidP="005C5C20">
            <w:pPr>
              <w:spacing w:after="0"/>
            </w:pPr>
            <w:r>
              <w:t>Education</w:t>
            </w:r>
          </w:p>
        </w:tc>
        <w:tc>
          <w:tcPr>
            <w:tcW w:w="794" w:type="dxa"/>
          </w:tcPr>
          <w:p w14:paraId="1FB523F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24 132</w:t>
            </w:r>
          </w:p>
        </w:tc>
        <w:tc>
          <w:tcPr>
            <w:tcW w:w="794" w:type="dxa"/>
          </w:tcPr>
          <w:p w14:paraId="0332592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24 677</w:t>
            </w:r>
          </w:p>
        </w:tc>
        <w:tc>
          <w:tcPr>
            <w:tcW w:w="794" w:type="dxa"/>
          </w:tcPr>
          <w:p w14:paraId="3D92B36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25 052</w:t>
            </w:r>
          </w:p>
        </w:tc>
        <w:tc>
          <w:tcPr>
            <w:tcW w:w="794" w:type="dxa"/>
          </w:tcPr>
          <w:p w14:paraId="3FFA29A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25 967</w:t>
            </w:r>
          </w:p>
        </w:tc>
        <w:tc>
          <w:tcPr>
            <w:tcW w:w="794" w:type="dxa"/>
          </w:tcPr>
          <w:p w14:paraId="7B1D355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26 944</w:t>
            </w:r>
          </w:p>
        </w:tc>
      </w:tr>
      <w:tr w:rsidR="004135EE" w14:paraId="1ADA7B5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3E228C7" w14:textId="77777777" w:rsidR="004135EE" w:rsidRDefault="004135EE" w:rsidP="005C5C20">
            <w:pPr>
              <w:spacing w:after="0"/>
            </w:pPr>
            <w:r>
              <w:t>Social protection</w:t>
            </w:r>
            <w:r>
              <w:rPr>
                <w:vertAlign w:val="superscript"/>
              </w:rPr>
              <w:t xml:space="preserve"> (c)</w:t>
            </w:r>
          </w:p>
        </w:tc>
        <w:tc>
          <w:tcPr>
            <w:tcW w:w="794" w:type="dxa"/>
          </w:tcPr>
          <w:p w14:paraId="564345B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8 424</w:t>
            </w:r>
          </w:p>
        </w:tc>
        <w:tc>
          <w:tcPr>
            <w:tcW w:w="794" w:type="dxa"/>
          </w:tcPr>
          <w:p w14:paraId="6DD74FA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9 403</w:t>
            </w:r>
          </w:p>
        </w:tc>
        <w:tc>
          <w:tcPr>
            <w:tcW w:w="794" w:type="dxa"/>
          </w:tcPr>
          <w:p w14:paraId="7816C9D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8 501</w:t>
            </w:r>
          </w:p>
        </w:tc>
        <w:tc>
          <w:tcPr>
            <w:tcW w:w="794" w:type="dxa"/>
          </w:tcPr>
          <w:p w14:paraId="1D4B6FE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8 191</w:t>
            </w:r>
          </w:p>
        </w:tc>
        <w:tc>
          <w:tcPr>
            <w:tcW w:w="794" w:type="dxa"/>
          </w:tcPr>
          <w:p w14:paraId="7211403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8 255</w:t>
            </w:r>
          </w:p>
        </w:tc>
      </w:tr>
      <w:tr w:rsidR="004135EE" w14:paraId="0048FBB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ABB8DE7" w14:textId="77777777" w:rsidR="004135EE" w:rsidRDefault="004135EE" w:rsidP="005C5C20">
            <w:pPr>
              <w:spacing w:after="0"/>
            </w:pPr>
            <w:r>
              <w:t>Transport</w:t>
            </w:r>
          </w:p>
        </w:tc>
        <w:tc>
          <w:tcPr>
            <w:tcW w:w="794" w:type="dxa"/>
          </w:tcPr>
          <w:p w14:paraId="183FBF1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8 441</w:t>
            </w:r>
          </w:p>
        </w:tc>
        <w:tc>
          <w:tcPr>
            <w:tcW w:w="794" w:type="dxa"/>
          </w:tcPr>
          <w:p w14:paraId="6091DB7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9 058</w:t>
            </w:r>
          </w:p>
        </w:tc>
        <w:tc>
          <w:tcPr>
            <w:tcW w:w="794" w:type="dxa"/>
          </w:tcPr>
          <w:p w14:paraId="569C904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8 396</w:t>
            </w:r>
          </w:p>
        </w:tc>
        <w:tc>
          <w:tcPr>
            <w:tcW w:w="794" w:type="dxa"/>
          </w:tcPr>
          <w:p w14:paraId="4F59161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8 384</w:t>
            </w:r>
          </w:p>
        </w:tc>
        <w:tc>
          <w:tcPr>
            <w:tcW w:w="794" w:type="dxa"/>
          </w:tcPr>
          <w:p w14:paraId="27B25A90"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8 757</w:t>
            </w:r>
          </w:p>
        </w:tc>
      </w:tr>
      <w:tr w:rsidR="004135EE" w14:paraId="70C8BEF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AEE48B2" w14:textId="77777777" w:rsidR="004135EE" w:rsidRDefault="004135EE" w:rsidP="005C5C20">
            <w:pPr>
              <w:spacing w:after="0"/>
            </w:pPr>
            <w:r>
              <w:t>Not allocated by function</w:t>
            </w:r>
            <w:r>
              <w:rPr>
                <w:vertAlign w:val="superscript"/>
              </w:rPr>
              <w:t xml:space="preserve"> (d)</w:t>
            </w:r>
          </w:p>
        </w:tc>
        <w:tc>
          <w:tcPr>
            <w:tcW w:w="794" w:type="dxa"/>
            <w:tcBorders>
              <w:bottom w:val="single" w:sz="6" w:space="0" w:color="auto"/>
            </w:tcBorders>
          </w:tcPr>
          <w:p w14:paraId="72678FA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(1 906)</w:t>
            </w:r>
          </w:p>
        </w:tc>
        <w:tc>
          <w:tcPr>
            <w:tcW w:w="794" w:type="dxa"/>
            <w:tcBorders>
              <w:bottom w:val="single" w:sz="6" w:space="0" w:color="auto"/>
            </w:tcBorders>
          </w:tcPr>
          <w:p w14:paraId="09FE203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(3 620)</w:t>
            </w:r>
          </w:p>
        </w:tc>
        <w:tc>
          <w:tcPr>
            <w:tcW w:w="794" w:type="dxa"/>
            <w:tcBorders>
              <w:bottom w:val="single" w:sz="6" w:space="0" w:color="auto"/>
            </w:tcBorders>
          </w:tcPr>
          <w:p w14:paraId="7525ED8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60</w:t>
            </w:r>
          </w:p>
        </w:tc>
        <w:tc>
          <w:tcPr>
            <w:tcW w:w="794" w:type="dxa"/>
            <w:tcBorders>
              <w:bottom w:val="single" w:sz="6" w:space="0" w:color="auto"/>
            </w:tcBorders>
          </w:tcPr>
          <w:p w14:paraId="4B15A22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1 498</w:t>
            </w:r>
          </w:p>
        </w:tc>
        <w:tc>
          <w:tcPr>
            <w:tcW w:w="794" w:type="dxa"/>
            <w:tcBorders>
              <w:bottom w:val="single" w:sz="6" w:space="0" w:color="auto"/>
            </w:tcBorders>
          </w:tcPr>
          <w:p w14:paraId="17FA1A1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t>1 535</w:t>
            </w:r>
          </w:p>
        </w:tc>
      </w:tr>
      <w:tr w:rsidR="004135EE" w14:paraId="744257E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0533AA2" w14:textId="77777777" w:rsidR="004135EE" w:rsidRDefault="004135EE" w:rsidP="005C5C20">
            <w:pPr>
              <w:spacing w:after="0"/>
            </w:pPr>
            <w:r>
              <w:rPr>
                <w:b/>
              </w:rPr>
              <w:t>Total expenses from transactions</w:t>
            </w:r>
          </w:p>
        </w:tc>
        <w:tc>
          <w:tcPr>
            <w:tcW w:w="794" w:type="dxa"/>
            <w:tcBorders>
              <w:top w:val="single" w:sz="6" w:space="0" w:color="auto"/>
              <w:bottom w:val="single" w:sz="12" w:space="0" w:color="auto"/>
            </w:tcBorders>
          </w:tcPr>
          <w:p w14:paraId="73FD538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rPr>
              <w:t>98 276</w:t>
            </w:r>
          </w:p>
        </w:tc>
        <w:tc>
          <w:tcPr>
            <w:tcW w:w="794" w:type="dxa"/>
            <w:tcBorders>
              <w:top w:val="single" w:sz="6" w:space="0" w:color="auto"/>
              <w:bottom w:val="single" w:sz="12" w:space="0" w:color="auto"/>
            </w:tcBorders>
          </w:tcPr>
          <w:p w14:paraId="5879895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rPr>
              <w:t>101 653</w:t>
            </w:r>
          </w:p>
        </w:tc>
        <w:tc>
          <w:tcPr>
            <w:tcW w:w="794" w:type="dxa"/>
            <w:tcBorders>
              <w:top w:val="single" w:sz="6" w:space="0" w:color="auto"/>
              <w:bottom w:val="single" w:sz="12" w:space="0" w:color="auto"/>
            </w:tcBorders>
          </w:tcPr>
          <w:p w14:paraId="499632F5"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rPr>
              <w:t>101 847</w:t>
            </w:r>
          </w:p>
        </w:tc>
        <w:tc>
          <w:tcPr>
            <w:tcW w:w="794" w:type="dxa"/>
            <w:tcBorders>
              <w:top w:val="single" w:sz="6" w:space="0" w:color="auto"/>
              <w:bottom w:val="single" w:sz="12" w:space="0" w:color="auto"/>
            </w:tcBorders>
          </w:tcPr>
          <w:p w14:paraId="222DB9D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rPr>
              <w:t>105 318</w:t>
            </w:r>
          </w:p>
        </w:tc>
        <w:tc>
          <w:tcPr>
            <w:tcW w:w="794" w:type="dxa"/>
            <w:tcBorders>
              <w:top w:val="single" w:sz="6" w:space="0" w:color="auto"/>
              <w:bottom w:val="single" w:sz="12" w:space="0" w:color="auto"/>
            </w:tcBorders>
          </w:tcPr>
          <w:p w14:paraId="4F4063D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rPr>
              <w:t>108 410</w:t>
            </w:r>
          </w:p>
        </w:tc>
      </w:tr>
    </w:tbl>
    <w:p w14:paraId="30328F2F" w14:textId="77777777" w:rsidR="004135EE" w:rsidRPr="00FC6AC0" w:rsidRDefault="004135EE" w:rsidP="004135EE">
      <w:pPr>
        <w:pStyle w:val="Note"/>
      </w:pPr>
      <w:bookmarkStart w:id="103" w:name="_Hlk151121147"/>
      <w:r w:rsidRPr="00FC6AC0">
        <w:t>Note</w:t>
      </w:r>
      <w:r>
        <w:t>s</w:t>
      </w:r>
      <w:r w:rsidRPr="00FC6AC0">
        <w:t>:</w:t>
      </w:r>
    </w:p>
    <w:p w14:paraId="1EABD152" w14:textId="77777777" w:rsidR="004135EE" w:rsidRDefault="004135EE" w:rsidP="004135EE">
      <w:pPr>
        <w:pStyle w:val="Note"/>
      </w:pPr>
      <w:r>
        <w:t>(a)</w:t>
      </w:r>
      <w:r>
        <w:tab/>
      </w:r>
      <w:r w:rsidRPr="00952BCD">
        <w:t xml:space="preserve">The </w:t>
      </w:r>
      <w:r w:rsidRPr="00096FCE">
        <w:t>variation</w:t>
      </w:r>
      <w:r w:rsidRPr="00952BCD">
        <w:t xml:space="preserve"> in </w:t>
      </w:r>
      <w:r w:rsidRPr="00096FCE">
        <w:t>this</w:t>
      </w:r>
      <w:r w:rsidRPr="00952BCD">
        <w:t xml:space="preserve"> classification over the forward estimates is driven by the funding profile of fixed</w:t>
      </w:r>
      <w:r w:rsidRPr="00096FCE">
        <w:t>-</w:t>
      </w:r>
      <w:r w:rsidRPr="00952BCD">
        <w:t>term initiatives.</w:t>
      </w:r>
    </w:p>
    <w:bookmarkEnd w:id="103"/>
    <w:p w14:paraId="408A0910" w14:textId="77777777" w:rsidR="004135EE" w:rsidRDefault="004135EE" w:rsidP="004135EE">
      <w:pPr>
        <w:pStyle w:val="Note"/>
      </w:pPr>
      <w:r w:rsidRPr="007E731F">
        <w:t>(b)</w:t>
      </w:r>
      <w:r w:rsidRPr="007E731F">
        <w:tab/>
        <w:t>The decrease in the Housing and community amenities classification in the 2024-25 revised estimate is largely driven by the Commonwealth bringing forward some of the 2024-25 local government grants for on-passing to 2023-24.</w:t>
      </w:r>
    </w:p>
    <w:p w14:paraId="0A8A6F3A" w14:textId="77777777" w:rsidR="004135EE" w:rsidRDefault="004135EE" w:rsidP="004135EE">
      <w:pPr>
        <w:pStyle w:val="Note"/>
      </w:pPr>
      <w:r>
        <w:t>(c)</w:t>
      </w:r>
      <w:r>
        <w:tab/>
      </w:r>
      <w:r w:rsidRPr="00952BCD">
        <w:t xml:space="preserve">The </w:t>
      </w:r>
      <w:r>
        <w:t xml:space="preserve">increase </w:t>
      </w:r>
      <w:r w:rsidRPr="00952BCD">
        <w:t xml:space="preserve">in </w:t>
      </w:r>
      <w:r>
        <w:t>the Social protection</w:t>
      </w:r>
      <w:r w:rsidRPr="00952BCD">
        <w:t xml:space="preserve"> classification </w:t>
      </w:r>
      <w:r>
        <w:t>in the 2024-25</w:t>
      </w:r>
      <w:r w:rsidRPr="00952BCD">
        <w:t xml:space="preserve"> </w:t>
      </w:r>
      <w:r>
        <w:t>revised estimate</w:t>
      </w:r>
      <w:r w:rsidRPr="00952BCD">
        <w:t xml:space="preserve"> is </w:t>
      </w:r>
      <w:r>
        <w:t xml:space="preserve">largely </w:t>
      </w:r>
      <w:r w:rsidRPr="00952BCD">
        <w:t xml:space="preserve">driven by the funding profile of </w:t>
      </w:r>
      <w:r>
        <w:t>the Energy Bill Relief Fund</w:t>
      </w:r>
      <w:r w:rsidRPr="00952BCD">
        <w:t>.</w:t>
      </w:r>
    </w:p>
    <w:p w14:paraId="7BD9B153" w14:textId="77777777" w:rsidR="004135EE" w:rsidRDefault="004135EE" w:rsidP="004135EE">
      <w:pPr>
        <w:pStyle w:val="Note"/>
      </w:pPr>
      <w:r>
        <w:t>(d)</w:t>
      </w:r>
      <w:r>
        <w:tab/>
      </w:r>
      <w:r w:rsidRPr="007B7059">
        <w:t>Mainly comprises the provision for future demand growth, departmental underspending, eliminated purchases of supplies and consumables between government entities, and items not yet formalised at the time of publication.</w:t>
      </w:r>
      <w:r>
        <w:t xml:space="preserve"> </w:t>
      </w:r>
    </w:p>
    <w:p w14:paraId="3B77A3B0" w14:textId="77777777" w:rsidR="00542CC9" w:rsidRDefault="00542CC9" w:rsidP="00542CC9"/>
    <w:p w14:paraId="6974B243" w14:textId="77777777" w:rsidR="004135EE" w:rsidRPr="007A6251" w:rsidRDefault="004135EE" w:rsidP="005C5C20">
      <w:pPr>
        <w:pStyle w:val="TableHeading"/>
      </w:pPr>
      <w:r w:rsidRPr="007A6251">
        <w:t>Total expenses from transactions by portfolio department</w:t>
      </w:r>
      <w:r w:rsidRPr="007A6251">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Total_expenses_by_dept_incl_con|MergedHeadingRow:1"/>
      </w:tblPr>
      <w:tblGrid>
        <w:gridCol w:w="3828"/>
        <w:gridCol w:w="706"/>
        <w:gridCol w:w="794"/>
        <w:gridCol w:w="794"/>
        <w:gridCol w:w="794"/>
        <w:gridCol w:w="794"/>
      </w:tblGrid>
      <w:tr w:rsidR="004135EE" w:rsidRPr="007A6251" w14:paraId="5D77926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3CE7B0F2" w14:textId="77777777" w:rsidR="004135EE" w:rsidRDefault="004135EE" w:rsidP="005C5C20">
            <w:pPr>
              <w:keepNext/>
              <w:spacing w:after="0"/>
            </w:pPr>
          </w:p>
        </w:tc>
        <w:tc>
          <w:tcPr>
            <w:tcW w:w="706" w:type="dxa"/>
          </w:tcPr>
          <w:p w14:paraId="1F7C1061"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budget</w:t>
            </w:r>
          </w:p>
        </w:tc>
        <w:tc>
          <w:tcPr>
            <w:tcW w:w="794" w:type="dxa"/>
          </w:tcPr>
          <w:p w14:paraId="758D1241"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revised</w:t>
            </w:r>
          </w:p>
        </w:tc>
        <w:tc>
          <w:tcPr>
            <w:tcW w:w="794" w:type="dxa"/>
          </w:tcPr>
          <w:p w14:paraId="40025095"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33DA3F78"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c>
          <w:tcPr>
            <w:tcW w:w="794" w:type="dxa"/>
          </w:tcPr>
          <w:p w14:paraId="56C1A22E" w14:textId="77777777" w:rsidR="004135EE" w:rsidRDefault="004135EE" w:rsidP="005C5C20">
            <w:pPr>
              <w:keepNext/>
              <w:spacing w:after="0"/>
              <w:cnfStyle w:val="100000000000" w:firstRow="1" w:lastRow="0" w:firstColumn="0" w:lastColumn="0" w:oddVBand="0" w:evenVBand="0" w:oddHBand="0" w:evenHBand="0" w:firstRowFirstColumn="0" w:firstRowLastColumn="0" w:lastRowFirstColumn="0" w:lastRowLastColumn="0"/>
            </w:pPr>
            <w:r>
              <w:rPr>
                <w:sz w:val="16"/>
              </w:rPr>
              <w:t>2027</w:t>
            </w:r>
            <w:r>
              <w:rPr>
                <w:sz w:val="16"/>
              </w:rPr>
              <w:noBreakHyphen/>
              <w:t>28</w:t>
            </w:r>
            <w:r>
              <w:br/>
              <w:t>estimate</w:t>
            </w:r>
          </w:p>
        </w:tc>
      </w:tr>
      <w:tr w:rsidR="004135EE" w:rsidRPr="007A6251" w14:paraId="3D4DD047"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4F387580" w14:textId="77777777" w:rsidR="004135EE" w:rsidRDefault="004135EE" w:rsidP="005C5C20">
            <w:pPr>
              <w:spacing w:after="0"/>
            </w:pPr>
            <w:r>
              <w:rPr>
                <w:sz w:val="16"/>
              </w:rPr>
              <w:t>Education</w:t>
            </w:r>
          </w:p>
        </w:tc>
        <w:tc>
          <w:tcPr>
            <w:tcW w:w="706" w:type="dxa"/>
          </w:tcPr>
          <w:p w14:paraId="4400818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22 016</w:t>
            </w:r>
          </w:p>
        </w:tc>
        <w:tc>
          <w:tcPr>
            <w:tcW w:w="794" w:type="dxa"/>
          </w:tcPr>
          <w:p w14:paraId="6276ADB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22 399</w:t>
            </w:r>
          </w:p>
        </w:tc>
        <w:tc>
          <w:tcPr>
            <w:tcW w:w="794" w:type="dxa"/>
          </w:tcPr>
          <w:p w14:paraId="7DF3988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22 262</w:t>
            </w:r>
          </w:p>
        </w:tc>
        <w:tc>
          <w:tcPr>
            <w:tcW w:w="794" w:type="dxa"/>
          </w:tcPr>
          <w:p w14:paraId="05304D3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22 005</w:t>
            </w:r>
          </w:p>
        </w:tc>
        <w:tc>
          <w:tcPr>
            <w:tcW w:w="794" w:type="dxa"/>
          </w:tcPr>
          <w:p w14:paraId="290EF15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22 400</w:t>
            </w:r>
          </w:p>
        </w:tc>
      </w:tr>
      <w:tr w:rsidR="004135EE" w:rsidRPr="007A6251" w14:paraId="454E8568"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6D3C11AD" w14:textId="77777777" w:rsidR="004135EE" w:rsidRDefault="004135EE" w:rsidP="005C5C20">
            <w:pPr>
              <w:spacing w:after="0"/>
            </w:pPr>
            <w:r>
              <w:rPr>
                <w:sz w:val="16"/>
              </w:rPr>
              <w:t>Energy, Environment and Climate Action</w:t>
            </w:r>
          </w:p>
        </w:tc>
        <w:tc>
          <w:tcPr>
            <w:tcW w:w="706" w:type="dxa"/>
          </w:tcPr>
          <w:p w14:paraId="347F0A8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3 114</w:t>
            </w:r>
          </w:p>
        </w:tc>
        <w:tc>
          <w:tcPr>
            <w:tcW w:w="794" w:type="dxa"/>
          </w:tcPr>
          <w:p w14:paraId="08C4312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3 621</w:t>
            </w:r>
          </w:p>
        </w:tc>
        <w:tc>
          <w:tcPr>
            <w:tcW w:w="794" w:type="dxa"/>
          </w:tcPr>
          <w:p w14:paraId="699EFAB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2 943</w:t>
            </w:r>
          </w:p>
        </w:tc>
        <w:tc>
          <w:tcPr>
            <w:tcW w:w="794" w:type="dxa"/>
          </w:tcPr>
          <w:p w14:paraId="13050BE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2 733</w:t>
            </w:r>
          </w:p>
        </w:tc>
        <w:tc>
          <w:tcPr>
            <w:tcW w:w="794" w:type="dxa"/>
          </w:tcPr>
          <w:p w14:paraId="43A5A8E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2 563</w:t>
            </w:r>
          </w:p>
        </w:tc>
      </w:tr>
      <w:tr w:rsidR="004135EE" w:rsidRPr="007A6251" w14:paraId="4F2C252A"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7060C38A" w14:textId="77777777" w:rsidR="004135EE" w:rsidRDefault="004135EE" w:rsidP="005C5C20">
            <w:pPr>
              <w:spacing w:after="0"/>
            </w:pPr>
            <w:r>
              <w:rPr>
                <w:sz w:val="16"/>
              </w:rPr>
              <w:t>Families, Fairness and Housing</w:t>
            </w:r>
          </w:p>
        </w:tc>
        <w:tc>
          <w:tcPr>
            <w:tcW w:w="706" w:type="dxa"/>
          </w:tcPr>
          <w:p w14:paraId="4B3A806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8 158</w:t>
            </w:r>
          </w:p>
        </w:tc>
        <w:tc>
          <w:tcPr>
            <w:tcW w:w="794" w:type="dxa"/>
          </w:tcPr>
          <w:p w14:paraId="1E5C4E8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9 163</w:t>
            </w:r>
          </w:p>
        </w:tc>
        <w:tc>
          <w:tcPr>
            <w:tcW w:w="794" w:type="dxa"/>
          </w:tcPr>
          <w:p w14:paraId="563D4E7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8 219</w:t>
            </w:r>
          </w:p>
        </w:tc>
        <w:tc>
          <w:tcPr>
            <w:tcW w:w="794" w:type="dxa"/>
          </w:tcPr>
          <w:p w14:paraId="08F8C2C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8 026</w:t>
            </w:r>
          </w:p>
        </w:tc>
        <w:tc>
          <w:tcPr>
            <w:tcW w:w="794" w:type="dxa"/>
          </w:tcPr>
          <w:p w14:paraId="4A558DC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8 142</w:t>
            </w:r>
          </w:p>
        </w:tc>
      </w:tr>
      <w:tr w:rsidR="004135EE" w:rsidRPr="007A6251" w14:paraId="0A14B994"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6B9AA65B" w14:textId="77777777" w:rsidR="004135EE" w:rsidRDefault="004135EE" w:rsidP="005C5C20">
            <w:pPr>
              <w:spacing w:after="0"/>
            </w:pPr>
            <w:r>
              <w:rPr>
                <w:sz w:val="16"/>
              </w:rPr>
              <w:t>Government Services</w:t>
            </w:r>
          </w:p>
        </w:tc>
        <w:tc>
          <w:tcPr>
            <w:tcW w:w="706" w:type="dxa"/>
          </w:tcPr>
          <w:p w14:paraId="26ECD2B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2 147</w:t>
            </w:r>
          </w:p>
        </w:tc>
        <w:tc>
          <w:tcPr>
            <w:tcW w:w="794" w:type="dxa"/>
          </w:tcPr>
          <w:p w14:paraId="665B9DD9"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1 652</w:t>
            </w:r>
          </w:p>
        </w:tc>
        <w:tc>
          <w:tcPr>
            <w:tcW w:w="794" w:type="dxa"/>
          </w:tcPr>
          <w:p w14:paraId="63C38DF5"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2 109</w:t>
            </w:r>
          </w:p>
        </w:tc>
        <w:tc>
          <w:tcPr>
            <w:tcW w:w="794" w:type="dxa"/>
          </w:tcPr>
          <w:p w14:paraId="6029E11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2 064</w:t>
            </w:r>
          </w:p>
        </w:tc>
        <w:tc>
          <w:tcPr>
            <w:tcW w:w="794" w:type="dxa"/>
          </w:tcPr>
          <w:p w14:paraId="41AC4D0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2 103</w:t>
            </w:r>
          </w:p>
        </w:tc>
      </w:tr>
      <w:tr w:rsidR="004135EE" w:rsidRPr="007A6251" w14:paraId="04CFBE87"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58200BAD" w14:textId="77777777" w:rsidR="004135EE" w:rsidRDefault="004135EE" w:rsidP="005C5C20">
            <w:pPr>
              <w:spacing w:after="0"/>
            </w:pPr>
            <w:r>
              <w:rPr>
                <w:sz w:val="16"/>
              </w:rPr>
              <w:t>Health</w:t>
            </w:r>
          </w:p>
        </w:tc>
        <w:tc>
          <w:tcPr>
            <w:tcW w:w="706" w:type="dxa"/>
          </w:tcPr>
          <w:p w14:paraId="606CCC6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27 874</w:t>
            </w:r>
          </w:p>
        </w:tc>
        <w:tc>
          <w:tcPr>
            <w:tcW w:w="794" w:type="dxa"/>
          </w:tcPr>
          <w:p w14:paraId="48EB76F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31 448</w:t>
            </w:r>
          </w:p>
        </w:tc>
        <w:tc>
          <w:tcPr>
            <w:tcW w:w="794" w:type="dxa"/>
          </w:tcPr>
          <w:p w14:paraId="0C3FEE39"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29 928</w:t>
            </w:r>
          </w:p>
        </w:tc>
        <w:tc>
          <w:tcPr>
            <w:tcW w:w="794" w:type="dxa"/>
          </w:tcPr>
          <w:p w14:paraId="0BA2CA4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30 109</w:t>
            </w:r>
          </w:p>
        </w:tc>
        <w:tc>
          <w:tcPr>
            <w:tcW w:w="794" w:type="dxa"/>
          </w:tcPr>
          <w:p w14:paraId="7F373A9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29 803</w:t>
            </w:r>
          </w:p>
        </w:tc>
      </w:tr>
      <w:tr w:rsidR="004135EE" w:rsidRPr="007A6251" w14:paraId="2219D7E0"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30CCE456" w14:textId="77777777" w:rsidR="004135EE" w:rsidRDefault="004135EE" w:rsidP="005C5C20">
            <w:pPr>
              <w:spacing w:after="0"/>
            </w:pPr>
            <w:r>
              <w:rPr>
                <w:sz w:val="16"/>
              </w:rPr>
              <w:t>Jobs, Skills, Industry and Regions</w:t>
            </w:r>
          </w:p>
        </w:tc>
        <w:tc>
          <w:tcPr>
            <w:tcW w:w="706" w:type="dxa"/>
          </w:tcPr>
          <w:p w14:paraId="3F607FE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4 385</w:t>
            </w:r>
          </w:p>
        </w:tc>
        <w:tc>
          <w:tcPr>
            <w:tcW w:w="794" w:type="dxa"/>
          </w:tcPr>
          <w:p w14:paraId="741861E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5 208</w:t>
            </w:r>
          </w:p>
        </w:tc>
        <w:tc>
          <w:tcPr>
            <w:tcW w:w="794" w:type="dxa"/>
          </w:tcPr>
          <w:p w14:paraId="66713E6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4 085</w:t>
            </w:r>
          </w:p>
        </w:tc>
        <w:tc>
          <w:tcPr>
            <w:tcW w:w="794" w:type="dxa"/>
          </w:tcPr>
          <w:p w14:paraId="2173BA9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3 333</w:t>
            </w:r>
          </w:p>
        </w:tc>
        <w:tc>
          <w:tcPr>
            <w:tcW w:w="794" w:type="dxa"/>
          </w:tcPr>
          <w:p w14:paraId="6FC98C5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3 127</w:t>
            </w:r>
          </w:p>
        </w:tc>
      </w:tr>
      <w:tr w:rsidR="004135EE" w:rsidRPr="007A6251" w14:paraId="242C04D8"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547B6000" w14:textId="77777777" w:rsidR="004135EE" w:rsidRDefault="004135EE" w:rsidP="005C5C20">
            <w:pPr>
              <w:spacing w:after="0"/>
            </w:pPr>
            <w:r>
              <w:rPr>
                <w:sz w:val="16"/>
              </w:rPr>
              <w:t>Justice and Community Safety</w:t>
            </w:r>
          </w:p>
        </w:tc>
        <w:tc>
          <w:tcPr>
            <w:tcW w:w="706" w:type="dxa"/>
          </w:tcPr>
          <w:p w14:paraId="1C1EBF9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9 632</w:t>
            </w:r>
          </w:p>
        </w:tc>
        <w:tc>
          <w:tcPr>
            <w:tcW w:w="794" w:type="dxa"/>
          </w:tcPr>
          <w:p w14:paraId="62A994D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10 214</w:t>
            </w:r>
          </w:p>
        </w:tc>
        <w:tc>
          <w:tcPr>
            <w:tcW w:w="794" w:type="dxa"/>
          </w:tcPr>
          <w:p w14:paraId="1EBF0B4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9 197</w:t>
            </w:r>
          </w:p>
        </w:tc>
        <w:tc>
          <w:tcPr>
            <w:tcW w:w="794" w:type="dxa"/>
          </w:tcPr>
          <w:p w14:paraId="221FF46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9 183</w:t>
            </w:r>
          </w:p>
        </w:tc>
        <w:tc>
          <w:tcPr>
            <w:tcW w:w="794" w:type="dxa"/>
          </w:tcPr>
          <w:p w14:paraId="3EF04FA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9 237</w:t>
            </w:r>
          </w:p>
        </w:tc>
      </w:tr>
      <w:tr w:rsidR="004135EE" w:rsidRPr="007A6251" w14:paraId="64F9BFC7"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47C2AA22" w14:textId="77777777" w:rsidR="004135EE" w:rsidRDefault="004135EE" w:rsidP="005C5C20">
            <w:pPr>
              <w:spacing w:after="0"/>
            </w:pPr>
            <w:r>
              <w:rPr>
                <w:sz w:val="16"/>
              </w:rPr>
              <w:t>Premier and Cabinet</w:t>
            </w:r>
          </w:p>
        </w:tc>
        <w:tc>
          <w:tcPr>
            <w:tcW w:w="706" w:type="dxa"/>
          </w:tcPr>
          <w:p w14:paraId="1205C820"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546</w:t>
            </w:r>
          </w:p>
        </w:tc>
        <w:tc>
          <w:tcPr>
            <w:tcW w:w="794" w:type="dxa"/>
          </w:tcPr>
          <w:p w14:paraId="02DB2B1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564</w:t>
            </w:r>
          </w:p>
        </w:tc>
        <w:tc>
          <w:tcPr>
            <w:tcW w:w="794" w:type="dxa"/>
          </w:tcPr>
          <w:p w14:paraId="2D103B4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400</w:t>
            </w:r>
          </w:p>
        </w:tc>
        <w:tc>
          <w:tcPr>
            <w:tcW w:w="794" w:type="dxa"/>
          </w:tcPr>
          <w:p w14:paraId="62BE5E7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476</w:t>
            </w:r>
          </w:p>
        </w:tc>
        <w:tc>
          <w:tcPr>
            <w:tcW w:w="794" w:type="dxa"/>
          </w:tcPr>
          <w:p w14:paraId="3C3C00D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310</w:t>
            </w:r>
          </w:p>
        </w:tc>
      </w:tr>
      <w:tr w:rsidR="004135EE" w:rsidRPr="007A6251" w14:paraId="663DDBBF"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5C3F168C" w14:textId="77777777" w:rsidR="004135EE" w:rsidRDefault="004135EE" w:rsidP="005C5C20">
            <w:pPr>
              <w:spacing w:after="0"/>
            </w:pPr>
            <w:r>
              <w:rPr>
                <w:sz w:val="16"/>
              </w:rPr>
              <w:t>Transport and Planning</w:t>
            </w:r>
          </w:p>
        </w:tc>
        <w:tc>
          <w:tcPr>
            <w:tcW w:w="706" w:type="dxa"/>
          </w:tcPr>
          <w:p w14:paraId="7B50F03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8 617</w:t>
            </w:r>
          </w:p>
        </w:tc>
        <w:tc>
          <w:tcPr>
            <w:tcW w:w="794" w:type="dxa"/>
          </w:tcPr>
          <w:p w14:paraId="6B1C7BB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9 381</w:t>
            </w:r>
          </w:p>
        </w:tc>
        <w:tc>
          <w:tcPr>
            <w:tcW w:w="794" w:type="dxa"/>
          </w:tcPr>
          <w:p w14:paraId="3EC41B5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8 663</w:t>
            </w:r>
          </w:p>
        </w:tc>
        <w:tc>
          <w:tcPr>
            <w:tcW w:w="794" w:type="dxa"/>
          </w:tcPr>
          <w:p w14:paraId="0459A11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8 560</w:t>
            </w:r>
          </w:p>
        </w:tc>
        <w:tc>
          <w:tcPr>
            <w:tcW w:w="794" w:type="dxa"/>
          </w:tcPr>
          <w:p w14:paraId="7D84AF1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8 651</w:t>
            </w:r>
          </w:p>
        </w:tc>
      </w:tr>
      <w:tr w:rsidR="004135EE" w:rsidRPr="007A6251" w14:paraId="7179A824"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6E2418DB" w14:textId="77777777" w:rsidR="004135EE" w:rsidRDefault="004135EE" w:rsidP="005C5C20">
            <w:pPr>
              <w:spacing w:after="0"/>
            </w:pPr>
            <w:r>
              <w:rPr>
                <w:sz w:val="16"/>
              </w:rPr>
              <w:t>Treasury and Finance</w:t>
            </w:r>
            <w:r>
              <w:rPr>
                <w:sz w:val="16"/>
                <w:vertAlign w:val="superscript"/>
              </w:rPr>
              <w:t xml:space="preserve"> (a)</w:t>
            </w:r>
          </w:p>
        </w:tc>
        <w:tc>
          <w:tcPr>
            <w:tcW w:w="706" w:type="dxa"/>
          </w:tcPr>
          <w:p w14:paraId="79DA8E0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14 198</w:t>
            </w:r>
          </w:p>
        </w:tc>
        <w:tc>
          <w:tcPr>
            <w:tcW w:w="794" w:type="dxa"/>
          </w:tcPr>
          <w:p w14:paraId="5087A82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14 381</w:t>
            </w:r>
          </w:p>
        </w:tc>
        <w:tc>
          <w:tcPr>
            <w:tcW w:w="794" w:type="dxa"/>
          </w:tcPr>
          <w:p w14:paraId="7F4A41D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14 945</w:t>
            </w:r>
          </w:p>
        </w:tc>
        <w:tc>
          <w:tcPr>
            <w:tcW w:w="794" w:type="dxa"/>
          </w:tcPr>
          <w:p w14:paraId="5ECBFFD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16 286</w:t>
            </w:r>
          </w:p>
        </w:tc>
        <w:tc>
          <w:tcPr>
            <w:tcW w:w="794" w:type="dxa"/>
          </w:tcPr>
          <w:p w14:paraId="532299F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17 640</w:t>
            </w:r>
          </w:p>
        </w:tc>
      </w:tr>
      <w:tr w:rsidR="004135EE" w:rsidRPr="007A6251" w14:paraId="29B64633"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6334603E" w14:textId="77777777" w:rsidR="004135EE" w:rsidRDefault="004135EE" w:rsidP="005C5C20">
            <w:pPr>
              <w:spacing w:after="0"/>
            </w:pPr>
            <w:r>
              <w:rPr>
                <w:sz w:val="16"/>
              </w:rPr>
              <w:t>Parliament</w:t>
            </w:r>
          </w:p>
        </w:tc>
        <w:tc>
          <w:tcPr>
            <w:tcW w:w="706" w:type="dxa"/>
          </w:tcPr>
          <w:p w14:paraId="6B5D0B67"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381</w:t>
            </w:r>
          </w:p>
        </w:tc>
        <w:tc>
          <w:tcPr>
            <w:tcW w:w="794" w:type="dxa"/>
          </w:tcPr>
          <w:p w14:paraId="6B8B694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387</w:t>
            </w:r>
          </w:p>
        </w:tc>
        <w:tc>
          <w:tcPr>
            <w:tcW w:w="794" w:type="dxa"/>
          </w:tcPr>
          <w:p w14:paraId="5E53849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382</w:t>
            </w:r>
          </w:p>
        </w:tc>
        <w:tc>
          <w:tcPr>
            <w:tcW w:w="794" w:type="dxa"/>
          </w:tcPr>
          <w:p w14:paraId="45136C8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386</w:t>
            </w:r>
          </w:p>
        </w:tc>
        <w:tc>
          <w:tcPr>
            <w:tcW w:w="794" w:type="dxa"/>
          </w:tcPr>
          <w:p w14:paraId="15383E2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392</w:t>
            </w:r>
          </w:p>
        </w:tc>
      </w:tr>
      <w:tr w:rsidR="004135EE" w:rsidRPr="007A6251" w14:paraId="422A962C"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50AFE40C" w14:textId="77777777" w:rsidR="004135EE" w:rsidRDefault="004135EE" w:rsidP="005C5C20">
            <w:pPr>
              <w:spacing w:after="0"/>
            </w:pPr>
            <w:r>
              <w:rPr>
                <w:sz w:val="16"/>
              </w:rPr>
              <w:t>Courts</w:t>
            </w:r>
          </w:p>
        </w:tc>
        <w:tc>
          <w:tcPr>
            <w:tcW w:w="706" w:type="dxa"/>
          </w:tcPr>
          <w:p w14:paraId="06CC922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887</w:t>
            </w:r>
          </w:p>
        </w:tc>
        <w:tc>
          <w:tcPr>
            <w:tcW w:w="794" w:type="dxa"/>
          </w:tcPr>
          <w:p w14:paraId="71109ED0"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923</w:t>
            </w:r>
          </w:p>
        </w:tc>
        <w:tc>
          <w:tcPr>
            <w:tcW w:w="794" w:type="dxa"/>
          </w:tcPr>
          <w:p w14:paraId="25A982E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906</w:t>
            </w:r>
          </w:p>
        </w:tc>
        <w:tc>
          <w:tcPr>
            <w:tcW w:w="794" w:type="dxa"/>
          </w:tcPr>
          <w:p w14:paraId="7310B78E"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923</w:t>
            </w:r>
          </w:p>
        </w:tc>
        <w:tc>
          <w:tcPr>
            <w:tcW w:w="794" w:type="dxa"/>
          </w:tcPr>
          <w:p w14:paraId="635EAD4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867</w:t>
            </w:r>
          </w:p>
        </w:tc>
      </w:tr>
      <w:tr w:rsidR="004135EE" w:rsidRPr="007A6251" w14:paraId="45B5CCCD" w14:textId="77777777" w:rsidTr="008670FF">
        <w:tc>
          <w:tcPr>
            <w:cnfStyle w:val="001000000000" w:firstRow="0" w:lastRow="0" w:firstColumn="1" w:lastColumn="0" w:oddVBand="0" w:evenVBand="0" w:oddHBand="0" w:evenHBand="0" w:firstRowFirstColumn="0" w:firstRowLastColumn="0" w:lastRowFirstColumn="0" w:lastRowLastColumn="0"/>
            <w:tcW w:w="3828" w:type="dxa"/>
          </w:tcPr>
          <w:p w14:paraId="76CFE8DA" w14:textId="77777777" w:rsidR="004135EE" w:rsidRDefault="004135EE" w:rsidP="005C5C20">
            <w:pPr>
              <w:spacing w:after="0"/>
            </w:pPr>
            <w:r>
              <w:rPr>
                <w:sz w:val="16"/>
              </w:rPr>
              <w:t>Regulatory bodies and other part funded agencies</w:t>
            </w:r>
            <w:r>
              <w:rPr>
                <w:sz w:val="16"/>
                <w:vertAlign w:val="superscript"/>
              </w:rPr>
              <w:t xml:space="preserve"> (b)</w:t>
            </w:r>
          </w:p>
        </w:tc>
        <w:tc>
          <w:tcPr>
            <w:tcW w:w="706" w:type="dxa"/>
          </w:tcPr>
          <w:p w14:paraId="2124EF5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3 321</w:t>
            </w:r>
          </w:p>
        </w:tc>
        <w:tc>
          <w:tcPr>
            <w:tcW w:w="794" w:type="dxa"/>
          </w:tcPr>
          <w:p w14:paraId="20FF28C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3 633</w:t>
            </w:r>
          </w:p>
        </w:tc>
        <w:tc>
          <w:tcPr>
            <w:tcW w:w="794" w:type="dxa"/>
          </w:tcPr>
          <w:p w14:paraId="77CC7FB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3 197</w:t>
            </w:r>
          </w:p>
        </w:tc>
        <w:tc>
          <w:tcPr>
            <w:tcW w:w="794" w:type="dxa"/>
          </w:tcPr>
          <w:p w14:paraId="7B4D2B8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3 129</w:t>
            </w:r>
          </w:p>
        </w:tc>
        <w:tc>
          <w:tcPr>
            <w:tcW w:w="794" w:type="dxa"/>
          </w:tcPr>
          <w:p w14:paraId="5A8BF152"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3 125</w:t>
            </w:r>
          </w:p>
        </w:tc>
      </w:tr>
      <w:tr w:rsidR="004135EE" w:rsidRPr="007A6251" w14:paraId="7BDF54B2" w14:textId="77777777" w:rsidTr="008670FF">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6A7EB188" w14:textId="77777777" w:rsidR="004135EE" w:rsidRDefault="004135EE" w:rsidP="005C5C20">
            <w:pPr>
              <w:spacing w:after="0"/>
            </w:pPr>
            <w:r>
              <w:rPr>
                <w:sz w:val="16"/>
              </w:rPr>
              <w:t>Output contingencies not allocated to departments</w:t>
            </w:r>
            <w:r>
              <w:rPr>
                <w:sz w:val="16"/>
                <w:vertAlign w:val="superscript"/>
              </w:rPr>
              <w:t xml:space="preserve"> (c)</w:t>
            </w:r>
          </w:p>
        </w:tc>
        <w:tc>
          <w:tcPr>
            <w:tcW w:w="706" w:type="dxa"/>
            <w:tcBorders>
              <w:bottom w:val="single" w:sz="6" w:space="0" w:color="auto"/>
            </w:tcBorders>
          </w:tcPr>
          <w:p w14:paraId="196D9F2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5 379</w:t>
            </w:r>
          </w:p>
        </w:tc>
        <w:tc>
          <w:tcPr>
            <w:tcW w:w="794" w:type="dxa"/>
            <w:tcBorders>
              <w:bottom w:val="single" w:sz="6" w:space="0" w:color="auto"/>
            </w:tcBorders>
          </w:tcPr>
          <w:p w14:paraId="1D8042F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3 171</w:t>
            </w:r>
          </w:p>
        </w:tc>
        <w:tc>
          <w:tcPr>
            <w:tcW w:w="794" w:type="dxa"/>
            <w:tcBorders>
              <w:bottom w:val="single" w:sz="6" w:space="0" w:color="auto"/>
            </w:tcBorders>
          </w:tcPr>
          <w:p w14:paraId="5C969BE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7 152</w:t>
            </w:r>
          </w:p>
        </w:tc>
        <w:tc>
          <w:tcPr>
            <w:tcW w:w="794" w:type="dxa"/>
            <w:tcBorders>
              <w:bottom w:val="single" w:sz="6" w:space="0" w:color="auto"/>
            </w:tcBorders>
          </w:tcPr>
          <w:p w14:paraId="18E6FAE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10 619</w:t>
            </w:r>
          </w:p>
        </w:tc>
        <w:tc>
          <w:tcPr>
            <w:tcW w:w="794" w:type="dxa"/>
            <w:tcBorders>
              <w:bottom w:val="single" w:sz="6" w:space="0" w:color="auto"/>
            </w:tcBorders>
          </w:tcPr>
          <w:p w14:paraId="7033520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sz w:val="16"/>
              </w:rPr>
              <w:t>12 255</w:t>
            </w:r>
          </w:p>
        </w:tc>
      </w:tr>
      <w:tr w:rsidR="004135EE" w:rsidRPr="007A6251" w14:paraId="569AC47A" w14:textId="77777777" w:rsidTr="008670FF">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41C135A9" w14:textId="77777777" w:rsidR="004135EE" w:rsidRDefault="004135EE" w:rsidP="005C5C20">
            <w:pPr>
              <w:spacing w:after="0"/>
            </w:pPr>
            <w:r>
              <w:rPr>
                <w:b/>
                <w:sz w:val="16"/>
              </w:rPr>
              <w:t>Total expenses by department</w:t>
            </w:r>
          </w:p>
        </w:tc>
        <w:tc>
          <w:tcPr>
            <w:tcW w:w="706" w:type="dxa"/>
            <w:tcBorders>
              <w:top w:val="single" w:sz="6" w:space="0" w:color="auto"/>
            </w:tcBorders>
          </w:tcPr>
          <w:p w14:paraId="2C347E1F"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110 653</w:t>
            </w:r>
          </w:p>
        </w:tc>
        <w:tc>
          <w:tcPr>
            <w:tcW w:w="794" w:type="dxa"/>
            <w:tcBorders>
              <w:top w:val="single" w:sz="6" w:space="0" w:color="auto"/>
            </w:tcBorders>
          </w:tcPr>
          <w:p w14:paraId="74D72A0C"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116 146</w:t>
            </w:r>
          </w:p>
        </w:tc>
        <w:tc>
          <w:tcPr>
            <w:tcW w:w="794" w:type="dxa"/>
            <w:tcBorders>
              <w:top w:val="single" w:sz="6" w:space="0" w:color="auto"/>
            </w:tcBorders>
          </w:tcPr>
          <w:p w14:paraId="7D7516C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114 388</w:t>
            </w:r>
          </w:p>
        </w:tc>
        <w:tc>
          <w:tcPr>
            <w:tcW w:w="794" w:type="dxa"/>
            <w:tcBorders>
              <w:top w:val="single" w:sz="6" w:space="0" w:color="auto"/>
            </w:tcBorders>
          </w:tcPr>
          <w:p w14:paraId="0FF8ADD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117 832</w:t>
            </w:r>
          </w:p>
        </w:tc>
        <w:tc>
          <w:tcPr>
            <w:tcW w:w="794" w:type="dxa"/>
            <w:tcBorders>
              <w:top w:val="single" w:sz="6" w:space="0" w:color="auto"/>
            </w:tcBorders>
          </w:tcPr>
          <w:p w14:paraId="5231ABDB"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120 613</w:t>
            </w:r>
          </w:p>
        </w:tc>
      </w:tr>
      <w:tr w:rsidR="004135EE" w:rsidRPr="007A6251" w14:paraId="1841E4DA" w14:textId="77777777" w:rsidTr="008670FF">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0A7066F2" w14:textId="77777777" w:rsidR="004135EE" w:rsidRDefault="004135EE" w:rsidP="005C5C20">
            <w:pPr>
              <w:spacing w:after="0"/>
            </w:pPr>
            <w:r>
              <w:rPr>
                <w:i/>
                <w:sz w:val="16"/>
              </w:rPr>
              <w:t>Less eliminations and adjustments</w:t>
            </w:r>
            <w:r>
              <w:rPr>
                <w:i/>
                <w:sz w:val="16"/>
                <w:vertAlign w:val="superscript"/>
              </w:rPr>
              <w:t xml:space="preserve"> (d)</w:t>
            </w:r>
          </w:p>
        </w:tc>
        <w:tc>
          <w:tcPr>
            <w:tcW w:w="706" w:type="dxa"/>
            <w:tcBorders>
              <w:bottom w:val="single" w:sz="6" w:space="0" w:color="auto"/>
            </w:tcBorders>
          </w:tcPr>
          <w:p w14:paraId="152A179A"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i/>
                <w:sz w:val="16"/>
              </w:rPr>
              <w:t>(12 378)</w:t>
            </w:r>
          </w:p>
        </w:tc>
        <w:tc>
          <w:tcPr>
            <w:tcW w:w="794" w:type="dxa"/>
            <w:tcBorders>
              <w:bottom w:val="single" w:sz="6" w:space="0" w:color="auto"/>
            </w:tcBorders>
          </w:tcPr>
          <w:p w14:paraId="0AD81F94"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i/>
                <w:sz w:val="16"/>
              </w:rPr>
              <w:t>(14 493)</w:t>
            </w:r>
          </w:p>
        </w:tc>
        <w:tc>
          <w:tcPr>
            <w:tcW w:w="794" w:type="dxa"/>
            <w:tcBorders>
              <w:bottom w:val="single" w:sz="6" w:space="0" w:color="auto"/>
            </w:tcBorders>
          </w:tcPr>
          <w:p w14:paraId="20401FD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i/>
                <w:sz w:val="16"/>
              </w:rPr>
              <w:t>(12 541)</w:t>
            </w:r>
          </w:p>
        </w:tc>
        <w:tc>
          <w:tcPr>
            <w:tcW w:w="794" w:type="dxa"/>
            <w:tcBorders>
              <w:bottom w:val="single" w:sz="6" w:space="0" w:color="auto"/>
            </w:tcBorders>
          </w:tcPr>
          <w:p w14:paraId="571197D3"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i/>
                <w:sz w:val="16"/>
              </w:rPr>
              <w:t>(12 514)</w:t>
            </w:r>
          </w:p>
        </w:tc>
        <w:tc>
          <w:tcPr>
            <w:tcW w:w="794" w:type="dxa"/>
            <w:tcBorders>
              <w:bottom w:val="single" w:sz="6" w:space="0" w:color="auto"/>
            </w:tcBorders>
          </w:tcPr>
          <w:p w14:paraId="58FA6001"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i/>
                <w:sz w:val="16"/>
              </w:rPr>
              <w:t>(12 203)</w:t>
            </w:r>
          </w:p>
        </w:tc>
      </w:tr>
      <w:tr w:rsidR="004135EE" w:rsidRPr="007A6251" w14:paraId="47537EE7" w14:textId="77777777" w:rsidTr="008670FF">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14:paraId="32F5348C" w14:textId="77777777" w:rsidR="004135EE" w:rsidRDefault="004135EE" w:rsidP="005C5C20">
            <w:pPr>
              <w:spacing w:after="0"/>
            </w:pPr>
            <w:r>
              <w:rPr>
                <w:b/>
                <w:sz w:val="16"/>
              </w:rPr>
              <w:t>Total expenses from transactions</w:t>
            </w:r>
          </w:p>
        </w:tc>
        <w:tc>
          <w:tcPr>
            <w:tcW w:w="706" w:type="dxa"/>
            <w:tcBorders>
              <w:top w:val="single" w:sz="6" w:space="0" w:color="auto"/>
              <w:bottom w:val="single" w:sz="12" w:space="0" w:color="auto"/>
            </w:tcBorders>
          </w:tcPr>
          <w:p w14:paraId="03ED9EED"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98 276</w:t>
            </w:r>
          </w:p>
        </w:tc>
        <w:tc>
          <w:tcPr>
            <w:tcW w:w="794" w:type="dxa"/>
            <w:tcBorders>
              <w:top w:val="single" w:sz="6" w:space="0" w:color="auto"/>
              <w:bottom w:val="single" w:sz="12" w:space="0" w:color="auto"/>
            </w:tcBorders>
          </w:tcPr>
          <w:p w14:paraId="4DF6A930"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101 653</w:t>
            </w:r>
          </w:p>
        </w:tc>
        <w:tc>
          <w:tcPr>
            <w:tcW w:w="794" w:type="dxa"/>
            <w:tcBorders>
              <w:top w:val="single" w:sz="6" w:space="0" w:color="auto"/>
              <w:bottom w:val="single" w:sz="12" w:space="0" w:color="auto"/>
            </w:tcBorders>
          </w:tcPr>
          <w:p w14:paraId="0AC56E0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101 847</w:t>
            </w:r>
          </w:p>
        </w:tc>
        <w:tc>
          <w:tcPr>
            <w:tcW w:w="794" w:type="dxa"/>
            <w:tcBorders>
              <w:top w:val="single" w:sz="6" w:space="0" w:color="auto"/>
              <w:bottom w:val="single" w:sz="12" w:space="0" w:color="auto"/>
            </w:tcBorders>
          </w:tcPr>
          <w:p w14:paraId="531AE958"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105 318</w:t>
            </w:r>
          </w:p>
        </w:tc>
        <w:tc>
          <w:tcPr>
            <w:tcW w:w="794" w:type="dxa"/>
            <w:tcBorders>
              <w:top w:val="single" w:sz="6" w:space="0" w:color="auto"/>
              <w:bottom w:val="single" w:sz="12" w:space="0" w:color="auto"/>
            </w:tcBorders>
          </w:tcPr>
          <w:p w14:paraId="4A76B6E6" w14:textId="77777777" w:rsidR="004135EE" w:rsidRDefault="004135EE" w:rsidP="005C5C20">
            <w:pPr>
              <w:spacing w:after="0"/>
              <w:cnfStyle w:val="000000000000" w:firstRow="0" w:lastRow="0" w:firstColumn="0" w:lastColumn="0" w:oddVBand="0" w:evenVBand="0" w:oddHBand="0" w:evenHBand="0" w:firstRowFirstColumn="0" w:firstRowLastColumn="0" w:lastRowFirstColumn="0" w:lastRowLastColumn="0"/>
            </w:pPr>
            <w:r>
              <w:rPr>
                <w:b/>
                <w:sz w:val="16"/>
              </w:rPr>
              <w:t>108 410</w:t>
            </w:r>
          </w:p>
        </w:tc>
      </w:tr>
    </w:tbl>
    <w:p w14:paraId="69384C97" w14:textId="77777777" w:rsidR="004135EE" w:rsidRPr="00057F58" w:rsidRDefault="004135EE" w:rsidP="004135EE">
      <w:pPr>
        <w:pStyle w:val="Note"/>
      </w:pPr>
      <w:r>
        <w:t>Notes:</w:t>
      </w:r>
    </w:p>
    <w:p w14:paraId="2FDF338B" w14:textId="77777777" w:rsidR="004135EE" w:rsidRDefault="004135EE" w:rsidP="004135EE">
      <w:pPr>
        <w:pStyle w:val="Note"/>
      </w:pPr>
      <w:r>
        <w:t>(a)</w:t>
      </w:r>
      <w:r>
        <w:tab/>
        <w:t>The increase over the forward estimates is primarily driven by an increase in interest expense associated with the increase in borrowings over the forward estimates.</w:t>
      </w:r>
    </w:p>
    <w:p w14:paraId="20C92A8C" w14:textId="77777777" w:rsidR="004135EE" w:rsidRDefault="004135EE" w:rsidP="004135EE">
      <w:pPr>
        <w:pStyle w:val="Note"/>
      </w:pPr>
      <w:r>
        <w:t>(b)</w:t>
      </w:r>
      <w:r>
        <w:tab/>
        <w:t>Other general government sector agencies not allocated to departmental portfolios.</w:t>
      </w:r>
    </w:p>
    <w:p w14:paraId="60720889" w14:textId="77777777" w:rsidR="004135EE" w:rsidRDefault="004135EE" w:rsidP="004135EE">
      <w:pPr>
        <w:pStyle w:val="Note"/>
      </w:pPr>
      <w:r>
        <w:t>(c)</w:t>
      </w:r>
      <w:r>
        <w:tab/>
        <w:t>The following table provides a breakdown of the general government output contingencies not allocated to departments.</w:t>
      </w:r>
    </w:p>
    <w:p w14:paraId="11BE5B25" w14:textId="77777777" w:rsidR="004135EE" w:rsidRDefault="004135EE" w:rsidP="004135EE">
      <w:pPr>
        <w:pStyle w:val="Note"/>
      </w:pPr>
      <w:r>
        <w:t>(d)</w:t>
      </w:r>
      <w:r>
        <w:tab/>
        <w:t>Mainly payroll tax</w:t>
      </w:r>
      <w:r w:rsidRPr="004C1B44">
        <w:t xml:space="preserve"> (including the COVID Debt Levy – Payroll $10m+), the mental health and wellbeing levy</w:t>
      </w:r>
      <w:r>
        <w:t>, departmental underspend estimates and inter</w:t>
      </w:r>
      <w:r>
        <w:noBreakHyphen/>
        <w:t>departmental transfers.</w:t>
      </w:r>
    </w:p>
    <w:p w14:paraId="4EBB5915" w14:textId="77777777" w:rsidR="004135EE" w:rsidRDefault="004135EE" w:rsidP="005C5C20">
      <w:pPr>
        <w:pStyle w:val="TableHeading"/>
      </w:pPr>
      <w:r w:rsidRPr="004D1DC3">
        <w:t>General government output contingencies not allocated to departments</w:t>
      </w:r>
      <w:r>
        <w:t xml:space="preserve"> </w:t>
      </w:r>
      <w:r>
        <w:rPr>
          <w:vertAlign w:val="superscript"/>
        </w:rPr>
        <w:t>(a)</w:t>
      </w:r>
      <w:r w:rsidRPr="004D1DC3">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Output_contingencies|MergedHeadingRow:1"/>
      </w:tblPr>
      <w:tblGrid>
        <w:gridCol w:w="3740"/>
        <w:gridCol w:w="794"/>
        <w:gridCol w:w="794"/>
        <w:gridCol w:w="794"/>
        <w:gridCol w:w="794"/>
        <w:gridCol w:w="794"/>
      </w:tblGrid>
      <w:tr w:rsidR="004135EE" w14:paraId="64F8BC3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4554EC7" w14:textId="77777777" w:rsidR="004135EE" w:rsidRDefault="004135EE" w:rsidP="008670FF">
            <w:pPr>
              <w:keepNext/>
            </w:pPr>
          </w:p>
        </w:tc>
        <w:tc>
          <w:tcPr>
            <w:tcW w:w="794" w:type="dxa"/>
          </w:tcPr>
          <w:p w14:paraId="57BBDB1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5CD1076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5A15D28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123A9CA0"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6D976B3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0F49749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559CD2B" w14:textId="77777777" w:rsidR="004135EE" w:rsidRDefault="004135EE" w:rsidP="008670FF">
            <w:r>
              <w:t>Decisions made but not yet allocated</w:t>
            </w:r>
            <w:r>
              <w:rPr>
                <w:vertAlign w:val="superscript"/>
              </w:rPr>
              <w:t xml:space="preserve"> (b)</w:t>
            </w:r>
          </w:p>
        </w:tc>
        <w:tc>
          <w:tcPr>
            <w:tcW w:w="794" w:type="dxa"/>
          </w:tcPr>
          <w:p w14:paraId="5120CB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5 279</w:t>
            </w:r>
          </w:p>
        </w:tc>
        <w:tc>
          <w:tcPr>
            <w:tcW w:w="794" w:type="dxa"/>
          </w:tcPr>
          <w:p w14:paraId="721D89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3 071</w:t>
            </w:r>
          </w:p>
        </w:tc>
        <w:tc>
          <w:tcPr>
            <w:tcW w:w="794" w:type="dxa"/>
          </w:tcPr>
          <w:p w14:paraId="721EBBC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6 752</w:t>
            </w:r>
          </w:p>
        </w:tc>
        <w:tc>
          <w:tcPr>
            <w:tcW w:w="794" w:type="dxa"/>
          </w:tcPr>
          <w:p w14:paraId="201724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9 819</w:t>
            </w:r>
          </w:p>
        </w:tc>
        <w:tc>
          <w:tcPr>
            <w:tcW w:w="794" w:type="dxa"/>
          </w:tcPr>
          <w:p w14:paraId="32D0CC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11 055</w:t>
            </w:r>
          </w:p>
        </w:tc>
      </w:tr>
      <w:tr w:rsidR="004135EE" w14:paraId="01173F2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009EFD1" w14:textId="77777777" w:rsidR="004135EE" w:rsidRDefault="004135EE" w:rsidP="008670FF">
            <w:r>
              <w:t>Funding not allocated to specific purposes</w:t>
            </w:r>
            <w:r>
              <w:rPr>
                <w:vertAlign w:val="superscript"/>
              </w:rPr>
              <w:t xml:space="preserve"> (c)</w:t>
            </w:r>
          </w:p>
        </w:tc>
        <w:tc>
          <w:tcPr>
            <w:tcW w:w="794" w:type="dxa"/>
            <w:tcBorders>
              <w:bottom w:val="single" w:sz="6" w:space="0" w:color="auto"/>
            </w:tcBorders>
          </w:tcPr>
          <w:p w14:paraId="6841D2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402923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100</w:t>
            </w:r>
          </w:p>
        </w:tc>
        <w:tc>
          <w:tcPr>
            <w:tcW w:w="794" w:type="dxa"/>
            <w:tcBorders>
              <w:bottom w:val="single" w:sz="6" w:space="0" w:color="auto"/>
            </w:tcBorders>
          </w:tcPr>
          <w:p w14:paraId="05502B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400</w:t>
            </w:r>
          </w:p>
        </w:tc>
        <w:tc>
          <w:tcPr>
            <w:tcW w:w="794" w:type="dxa"/>
            <w:tcBorders>
              <w:bottom w:val="single" w:sz="6" w:space="0" w:color="auto"/>
            </w:tcBorders>
          </w:tcPr>
          <w:p w14:paraId="6FADEC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800</w:t>
            </w:r>
          </w:p>
        </w:tc>
        <w:tc>
          <w:tcPr>
            <w:tcW w:w="794" w:type="dxa"/>
            <w:tcBorders>
              <w:bottom w:val="single" w:sz="6" w:space="0" w:color="auto"/>
            </w:tcBorders>
          </w:tcPr>
          <w:p w14:paraId="7E6198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1 200</w:t>
            </w:r>
          </w:p>
        </w:tc>
      </w:tr>
      <w:tr w:rsidR="004135EE" w14:paraId="636DA53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3DD8D8E" w14:textId="77777777" w:rsidR="004135EE" w:rsidRDefault="004135EE" w:rsidP="008670FF">
            <w:r>
              <w:rPr>
                <w:b/>
              </w:rPr>
              <w:t>Total general government output contingencies</w:t>
            </w:r>
          </w:p>
        </w:tc>
        <w:tc>
          <w:tcPr>
            <w:tcW w:w="794" w:type="dxa"/>
            <w:tcBorders>
              <w:top w:val="single" w:sz="6" w:space="0" w:color="auto"/>
              <w:bottom w:val="single" w:sz="12" w:space="0" w:color="auto"/>
            </w:tcBorders>
          </w:tcPr>
          <w:p w14:paraId="158C86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5 379</w:t>
            </w:r>
          </w:p>
        </w:tc>
        <w:tc>
          <w:tcPr>
            <w:tcW w:w="794" w:type="dxa"/>
            <w:tcBorders>
              <w:top w:val="single" w:sz="6" w:space="0" w:color="auto"/>
              <w:bottom w:val="single" w:sz="12" w:space="0" w:color="auto"/>
            </w:tcBorders>
          </w:tcPr>
          <w:p w14:paraId="4B01B9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3 171</w:t>
            </w:r>
          </w:p>
        </w:tc>
        <w:tc>
          <w:tcPr>
            <w:tcW w:w="794" w:type="dxa"/>
            <w:tcBorders>
              <w:top w:val="single" w:sz="6" w:space="0" w:color="auto"/>
              <w:bottom w:val="single" w:sz="12" w:space="0" w:color="auto"/>
            </w:tcBorders>
          </w:tcPr>
          <w:p w14:paraId="1C32D7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7 152</w:t>
            </w:r>
          </w:p>
        </w:tc>
        <w:tc>
          <w:tcPr>
            <w:tcW w:w="794" w:type="dxa"/>
            <w:tcBorders>
              <w:top w:val="single" w:sz="6" w:space="0" w:color="auto"/>
              <w:bottom w:val="single" w:sz="12" w:space="0" w:color="auto"/>
            </w:tcBorders>
          </w:tcPr>
          <w:p w14:paraId="658D81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10 619</w:t>
            </w:r>
          </w:p>
        </w:tc>
        <w:tc>
          <w:tcPr>
            <w:tcW w:w="794" w:type="dxa"/>
            <w:tcBorders>
              <w:top w:val="single" w:sz="6" w:space="0" w:color="auto"/>
              <w:bottom w:val="single" w:sz="12" w:space="0" w:color="auto"/>
            </w:tcBorders>
          </w:tcPr>
          <w:p w14:paraId="009EB4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12 255</w:t>
            </w:r>
          </w:p>
        </w:tc>
      </w:tr>
    </w:tbl>
    <w:p w14:paraId="00674689" w14:textId="77777777" w:rsidR="004135EE" w:rsidRPr="00DA1FBC" w:rsidRDefault="004135EE" w:rsidP="004135EE">
      <w:pPr>
        <w:pStyle w:val="Note"/>
      </w:pPr>
      <w:r w:rsidRPr="00DA1FBC">
        <w:t>Notes:</w:t>
      </w:r>
    </w:p>
    <w:p w14:paraId="1509ACC5" w14:textId="77777777" w:rsidR="004135EE" w:rsidRPr="00DA1FBC" w:rsidRDefault="004135EE" w:rsidP="004135EE">
      <w:pPr>
        <w:pStyle w:val="Note"/>
      </w:pPr>
      <w:r w:rsidRPr="00DA1FBC">
        <w:t>(a)</w:t>
      </w:r>
      <w:r w:rsidRPr="00DA1FBC">
        <w:tab/>
      </w:r>
      <w:r>
        <w:t>The general government output contingencies have primarily been allocated proportionally across the relevant expense lines in the operating statement.</w:t>
      </w:r>
    </w:p>
    <w:p w14:paraId="2F35C17C" w14:textId="77777777" w:rsidR="004135EE" w:rsidRDefault="004135EE" w:rsidP="004135EE">
      <w:pPr>
        <w:pStyle w:val="Note"/>
      </w:pPr>
      <w:r w:rsidRPr="00DA1FBC">
        <w:t>(b)</w:t>
      </w:r>
      <w:r w:rsidRPr="00DA1FBC">
        <w:tab/>
      </w:r>
      <w:r>
        <w:t xml:space="preserve">Reflects existing government policy decisions for which funding has yet to be allocated to various departments such as health, education, transport, and justice. It also includes provisions not yet allocated to meet additional price and demand growth for health, disability, and education. </w:t>
      </w:r>
    </w:p>
    <w:p w14:paraId="3C4C7191" w14:textId="77777777" w:rsidR="004135EE" w:rsidRDefault="004135EE" w:rsidP="004135EE">
      <w:pPr>
        <w:pStyle w:val="Note"/>
      </w:pPr>
      <w:r>
        <w:t>(c)</w:t>
      </w:r>
      <w:r>
        <w:tab/>
      </w:r>
      <w:r w:rsidRPr="00DA1FBC">
        <w:t>An unallocated provision available to contribute to future government policy decisions and commitments.</w:t>
      </w:r>
    </w:p>
    <w:p w14:paraId="5BADAA94" w14:textId="77777777" w:rsidR="004135EE" w:rsidRPr="00DA1FBC" w:rsidRDefault="004135EE" w:rsidP="004135EE"/>
    <w:p w14:paraId="3075E6FA" w14:textId="77777777" w:rsidR="004135EE" w:rsidRPr="000404D2" w:rsidRDefault="004135EE" w:rsidP="004135EE">
      <w:pPr>
        <w:pStyle w:val="Heading30"/>
        <w:pageBreakBefore/>
      </w:pPr>
      <w:bookmarkStart w:id="104" w:name="_Toc149221033"/>
      <w:bookmarkStart w:id="105" w:name="_Toc184299100"/>
      <w:r>
        <w:t>4.3.8</w:t>
      </w:r>
      <w:r>
        <w:tab/>
      </w:r>
      <w:r w:rsidRPr="000404D2">
        <w:t>Purchases of non</w:t>
      </w:r>
      <w:r>
        <w:noBreakHyphen/>
      </w:r>
      <w:r w:rsidRPr="000404D2">
        <w:t xml:space="preserve">financial assets by </w:t>
      </w:r>
      <w:r>
        <w:t xml:space="preserve">COFOG </w:t>
      </w:r>
      <w:r w:rsidRPr="000404D2">
        <w:t>and by portfolio department</w:t>
      </w:r>
      <w:bookmarkEnd w:id="104"/>
      <w:bookmarkEnd w:id="105"/>
    </w:p>
    <w:p w14:paraId="362ADE49" w14:textId="77777777" w:rsidR="004135EE" w:rsidRDefault="004135EE" w:rsidP="005C5C20">
      <w:pPr>
        <w:pStyle w:val="TableHeading"/>
      </w:pPr>
      <w:r>
        <w:t>Purchases of non</w:t>
      </w:r>
      <w:r>
        <w:noBreakHyphen/>
        <w:t xml:space="preserve">financial assets by classification of the functions of government </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PNFA_COFOG|MergedHeadingRow:1"/>
      </w:tblPr>
      <w:tblGrid>
        <w:gridCol w:w="3740"/>
        <w:gridCol w:w="794"/>
        <w:gridCol w:w="794"/>
        <w:gridCol w:w="794"/>
        <w:gridCol w:w="794"/>
        <w:gridCol w:w="794"/>
      </w:tblGrid>
      <w:tr w:rsidR="004135EE" w14:paraId="745F1785"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59E6BB7" w14:textId="77777777" w:rsidR="004135EE" w:rsidRDefault="004135EE" w:rsidP="008670FF">
            <w:pPr>
              <w:keepNext/>
            </w:pPr>
          </w:p>
        </w:tc>
        <w:tc>
          <w:tcPr>
            <w:tcW w:w="794" w:type="dxa"/>
          </w:tcPr>
          <w:p w14:paraId="4997131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3C50BE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7965E0D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46EE4E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D51560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1A9D713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F16519C" w14:textId="77777777" w:rsidR="004135EE" w:rsidRDefault="004135EE" w:rsidP="008670FF">
            <w:r>
              <w:t>General public services</w:t>
            </w:r>
          </w:p>
        </w:tc>
        <w:tc>
          <w:tcPr>
            <w:tcW w:w="794" w:type="dxa"/>
          </w:tcPr>
          <w:p w14:paraId="1645B7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132</w:t>
            </w:r>
          </w:p>
        </w:tc>
        <w:tc>
          <w:tcPr>
            <w:tcW w:w="794" w:type="dxa"/>
          </w:tcPr>
          <w:p w14:paraId="0B8E03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126</w:t>
            </w:r>
          </w:p>
        </w:tc>
        <w:tc>
          <w:tcPr>
            <w:tcW w:w="794" w:type="dxa"/>
          </w:tcPr>
          <w:p w14:paraId="6226B2D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132</w:t>
            </w:r>
          </w:p>
        </w:tc>
        <w:tc>
          <w:tcPr>
            <w:tcW w:w="794" w:type="dxa"/>
          </w:tcPr>
          <w:p w14:paraId="01A86D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112</w:t>
            </w:r>
          </w:p>
        </w:tc>
        <w:tc>
          <w:tcPr>
            <w:tcW w:w="794" w:type="dxa"/>
          </w:tcPr>
          <w:p w14:paraId="357312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97</w:t>
            </w:r>
          </w:p>
        </w:tc>
      </w:tr>
      <w:tr w:rsidR="004135EE" w14:paraId="78556E4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50C428A" w14:textId="77777777" w:rsidR="004135EE" w:rsidRDefault="004135EE" w:rsidP="008670FF">
            <w:r>
              <w:t>Public order and safety</w:t>
            </w:r>
          </w:p>
        </w:tc>
        <w:tc>
          <w:tcPr>
            <w:tcW w:w="794" w:type="dxa"/>
          </w:tcPr>
          <w:p w14:paraId="626164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1 114</w:t>
            </w:r>
          </w:p>
        </w:tc>
        <w:tc>
          <w:tcPr>
            <w:tcW w:w="794" w:type="dxa"/>
          </w:tcPr>
          <w:p w14:paraId="4D5A51F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1 217</w:t>
            </w:r>
          </w:p>
        </w:tc>
        <w:tc>
          <w:tcPr>
            <w:tcW w:w="794" w:type="dxa"/>
          </w:tcPr>
          <w:p w14:paraId="1D06DF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466</w:t>
            </w:r>
          </w:p>
        </w:tc>
        <w:tc>
          <w:tcPr>
            <w:tcW w:w="794" w:type="dxa"/>
          </w:tcPr>
          <w:p w14:paraId="2BB32D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271</w:t>
            </w:r>
          </w:p>
        </w:tc>
        <w:tc>
          <w:tcPr>
            <w:tcW w:w="794" w:type="dxa"/>
          </w:tcPr>
          <w:p w14:paraId="13EFF9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243</w:t>
            </w:r>
          </w:p>
        </w:tc>
      </w:tr>
      <w:tr w:rsidR="004135EE" w14:paraId="72C77E5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0750CDD" w14:textId="77777777" w:rsidR="004135EE" w:rsidRDefault="004135EE" w:rsidP="008670FF">
            <w:r>
              <w:t>Economic affairs</w:t>
            </w:r>
          </w:p>
        </w:tc>
        <w:tc>
          <w:tcPr>
            <w:tcW w:w="794" w:type="dxa"/>
          </w:tcPr>
          <w:p w14:paraId="257B37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134</w:t>
            </w:r>
          </w:p>
        </w:tc>
        <w:tc>
          <w:tcPr>
            <w:tcW w:w="794" w:type="dxa"/>
          </w:tcPr>
          <w:p w14:paraId="02FBD3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181</w:t>
            </w:r>
          </w:p>
        </w:tc>
        <w:tc>
          <w:tcPr>
            <w:tcW w:w="794" w:type="dxa"/>
          </w:tcPr>
          <w:p w14:paraId="11ECC7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97</w:t>
            </w:r>
          </w:p>
        </w:tc>
        <w:tc>
          <w:tcPr>
            <w:tcW w:w="794" w:type="dxa"/>
          </w:tcPr>
          <w:p w14:paraId="43BE8D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86</w:t>
            </w:r>
          </w:p>
        </w:tc>
        <w:tc>
          <w:tcPr>
            <w:tcW w:w="794" w:type="dxa"/>
          </w:tcPr>
          <w:p w14:paraId="004F06E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w:t>
            </w:r>
          </w:p>
        </w:tc>
      </w:tr>
      <w:tr w:rsidR="004135EE" w14:paraId="1934A97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A45B314" w14:textId="77777777" w:rsidR="004135EE" w:rsidRDefault="004135EE" w:rsidP="008670FF">
            <w:r>
              <w:t>Environmental protection</w:t>
            </w:r>
          </w:p>
        </w:tc>
        <w:tc>
          <w:tcPr>
            <w:tcW w:w="794" w:type="dxa"/>
          </w:tcPr>
          <w:p w14:paraId="0EF403C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278</w:t>
            </w:r>
          </w:p>
        </w:tc>
        <w:tc>
          <w:tcPr>
            <w:tcW w:w="794" w:type="dxa"/>
          </w:tcPr>
          <w:p w14:paraId="42417F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242</w:t>
            </w:r>
          </w:p>
        </w:tc>
        <w:tc>
          <w:tcPr>
            <w:tcW w:w="794" w:type="dxa"/>
          </w:tcPr>
          <w:p w14:paraId="65D555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166</w:t>
            </w:r>
          </w:p>
        </w:tc>
        <w:tc>
          <w:tcPr>
            <w:tcW w:w="794" w:type="dxa"/>
          </w:tcPr>
          <w:p w14:paraId="442BD4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121</w:t>
            </w:r>
          </w:p>
        </w:tc>
        <w:tc>
          <w:tcPr>
            <w:tcW w:w="794" w:type="dxa"/>
          </w:tcPr>
          <w:p w14:paraId="608995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w:t>
            </w:r>
          </w:p>
        </w:tc>
      </w:tr>
      <w:tr w:rsidR="004135EE" w14:paraId="2D8F3FA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4562468" w14:textId="77777777" w:rsidR="004135EE" w:rsidRDefault="004135EE" w:rsidP="008670FF">
            <w:r>
              <w:t>Housing and community amenities</w:t>
            </w:r>
          </w:p>
        </w:tc>
        <w:tc>
          <w:tcPr>
            <w:tcW w:w="794" w:type="dxa"/>
          </w:tcPr>
          <w:p w14:paraId="47BF6C0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79</w:t>
            </w:r>
          </w:p>
        </w:tc>
        <w:tc>
          <w:tcPr>
            <w:tcW w:w="794" w:type="dxa"/>
          </w:tcPr>
          <w:p w14:paraId="159FC5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76</w:t>
            </w:r>
          </w:p>
        </w:tc>
        <w:tc>
          <w:tcPr>
            <w:tcW w:w="794" w:type="dxa"/>
          </w:tcPr>
          <w:p w14:paraId="2D5BFC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3CE555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451ABB4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w:t>
            </w:r>
          </w:p>
        </w:tc>
      </w:tr>
      <w:tr w:rsidR="004135EE" w14:paraId="361DA23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B8AA21E" w14:textId="77777777" w:rsidR="004135EE" w:rsidRDefault="004135EE" w:rsidP="008670FF">
            <w:r>
              <w:t>Health</w:t>
            </w:r>
          </w:p>
        </w:tc>
        <w:tc>
          <w:tcPr>
            <w:tcW w:w="794" w:type="dxa"/>
          </w:tcPr>
          <w:p w14:paraId="407A43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2 608</w:t>
            </w:r>
          </w:p>
        </w:tc>
        <w:tc>
          <w:tcPr>
            <w:tcW w:w="794" w:type="dxa"/>
          </w:tcPr>
          <w:p w14:paraId="2D82F1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2 303</w:t>
            </w:r>
          </w:p>
        </w:tc>
        <w:tc>
          <w:tcPr>
            <w:tcW w:w="794" w:type="dxa"/>
          </w:tcPr>
          <w:p w14:paraId="136B476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2 077</w:t>
            </w:r>
          </w:p>
        </w:tc>
        <w:tc>
          <w:tcPr>
            <w:tcW w:w="794" w:type="dxa"/>
          </w:tcPr>
          <w:p w14:paraId="15A019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1 349</w:t>
            </w:r>
          </w:p>
        </w:tc>
        <w:tc>
          <w:tcPr>
            <w:tcW w:w="794" w:type="dxa"/>
          </w:tcPr>
          <w:p w14:paraId="39EC37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1 150</w:t>
            </w:r>
          </w:p>
        </w:tc>
      </w:tr>
      <w:tr w:rsidR="004135EE" w14:paraId="670BFF5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9E47285" w14:textId="77777777" w:rsidR="004135EE" w:rsidRDefault="004135EE" w:rsidP="008670FF">
            <w:r>
              <w:t>Recreation, culture and religion</w:t>
            </w:r>
          </w:p>
        </w:tc>
        <w:tc>
          <w:tcPr>
            <w:tcW w:w="794" w:type="dxa"/>
          </w:tcPr>
          <w:p w14:paraId="3C0A12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202</w:t>
            </w:r>
          </w:p>
        </w:tc>
        <w:tc>
          <w:tcPr>
            <w:tcW w:w="794" w:type="dxa"/>
          </w:tcPr>
          <w:p w14:paraId="697BB08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243</w:t>
            </w:r>
          </w:p>
        </w:tc>
        <w:tc>
          <w:tcPr>
            <w:tcW w:w="794" w:type="dxa"/>
          </w:tcPr>
          <w:p w14:paraId="492FBC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283</w:t>
            </w:r>
          </w:p>
        </w:tc>
        <w:tc>
          <w:tcPr>
            <w:tcW w:w="794" w:type="dxa"/>
          </w:tcPr>
          <w:p w14:paraId="4753E1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420</w:t>
            </w:r>
          </w:p>
        </w:tc>
        <w:tc>
          <w:tcPr>
            <w:tcW w:w="794" w:type="dxa"/>
          </w:tcPr>
          <w:p w14:paraId="77F402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249</w:t>
            </w:r>
          </w:p>
        </w:tc>
      </w:tr>
      <w:tr w:rsidR="004135EE" w14:paraId="57C4F1C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24F2D6E" w14:textId="77777777" w:rsidR="004135EE" w:rsidRDefault="004135EE" w:rsidP="008670FF">
            <w:r>
              <w:t>Education</w:t>
            </w:r>
          </w:p>
        </w:tc>
        <w:tc>
          <w:tcPr>
            <w:tcW w:w="794" w:type="dxa"/>
          </w:tcPr>
          <w:p w14:paraId="428EAEB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3 046</w:t>
            </w:r>
          </w:p>
        </w:tc>
        <w:tc>
          <w:tcPr>
            <w:tcW w:w="794" w:type="dxa"/>
          </w:tcPr>
          <w:p w14:paraId="76D1E0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3 161</w:t>
            </w:r>
          </w:p>
        </w:tc>
        <w:tc>
          <w:tcPr>
            <w:tcW w:w="794" w:type="dxa"/>
          </w:tcPr>
          <w:p w14:paraId="6C95BAF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1 932</w:t>
            </w:r>
          </w:p>
        </w:tc>
        <w:tc>
          <w:tcPr>
            <w:tcW w:w="794" w:type="dxa"/>
          </w:tcPr>
          <w:p w14:paraId="47317D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910</w:t>
            </w:r>
          </w:p>
        </w:tc>
        <w:tc>
          <w:tcPr>
            <w:tcW w:w="794" w:type="dxa"/>
          </w:tcPr>
          <w:p w14:paraId="50A4A7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720</w:t>
            </w:r>
          </w:p>
        </w:tc>
      </w:tr>
      <w:tr w:rsidR="004135EE" w14:paraId="402AE43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97B5401" w14:textId="77777777" w:rsidR="004135EE" w:rsidRDefault="004135EE" w:rsidP="008670FF">
            <w:r>
              <w:t>Social protection</w:t>
            </w:r>
          </w:p>
        </w:tc>
        <w:tc>
          <w:tcPr>
            <w:tcW w:w="794" w:type="dxa"/>
          </w:tcPr>
          <w:p w14:paraId="4B526A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97</w:t>
            </w:r>
          </w:p>
        </w:tc>
        <w:tc>
          <w:tcPr>
            <w:tcW w:w="794" w:type="dxa"/>
          </w:tcPr>
          <w:p w14:paraId="33CC9C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135</w:t>
            </w:r>
          </w:p>
        </w:tc>
        <w:tc>
          <w:tcPr>
            <w:tcW w:w="794" w:type="dxa"/>
          </w:tcPr>
          <w:p w14:paraId="4BACDD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130</w:t>
            </w:r>
          </w:p>
        </w:tc>
        <w:tc>
          <w:tcPr>
            <w:tcW w:w="794" w:type="dxa"/>
          </w:tcPr>
          <w:p w14:paraId="41AEFB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127</w:t>
            </w:r>
          </w:p>
        </w:tc>
        <w:tc>
          <w:tcPr>
            <w:tcW w:w="794" w:type="dxa"/>
          </w:tcPr>
          <w:p w14:paraId="70E299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101</w:t>
            </w:r>
          </w:p>
        </w:tc>
      </w:tr>
      <w:tr w:rsidR="004135EE" w14:paraId="2DE15DC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882BC6B" w14:textId="77777777" w:rsidR="004135EE" w:rsidRDefault="004135EE" w:rsidP="008670FF">
            <w:r>
              <w:t>Transport</w:t>
            </w:r>
          </w:p>
        </w:tc>
        <w:tc>
          <w:tcPr>
            <w:tcW w:w="794" w:type="dxa"/>
          </w:tcPr>
          <w:p w14:paraId="5A8340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11 747</w:t>
            </w:r>
          </w:p>
        </w:tc>
        <w:tc>
          <w:tcPr>
            <w:tcW w:w="794" w:type="dxa"/>
          </w:tcPr>
          <w:p w14:paraId="785E4E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13 326</w:t>
            </w:r>
          </w:p>
        </w:tc>
        <w:tc>
          <w:tcPr>
            <w:tcW w:w="794" w:type="dxa"/>
          </w:tcPr>
          <w:p w14:paraId="54F11B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10 947</w:t>
            </w:r>
          </w:p>
        </w:tc>
        <w:tc>
          <w:tcPr>
            <w:tcW w:w="794" w:type="dxa"/>
          </w:tcPr>
          <w:p w14:paraId="40AD766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7 256</w:t>
            </w:r>
          </w:p>
        </w:tc>
        <w:tc>
          <w:tcPr>
            <w:tcW w:w="794" w:type="dxa"/>
          </w:tcPr>
          <w:p w14:paraId="59A519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6 311</w:t>
            </w:r>
          </w:p>
        </w:tc>
      </w:tr>
      <w:tr w:rsidR="004135EE" w14:paraId="71299C8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9D6DD8E" w14:textId="77777777" w:rsidR="004135EE" w:rsidRDefault="004135EE" w:rsidP="008670FF">
            <w:r>
              <w:t>Not allocated by function</w:t>
            </w:r>
            <w:r>
              <w:rPr>
                <w:vertAlign w:val="superscript"/>
              </w:rPr>
              <w:t xml:space="preserve"> (a)</w:t>
            </w:r>
          </w:p>
        </w:tc>
        <w:tc>
          <w:tcPr>
            <w:tcW w:w="794" w:type="dxa"/>
            <w:tcBorders>
              <w:bottom w:val="single" w:sz="6" w:space="0" w:color="auto"/>
            </w:tcBorders>
          </w:tcPr>
          <w:p w14:paraId="02FE50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(1 769)</w:t>
            </w:r>
          </w:p>
        </w:tc>
        <w:tc>
          <w:tcPr>
            <w:tcW w:w="794" w:type="dxa"/>
            <w:tcBorders>
              <w:bottom w:val="single" w:sz="6" w:space="0" w:color="auto"/>
            </w:tcBorders>
          </w:tcPr>
          <w:p w14:paraId="7168D5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(4 619)</w:t>
            </w:r>
          </w:p>
        </w:tc>
        <w:tc>
          <w:tcPr>
            <w:tcW w:w="794" w:type="dxa"/>
            <w:tcBorders>
              <w:bottom w:val="single" w:sz="6" w:space="0" w:color="auto"/>
            </w:tcBorders>
          </w:tcPr>
          <w:p w14:paraId="5DDD4B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1 410</w:t>
            </w:r>
          </w:p>
        </w:tc>
        <w:tc>
          <w:tcPr>
            <w:tcW w:w="794" w:type="dxa"/>
            <w:tcBorders>
              <w:bottom w:val="single" w:sz="6" w:space="0" w:color="auto"/>
            </w:tcBorders>
          </w:tcPr>
          <w:p w14:paraId="0D95C8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4 905</w:t>
            </w:r>
          </w:p>
        </w:tc>
        <w:tc>
          <w:tcPr>
            <w:tcW w:w="794" w:type="dxa"/>
            <w:tcBorders>
              <w:bottom w:val="single" w:sz="6" w:space="0" w:color="auto"/>
            </w:tcBorders>
          </w:tcPr>
          <w:p w14:paraId="464C1E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4 774</w:t>
            </w:r>
          </w:p>
        </w:tc>
      </w:tr>
      <w:tr w:rsidR="004135EE" w14:paraId="2475ABD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466F601" w14:textId="77777777" w:rsidR="004135EE" w:rsidRDefault="004135EE" w:rsidP="008670FF">
            <w:r>
              <w:rPr>
                <w:b/>
              </w:rPr>
              <w:t>Total purchases of non</w:t>
            </w:r>
            <w:r>
              <w:rPr>
                <w:b/>
              </w:rPr>
              <w:noBreakHyphen/>
              <w:t>financial assets</w:t>
            </w:r>
          </w:p>
        </w:tc>
        <w:tc>
          <w:tcPr>
            <w:tcW w:w="794" w:type="dxa"/>
            <w:tcBorders>
              <w:top w:val="single" w:sz="6" w:space="0" w:color="auto"/>
              <w:bottom w:val="single" w:sz="12" w:space="0" w:color="auto"/>
            </w:tcBorders>
          </w:tcPr>
          <w:p w14:paraId="5CF8741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17 669</w:t>
            </w:r>
          </w:p>
        </w:tc>
        <w:tc>
          <w:tcPr>
            <w:tcW w:w="794" w:type="dxa"/>
            <w:tcBorders>
              <w:top w:val="single" w:sz="6" w:space="0" w:color="auto"/>
              <w:bottom w:val="single" w:sz="12" w:space="0" w:color="auto"/>
            </w:tcBorders>
          </w:tcPr>
          <w:p w14:paraId="428A1C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16 391</w:t>
            </w:r>
          </w:p>
        </w:tc>
        <w:tc>
          <w:tcPr>
            <w:tcW w:w="794" w:type="dxa"/>
            <w:tcBorders>
              <w:top w:val="single" w:sz="6" w:space="0" w:color="auto"/>
              <w:bottom w:val="single" w:sz="12" w:space="0" w:color="auto"/>
            </w:tcBorders>
          </w:tcPr>
          <w:p w14:paraId="477FAF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17 661</w:t>
            </w:r>
          </w:p>
        </w:tc>
        <w:tc>
          <w:tcPr>
            <w:tcW w:w="794" w:type="dxa"/>
            <w:tcBorders>
              <w:top w:val="single" w:sz="6" w:space="0" w:color="auto"/>
              <w:bottom w:val="single" w:sz="12" w:space="0" w:color="auto"/>
            </w:tcBorders>
          </w:tcPr>
          <w:p w14:paraId="08872D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15 579</w:t>
            </w:r>
          </w:p>
        </w:tc>
        <w:tc>
          <w:tcPr>
            <w:tcW w:w="794" w:type="dxa"/>
            <w:tcBorders>
              <w:top w:val="single" w:sz="6" w:space="0" w:color="auto"/>
              <w:bottom w:val="single" w:sz="12" w:space="0" w:color="auto"/>
            </w:tcBorders>
          </w:tcPr>
          <w:p w14:paraId="44F5CA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13 780</w:t>
            </w:r>
          </w:p>
        </w:tc>
      </w:tr>
    </w:tbl>
    <w:p w14:paraId="514DA86D" w14:textId="77777777" w:rsidR="004135EE" w:rsidRPr="00DA1FBC" w:rsidRDefault="004135EE" w:rsidP="004135EE">
      <w:pPr>
        <w:pStyle w:val="Note"/>
      </w:pPr>
      <w:r w:rsidRPr="00DA1FBC">
        <w:t>Note:</w:t>
      </w:r>
    </w:p>
    <w:p w14:paraId="2B433138" w14:textId="77777777" w:rsidR="004135EE" w:rsidRDefault="004135EE" w:rsidP="004135EE">
      <w:pPr>
        <w:pStyle w:val="Note"/>
      </w:pPr>
      <w:r w:rsidRPr="00DA1FBC">
        <w:t>(a)</w:t>
      </w:r>
      <w:r w:rsidRPr="00DA1FBC">
        <w:tab/>
        <w:t>Estimated amount available to be allocated to departments and projects in future budgets, including major capital investment. It also includes estimated underspends, which may be subject to carryover.</w:t>
      </w:r>
    </w:p>
    <w:p w14:paraId="4BC40018" w14:textId="77777777" w:rsidR="004135EE" w:rsidRPr="001B0431" w:rsidRDefault="004135EE" w:rsidP="004135EE"/>
    <w:p w14:paraId="39446EE3" w14:textId="77777777" w:rsidR="004135EE" w:rsidRDefault="004135EE" w:rsidP="005C5C20">
      <w:pPr>
        <w:pStyle w:val="TableHeading"/>
      </w:pPr>
      <w:r w:rsidRPr="00181E4A">
        <w:t>Purchases of non</w:t>
      </w:r>
      <w:r>
        <w:noBreakHyphen/>
      </w:r>
      <w:r w:rsidRPr="00181E4A">
        <w:t>financial assets by portfolio department</w:t>
      </w:r>
      <w:r w:rsidRPr="00181E4A">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PNFA_by_dept|MergedHeadingRow:1"/>
      </w:tblPr>
      <w:tblGrid>
        <w:gridCol w:w="3740"/>
        <w:gridCol w:w="794"/>
        <w:gridCol w:w="794"/>
        <w:gridCol w:w="794"/>
        <w:gridCol w:w="794"/>
        <w:gridCol w:w="794"/>
      </w:tblGrid>
      <w:tr w:rsidR="004135EE" w14:paraId="6DFA5525"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15ECFF6" w14:textId="77777777" w:rsidR="004135EE" w:rsidRDefault="004135EE" w:rsidP="008670FF">
            <w:pPr>
              <w:keepNext/>
            </w:pPr>
          </w:p>
        </w:tc>
        <w:tc>
          <w:tcPr>
            <w:tcW w:w="794" w:type="dxa"/>
          </w:tcPr>
          <w:p w14:paraId="7D5CCD8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6C44D67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27E4257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67D18E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831EA6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1493677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7A16394" w14:textId="77777777" w:rsidR="004135EE" w:rsidRDefault="004135EE" w:rsidP="008670FF">
            <w:r>
              <w:t>Education</w:t>
            </w:r>
          </w:p>
        </w:tc>
        <w:tc>
          <w:tcPr>
            <w:tcW w:w="794" w:type="dxa"/>
          </w:tcPr>
          <w:p w14:paraId="4575F7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2 729</w:t>
            </w:r>
          </w:p>
        </w:tc>
        <w:tc>
          <w:tcPr>
            <w:tcW w:w="794" w:type="dxa"/>
          </w:tcPr>
          <w:p w14:paraId="59A15E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3 038</w:t>
            </w:r>
          </w:p>
        </w:tc>
        <w:tc>
          <w:tcPr>
            <w:tcW w:w="794" w:type="dxa"/>
          </w:tcPr>
          <w:p w14:paraId="1EAF2E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1 802</w:t>
            </w:r>
          </w:p>
        </w:tc>
        <w:tc>
          <w:tcPr>
            <w:tcW w:w="794" w:type="dxa"/>
          </w:tcPr>
          <w:p w14:paraId="4187392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555</w:t>
            </w:r>
          </w:p>
        </w:tc>
        <w:tc>
          <w:tcPr>
            <w:tcW w:w="794" w:type="dxa"/>
          </w:tcPr>
          <w:p w14:paraId="7BA8C4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281</w:t>
            </w:r>
          </w:p>
        </w:tc>
      </w:tr>
      <w:tr w:rsidR="004135EE" w14:paraId="049A96D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5F5C6B4" w14:textId="77777777" w:rsidR="004135EE" w:rsidRDefault="004135EE" w:rsidP="008670FF">
            <w:r>
              <w:t>Energy, Environment and Climate Action</w:t>
            </w:r>
          </w:p>
        </w:tc>
        <w:tc>
          <w:tcPr>
            <w:tcW w:w="794" w:type="dxa"/>
          </w:tcPr>
          <w:p w14:paraId="70D4CC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286</w:t>
            </w:r>
          </w:p>
        </w:tc>
        <w:tc>
          <w:tcPr>
            <w:tcW w:w="794" w:type="dxa"/>
          </w:tcPr>
          <w:p w14:paraId="2EAC53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302</w:t>
            </w:r>
          </w:p>
        </w:tc>
        <w:tc>
          <w:tcPr>
            <w:tcW w:w="794" w:type="dxa"/>
          </w:tcPr>
          <w:p w14:paraId="240260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237</w:t>
            </w:r>
          </w:p>
        </w:tc>
        <w:tc>
          <w:tcPr>
            <w:tcW w:w="794" w:type="dxa"/>
          </w:tcPr>
          <w:p w14:paraId="0A4DDB3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184</w:t>
            </w:r>
          </w:p>
        </w:tc>
        <w:tc>
          <w:tcPr>
            <w:tcW w:w="794" w:type="dxa"/>
          </w:tcPr>
          <w:p w14:paraId="67DF82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111</w:t>
            </w:r>
          </w:p>
        </w:tc>
      </w:tr>
      <w:tr w:rsidR="004135EE" w14:paraId="23199CC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9988AE5" w14:textId="77777777" w:rsidR="004135EE" w:rsidRDefault="004135EE" w:rsidP="008670FF">
            <w:r>
              <w:t>Families, Fairness and Housing</w:t>
            </w:r>
          </w:p>
        </w:tc>
        <w:tc>
          <w:tcPr>
            <w:tcW w:w="794" w:type="dxa"/>
          </w:tcPr>
          <w:p w14:paraId="2C154B2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71</w:t>
            </w:r>
          </w:p>
        </w:tc>
        <w:tc>
          <w:tcPr>
            <w:tcW w:w="794" w:type="dxa"/>
          </w:tcPr>
          <w:p w14:paraId="47F120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088498E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61EA27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w:t>
            </w:r>
          </w:p>
        </w:tc>
        <w:tc>
          <w:tcPr>
            <w:tcW w:w="794" w:type="dxa"/>
          </w:tcPr>
          <w:p w14:paraId="6F0162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45</w:t>
            </w:r>
          </w:p>
        </w:tc>
      </w:tr>
      <w:tr w:rsidR="004135EE" w14:paraId="2F80FD8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9F4A3E" w14:textId="77777777" w:rsidR="004135EE" w:rsidRDefault="004135EE" w:rsidP="008670FF">
            <w:r>
              <w:t>Government Services</w:t>
            </w:r>
          </w:p>
        </w:tc>
        <w:tc>
          <w:tcPr>
            <w:tcW w:w="794" w:type="dxa"/>
          </w:tcPr>
          <w:p w14:paraId="01EFF3D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108</w:t>
            </w:r>
          </w:p>
        </w:tc>
        <w:tc>
          <w:tcPr>
            <w:tcW w:w="794" w:type="dxa"/>
          </w:tcPr>
          <w:p w14:paraId="6D6AEF6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104</w:t>
            </w:r>
          </w:p>
        </w:tc>
        <w:tc>
          <w:tcPr>
            <w:tcW w:w="794" w:type="dxa"/>
          </w:tcPr>
          <w:p w14:paraId="3A6F09E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116</w:t>
            </w:r>
          </w:p>
        </w:tc>
        <w:tc>
          <w:tcPr>
            <w:tcW w:w="794" w:type="dxa"/>
          </w:tcPr>
          <w:p w14:paraId="50DBB8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95</w:t>
            </w:r>
          </w:p>
        </w:tc>
        <w:tc>
          <w:tcPr>
            <w:tcW w:w="794" w:type="dxa"/>
          </w:tcPr>
          <w:p w14:paraId="183E77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88</w:t>
            </w:r>
          </w:p>
        </w:tc>
      </w:tr>
      <w:tr w:rsidR="004135EE" w14:paraId="560A8A1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28B4FA2" w14:textId="77777777" w:rsidR="004135EE" w:rsidRDefault="004135EE" w:rsidP="008670FF">
            <w:r>
              <w:t>Health</w:t>
            </w:r>
          </w:p>
        </w:tc>
        <w:tc>
          <w:tcPr>
            <w:tcW w:w="794" w:type="dxa"/>
          </w:tcPr>
          <w:p w14:paraId="357AABA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2 253</w:t>
            </w:r>
          </w:p>
        </w:tc>
        <w:tc>
          <w:tcPr>
            <w:tcW w:w="794" w:type="dxa"/>
          </w:tcPr>
          <w:p w14:paraId="3E1904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2 258</w:t>
            </w:r>
          </w:p>
        </w:tc>
        <w:tc>
          <w:tcPr>
            <w:tcW w:w="794" w:type="dxa"/>
          </w:tcPr>
          <w:p w14:paraId="60BCA5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1 435</w:t>
            </w:r>
          </w:p>
        </w:tc>
        <w:tc>
          <w:tcPr>
            <w:tcW w:w="794" w:type="dxa"/>
          </w:tcPr>
          <w:p w14:paraId="401BD21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599</w:t>
            </w:r>
          </w:p>
        </w:tc>
        <w:tc>
          <w:tcPr>
            <w:tcW w:w="794" w:type="dxa"/>
          </w:tcPr>
          <w:p w14:paraId="065716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256</w:t>
            </w:r>
          </w:p>
        </w:tc>
      </w:tr>
      <w:tr w:rsidR="004135EE" w14:paraId="0F5307E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D5FF854" w14:textId="77777777" w:rsidR="004135EE" w:rsidRDefault="004135EE" w:rsidP="008670FF">
            <w:r>
              <w:t>Jobs, Skills, Industry and Regions</w:t>
            </w:r>
          </w:p>
        </w:tc>
        <w:tc>
          <w:tcPr>
            <w:tcW w:w="794" w:type="dxa"/>
          </w:tcPr>
          <w:p w14:paraId="15C6B1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186</w:t>
            </w:r>
          </w:p>
        </w:tc>
        <w:tc>
          <w:tcPr>
            <w:tcW w:w="794" w:type="dxa"/>
          </w:tcPr>
          <w:p w14:paraId="028B56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142</w:t>
            </w:r>
          </w:p>
        </w:tc>
        <w:tc>
          <w:tcPr>
            <w:tcW w:w="794" w:type="dxa"/>
          </w:tcPr>
          <w:p w14:paraId="3676837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w:t>
            </w:r>
          </w:p>
        </w:tc>
        <w:tc>
          <w:tcPr>
            <w:tcW w:w="794" w:type="dxa"/>
          </w:tcPr>
          <w:p w14:paraId="7B9F75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w:t>
            </w:r>
          </w:p>
        </w:tc>
        <w:tc>
          <w:tcPr>
            <w:tcW w:w="794" w:type="dxa"/>
          </w:tcPr>
          <w:p w14:paraId="2F7DFCA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w:t>
            </w:r>
          </w:p>
        </w:tc>
      </w:tr>
      <w:tr w:rsidR="004135EE" w14:paraId="41CF076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F633CAC" w14:textId="77777777" w:rsidR="004135EE" w:rsidRDefault="004135EE" w:rsidP="008670FF">
            <w:r>
              <w:t>Justice and Community Safety</w:t>
            </w:r>
          </w:p>
        </w:tc>
        <w:tc>
          <w:tcPr>
            <w:tcW w:w="794" w:type="dxa"/>
          </w:tcPr>
          <w:p w14:paraId="1D1B9A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459</w:t>
            </w:r>
          </w:p>
        </w:tc>
        <w:tc>
          <w:tcPr>
            <w:tcW w:w="794" w:type="dxa"/>
          </w:tcPr>
          <w:p w14:paraId="46F6AE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586</w:t>
            </w:r>
          </w:p>
        </w:tc>
        <w:tc>
          <w:tcPr>
            <w:tcW w:w="794" w:type="dxa"/>
          </w:tcPr>
          <w:p w14:paraId="009AE6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517657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108</w:t>
            </w:r>
          </w:p>
        </w:tc>
        <w:tc>
          <w:tcPr>
            <w:tcW w:w="794" w:type="dxa"/>
          </w:tcPr>
          <w:p w14:paraId="43FC517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w:t>
            </w:r>
          </w:p>
        </w:tc>
      </w:tr>
      <w:tr w:rsidR="004135EE" w14:paraId="4023088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E5C7A00" w14:textId="77777777" w:rsidR="004135EE" w:rsidRDefault="004135EE" w:rsidP="008670FF">
            <w:r>
              <w:t>Premier and Cabinet</w:t>
            </w:r>
          </w:p>
        </w:tc>
        <w:tc>
          <w:tcPr>
            <w:tcW w:w="794" w:type="dxa"/>
          </w:tcPr>
          <w:p w14:paraId="7CC11B9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174BE4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5596F17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1ABAF2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10FC750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w:t>
            </w:r>
          </w:p>
        </w:tc>
      </w:tr>
      <w:tr w:rsidR="004135EE" w14:paraId="2AECAFF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B0BF619" w14:textId="77777777" w:rsidR="004135EE" w:rsidRDefault="004135EE" w:rsidP="008670FF">
            <w:r>
              <w:t>Transport and Planning</w:t>
            </w:r>
          </w:p>
        </w:tc>
        <w:tc>
          <w:tcPr>
            <w:tcW w:w="794" w:type="dxa"/>
          </w:tcPr>
          <w:p w14:paraId="34ECCD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8 078</w:t>
            </w:r>
          </w:p>
        </w:tc>
        <w:tc>
          <w:tcPr>
            <w:tcW w:w="794" w:type="dxa"/>
          </w:tcPr>
          <w:p w14:paraId="7B99B4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9 840</w:t>
            </w:r>
          </w:p>
        </w:tc>
        <w:tc>
          <w:tcPr>
            <w:tcW w:w="794" w:type="dxa"/>
          </w:tcPr>
          <w:p w14:paraId="52B4BE6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7 311</w:t>
            </w:r>
          </w:p>
        </w:tc>
        <w:tc>
          <w:tcPr>
            <w:tcW w:w="794" w:type="dxa"/>
          </w:tcPr>
          <w:p w14:paraId="7AF9CEA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4 748</w:t>
            </w:r>
          </w:p>
        </w:tc>
        <w:tc>
          <w:tcPr>
            <w:tcW w:w="794" w:type="dxa"/>
          </w:tcPr>
          <w:p w14:paraId="5C790C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3 181</w:t>
            </w:r>
          </w:p>
        </w:tc>
      </w:tr>
      <w:tr w:rsidR="004135EE" w14:paraId="01F869F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527B055" w14:textId="77777777" w:rsidR="004135EE" w:rsidRDefault="004135EE" w:rsidP="008670FF">
            <w:r>
              <w:t>Treasury and Finance</w:t>
            </w:r>
          </w:p>
        </w:tc>
        <w:tc>
          <w:tcPr>
            <w:tcW w:w="794" w:type="dxa"/>
          </w:tcPr>
          <w:p w14:paraId="6EA494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w:t>
            </w:r>
          </w:p>
        </w:tc>
        <w:tc>
          <w:tcPr>
            <w:tcW w:w="794" w:type="dxa"/>
          </w:tcPr>
          <w:p w14:paraId="3AE7BA7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66E91B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17BDE2E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w:t>
            </w:r>
          </w:p>
        </w:tc>
        <w:tc>
          <w:tcPr>
            <w:tcW w:w="794" w:type="dxa"/>
          </w:tcPr>
          <w:p w14:paraId="6AB6CD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w:t>
            </w:r>
          </w:p>
        </w:tc>
      </w:tr>
      <w:tr w:rsidR="004135EE" w14:paraId="24C0B86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2054CF2" w14:textId="77777777" w:rsidR="004135EE" w:rsidRDefault="004135EE" w:rsidP="008670FF">
            <w:r>
              <w:t>Parliament</w:t>
            </w:r>
          </w:p>
        </w:tc>
        <w:tc>
          <w:tcPr>
            <w:tcW w:w="794" w:type="dxa"/>
          </w:tcPr>
          <w:p w14:paraId="1065A6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26A5CB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417E65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28FEDBE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544637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r>
      <w:tr w:rsidR="004135EE" w14:paraId="19F988B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06E500F" w14:textId="77777777" w:rsidR="004135EE" w:rsidRDefault="004135EE" w:rsidP="008670FF">
            <w:r>
              <w:t>Courts</w:t>
            </w:r>
          </w:p>
        </w:tc>
        <w:tc>
          <w:tcPr>
            <w:tcW w:w="794" w:type="dxa"/>
          </w:tcPr>
          <w:p w14:paraId="73021B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307</w:t>
            </w:r>
          </w:p>
        </w:tc>
        <w:tc>
          <w:tcPr>
            <w:tcW w:w="794" w:type="dxa"/>
          </w:tcPr>
          <w:p w14:paraId="32EE84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314</w:t>
            </w:r>
          </w:p>
        </w:tc>
        <w:tc>
          <w:tcPr>
            <w:tcW w:w="794" w:type="dxa"/>
          </w:tcPr>
          <w:p w14:paraId="036FBB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708605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6082EE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r>
      <w:tr w:rsidR="004135EE" w14:paraId="1902AED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4FF0BC2" w14:textId="77777777" w:rsidR="004135EE" w:rsidRDefault="004135EE" w:rsidP="008670FF">
            <w:r>
              <w:t>Regulatory bodies and other part funded agencies</w:t>
            </w:r>
            <w:r>
              <w:rPr>
                <w:vertAlign w:val="superscript"/>
              </w:rPr>
              <w:t xml:space="preserve"> (a)</w:t>
            </w:r>
          </w:p>
        </w:tc>
        <w:tc>
          <w:tcPr>
            <w:tcW w:w="794" w:type="dxa"/>
          </w:tcPr>
          <w:p w14:paraId="1772D0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327</w:t>
            </w:r>
          </w:p>
        </w:tc>
        <w:tc>
          <w:tcPr>
            <w:tcW w:w="794" w:type="dxa"/>
          </w:tcPr>
          <w:p w14:paraId="2AA9C2E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300</w:t>
            </w:r>
          </w:p>
        </w:tc>
        <w:tc>
          <w:tcPr>
            <w:tcW w:w="794" w:type="dxa"/>
          </w:tcPr>
          <w:p w14:paraId="4DA7600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224</w:t>
            </w:r>
          </w:p>
        </w:tc>
        <w:tc>
          <w:tcPr>
            <w:tcW w:w="794" w:type="dxa"/>
          </w:tcPr>
          <w:p w14:paraId="291CB2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187</w:t>
            </w:r>
          </w:p>
        </w:tc>
        <w:tc>
          <w:tcPr>
            <w:tcW w:w="794" w:type="dxa"/>
          </w:tcPr>
          <w:p w14:paraId="4D0377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128</w:t>
            </w:r>
          </w:p>
        </w:tc>
      </w:tr>
      <w:tr w:rsidR="004135EE" w14:paraId="4E07627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6FB1B3F" w14:textId="77777777" w:rsidR="004135EE" w:rsidRDefault="004135EE" w:rsidP="008670FF">
            <w:r>
              <w:t>Asset contingencies not allocated to departments</w:t>
            </w:r>
            <w:r>
              <w:rPr>
                <w:vertAlign w:val="superscript"/>
              </w:rPr>
              <w:t xml:space="preserve"> (b)</w:t>
            </w:r>
          </w:p>
        </w:tc>
        <w:tc>
          <w:tcPr>
            <w:tcW w:w="794" w:type="dxa"/>
          </w:tcPr>
          <w:p w14:paraId="3A50F3E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5 640</w:t>
            </w:r>
          </w:p>
        </w:tc>
        <w:tc>
          <w:tcPr>
            <w:tcW w:w="794" w:type="dxa"/>
          </w:tcPr>
          <w:p w14:paraId="4EA927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3 709</w:t>
            </w:r>
          </w:p>
        </w:tc>
        <w:tc>
          <w:tcPr>
            <w:tcW w:w="794" w:type="dxa"/>
          </w:tcPr>
          <w:p w14:paraId="4A5F2F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7 331</w:t>
            </w:r>
          </w:p>
        </w:tc>
        <w:tc>
          <w:tcPr>
            <w:tcW w:w="794" w:type="dxa"/>
          </w:tcPr>
          <w:p w14:paraId="409FD5D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5 882</w:t>
            </w:r>
          </w:p>
        </w:tc>
        <w:tc>
          <w:tcPr>
            <w:tcW w:w="794" w:type="dxa"/>
          </w:tcPr>
          <w:p w14:paraId="4EDB4C3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7 156</w:t>
            </w:r>
          </w:p>
        </w:tc>
      </w:tr>
      <w:tr w:rsidR="004135EE" w14:paraId="2DD6930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C589D6A" w14:textId="77777777" w:rsidR="004135EE" w:rsidRDefault="004135EE" w:rsidP="008670FF">
            <w:r>
              <w:t>Adjustments</w:t>
            </w:r>
            <w:r>
              <w:rPr>
                <w:vertAlign w:val="superscript"/>
              </w:rPr>
              <w:t xml:space="preserve"> (c)</w:t>
            </w:r>
          </w:p>
        </w:tc>
        <w:tc>
          <w:tcPr>
            <w:tcW w:w="794" w:type="dxa"/>
            <w:tcBorders>
              <w:bottom w:val="single" w:sz="6" w:space="0" w:color="auto"/>
            </w:tcBorders>
          </w:tcPr>
          <w:p w14:paraId="3E9B917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(2 812)</w:t>
            </w:r>
          </w:p>
        </w:tc>
        <w:tc>
          <w:tcPr>
            <w:tcW w:w="794" w:type="dxa"/>
            <w:tcBorders>
              <w:bottom w:val="single" w:sz="6" w:space="0" w:color="auto"/>
            </w:tcBorders>
          </w:tcPr>
          <w:p w14:paraId="7129927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(4 319)</w:t>
            </w:r>
          </w:p>
        </w:tc>
        <w:tc>
          <w:tcPr>
            <w:tcW w:w="794" w:type="dxa"/>
            <w:tcBorders>
              <w:bottom w:val="single" w:sz="6" w:space="0" w:color="auto"/>
            </w:tcBorders>
          </w:tcPr>
          <w:p w14:paraId="62E5F8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(1 118)</w:t>
            </w:r>
          </w:p>
        </w:tc>
        <w:tc>
          <w:tcPr>
            <w:tcW w:w="794" w:type="dxa"/>
            <w:tcBorders>
              <w:bottom w:val="single" w:sz="6" w:space="0" w:color="auto"/>
            </w:tcBorders>
          </w:tcPr>
          <w:p w14:paraId="2B77D21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3 109</w:t>
            </w:r>
          </w:p>
        </w:tc>
        <w:tc>
          <w:tcPr>
            <w:tcW w:w="794" w:type="dxa"/>
            <w:tcBorders>
              <w:bottom w:val="single" w:sz="6" w:space="0" w:color="auto"/>
            </w:tcBorders>
          </w:tcPr>
          <w:p w14:paraId="2EC3EFE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2 376</w:t>
            </w:r>
          </w:p>
        </w:tc>
      </w:tr>
      <w:tr w:rsidR="004135EE" w14:paraId="0D86E5E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BD38342" w14:textId="77777777" w:rsidR="004135EE" w:rsidRDefault="004135EE" w:rsidP="008670FF">
            <w:r>
              <w:rPr>
                <w:b/>
              </w:rPr>
              <w:t>Total purchases of non</w:t>
            </w:r>
            <w:r>
              <w:rPr>
                <w:b/>
              </w:rPr>
              <w:noBreakHyphen/>
              <w:t>financial assets</w:t>
            </w:r>
          </w:p>
        </w:tc>
        <w:tc>
          <w:tcPr>
            <w:tcW w:w="794" w:type="dxa"/>
            <w:tcBorders>
              <w:top w:val="single" w:sz="6" w:space="0" w:color="auto"/>
              <w:bottom w:val="single" w:sz="12" w:space="0" w:color="auto"/>
            </w:tcBorders>
          </w:tcPr>
          <w:p w14:paraId="1C5F3D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17 669</w:t>
            </w:r>
          </w:p>
        </w:tc>
        <w:tc>
          <w:tcPr>
            <w:tcW w:w="794" w:type="dxa"/>
            <w:tcBorders>
              <w:top w:val="single" w:sz="6" w:space="0" w:color="auto"/>
              <w:bottom w:val="single" w:sz="12" w:space="0" w:color="auto"/>
            </w:tcBorders>
          </w:tcPr>
          <w:p w14:paraId="0CBF10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16 391</w:t>
            </w:r>
          </w:p>
        </w:tc>
        <w:tc>
          <w:tcPr>
            <w:tcW w:w="794" w:type="dxa"/>
            <w:tcBorders>
              <w:top w:val="single" w:sz="6" w:space="0" w:color="auto"/>
              <w:bottom w:val="single" w:sz="12" w:space="0" w:color="auto"/>
            </w:tcBorders>
          </w:tcPr>
          <w:p w14:paraId="18DD90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17 661</w:t>
            </w:r>
          </w:p>
        </w:tc>
        <w:tc>
          <w:tcPr>
            <w:tcW w:w="794" w:type="dxa"/>
            <w:tcBorders>
              <w:top w:val="single" w:sz="6" w:space="0" w:color="auto"/>
              <w:bottom w:val="single" w:sz="12" w:space="0" w:color="auto"/>
            </w:tcBorders>
          </w:tcPr>
          <w:p w14:paraId="06F5CC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15 579</w:t>
            </w:r>
          </w:p>
        </w:tc>
        <w:tc>
          <w:tcPr>
            <w:tcW w:w="794" w:type="dxa"/>
            <w:tcBorders>
              <w:top w:val="single" w:sz="6" w:space="0" w:color="auto"/>
              <w:bottom w:val="single" w:sz="12" w:space="0" w:color="auto"/>
            </w:tcBorders>
          </w:tcPr>
          <w:p w14:paraId="1EA07A7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13 780</w:t>
            </w:r>
          </w:p>
        </w:tc>
      </w:tr>
    </w:tbl>
    <w:p w14:paraId="0B2D7029" w14:textId="77777777" w:rsidR="004135EE" w:rsidRPr="00DA1FBC" w:rsidRDefault="004135EE" w:rsidP="004135EE">
      <w:pPr>
        <w:pStyle w:val="Note"/>
      </w:pPr>
      <w:r w:rsidRPr="00DA1FBC">
        <w:t>Notes:</w:t>
      </w:r>
    </w:p>
    <w:p w14:paraId="693487B2" w14:textId="77777777" w:rsidR="004135EE" w:rsidRPr="00DA1FBC" w:rsidRDefault="004135EE" w:rsidP="004135EE">
      <w:pPr>
        <w:pStyle w:val="Note"/>
      </w:pPr>
      <w:r w:rsidRPr="00DA1FBC">
        <w:t>(a)</w:t>
      </w:r>
      <w:r w:rsidRPr="00DA1FBC">
        <w:tab/>
        <w:t>Other general government sector agencies not allocated to departmental portfolios.</w:t>
      </w:r>
    </w:p>
    <w:p w14:paraId="1F46975A" w14:textId="77777777" w:rsidR="004135EE" w:rsidRPr="00DA1FBC" w:rsidRDefault="004135EE" w:rsidP="004135EE">
      <w:pPr>
        <w:pStyle w:val="Note"/>
      </w:pPr>
      <w:r w:rsidRPr="00DA1FBC">
        <w:t>(b)</w:t>
      </w:r>
      <w:r w:rsidRPr="00DA1FBC">
        <w:tab/>
        <w:t>The following table provides a breakdown of the general government sector asset contingencies not allocated to departments.</w:t>
      </w:r>
    </w:p>
    <w:p w14:paraId="72290972" w14:textId="77777777" w:rsidR="004135EE" w:rsidRPr="00DA1FBC" w:rsidRDefault="004135EE" w:rsidP="004135EE">
      <w:pPr>
        <w:pStyle w:val="Note"/>
      </w:pPr>
      <w:r w:rsidRPr="00DA1FBC">
        <w:t>(c)</w:t>
      </w:r>
      <w:r w:rsidRPr="00DA1FBC">
        <w:tab/>
        <w:t>Mainly comprises estimated departmental underspend, which may be subject to carryover, and estimated underspends by other regulatory bodies and other part</w:t>
      </w:r>
      <w:r w:rsidRPr="00DA1FBC">
        <w:noBreakHyphen/>
        <w:t>funded agencies.</w:t>
      </w:r>
    </w:p>
    <w:p w14:paraId="2B5C4BA2" w14:textId="77777777" w:rsidR="004135EE" w:rsidRDefault="004135EE" w:rsidP="005C5C20">
      <w:pPr>
        <w:pStyle w:val="TableHeading"/>
      </w:pPr>
      <w:r w:rsidRPr="00181E4A">
        <w:t xml:space="preserve">General government asset contingencies not allocated to departments </w:t>
      </w:r>
      <w:r w:rsidRPr="00181E4A">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Asset_contingencies|MergedHeadingRow:1"/>
      </w:tblPr>
      <w:tblGrid>
        <w:gridCol w:w="3740"/>
        <w:gridCol w:w="794"/>
        <w:gridCol w:w="794"/>
        <w:gridCol w:w="794"/>
        <w:gridCol w:w="794"/>
        <w:gridCol w:w="794"/>
      </w:tblGrid>
      <w:tr w:rsidR="004135EE" w14:paraId="5C52E5C5"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ECE4B04" w14:textId="77777777" w:rsidR="004135EE" w:rsidRDefault="004135EE" w:rsidP="008670FF">
            <w:pPr>
              <w:keepNext/>
            </w:pPr>
          </w:p>
        </w:tc>
        <w:tc>
          <w:tcPr>
            <w:tcW w:w="794" w:type="dxa"/>
          </w:tcPr>
          <w:p w14:paraId="1B207EA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48A8320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7793EA1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088735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0DBE65C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061D9DD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345AC8A" w14:textId="77777777" w:rsidR="004135EE" w:rsidRDefault="004135EE" w:rsidP="008670FF">
            <w:r>
              <w:t>Decisions made but not yet allocated</w:t>
            </w:r>
            <w:r>
              <w:rPr>
                <w:vertAlign w:val="superscript"/>
              </w:rPr>
              <w:t xml:space="preserve"> (a)(b)</w:t>
            </w:r>
          </w:p>
        </w:tc>
        <w:tc>
          <w:tcPr>
            <w:tcW w:w="794" w:type="dxa"/>
          </w:tcPr>
          <w:p w14:paraId="52F916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6 785</w:t>
            </w:r>
          </w:p>
        </w:tc>
        <w:tc>
          <w:tcPr>
            <w:tcW w:w="794" w:type="dxa"/>
          </w:tcPr>
          <w:p w14:paraId="38F178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4 023</w:t>
            </w:r>
          </w:p>
        </w:tc>
        <w:tc>
          <w:tcPr>
            <w:tcW w:w="794" w:type="dxa"/>
          </w:tcPr>
          <w:p w14:paraId="22A526B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9 638</w:t>
            </w:r>
          </w:p>
        </w:tc>
        <w:tc>
          <w:tcPr>
            <w:tcW w:w="794" w:type="dxa"/>
          </w:tcPr>
          <w:p w14:paraId="34CB1A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7 439</w:t>
            </w:r>
          </w:p>
        </w:tc>
        <w:tc>
          <w:tcPr>
            <w:tcW w:w="794" w:type="dxa"/>
          </w:tcPr>
          <w:p w14:paraId="6ECE94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7 088</w:t>
            </w:r>
          </w:p>
        </w:tc>
      </w:tr>
      <w:tr w:rsidR="004135EE" w14:paraId="6F4961C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93DA2B7" w14:textId="77777777" w:rsidR="004135EE" w:rsidRDefault="004135EE" w:rsidP="008670FF">
            <w:r>
              <w:t>Funding not allocated to specific purposes</w:t>
            </w:r>
            <w:r>
              <w:rPr>
                <w:vertAlign w:val="superscript"/>
              </w:rPr>
              <w:t xml:space="preserve"> (c)</w:t>
            </w:r>
          </w:p>
        </w:tc>
        <w:tc>
          <w:tcPr>
            <w:tcW w:w="794" w:type="dxa"/>
            <w:tcBorders>
              <w:bottom w:val="single" w:sz="6" w:space="0" w:color="auto"/>
            </w:tcBorders>
          </w:tcPr>
          <w:p w14:paraId="0C981D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42A6E0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170981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600</w:t>
            </w:r>
          </w:p>
        </w:tc>
        <w:tc>
          <w:tcPr>
            <w:tcW w:w="794" w:type="dxa"/>
            <w:tcBorders>
              <w:bottom w:val="single" w:sz="6" w:space="0" w:color="auto"/>
            </w:tcBorders>
          </w:tcPr>
          <w:p w14:paraId="62C314E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1 200</w:t>
            </w:r>
          </w:p>
        </w:tc>
        <w:tc>
          <w:tcPr>
            <w:tcW w:w="794" w:type="dxa"/>
            <w:tcBorders>
              <w:bottom w:val="single" w:sz="6" w:space="0" w:color="auto"/>
            </w:tcBorders>
          </w:tcPr>
          <w:p w14:paraId="710531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2 100</w:t>
            </w:r>
          </w:p>
        </w:tc>
      </w:tr>
      <w:tr w:rsidR="004135EE" w14:paraId="521B3B0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D3809FE" w14:textId="77777777" w:rsidR="004135EE" w:rsidRDefault="004135EE" w:rsidP="008670FF">
            <w:r>
              <w:rPr>
                <w:b/>
              </w:rPr>
              <w:t>Total general government asset contingencies</w:t>
            </w:r>
          </w:p>
        </w:tc>
        <w:tc>
          <w:tcPr>
            <w:tcW w:w="794" w:type="dxa"/>
            <w:tcBorders>
              <w:top w:val="single" w:sz="6" w:space="0" w:color="auto"/>
              <w:bottom w:val="single" w:sz="12" w:space="0" w:color="auto"/>
            </w:tcBorders>
          </w:tcPr>
          <w:p w14:paraId="19E450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6 785</w:t>
            </w:r>
          </w:p>
        </w:tc>
        <w:tc>
          <w:tcPr>
            <w:tcW w:w="794" w:type="dxa"/>
            <w:tcBorders>
              <w:top w:val="single" w:sz="6" w:space="0" w:color="auto"/>
              <w:bottom w:val="single" w:sz="12" w:space="0" w:color="auto"/>
            </w:tcBorders>
          </w:tcPr>
          <w:p w14:paraId="66E6C4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4 023</w:t>
            </w:r>
          </w:p>
        </w:tc>
        <w:tc>
          <w:tcPr>
            <w:tcW w:w="794" w:type="dxa"/>
            <w:tcBorders>
              <w:top w:val="single" w:sz="6" w:space="0" w:color="auto"/>
              <w:bottom w:val="single" w:sz="12" w:space="0" w:color="auto"/>
            </w:tcBorders>
          </w:tcPr>
          <w:p w14:paraId="3DFEA7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10 238</w:t>
            </w:r>
          </w:p>
        </w:tc>
        <w:tc>
          <w:tcPr>
            <w:tcW w:w="794" w:type="dxa"/>
            <w:tcBorders>
              <w:top w:val="single" w:sz="6" w:space="0" w:color="auto"/>
              <w:bottom w:val="single" w:sz="12" w:space="0" w:color="auto"/>
            </w:tcBorders>
          </w:tcPr>
          <w:p w14:paraId="6D60B2A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8 639</w:t>
            </w:r>
          </w:p>
        </w:tc>
        <w:tc>
          <w:tcPr>
            <w:tcW w:w="794" w:type="dxa"/>
            <w:tcBorders>
              <w:top w:val="single" w:sz="6" w:space="0" w:color="auto"/>
              <w:bottom w:val="single" w:sz="12" w:space="0" w:color="auto"/>
            </w:tcBorders>
          </w:tcPr>
          <w:p w14:paraId="31B399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9 188</w:t>
            </w:r>
          </w:p>
        </w:tc>
      </w:tr>
    </w:tbl>
    <w:p w14:paraId="79B3F8FE" w14:textId="77777777" w:rsidR="004135EE" w:rsidRPr="00DA1FBC" w:rsidRDefault="004135EE" w:rsidP="004135EE">
      <w:pPr>
        <w:pStyle w:val="Note"/>
      </w:pPr>
      <w:r w:rsidRPr="00DA1FBC">
        <w:t>Notes:</w:t>
      </w:r>
    </w:p>
    <w:p w14:paraId="086421BC" w14:textId="77777777" w:rsidR="004135EE" w:rsidRPr="00DA1FBC" w:rsidRDefault="004135EE" w:rsidP="004135EE">
      <w:pPr>
        <w:pStyle w:val="Note"/>
      </w:pPr>
      <w:r w:rsidRPr="00DA1FBC">
        <w:t>(a)</w:t>
      </w:r>
      <w:r w:rsidRPr="00DA1FBC">
        <w:tab/>
        <w:t xml:space="preserve">A provision to account for asset policy decisions for which the funding has yet to be allocated to </w:t>
      </w:r>
      <w:r>
        <w:t>various departments such as transport, health, education and housing. The provision over the forward estimates reflects the State’s significant infrastructure program.</w:t>
      </w:r>
    </w:p>
    <w:p w14:paraId="046EEDB6" w14:textId="77777777" w:rsidR="004135EE" w:rsidRPr="00DA1FBC" w:rsidRDefault="004135EE" w:rsidP="004135EE">
      <w:pPr>
        <w:pStyle w:val="Note"/>
      </w:pPr>
      <w:r w:rsidRPr="00DA1FBC">
        <w:t>(b)</w:t>
      </w:r>
      <w:r w:rsidRPr="00DA1FBC">
        <w:tab/>
        <w:t>Asset contingencies include equity contributions to other sectors for capital projects which are included as part of net cash flows from investments in financial assets for policy purposes, rather than purchases of non</w:t>
      </w:r>
      <w:r>
        <w:noBreakHyphen/>
      </w:r>
      <w:r w:rsidRPr="00DA1FBC">
        <w:t>financial assets, on the cash flow statement.</w:t>
      </w:r>
    </w:p>
    <w:p w14:paraId="2EA20C60" w14:textId="77777777" w:rsidR="004135EE" w:rsidRDefault="004135EE" w:rsidP="004135EE">
      <w:pPr>
        <w:pStyle w:val="Note"/>
      </w:pPr>
      <w:r w:rsidRPr="00DA1FBC">
        <w:t>(c)</w:t>
      </w:r>
      <w:r w:rsidRPr="00DA1FBC">
        <w:tab/>
        <w:t>An unallocated provision available for future government asset investment decisions.</w:t>
      </w:r>
    </w:p>
    <w:p w14:paraId="19C18DA1" w14:textId="77777777" w:rsidR="004135EE" w:rsidRPr="001B0431" w:rsidRDefault="004135EE" w:rsidP="004135EE"/>
    <w:p w14:paraId="3163094B" w14:textId="77777777" w:rsidR="004135EE" w:rsidRPr="00DD6232" w:rsidRDefault="004135EE" w:rsidP="004135EE">
      <w:pPr>
        <w:pStyle w:val="Heading30"/>
      </w:pPr>
      <w:bookmarkStart w:id="106" w:name="_Toc149221034"/>
      <w:bookmarkStart w:id="107" w:name="_Toc184299101"/>
      <w:r>
        <w:t>4.3.9</w:t>
      </w:r>
      <w:r>
        <w:tab/>
      </w:r>
      <w:r w:rsidRPr="00DD6232">
        <w:t>Net acquisition of non</w:t>
      </w:r>
      <w:r>
        <w:noBreakHyphen/>
      </w:r>
      <w:r w:rsidRPr="00DD6232">
        <w:t>financial assets from transactions</w:t>
      </w:r>
      <w:r w:rsidRPr="00DD6232">
        <w:tab/>
        <w:t>($ million)</w:t>
      </w:r>
      <w:bookmarkEnd w:id="106"/>
      <w:bookmarkEnd w:id="107"/>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Net_acquisition_NFA|MergedHeadingRow:1"/>
      </w:tblPr>
      <w:tblGrid>
        <w:gridCol w:w="3740"/>
        <w:gridCol w:w="794"/>
        <w:gridCol w:w="794"/>
        <w:gridCol w:w="794"/>
        <w:gridCol w:w="794"/>
        <w:gridCol w:w="794"/>
      </w:tblGrid>
      <w:tr w:rsidR="004135EE" w14:paraId="24905D70"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F6857BD" w14:textId="77777777" w:rsidR="004135EE" w:rsidRDefault="004135EE" w:rsidP="008670FF">
            <w:pPr>
              <w:keepNext/>
            </w:pPr>
          </w:p>
        </w:tc>
        <w:tc>
          <w:tcPr>
            <w:tcW w:w="794" w:type="dxa"/>
          </w:tcPr>
          <w:p w14:paraId="20FAD12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51371A7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4A000C4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7EE38B4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7A6234CC"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090FEF8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15D57BF" w14:textId="3261FDB3" w:rsidR="004135EE" w:rsidRDefault="004135EE" w:rsidP="008670FF">
            <w:r>
              <w:t>Purchases of non</w:t>
            </w:r>
            <w:r>
              <w:noBreakHyphen/>
              <w:t xml:space="preserve">financial assets </w:t>
            </w:r>
            <w:r w:rsidR="007438B5">
              <w:br/>
            </w:r>
            <w:r>
              <w:t>(including change in inventories)</w:t>
            </w:r>
          </w:p>
        </w:tc>
        <w:tc>
          <w:tcPr>
            <w:tcW w:w="794" w:type="dxa"/>
          </w:tcPr>
          <w:p w14:paraId="04FC0DD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17 646</w:t>
            </w:r>
          </w:p>
        </w:tc>
        <w:tc>
          <w:tcPr>
            <w:tcW w:w="794" w:type="dxa"/>
          </w:tcPr>
          <w:p w14:paraId="54AC71B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16 369</w:t>
            </w:r>
          </w:p>
        </w:tc>
        <w:tc>
          <w:tcPr>
            <w:tcW w:w="794" w:type="dxa"/>
          </w:tcPr>
          <w:p w14:paraId="769417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17 647</w:t>
            </w:r>
          </w:p>
        </w:tc>
        <w:tc>
          <w:tcPr>
            <w:tcW w:w="794" w:type="dxa"/>
          </w:tcPr>
          <w:p w14:paraId="2A5E4F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15 567</w:t>
            </w:r>
          </w:p>
        </w:tc>
        <w:tc>
          <w:tcPr>
            <w:tcW w:w="794" w:type="dxa"/>
          </w:tcPr>
          <w:p w14:paraId="7F1CA5C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13 780</w:t>
            </w:r>
          </w:p>
        </w:tc>
      </w:tr>
      <w:tr w:rsidR="004135EE" w14:paraId="5513F8A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364BED2" w14:textId="77777777" w:rsidR="004135EE" w:rsidRDefault="004135EE" w:rsidP="008670FF">
            <w:r>
              <w:t>Less: Sales of non</w:t>
            </w:r>
            <w:r>
              <w:noBreakHyphen/>
              <w:t>financial assets</w:t>
            </w:r>
          </w:p>
        </w:tc>
        <w:tc>
          <w:tcPr>
            <w:tcW w:w="794" w:type="dxa"/>
          </w:tcPr>
          <w:p w14:paraId="0AF961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(677)</w:t>
            </w:r>
          </w:p>
        </w:tc>
        <w:tc>
          <w:tcPr>
            <w:tcW w:w="794" w:type="dxa"/>
          </w:tcPr>
          <w:p w14:paraId="1C23CB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(620)</w:t>
            </w:r>
          </w:p>
        </w:tc>
        <w:tc>
          <w:tcPr>
            <w:tcW w:w="794" w:type="dxa"/>
          </w:tcPr>
          <w:p w14:paraId="2438A3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(1 055)</w:t>
            </w:r>
          </w:p>
        </w:tc>
        <w:tc>
          <w:tcPr>
            <w:tcW w:w="794" w:type="dxa"/>
          </w:tcPr>
          <w:p w14:paraId="2BF485F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(704)</w:t>
            </w:r>
          </w:p>
        </w:tc>
        <w:tc>
          <w:tcPr>
            <w:tcW w:w="794" w:type="dxa"/>
          </w:tcPr>
          <w:p w14:paraId="5EC560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(536)</w:t>
            </w:r>
          </w:p>
        </w:tc>
      </w:tr>
      <w:tr w:rsidR="004135EE" w14:paraId="624C01E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A37C715" w14:textId="77777777" w:rsidR="004135EE" w:rsidRDefault="004135EE" w:rsidP="008670FF">
            <w:r>
              <w:t>Less: Depreciation and amortisation</w:t>
            </w:r>
          </w:p>
        </w:tc>
        <w:tc>
          <w:tcPr>
            <w:tcW w:w="794" w:type="dxa"/>
          </w:tcPr>
          <w:p w14:paraId="48DD60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(5 234)</w:t>
            </w:r>
          </w:p>
        </w:tc>
        <w:tc>
          <w:tcPr>
            <w:tcW w:w="794" w:type="dxa"/>
          </w:tcPr>
          <w:p w14:paraId="6FC609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(5 512)</w:t>
            </w:r>
          </w:p>
        </w:tc>
        <w:tc>
          <w:tcPr>
            <w:tcW w:w="794" w:type="dxa"/>
          </w:tcPr>
          <w:p w14:paraId="1B6A45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(5 840)</w:t>
            </w:r>
          </w:p>
        </w:tc>
        <w:tc>
          <w:tcPr>
            <w:tcW w:w="794" w:type="dxa"/>
          </w:tcPr>
          <w:p w14:paraId="56E7553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(6 040)</w:t>
            </w:r>
          </w:p>
        </w:tc>
        <w:tc>
          <w:tcPr>
            <w:tcW w:w="794" w:type="dxa"/>
          </w:tcPr>
          <w:p w14:paraId="03BC1A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(6 177)</w:t>
            </w:r>
          </w:p>
        </w:tc>
      </w:tr>
      <w:tr w:rsidR="004135EE" w14:paraId="1B7152B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8F2DE61" w14:textId="77777777" w:rsidR="004135EE" w:rsidRDefault="004135EE" w:rsidP="008670FF">
            <w:r>
              <w:t>Less: Other movements in non</w:t>
            </w:r>
            <w:r>
              <w:noBreakHyphen/>
              <w:t>financial assets</w:t>
            </w:r>
            <w:r>
              <w:rPr>
                <w:vertAlign w:val="superscript"/>
              </w:rPr>
              <w:t xml:space="preserve"> (a)(b)(c)</w:t>
            </w:r>
          </w:p>
        </w:tc>
        <w:tc>
          <w:tcPr>
            <w:tcW w:w="794" w:type="dxa"/>
            <w:tcBorders>
              <w:bottom w:val="single" w:sz="6" w:space="0" w:color="auto"/>
            </w:tcBorders>
          </w:tcPr>
          <w:p w14:paraId="3849FD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(2 646)</w:t>
            </w:r>
          </w:p>
        </w:tc>
        <w:tc>
          <w:tcPr>
            <w:tcW w:w="794" w:type="dxa"/>
            <w:tcBorders>
              <w:bottom w:val="single" w:sz="6" w:space="0" w:color="auto"/>
            </w:tcBorders>
          </w:tcPr>
          <w:p w14:paraId="0996299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(2 616)</w:t>
            </w:r>
          </w:p>
        </w:tc>
        <w:tc>
          <w:tcPr>
            <w:tcW w:w="794" w:type="dxa"/>
            <w:tcBorders>
              <w:bottom w:val="single" w:sz="6" w:space="0" w:color="auto"/>
            </w:tcBorders>
          </w:tcPr>
          <w:p w14:paraId="60C692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(19 983)</w:t>
            </w:r>
          </w:p>
        </w:tc>
        <w:tc>
          <w:tcPr>
            <w:tcW w:w="794" w:type="dxa"/>
            <w:tcBorders>
              <w:bottom w:val="single" w:sz="6" w:space="0" w:color="auto"/>
            </w:tcBorders>
          </w:tcPr>
          <w:p w14:paraId="3CE36A2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(942)</w:t>
            </w:r>
          </w:p>
        </w:tc>
        <w:tc>
          <w:tcPr>
            <w:tcW w:w="794" w:type="dxa"/>
            <w:tcBorders>
              <w:bottom w:val="single" w:sz="6" w:space="0" w:color="auto"/>
            </w:tcBorders>
          </w:tcPr>
          <w:p w14:paraId="7B6CE3E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(2 181)</w:t>
            </w:r>
          </w:p>
        </w:tc>
      </w:tr>
      <w:tr w:rsidR="004135EE" w14:paraId="192CBE8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58013DE" w14:textId="77777777" w:rsidR="004135EE" w:rsidRDefault="004135EE" w:rsidP="008670FF">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7D872B7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9 088</w:t>
            </w:r>
          </w:p>
        </w:tc>
        <w:tc>
          <w:tcPr>
            <w:tcW w:w="794" w:type="dxa"/>
            <w:tcBorders>
              <w:top w:val="single" w:sz="6" w:space="0" w:color="auto"/>
              <w:bottom w:val="single" w:sz="12" w:space="0" w:color="auto"/>
            </w:tcBorders>
          </w:tcPr>
          <w:p w14:paraId="459BBC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7 621</w:t>
            </w:r>
          </w:p>
        </w:tc>
        <w:tc>
          <w:tcPr>
            <w:tcW w:w="794" w:type="dxa"/>
            <w:tcBorders>
              <w:top w:val="single" w:sz="6" w:space="0" w:color="auto"/>
              <w:bottom w:val="single" w:sz="12" w:space="0" w:color="auto"/>
            </w:tcBorders>
          </w:tcPr>
          <w:p w14:paraId="029BDBA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(9 232)</w:t>
            </w:r>
          </w:p>
        </w:tc>
        <w:tc>
          <w:tcPr>
            <w:tcW w:w="794" w:type="dxa"/>
            <w:tcBorders>
              <w:top w:val="single" w:sz="6" w:space="0" w:color="auto"/>
              <w:bottom w:val="single" w:sz="12" w:space="0" w:color="auto"/>
            </w:tcBorders>
          </w:tcPr>
          <w:p w14:paraId="3046B5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7 881</w:t>
            </w:r>
          </w:p>
        </w:tc>
        <w:tc>
          <w:tcPr>
            <w:tcW w:w="794" w:type="dxa"/>
            <w:tcBorders>
              <w:top w:val="single" w:sz="6" w:space="0" w:color="auto"/>
              <w:bottom w:val="single" w:sz="12" w:space="0" w:color="auto"/>
            </w:tcBorders>
          </w:tcPr>
          <w:p w14:paraId="23B606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4 886</w:t>
            </w:r>
          </w:p>
        </w:tc>
      </w:tr>
    </w:tbl>
    <w:p w14:paraId="6494FF6D" w14:textId="77777777" w:rsidR="004135EE" w:rsidRPr="00DA1FBC" w:rsidRDefault="004135EE" w:rsidP="004135EE">
      <w:pPr>
        <w:pStyle w:val="Note"/>
      </w:pPr>
      <w:r w:rsidRPr="00DA1FBC">
        <w:t>Notes:</w:t>
      </w:r>
    </w:p>
    <w:p w14:paraId="4317EB03" w14:textId="77777777" w:rsidR="004135EE" w:rsidRPr="00DA1FBC" w:rsidRDefault="004135EE" w:rsidP="004135EE">
      <w:pPr>
        <w:pStyle w:val="Note"/>
      </w:pPr>
      <w:bookmarkStart w:id="108" w:name="_Hlk5278972"/>
      <w:r w:rsidRPr="00DA1FBC">
        <w:t>(a)</w:t>
      </w:r>
      <w:r w:rsidRPr="00DA1FBC">
        <w:tab/>
        <w:t>Other movements in non</w:t>
      </w:r>
      <w:r>
        <w:noBreakHyphen/>
      </w:r>
      <w:r w:rsidRPr="00DA1FBC">
        <w:t>financial assets includes transferring fixed assets to other sectors of government, recognising the right</w:t>
      </w:r>
      <w:r w:rsidRPr="00DA1FBC">
        <w:noBreakHyphen/>
        <w:t>of</w:t>
      </w:r>
      <w:r w:rsidRPr="00DA1FBC">
        <w:noBreakHyphen/>
        <w:t xml:space="preserve">use assets under lease arrangements, and recognising service concession arrangements, including from public private partnerships. </w:t>
      </w:r>
    </w:p>
    <w:bookmarkEnd w:id="108"/>
    <w:p w14:paraId="079FB9F2" w14:textId="2B103C60" w:rsidR="004135EE" w:rsidRPr="00DA1FBC" w:rsidRDefault="004135EE" w:rsidP="004135EE">
      <w:pPr>
        <w:pStyle w:val="Note"/>
      </w:pPr>
      <w:r w:rsidRPr="00DA1FBC">
        <w:t>(b)</w:t>
      </w:r>
      <w:r w:rsidRPr="00DA1FBC">
        <w:tab/>
        <w:t xml:space="preserve">The public private partnerships across the budget and forward estimates relate to the </w:t>
      </w:r>
      <w:r>
        <w:t xml:space="preserve">Frankston Hospital Redevelopment, the </w:t>
      </w:r>
      <w:r w:rsidRPr="00DA1FBC">
        <w:t>High</w:t>
      </w:r>
      <w:r w:rsidR="005C5C20">
        <w:t> </w:t>
      </w:r>
      <w:r w:rsidRPr="00DA1FBC">
        <w:t>Capacity Metro Trains</w:t>
      </w:r>
      <w:r>
        <w:t>,</w:t>
      </w:r>
      <w:r w:rsidRPr="00DA1FBC" w:rsidDel="007B7C20">
        <w:t xml:space="preserve"> </w:t>
      </w:r>
      <w:r w:rsidRPr="00DA1FBC">
        <w:t>the</w:t>
      </w:r>
      <w:r>
        <w:t xml:space="preserve"> </w:t>
      </w:r>
      <w:r w:rsidRPr="00DA1FBC">
        <w:t>Metro</w:t>
      </w:r>
      <w:r>
        <w:t xml:space="preserve"> </w:t>
      </w:r>
      <w:r w:rsidRPr="00DA1FBC">
        <w:t xml:space="preserve">Tunnel, the new Footscray Hospital, </w:t>
      </w:r>
      <w:r>
        <w:t>the new Melton Hospital, the Nyaal Banyul Geelong Convention and Event Centre, and the West Gate Tunnel.</w:t>
      </w:r>
    </w:p>
    <w:p w14:paraId="2E229A4C" w14:textId="215588B5" w:rsidR="004135EE" w:rsidRPr="00DA1FBC" w:rsidRDefault="004135EE" w:rsidP="005C5C20">
      <w:pPr>
        <w:pStyle w:val="Note"/>
      </w:pPr>
      <w:r>
        <w:t>(c)</w:t>
      </w:r>
      <w:r>
        <w:tab/>
        <w:t xml:space="preserve">The </w:t>
      </w:r>
      <w:r w:rsidRPr="00C56A60">
        <w:rPr>
          <w:iCs/>
        </w:rPr>
        <w:t>movement in 2025-26 primarily reflects the transfer of the Metro Tunnel assets from the Department of Transport and</w:t>
      </w:r>
      <w:r w:rsidR="005C5C20">
        <w:rPr>
          <w:iCs/>
        </w:rPr>
        <w:t xml:space="preserve"> </w:t>
      </w:r>
      <w:r w:rsidRPr="00C56A60">
        <w:rPr>
          <w:iCs/>
        </w:rPr>
        <w:t>Planning in the general government sector to VicTrack in the public non-financial corporations sector upon its completion.</w:t>
      </w:r>
    </w:p>
    <w:bookmarkEnd w:id="90"/>
    <w:p w14:paraId="00861D2C" w14:textId="2280993C" w:rsidR="004135EE" w:rsidRDefault="004135EE" w:rsidP="0097358A">
      <w:pPr>
        <w:pStyle w:val="Heading2"/>
        <w:pageBreakBefore/>
      </w:pPr>
      <w:r w:rsidRPr="00890874">
        <w:t>MAJOR ASSETS AND INVESTMENTS</w:t>
      </w:r>
    </w:p>
    <w:p w14:paraId="4E4DC2F0" w14:textId="77777777" w:rsidR="00A9612C" w:rsidRDefault="00A9612C" w:rsidP="004135EE">
      <w:pPr>
        <w:pStyle w:val="Heading30"/>
        <w:sectPr w:rsidR="00A9612C" w:rsidSect="00A12B31">
          <w:type w:val="continuous"/>
          <w:pgSz w:w="9979" w:h="14175" w:code="34"/>
          <w:pgMar w:top="1134" w:right="1134" w:bottom="1134" w:left="1134" w:header="624" w:footer="567" w:gutter="0"/>
          <w:cols w:space="708"/>
          <w:docGrid w:linePitch="360"/>
        </w:sectPr>
      </w:pPr>
    </w:p>
    <w:p w14:paraId="3419C001" w14:textId="77777777" w:rsidR="004135EE" w:rsidRPr="00CB3BFE" w:rsidRDefault="004135EE" w:rsidP="004135EE">
      <w:pPr>
        <w:pStyle w:val="Heading30"/>
      </w:pPr>
      <w:r w:rsidRPr="00890874">
        <w:t>Introduction</w:t>
      </w:r>
    </w:p>
    <w:p w14:paraId="5AE7C7D8" w14:textId="77777777" w:rsidR="004135EE" w:rsidRDefault="004135EE" w:rsidP="004135EE">
      <w:r>
        <w:t xml:space="preserve">This </w:t>
      </w:r>
      <w:r w:rsidRPr="00890874">
        <w:t>section</w:t>
      </w:r>
      <w:r>
        <w:t xml:space="preserve"> outlines the major assets that the general government sector controls </w:t>
      </w:r>
      <w:r w:rsidRPr="00CB3BFE">
        <w:t>reflecting</w:t>
      </w:r>
      <w:r>
        <w:t xml:space="preserve"> investing activities in the previous year, current year and future years.</w:t>
      </w:r>
    </w:p>
    <w:p w14:paraId="657641E3" w14:textId="44B059FA" w:rsidR="00A9612C" w:rsidRDefault="00A9612C" w:rsidP="00A9612C">
      <w:pPr>
        <w:pStyle w:val="Heading30"/>
      </w:pPr>
      <w:r>
        <w:br w:type="column"/>
        <w:t>Structure</w:t>
      </w:r>
    </w:p>
    <w:p w14:paraId="75B628F7" w14:textId="5AEB934E" w:rsidR="00A9612C" w:rsidRDefault="00A9612C">
      <w:pPr>
        <w:pStyle w:val="TOC9"/>
        <w:rPr>
          <w:rFonts w:eastAsiaTheme="minorEastAsia"/>
          <w:noProof/>
          <w:kern w:val="2"/>
          <w:sz w:val="24"/>
          <w:szCs w:val="24"/>
          <w:lang w:eastAsia="en-AU"/>
          <w14:ligatures w14:val="standardContextual"/>
        </w:rPr>
      </w:pPr>
      <w:r>
        <w:fldChar w:fldCharType="begin"/>
      </w:r>
      <w:r>
        <w:instrText xml:space="preserve"> TOC \h \z \t "Heading 3,9" \b "Section_4_4" </w:instrText>
      </w:r>
      <w:r>
        <w:fldChar w:fldCharType="separate"/>
      </w:r>
      <w:hyperlink w:anchor="_Toc184299152" w:history="1">
        <w:r w:rsidRPr="00A76EF3">
          <w:rPr>
            <w:rStyle w:val="Hyperlink"/>
            <w:noProof/>
          </w:rPr>
          <w:t>4.4.1</w:t>
        </w:r>
        <w:r>
          <w:rPr>
            <w:rFonts w:eastAsiaTheme="minorEastAsia"/>
            <w:noProof/>
            <w:kern w:val="2"/>
            <w:sz w:val="24"/>
            <w:szCs w:val="24"/>
            <w:lang w:eastAsia="en-AU"/>
            <w14:ligatures w14:val="standardContextual"/>
          </w:rPr>
          <w:tab/>
        </w:r>
        <w:r w:rsidRPr="00A76EF3">
          <w:rPr>
            <w:rStyle w:val="Hyperlink"/>
            <w:noProof/>
          </w:rPr>
          <w:t>Total land, buildings, infrastructure, plant and equipment</w:t>
        </w:r>
        <w:r>
          <w:rPr>
            <w:noProof/>
            <w:webHidden/>
          </w:rPr>
          <w:tab/>
        </w:r>
        <w:r>
          <w:rPr>
            <w:noProof/>
            <w:webHidden/>
          </w:rPr>
          <w:fldChar w:fldCharType="begin"/>
        </w:r>
        <w:r>
          <w:rPr>
            <w:noProof/>
            <w:webHidden/>
          </w:rPr>
          <w:instrText xml:space="preserve"> PAGEREF _Toc184299152 \h </w:instrText>
        </w:r>
        <w:r>
          <w:rPr>
            <w:noProof/>
            <w:webHidden/>
          </w:rPr>
        </w:r>
        <w:r>
          <w:rPr>
            <w:noProof/>
            <w:webHidden/>
          </w:rPr>
          <w:fldChar w:fldCharType="separate"/>
        </w:r>
        <w:r w:rsidR="00DE43C4">
          <w:rPr>
            <w:noProof/>
            <w:webHidden/>
          </w:rPr>
          <w:t>73</w:t>
        </w:r>
        <w:r>
          <w:rPr>
            <w:noProof/>
            <w:webHidden/>
          </w:rPr>
          <w:fldChar w:fldCharType="end"/>
        </w:r>
      </w:hyperlink>
    </w:p>
    <w:p w14:paraId="684E8197" w14:textId="155B617A" w:rsidR="00A9612C" w:rsidRDefault="00A9612C">
      <w:pPr>
        <w:pStyle w:val="TOC9"/>
        <w:rPr>
          <w:rFonts w:eastAsiaTheme="minorEastAsia"/>
          <w:noProof/>
          <w:kern w:val="2"/>
          <w:sz w:val="24"/>
          <w:szCs w:val="24"/>
          <w:lang w:eastAsia="en-AU"/>
          <w14:ligatures w14:val="standardContextual"/>
        </w:rPr>
      </w:pPr>
      <w:hyperlink w:anchor="_Toc184299153" w:history="1">
        <w:r w:rsidRPr="00A76EF3">
          <w:rPr>
            <w:rStyle w:val="Hyperlink"/>
            <w:noProof/>
          </w:rPr>
          <w:t>4.4.2</w:t>
        </w:r>
        <w:r>
          <w:rPr>
            <w:rFonts w:eastAsiaTheme="minorEastAsia"/>
            <w:noProof/>
            <w:kern w:val="2"/>
            <w:sz w:val="24"/>
            <w:szCs w:val="24"/>
            <w:lang w:eastAsia="en-AU"/>
            <w14:ligatures w14:val="standardContextual"/>
          </w:rPr>
          <w:tab/>
        </w:r>
        <w:r w:rsidRPr="00A76EF3">
          <w:rPr>
            <w:rStyle w:val="Hyperlink"/>
            <w:noProof/>
          </w:rPr>
          <w:t>Depreciation</w:t>
        </w:r>
        <w:r>
          <w:rPr>
            <w:noProof/>
            <w:webHidden/>
          </w:rPr>
          <w:tab/>
        </w:r>
        <w:r>
          <w:rPr>
            <w:noProof/>
            <w:webHidden/>
          </w:rPr>
          <w:fldChar w:fldCharType="begin"/>
        </w:r>
        <w:r>
          <w:rPr>
            <w:noProof/>
            <w:webHidden/>
          </w:rPr>
          <w:instrText xml:space="preserve"> PAGEREF _Toc184299153 \h </w:instrText>
        </w:r>
        <w:r>
          <w:rPr>
            <w:noProof/>
            <w:webHidden/>
          </w:rPr>
        </w:r>
        <w:r>
          <w:rPr>
            <w:noProof/>
            <w:webHidden/>
          </w:rPr>
          <w:fldChar w:fldCharType="separate"/>
        </w:r>
        <w:r w:rsidR="00DE43C4">
          <w:rPr>
            <w:noProof/>
            <w:webHidden/>
          </w:rPr>
          <w:t>75</w:t>
        </w:r>
        <w:r>
          <w:rPr>
            <w:noProof/>
            <w:webHidden/>
          </w:rPr>
          <w:fldChar w:fldCharType="end"/>
        </w:r>
      </w:hyperlink>
    </w:p>
    <w:p w14:paraId="26CE736B" w14:textId="29A8D4AC" w:rsidR="00A9612C" w:rsidRDefault="00A9612C">
      <w:pPr>
        <w:pStyle w:val="TOC9"/>
        <w:rPr>
          <w:rFonts w:eastAsiaTheme="minorEastAsia"/>
          <w:noProof/>
          <w:kern w:val="2"/>
          <w:sz w:val="24"/>
          <w:szCs w:val="24"/>
          <w:lang w:eastAsia="en-AU"/>
          <w14:ligatures w14:val="standardContextual"/>
        </w:rPr>
      </w:pPr>
      <w:hyperlink w:anchor="_Toc184299154" w:history="1">
        <w:r w:rsidRPr="00A76EF3">
          <w:rPr>
            <w:rStyle w:val="Hyperlink"/>
            <w:noProof/>
          </w:rPr>
          <w:t>4.4.3</w:t>
        </w:r>
        <w:r>
          <w:rPr>
            <w:rFonts w:eastAsiaTheme="minorEastAsia"/>
            <w:noProof/>
            <w:kern w:val="2"/>
            <w:sz w:val="24"/>
            <w:szCs w:val="24"/>
            <w:lang w:eastAsia="en-AU"/>
            <w14:ligatures w14:val="standardContextual"/>
          </w:rPr>
          <w:tab/>
        </w:r>
        <w:r w:rsidRPr="00A76EF3">
          <w:rPr>
            <w:rStyle w:val="Hyperlink"/>
            <w:noProof/>
          </w:rPr>
          <w:t>Reconciliation of movements in land, buildings, infrastructure,  plant and equipment</w:t>
        </w:r>
        <w:r>
          <w:rPr>
            <w:noProof/>
            <w:webHidden/>
          </w:rPr>
          <w:tab/>
        </w:r>
        <w:r>
          <w:rPr>
            <w:noProof/>
            <w:webHidden/>
          </w:rPr>
          <w:fldChar w:fldCharType="begin"/>
        </w:r>
        <w:r>
          <w:rPr>
            <w:noProof/>
            <w:webHidden/>
          </w:rPr>
          <w:instrText xml:space="preserve"> PAGEREF _Toc184299154 \h </w:instrText>
        </w:r>
        <w:r>
          <w:rPr>
            <w:noProof/>
            <w:webHidden/>
          </w:rPr>
        </w:r>
        <w:r>
          <w:rPr>
            <w:noProof/>
            <w:webHidden/>
          </w:rPr>
          <w:fldChar w:fldCharType="separate"/>
        </w:r>
        <w:r w:rsidR="00DE43C4">
          <w:rPr>
            <w:noProof/>
            <w:webHidden/>
          </w:rPr>
          <w:t>76</w:t>
        </w:r>
        <w:r>
          <w:rPr>
            <w:noProof/>
            <w:webHidden/>
          </w:rPr>
          <w:fldChar w:fldCharType="end"/>
        </w:r>
      </w:hyperlink>
    </w:p>
    <w:p w14:paraId="592EA97C" w14:textId="34ACD29C" w:rsidR="00A9612C" w:rsidRDefault="00A9612C">
      <w:pPr>
        <w:pStyle w:val="TOC9"/>
        <w:rPr>
          <w:rFonts w:eastAsiaTheme="minorEastAsia"/>
          <w:noProof/>
          <w:kern w:val="2"/>
          <w:sz w:val="24"/>
          <w:szCs w:val="24"/>
          <w:lang w:eastAsia="en-AU"/>
          <w14:ligatures w14:val="standardContextual"/>
        </w:rPr>
      </w:pPr>
      <w:hyperlink w:anchor="_Toc184299155" w:history="1">
        <w:r w:rsidRPr="00A76EF3">
          <w:rPr>
            <w:rStyle w:val="Hyperlink"/>
            <w:noProof/>
          </w:rPr>
          <w:t>4.4.4</w:t>
        </w:r>
        <w:r>
          <w:rPr>
            <w:rFonts w:eastAsiaTheme="minorEastAsia"/>
            <w:noProof/>
            <w:kern w:val="2"/>
            <w:sz w:val="24"/>
            <w:szCs w:val="24"/>
            <w:lang w:eastAsia="en-AU"/>
            <w14:ligatures w14:val="standardContextual"/>
          </w:rPr>
          <w:tab/>
        </w:r>
        <w:r w:rsidRPr="00A76EF3">
          <w:rPr>
            <w:rStyle w:val="Hyperlink"/>
            <w:noProof/>
          </w:rPr>
          <w:t>Other non</w:t>
        </w:r>
        <w:r w:rsidRPr="00A76EF3">
          <w:rPr>
            <w:rStyle w:val="Hyperlink"/>
            <w:noProof/>
          </w:rPr>
          <w:noBreakHyphen/>
          <w:t>financial assets</w:t>
        </w:r>
        <w:r>
          <w:rPr>
            <w:noProof/>
            <w:webHidden/>
          </w:rPr>
          <w:tab/>
        </w:r>
        <w:r>
          <w:rPr>
            <w:noProof/>
            <w:webHidden/>
          </w:rPr>
          <w:fldChar w:fldCharType="begin"/>
        </w:r>
        <w:r>
          <w:rPr>
            <w:noProof/>
            <w:webHidden/>
          </w:rPr>
          <w:instrText xml:space="preserve"> PAGEREF _Toc184299155 \h </w:instrText>
        </w:r>
        <w:r>
          <w:rPr>
            <w:noProof/>
            <w:webHidden/>
          </w:rPr>
        </w:r>
        <w:r>
          <w:rPr>
            <w:noProof/>
            <w:webHidden/>
          </w:rPr>
          <w:fldChar w:fldCharType="separate"/>
        </w:r>
        <w:r w:rsidR="00DE43C4">
          <w:rPr>
            <w:noProof/>
            <w:webHidden/>
          </w:rPr>
          <w:t>76</w:t>
        </w:r>
        <w:r>
          <w:rPr>
            <w:noProof/>
            <w:webHidden/>
          </w:rPr>
          <w:fldChar w:fldCharType="end"/>
        </w:r>
      </w:hyperlink>
    </w:p>
    <w:p w14:paraId="6E28DD2D" w14:textId="759E09EB" w:rsidR="00A9612C" w:rsidRDefault="00A9612C">
      <w:pPr>
        <w:pStyle w:val="TOC9"/>
        <w:rPr>
          <w:rFonts w:eastAsiaTheme="minorEastAsia"/>
          <w:noProof/>
          <w:kern w:val="2"/>
          <w:sz w:val="24"/>
          <w:szCs w:val="24"/>
          <w:lang w:eastAsia="en-AU"/>
          <w14:ligatures w14:val="standardContextual"/>
        </w:rPr>
      </w:pPr>
      <w:hyperlink w:anchor="_Toc184299156" w:history="1">
        <w:r w:rsidRPr="00A76EF3">
          <w:rPr>
            <w:rStyle w:val="Hyperlink"/>
            <w:noProof/>
          </w:rPr>
          <w:t>4.4.5</w:t>
        </w:r>
        <w:r>
          <w:rPr>
            <w:rFonts w:eastAsiaTheme="minorEastAsia"/>
            <w:noProof/>
            <w:kern w:val="2"/>
            <w:sz w:val="24"/>
            <w:szCs w:val="24"/>
            <w:lang w:eastAsia="en-AU"/>
            <w14:ligatures w14:val="standardContextual"/>
          </w:rPr>
          <w:tab/>
        </w:r>
        <w:r w:rsidRPr="00A76EF3">
          <w:rPr>
            <w:rStyle w:val="Hyperlink"/>
            <w:noProof/>
          </w:rPr>
          <w:t xml:space="preserve">Total assets by classification of </w:t>
        </w:r>
        <w:r w:rsidR="00DE43C4">
          <w:rPr>
            <w:rStyle w:val="Hyperlink"/>
            <w:noProof/>
          </w:rPr>
          <w:br/>
        </w:r>
        <w:r w:rsidRPr="00A76EF3">
          <w:rPr>
            <w:rStyle w:val="Hyperlink"/>
            <w:noProof/>
          </w:rPr>
          <w:t>the functions of government</w:t>
        </w:r>
        <w:r>
          <w:rPr>
            <w:noProof/>
            <w:webHidden/>
          </w:rPr>
          <w:tab/>
        </w:r>
        <w:r>
          <w:rPr>
            <w:noProof/>
            <w:webHidden/>
          </w:rPr>
          <w:fldChar w:fldCharType="begin"/>
        </w:r>
        <w:r>
          <w:rPr>
            <w:noProof/>
            <w:webHidden/>
          </w:rPr>
          <w:instrText xml:space="preserve"> PAGEREF _Toc184299156 \h </w:instrText>
        </w:r>
        <w:r>
          <w:rPr>
            <w:noProof/>
            <w:webHidden/>
          </w:rPr>
        </w:r>
        <w:r>
          <w:rPr>
            <w:noProof/>
            <w:webHidden/>
          </w:rPr>
          <w:fldChar w:fldCharType="separate"/>
        </w:r>
        <w:r w:rsidR="00DE43C4">
          <w:rPr>
            <w:noProof/>
            <w:webHidden/>
          </w:rPr>
          <w:t>77</w:t>
        </w:r>
        <w:r>
          <w:rPr>
            <w:noProof/>
            <w:webHidden/>
          </w:rPr>
          <w:fldChar w:fldCharType="end"/>
        </w:r>
      </w:hyperlink>
    </w:p>
    <w:p w14:paraId="30B9ED1A" w14:textId="5F4333E4" w:rsidR="00A9612C" w:rsidRDefault="00A9612C">
      <w:pPr>
        <w:pStyle w:val="TOC9"/>
        <w:rPr>
          <w:rFonts w:eastAsiaTheme="minorEastAsia"/>
          <w:noProof/>
          <w:kern w:val="2"/>
          <w:sz w:val="24"/>
          <w:szCs w:val="24"/>
          <w:lang w:eastAsia="en-AU"/>
          <w14:ligatures w14:val="standardContextual"/>
        </w:rPr>
      </w:pPr>
      <w:hyperlink w:anchor="_Toc184299157" w:history="1">
        <w:r w:rsidRPr="00A76EF3">
          <w:rPr>
            <w:rStyle w:val="Hyperlink"/>
            <w:noProof/>
          </w:rPr>
          <w:t>4.4.6</w:t>
        </w:r>
        <w:r>
          <w:rPr>
            <w:rFonts w:eastAsiaTheme="minorEastAsia"/>
            <w:noProof/>
            <w:kern w:val="2"/>
            <w:sz w:val="24"/>
            <w:szCs w:val="24"/>
            <w:lang w:eastAsia="en-AU"/>
            <w14:ligatures w14:val="standardContextual"/>
          </w:rPr>
          <w:tab/>
        </w:r>
        <w:r w:rsidRPr="00A76EF3">
          <w:rPr>
            <w:rStyle w:val="Hyperlink"/>
            <w:noProof/>
          </w:rPr>
          <w:t xml:space="preserve">Investments in other sector </w:t>
        </w:r>
        <w:r>
          <w:rPr>
            <w:rStyle w:val="Hyperlink"/>
            <w:noProof/>
          </w:rPr>
          <w:br/>
        </w:r>
        <w:r w:rsidRPr="00A76EF3">
          <w:rPr>
            <w:rStyle w:val="Hyperlink"/>
            <w:noProof/>
          </w:rPr>
          <w:t>entities</w:t>
        </w:r>
        <w:r>
          <w:rPr>
            <w:noProof/>
            <w:webHidden/>
          </w:rPr>
          <w:tab/>
        </w:r>
        <w:r>
          <w:rPr>
            <w:noProof/>
            <w:webHidden/>
          </w:rPr>
          <w:fldChar w:fldCharType="begin"/>
        </w:r>
        <w:r>
          <w:rPr>
            <w:noProof/>
            <w:webHidden/>
          </w:rPr>
          <w:instrText xml:space="preserve"> PAGEREF _Toc184299157 \h </w:instrText>
        </w:r>
        <w:r>
          <w:rPr>
            <w:noProof/>
            <w:webHidden/>
          </w:rPr>
        </w:r>
        <w:r>
          <w:rPr>
            <w:noProof/>
            <w:webHidden/>
          </w:rPr>
          <w:fldChar w:fldCharType="separate"/>
        </w:r>
        <w:r w:rsidR="00DE43C4">
          <w:rPr>
            <w:noProof/>
            <w:webHidden/>
          </w:rPr>
          <w:t>77</w:t>
        </w:r>
        <w:r>
          <w:rPr>
            <w:noProof/>
            <w:webHidden/>
          </w:rPr>
          <w:fldChar w:fldCharType="end"/>
        </w:r>
      </w:hyperlink>
    </w:p>
    <w:p w14:paraId="60311C1B" w14:textId="0B04BA12" w:rsidR="00A9612C" w:rsidRDefault="00A9612C" w:rsidP="004135EE">
      <w:r>
        <w:fldChar w:fldCharType="end"/>
      </w:r>
      <w:bookmarkStart w:id="109" w:name="_Toc149221055"/>
      <w:bookmarkStart w:id="110" w:name="Section_4_4"/>
    </w:p>
    <w:p w14:paraId="20C93A89" w14:textId="77777777" w:rsidR="00A9612C" w:rsidRDefault="00A9612C" w:rsidP="004135EE"/>
    <w:p w14:paraId="183C4DCD" w14:textId="77777777" w:rsidR="00A9612C" w:rsidRDefault="00A9612C" w:rsidP="004135EE">
      <w:pPr>
        <w:pStyle w:val="Heading30"/>
        <w:sectPr w:rsidR="00A9612C" w:rsidSect="00A9612C">
          <w:type w:val="continuous"/>
          <w:pgSz w:w="9979" w:h="14175" w:code="34"/>
          <w:pgMar w:top="1134" w:right="1134" w:bottom="1134" w:left="1134" w:header="624" w:footer="567" w:gutter="0"/>
          <w:cols w:num="2" w:space="708"/>
          <w:docGrid w:linePitch="360"/>
        </w:sectPr>
      </w:pPr>
    </w:p>
    <w:p w14:paraId="08EA9AE0" w14:textId="77777777" w:rsidR="004135EE" w:rsidRPr="007946A4" w:rsidRDefault="004135EE" w:rsidP="004135EE">
      <w:pPr>
        <w:pStyle w:val="Heading30"/>
      </w:pPr>
      <w:bookmarkStart w:id="111" w:name="_Toc184299152"/>
      <w:r>
        <w:t>4.4.1</w:t>
      </w:r>
      <w:r>
        <w:tab/>
      </w:r>
      <w:r w:rsidRPr="007946A4">
        <w:t xml:space="preserve">Total land, buildings, infrastructure, plant and equipment </w:t>
      </w:r>
      <w:r w:rsidRPr="007946A4">
        <w:rPr>
          <w:vertAlign w:val="superscript"/>
        </w:rPr>
        <w:t>(a)</w:t>
      </w:r>
      <w:r w:rsidRPr="007946A4">
        <w:tab/>
        <w:t>($ million)</w:t>
      </w:r>
      <w:bookmarkEnd w:id="109"/>
      <w:bookmarkEnd w:id="111"/>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Land_buildings_infrastructure|MergedHeadingRow:1"/>
      </w:tblPr>
      <w:tblGrid>
        <w:gridCol w:w="3740"/>
        <w:gridCol w:w="794"/>
        <w:gridCol w:w="794"/>
        <w:gridCol w:w="794"/>
        <w:gridCol w:w="794"/>
        <w:gridCol w:w="794"/>
      </w:tblGrid>
      <w:tr w:rsidR="004135EE" w14:paraId="7B69E41F"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B4446AA" w14:textId="77777777" w:rsidR="004135EE" w:rsidRDefault="004135EE" w:rsidP="008670FF">
            <w:pPr>
              <w:keepNext/>
            </w:pPr>
          </w:p>
        </w:tc>
        <w:tc>
          <w:tcPr>
            <w:tcW w:w="794" w:type="dxa"/>
          </w:tcPr>
          <w:p w14:paraId="75579F9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3D91D6F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1EF0B8A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13E84F8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523FFA1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5FE7E48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617A11" w14:textId="77777777" w:rsidR="004135EE" w:rsidRDefault="004135EE" w:rsidP="008670FF">
            <w:r>
              <w:t>Buildings</w:t>
            </w:r>
          </w:p>
        </w:tc>
        <w:tc>
          <w:tcPr>
            <w:tcW w:w="794" w:type="dxa"/>
          </w:tcPr>
          <w:p w14:paraId="3E949A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72 091</w:t>
            </w:r>
          </w:p>
        </w:tc>
        <w:tc>
          <w:tcPr>
            <w:tcW w:w="794" w:type="dxa"/>
          </w:tcPr>
          <w:p w14:paraId="6608F54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70 606</w:t>
            </w:r>
          </w:p>
        </w:tc>
        <w:tc>
          <w:tcPr>
            <w:tcW w:w="794" w:type="dxa"/>
          </w:tcPr>
          <w:p w14:paraId="00B77E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78 463</w:t>
            </w:r>
          </w:p>
        </w:tc>
        <w:tc>
          <w:tcPr>
            <w:tcW w:w="794" w:type="dxa"/>
          </w:tcPr>
          <w:p w14:paraId="1A7A65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82 000</w:t>
            </w:r>
          </w:p>
        </w:tc>
        <w:tc>
          <w:tcPr>
            <w:tcW w:w="794" w:type="dxa"/>
          </w:tcPr>
          <w:p w14:paraId="6481BA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84 487</w:t>
            </w:r>
          </w:p>
        </w:tc>
      </w:tr>
      <w:tr w:rsidR="004135EE" w14:paraId="2B01CBD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E3640D1" w14:textId="77777777" w:rsidR="004135EE" w:rsidRDefault="004135EE" w:rsidP="008670FF">
            <w:r>
              <w:t>Land and national parks</w:t>
            </w:r>
          </w:p>
        </w:tc>
        <w:tc>
          <w:tcPr>
            <w:tcW w:w="794" w:type="dxa"/>
          </w:tcPr>
          <w:p w14:paraId="626179D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98 891</w:t>
            </w:r>
          </w:p>
        </w:tc>
        <w:tc>
          <w:tcPr>
            <w:tcW w:w="794" w:type="dxa"/>
          </w:tcPr>
          <w:p w14:paraId="508C779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98 331</w:t>
            </w:r>
          </w:p>
        </w:tc>
        <w:tc>
          <w:tcPr>
            <w:tcW w:w="794" w:type="dxa"/>
          </w:tcPr>
          <w:p w14:paraId="37D3A1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99 215</w:t>
            </w:r>
          </w:p>
        </w:tc>
        <w:tc>
          <w:tcPr>
            <w:tcW w:w="794" w:type="dxa"/>
          </w:tcPr>
          <w:p w14:paraId="4CDC5C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102 798</w:t>
            </w:r>
          </w:p>
        </w:tc>
        <w:tc>
          <w:tcPr>
            <w:tcW w:w="794" w:type="dxa"/>
          </w:tcPr>
          <w:p w14:paraId="3CD74F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109 792</w:t>
            </w:r>
          </w:p>
        </w:tc>
      </w:tr>
      <w:tr w:rsidR="004135EE" w14:paraId="40EBB60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EF6EB6C" w14:textId="77777777" w:rsidR="004135EE" w:rsidRDefault="004135EE" w:rsidP="008670FF">
            <w:r>
              <w:t>Infrastructure</w:t>
            </w:r>
            <w:r>
              <w:rPr>
                <w:vertAlign w:val="superscript"/>
              </w:rPr>
              <w:t xml:space="preserve"> (b)</w:t>
            </w:r>
          </w:p>
        </w:tc>
        <w:tc>
          <w:tcPr>
            <w:tcW w:w="794" w:type="dxa"/>
          </w:tcPr>
          <w:p w14:paraId="61B27E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33 698</w:t>
            </w:r>
          </w:p>
        </w:tc>
        <w:tc>
          <w:tcPr>
            <w:tcW w:w="794" w:type="dxa"/>
          </w:tcPr>
          <w:p w14:paraId="1799AC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35 263</w:t>
            </w:r>
          </w:p>
        </w:tc>
        <w:tc>
          <w:tcPr>
            <w:tcW w:w="794" w:type="dxa"/>
          </w:tcPr>
          <w:p w14:paraId="7D827C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20 063</w:t>
            </w:r>
          </w:p>
        </w:tc>
        <w:tc>
          <w:tcPr>
            <w:tcW w:w="794" w:type="dxa"/>
          </w:tcPr>
          <w:p w14:paraId="11F8E76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23 066</w:t>
            </w:r>
          </w:p>
        </w:tc>
        <w:tc>
          <w:tcPr>
            <w:tcW w:w="794" w:type="dxa"/>
          </w:tcPr>
          <w:p w14:paraId="14D16A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26 682</w:t>
            </w:r>
          </w:p>
        </w:tc>
      </w:tr>
      <w:tr w:rsidR="004135EE" w14:paraId="2CF95EC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DB3F940" w14:textId="77777777" w:rsidR="004135EE" w:rsidRDefault="004135EE" w:rsidP="008670FF">
            <w:r>
              <w:t>Plant, equipment and vehicles</w:t>
            </w:r>
          </w:p>
        </w:tc>
        <w:tc>
          <w:tcPr>
            <w:tcW w:w="794" w:type="dxa"/>
          </w:tcPr>
          <w:p w14:paraId="6C6DCEA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6 762</w:t>
            </w:r>
          </w:p>
        </w:tc>
        <w:tc>
          <w:tcPr>
            <w:tcW w:w="794" w:type="dxa"/>
          </w:tcPr>
          <w:p w14:paraId="4B9D1A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6 866</w:t>
            </w:r>
          </w:p>
        </w:tc>
        <w:tc>
          <w:tcPr>
            <w:tcW w:w="794" w:type="dxa"/>
          </w:tcPr>
          <w:p w14:paraId="650EB8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7 032</w:t>
            </w:r>
          </w:p>
        </w:tc>
        <w:tc>
          <w:tcPr>
            <w:tcW w:w="794" w:type="dxa"/>
          </w:tcPr>
          <w:p w14:paraId="00BE82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6 350</w:t>
            </w:r>
          </w:p>
        </w:tc>
        <w:tc>
          <w:tcPr>
            <w:tcW w:w="794" w:type="dxa"/>
          </w:tcPr>
          <w:p w14:paraId="279F7FD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3 617</w:t>
            </w:r>
          </w:p>
        </w:tc>
      </w:tr>
      <w:tr w:rsidR="004135EE" w14:paraId="2E4ADFF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5B62304" w14:textId="77777777" w:rsidR="004135EE" w:rsidRDefault="004135EE" w:rsidP="008670FF">
            <w:r>
              <w:t>Roads and road infrastructure</w:t>
            </w:r>
          </w:p>
        </w:tc>
        <w:tc>
          <w:tcPr>
            <w:tcW w:w="794" w:type="dxa"/>
          </w:tcPr>
          <w:p w14:paraId="676A386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54 885</w:t>
            </w:r>
          </w:p>
        </w:tc>
        <w:tc>
          <w:tcPr>
            <w:tcW w:w="794" w:type="dxa"/>
          </w:tcPr>
          <w:p w14:paraId="710328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53 451</w:t>
            </w:r>
          </w:p>
        </w:tc>
        <w:tc>
          <w:tcPr>
            <w:tcW w:w="794" w:type="dxa"/>
          </w:tcPr>
          <w:p w14:paraId="213889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58 271</w:t>
            </w:r>
          </w:p>
        </w:tc>
        <w:tc>
          <w:tcPr>
            <w:tcW w:w="794" w:type="dxa"/>
          </w:tcPr>
          <w:p w14:paraId="10EFEA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62 371</w:t>
            </w:r>
          </w:p>
        </w:tc>
        <w:tc>
          <w:tcPr>
            <w:tcW w:w="794" w:type="dxa"/>
          </w:tcPr>
          <w:p w14:paraId="5EF9C0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65 343</w:t>
            </w:r>
          </w:p>
        </w:tc>
      </w:tr>
      <w:tr w:rsidR="004135EE" w14:paraId="6BBB12F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97FB824" w14:textId="77777777" w:rsidR="004135EE" w:rsidRDefault="004135EE" w:rsidP="008670FF">
            <w:r>
              <w:t>Earthworks</w:t>
            </w:r>
          </w:p>
        </w:tc>
        <w:tc>
          <w:tcPr>
            <w:tcW w:w="794" w:type="dxa"/>
          </w:tcPr>
          <w:p w14:paraId="03C7FE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12 456</w:t>
            </w:r>
          </w:p>
        </w:tc>
        <w:tc>
          <w:tcPr>
            <w:tcW w:w="794" w:type="dxa"/>
          </w:tcPr>
          <w:p w14:paraId="2A80B0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12 456</w:t>
            </w:r>
          </w:p>
        </w:tc>
        <w:tc>
          <w:tcPr>
            <w:tcW w:w="794" w:type="dxa"/>
          </w:tcPr>
          <w:p w14:paraId="261105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12 468</w:t>
            </w:r>
          </w:p>
        </w:tc>
        <w:tc>
          <w:tcPr>
            <w:tcW w:w="794" w:type="dxa"/>
          </w:tcPr>
          <w:p w14:paraId="7618C4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12 480</w:t>
            </w:r>
          </w:p>
        </w:tc>
        <w:tc>
          <w:tcPr>
            <w:tcW w:w="794" w:type="dxa"/>
          </w:tcPr>
          <w:p w14:paraId="2F36FE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12 492</w:t>
            </w:r>
          </w:p>
        </w:tc>
      </w:tr>
      <w:tr w:rsidR="004135EE" w14:paraId="63B1F88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2D2E307" w14:textId="77777777" w:rsidR="004135EE" w:rsidRDefault="004135EE" w:rsidP="008670FF">
            <w:r>
              <w:t>Cultural assets</w:t>
            </w:r>
          </w:p>
        </w:tc>
        <w:tc>
          <w:tcPr>
            <w:tcW w:w="794" w:type="dxa"/>
            <w:tcBorders>
              <w:bottom w:val="single" w:sz="6" w:space="0" w:color="auto"/>
            </w:tcBorders>
          </w:tcPr>
          <w:p w14:paraId="6F5C22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6 934</w:t>
            </w:r>
          </w:p>
        </w:tc>
        <w:tc>
          <w:tcPr>
            <w:tcW w:w="794" w:type="dxa"/>
            <w:tcBorders>
              <w:bottom w:val="single" w:sz="6" w:space="0" w:color="auto"/>
            </w:tcBorders>
          </w:tcPr>
          <w:p w14:paraId="3CA9AFA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6 934</w:t>
            </w:r>
          </w:p>
        </w:tc>
        <w:tc>
          <w:tcPr>
            <w:tcW w:w="794" w:type="dxa"/>
            <w:tcBorders>
              <w:bottom w:val="single" w:sz="6" w:space="0" w:color="auto"/>
            </w:tcBorders>
          </w:tcPr>
          <w:p w14:paraId="54C505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8 152</w:t>
            </w:r>
          </w:p>
        </w:tc>
        <w:tc>
          <w:tcPr>
            <w:tcW w:w="794" w:type="dxa"/>
            <w:tcBorders>
              <w:bottom w:val="single" w:sz="6" w:space="0" w:color="auto"/>
            </w:tcBorders>
          </w:tcPr>
          <w:p w14:paraId="257557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8 542</w:t>
            </w:r>
          </w:p>
        </w:tc>
        <w:tc>
          <w:tcPr>
            <w:tcW w:w="794" w:type="dxa"/>
            <w:tcBorders>
              <w:bottom w:val="single" w:sz="6" w:space="0" w:color="auto"/>
            </w:tcBorders>
          </w:tcPr>
          <w:p w14:paraId="21B2CE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9 183</w:t>
            </w:r>
          </w:p>
        </w:tc>
      </w:tr>
      <w:tr w:rsidR="004135EE" w14:paraId="372B0B2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D986B5F" w14:textId="77777777" w:rsidR="004135EE" w:rsidRDefault="004135EE" w:rsidP="008670FF">
            <w:r>
              <w:rPr>
                <w:b/>
              </w:rPr>
              <w:t>Total land, buildings, infrastructure, plant and equipment</w:t>
            </w:r>
          </w:p>
        </w:tc>
        <w:tc>
          <w:tcPr>
            <w:tcW w:w="794" w:type="dxa"/>
            <w:tcBorders>
              <w:top w:val="single" w:sz="6" w:space="0" w:color="auto"/>
              <w:bottom w:val="single" w:sz="12" w:space="0" w:color="auto"/>
            </w:tcBorders>
          </w:tcPr>
          <w:p w14:paraId="1B5BFF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285 717</w:t>
            </w:r>
          </w:p>
        </w:tc>
        <w:tc>
          <w:tcPr>
            <w:tcW w:w="794" w:type="dxa"/>
            <w:tcBorders>
              <w:top w:val="single" w:sz="6" w:space="0" w:color="auto"/>
              <w:bottom w:val="single" w:sz="12" w:space="0" w:color="auto"/>
            </w:tcBorders>
          </w:tcPr>
          <w:p w14:paraId="33759D2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283 908</w:t>
            </w:r>
          </w:p>
        </w:tc>
        <w:tc>
          <w:tcPr>
            <w:tcW w:w="794" w:type="dxa"/>
            <w:tcBorders>
              <w:top w:val="single" w:sz="6" w:space="0" w:color="auto"/>
              <w:bottom w:val="single" w:sz="12" w:space="0" w:color="auto"/>
            </w:tcBorders>
          </w:tcPr>
          <w:p w14:paraId="4219F51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283 663</w:t>
            </w:r>
          </w:p>
        </w:tc>
        <w:tc>
          <w:tcPr>
            <w:tcW w:w="794" w:type="dxa"/>
            <w:tcBorders>
              <w:top w:val="single" w:sz="6" w:space="0" w:color="auto"/>
              <w:bottom w:val="single" w:sz="12" w:space="0" w:color="auto"/>
            </w:tcBorders>
          </w:tcPr>
          <w:p w14:paraId="78DD82F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297 607</w:t>
            </w:r>
          </w:p>
        </w:tc>
        <w:tc>
          <w:tcPr>
            <w:tcW w:w="794" w:type="dxa"/>
            <w:tcBorders>
              <w:top w:val="single" w:sz="6" w:space="0" w:color="auto"/>
              <w:bottom w:val="single" w:sz="12" w:space="0" w:color="auto"/>
            </w:tcBorders>
          </w:tcPr>
          <w:p w14:paraId="64F572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311 594</w:t>
            </w:r>
          </w:p>
        </w:tc>
      </w:tr>
    </w:tbl>
    <w:p w14:paraId="0956F3D1" w14:textId="77777777" w:rsidR="004135EE" w:rsidRPr="003A1BED" w:rsidRDefault="004135EE" w:rsidP="004135EE">
      <w:pPr>
        <w:pStyle w:val="Note"/>
      </w:pPr>
      <w:r w:rsidRPr="003A1BED">
        <w:t>Note</w:t>
      </w:r>
      <w:r>
        <w:t>s</w:t>
      </w:r>
      <w:r w:rsidRPr="003A1BED">
        <w:t>:</w:t>
      </w:r>
    </w:p>
    <w:p w14:paraId="67D451F2" w14:textId="77777777" w:rsidR="004135EE" w:rsidRDefault="004135EE" w:rsidP="004135EE">
      <w:pPr>
        <w:pStyle w:val="Note"/>
      </w:pPr>
      <w:r w:rsidRPr="003A1BED">
        <w:t>(a)</w:t>
      </w:r>
      <w:r w:rsidRPr="003A1BED">
        <w:tab/>
        <w:t>The balances for each class of assets includes those related to service concession arrangement assets and right</w:t>
      </w:r>
      <w:r>
        <w:noBreakHyphen/>
      </w:r>
      <w:r w:rsidRPr="003A1BED">
        <w:t>of</w:t>
      </w:r>
      <w:r>
        <w:noBreakHyphen/>
      </w:r>
      <w:r w:rsidRPr="003A1BED">
        <w:t>use assets.</w:t>
      </w:r>
    </w:p>
    <w:p w14:paraId="57589385" w14:textId="77777777" w:rsidR="004135EE" w:rsidRPr="003A1BED" w:rsidRDefault="004135EE" w:rsidP="004135EE">
      <w:pPr>
        <w:pStyle w:val="Note"/>
      </w:pPr>
      <w:r>
        <w:t>(b)</w:t>
      </w:r>
      <w:r>
        <w:tab/>
        <w:t>The decrease in 2025-26 primarily reflects the transfer of the Metro Tunnel assets from the Department of Transport and Planning in the general government sector to VicTrack in the public non-financial corporations sector upon its completion.</w:t>
      </w:r>
    </w:p>
    <w:p w14:paraId="7C2030A7" w14:textId="77777777" w:rsidR="004135EE" w:rsidRPr="003A1BED" w:rsidRDefault="004135EE" w:rsidP="004135EE"/>
    <w:p w14:paraId="1B38EF09" w14:textId="77777777" w:rsidR="005C5C20" w:rsidRDefault="005C5C20">
      <w:pPr>
        <w:keepLines w:val="0"/>
      </w:pPr>
      <w:r>
        <w:br w:type="page"/>
      </w:r>
    </w:p>
    <w:p w14:paraId="79F7609D" w14:textId="4805A287" w:rsidR="004135EE" w:rsidRPr="003A1BED" w:rsidRDefault="004135EE" w:rsidP="004135EE">
      <w:r w:rsidRPr="003A1BED">
        <w:t>The following two tables are subsets of total land, buildings, infrastructure, plant and equipment by right</w:t>
      </w:r>
      <w:r>
        <w:noBreakHyphen/>
      </w:r>
      <w:r w:rsidRPr="003A1BED">
        <w:t>of</w:t>
      </w:r>
      <w:r>
        <w:noBreakHyphen/>
      </w:r>
      <w:r w:rsidRPr="003A1BED">
        <w:t>use (leased) assets and service concession assets.</w:t>
      </w:r>
    </w:p>
    <w:p w14:paraId="2242613F" w14:textId="77777777" w:rsidR="004135EE" w:rsidRPr="003A1BED" w:rsidRDefault="004135EE" w:rsidP="004135EE"/>
    <w:p w14:paraId="67996B40" w14:textId="77777777" w:rsidR="004135EE" w:rsidRDefault="004135EE" w:rsidP="005C5C20">
      <w:pPr>
        <w:pStyle w:val="TableHeading"/>
      </w:pPr>
      <w:r w:rsidRPr="00E4496E">
        <w:t xml:space="preserve">Total </w:t>
      </w:r>
      <w:r w:rsidRPr="0075710E">
        <w:t>right</w:t>
      </w:r>
      <w:r>
        <w:noBreakHyphen/>
      </w:r>
      <w:r w:rsidRPr="0075710E">
        <w:t>of</w:t>
      </w:r>
      <w:r>
        <w:noBreakHyphen/>
      </w:r>
      <w:r w:rsidRPr="0075710E">
        <w:t xml:space="preserve">use </w:t>
      </w:r>
      <w:r w:rsidRPr="00E4496E">
        <w:t>(leased) assets: Buildings, infrastructure, plant and equipment</w:t>
      </w:r>
      <w:r w:rsidRPr="00E4496E">
        <w:tab/>
        <w:t>($</w:t>
      </w:r>
      <w:r>
        <w:t xml:space="preserve"> </w:t>
      </w:r>
      <w:r w:rsidRPr="00E4496E">
        <w:t>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Right_of_use_assets|MergedHeadingRow:1"/>
      </w:tblPr>
      <w:tblGrid>
        <w:gridCol w:w="3740"/>
        <w:gridCol w:w="794"/>
        <w:gridCol w:w="794"/>
        <w:gridCol w:w="794"/>
        <w:gridCol w:w="794"/>
        <w:gridCol w:w="794"/>
      </w:tblGrid>
      <w:tr w:rsidR="004135EE" w14:paraId="646C70C6"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03B46D64" w14:textId="77777777" w:rsidR="004135EE" w:rsidRDefault="004135EE" w:rsidP="008670FF">
            <w:pPr>
              <w:keepNext/>
            </w:pPr>
          </w:p>
        </w:tc>
        <w:tc>
          <w:tcPr>
            <w:tcW w:w="794" w:type="dxa"/>
          </w:tcPr>
          <w:p w14:paraId="3BD5417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7F3D252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67C8435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08CBE3D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10F00E9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0A6938C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F2F456E" w14:textId="77777777" w:rsidR="004135EE" w:rsidRDefault="004135EE" w:rsidP="008670FF">
            <w:r>
              <w:t>Buildings</w:t>
            </w:r>
          </w:p>
        </w:tc>
        <w:tc>
          <w:tcPr>
            <w:tcW w:w="794" w:type="dxa"/>
          </w:tcPr>
          <w:p w14:paraId="43875D3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9 196</w:t>
            </w:r>
          </w:p>
        </w:tc>
        <w:tc>
          <w:tcPr>
            <w:tcW w:w="794" w:type="dxa"/>
          </w:tcPr>
          <w:p w14:paraId="3B0FA8B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9 349</w:t>
            </w:r>
          </w:p>
        </w:tc>
        <w:tc>
          <w:tcPr>
            <w:tcW w:w="794" w:type="dxa"/>
          </w:tcPr>
          <w:p w14:paraId="62C7AA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8 477</w:t>
            </w:r>
          </w:p>
        </w:tc>
        <w:tc>
          <w:tcPr>
            <w:tcW w:w="794" w:type="dxa"/>
          </w:tcPr>
          <w:p w14:paraId="20F14BA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7 796</w:t>
            </w:r>
          </w:p>
        </w:tc>
        <w:tc>
          <w:tcPr>
            <w:tcW w:w="794" w:type="dxa"/>
          </w:tcPr>
          <w:p w14:paraId="63F007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7 124</w:t>
            </w:r>
          </w:p>
        </w:tc>
      </w:tr>
      <w:tr w:rsidR="004135EE" w14:paraId="76AECB5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1B38E80" w14:textId="77777777" w:rsidR="004135EE" w:rsidRDefault="004135EE" w:rsidP="008670FF">
            <w:r>
              <w:t>Infrastructure</w:t>
            </w:r>
          </w:p>
        </w:tc>
        <w:tc>
          <w:tcPr>
            <w:tcW w:w="794" w:type="dxa"/>
          </w:tcPr>
          <w:p w14:paraId="606E69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06C17D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47EE18E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143F036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507369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r>
      <w:tr w:rsidR="004135EE" w14:paraId="78DCEE6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ABAC735" w14:textId="77777777" w:rsidR="004135EE" w:rsidRDefault="004135EE" w:rsidP="008670FF">
            <w:r>
              <w:t>Plant, equipment and vehicles</w:t>
            </w:r>
          </w:p>
        </w:tc>
        <w:tc>
          <w:tcPr>
            <w:tcW w:w="794" w:type="dxa"/>
            <w:tcBorders>
              <w:bottom w:val="single" w:sz="6" w:space="0" w:color="auto"/>
            </w:tcBorders>
          </w:tcPr>
          <w:p w14:paraId="5A78FB9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551</w:t>
            </w:r>
          </w:p>
        </w:tc>
        <w:tc>
          <w:tcPr>
            <w:tcW w:w="794" w:type="dxa"/>
            <w:tcBorders>
              <w:bottom w:val="single" w:sz="6" w:space="0" w:color="auto"/>
            </w:tcBorders>
          </w:tcPr>
          <w:p w14:paraId="6E57D62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549</w:t>
            </w:r>
          </w:p>
        </w:tc>
        <w:tc>
          <w:tcPr>
            <w:tcW w:w="794" w:type="dxa"/>
            <w:tcBorders>
              <w:bottom w:val="single" w:sz="6" w:space="0" w:color="auto"/>
            </w:tcBorders>
          </w:tcPr>
          <w:p w14:paraId="3AC0306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739</w:t>
            </w:r>
          </w:p>
        </w:tc>
        <w:tc>
          <w:tcPr>
            <w:tcW w:w="794" w:type="dxa"/>
            <w:tcBorders>
              <w:bottom w:val="single" w:sz="6" w:space="0" w:color="auto"/>
            </w:tcBorders>
          </w:tcPr>
          <w:p w14:paraId="7A0E82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639</w:t>
            </w:r>
          </w:p>
        </w:tc>
        <w:tc>
          <w:tcPr>
            <w:tcW w:w="794" w:type="dxa"/>
            <w:tcBorders>
              <w:bottom w:val="single" w:sz="6" w:space="0" w:color="auto"/>
            </w:tcBorders>
          </w:tcPr>
          <w:p w14:paraId="19AC0F8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543</w:t>
            </w:r>
          </w:p>
        </w:tc>
      </w:tr>
      <w:tr w:rsidR="004135EE" w14:paraId="2186A59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EB209DB" w14:textId="77777777" w:rsidR="004135EE" w:rsidRDefault="004135EE" w:rsidP="008670FF">
            <w:r>
              <w:rPr>
                <w:b/>
              </w:rPr>
              <w:t>Total right</w:t>
            </w:r>
            <w:r>
              <w:rPr>
                <w:b/>
              </w:rPr>
              <w:noBreakHyphen/>
              <w:t>of</w:t>
            </w:r>
            <w:r>
              <w:rPr>
                <w:b/>
              </w:rPr>
              <w:noBreakHyphen/>
              <w:t>use assets: buildings, infrastructure, plant and equipment</w:t>
            </w:r>
          </w:p>
        </w:tc>
        <w:tc>
          <w:tcPr>
            <w:tcW w:w="794" w:type="dxa"/>
            <w:tcBorders>
              <w:top w:val="single" w:sz="6" w:space="0" w:color="auto"/>
              <w:bottom w:val="single" w:sz="12" w:space="0" w:color="auto"/>
            </w:tcBorders>
          </w:tcPr>
          <w:p w14:paraId="1F30F1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9 750</w:t>
            </w:r>
          </w:p>
        </w:tc>
        <w:tc>
          <w:tcPr>
            <w:tcW w:w="794" w:type="dxa"/>
            <w:tcBorders>
              <w:top w:val="single" w:sz="6" w:space="0" w:color="auto"/>
              <w:bottom w:val="single" w:sz="12" w:space="0" w:color="auto"/>
            </w:tcBorders>
          </w:tcPr>
          <w:p w14:paraId="33BCC8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9 901</w:t>
            </w:r>
          </w:p>
        </w:tc>
        <w:tc>
          <w:tcPr>
            <w:tcW w:w="794" w:type="dxa"/>
            <w:tcBorders>
              <w:top w:val="single" w:sz="6" w:space="0" w:color="auto"/>
              <w:bottom w:val="single" w:sz="12" w:space="0" w:color="auto"/>
            </w:tcBorders>
          </w:tcPr>
          <w:p w14:paraId="6C56E0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9 219</w:t>
            </w:r>
          </w:p>
        </w:tc>
        <w:tc>
          <w:tcPr>
            <w:tcW w:w="794" w:type="dxa"/>
            <w:tcBorders>
              <w:top w:val="single" w:sz="6" w:space="0" w:color="auto"/>
              <w:bottom w:val="single" w:sz="12" w:space="0" w:color="auto"/>
            </w:tcBorders>
          </w:tcPr>
          <w:p w14:paraId="5BF9E1A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8 439</w:t>
            </w:r>
          </w:p>
        </w:tc>
        <w:tc>
          <w:tcPr>
            <w:tcW w:w="794" w:type="dxa"/>
            <w:tcBorders>
              <w:top w:val="single" w:sz="6" w:space="0" w:color="auto"/>
              <w:bottom w:val="single" w:sz="12" w:space="0" w:color="auto"/>
            </w:tcBorders>
          </w:tcPr>
          <w:p w14:paraId="1C526F5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7 671</w:t>
            </w:r>
          </w:p>
        </w:tc>
      </w:tr>
    </w:tbl>
    <w:p w14:paraId="458A654C" w14:textId="77777777" w:rsidR="004135EE" w:rsidRDefault="004135EE" w:rsidP="004135EE"/>
    <w:p w14:paraId="2B5FF888" w14:textId="77777777" w:rsidR="004135EE" w:rsidRDefault="004135EE" w:rsidP="005C5C20">
      <w:pPr>
        <w:pStyle w:val="TableHeading"/>
      </w:pPr>
      <w:r>
        <w:t xml:space="preserve">Total service concession assets: Land, buildings, infrastructure, plant and equipment </w:t>
      </w:r>
    </w:p>
    <w:p w14:paraId="1BCE3FFE" w14:textId="77777777" w:rsidR="004135EE" w:rsidRDefault="004135EE" w:rsidP="005C5C20">
      <w:pPr>
        <w:pStyle w:val="TableHeading"/>
      </w:pPr>
      <w:r>
        <w:tab/>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Service_Concessions_Assets|MergedHeadingRow:1"/>
      </w:tblPr>
      <w:tblGrid>
        <w:gridCol w:w="3740"/>
        <w:gridCol w:w="794"/>
        <w:gridCol w:w="794"/>
        <w:gridCol w:w="794"/>
        <w:gridCol w:w="794"/>
        <w:gridCol w:w="794"/>
      </w:tblGrid>
      <w:tr w:rsidR="004135EE" w14:paraId="2950D957"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279AACB" w14:textId="77777777" w:rsidR="004135EE" w:rsidRDefault="004135EE" w:rsidP="008670FF">
            <w:pPr>
              <w:keepNext/>
            </w:pPr>
          </w:p>
        </w:tc>
        <w:tc>
          <w:tcPr>
            <w:tcW w:w="794" w:type="dxa"/>
          </w:tcPr>
          <w:p w14:paraId="209A1E7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538E8FB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1F2C684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05AA1F6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6A8271B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49A2A25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DAE9501" w14:textId="77777777" w:rsidR="004135EE" w:rsidRDefault="004135EE" w:rsidP="008670FF">
            <w:r>
              <w:t>Buildings</w:t>
            </w:r>
          </w:p>
        </w:tc>
        <w:tc>
          <w:tcPr>
            <w:tcW w:w="794" w:type="dxa"/>
          </w:tcPr>
          <w:p w14:paraId="4D971C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2 368</w:t>
            </w:r>
          </w:p>
        </w:tc>
        <w:tc>
          <w:tcPr>
            <w:tcW w:w="794" w:type="dxa"/>
          </w:tcPr>
          <w:p w14:paraId="3923E2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2 368</w:t>
            </w:r>
          </w:p>
        </w:tc>
        <w:tc>
          <w:tcPr>
            <w:tcW w:w="794" w:type="dxa"/>
          </w:tcPr>
          <w:p w14:paraId="30A5B5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2 399</w:t>
            </w:r>
          </w:p>
        </w:tc>
        <w:tc>
          <w:tcPr>
            <w:tcW w:w="794" w:type="dxa"/>
          </w:tcPr>
          <w:p w14:paraId="6040D4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2 336</w:t>
            </w:r>
          </w:p>
        </w:tc>
        <w:tc>
          <w:tcPr>
            <w:tcW w:w="794" w:type="dxa"/>
          </w:tcPr>
          <w:p w14:paraId="321ACF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2 299</w:t>
            </w:r>
          </w:p>
        </w:tc>
      </w:tr>
      <w:tr w:rsidR="004135EE" w14:paraId="3A29589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F39FC20" w14:textId="77777777" w:rsidR="004135EE" w:rsidRDefault="004135EE" w:rsidP="008670FF">
            <w:r>
              <w:t>Land</w:t>
            </w:r>
          </w:p>
        </w:tc>
        <w:tc>
          <w:tcPr>
            <w:tcW w:w="794" w:type="dxa"/>
          </w:tcPr>
          <w:p w14:paraId="6E8A5D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3 729</w:t>
            </w:r>
          </w:p>
        </w:tc>
        <w:tc>
          <w:tcPr>
            <w:tcW w:w="794" w:type="dxa"/>
          </w:tcPr>
          <w:p w14:paraId="4D3B479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3 729</w:t>
            </w:r>
          </w:p>
        </w:tc>
        <w:tc>
          <w:tcPr>
            <w:tcW w:w="794" w:type="dxa"/>
          </w:tcPr>
          <w:p w14:paraId="7637738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3 729</w:t>
            </w:r>
          </w:p>
        </w:tc>
        <w:tc>
          <w:tcPr>
            <w:tcW w:w="794" w:type="dxa"/>
          </w:tcPr>
          <w:p w14:paraId="485706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3 729</w:t>
            </w:r>
          </w:p>
        </w:tc>
        <w:tc>
          <w:tcPr>
            <w:tcW w:w="794" w:type="dxa"/>
          </w:tcPr>
          <w:p w14:paraId="4D9DCF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3 729</w:t>
            </w:r>
          </w:p>
        </w:tc>
      </w:tr>
      <w:tr w:rsidR="004135EE" w14:paraId="7964172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F37591D" w14:textId="77777777" w:rsidR="004135EE" w:rsidRDefault="004135EE" w:rsidP="008670FF">
            <w:r>
              <w:t>Infrastructure</w:t>
            </w:r>
            <w:r>
              <w:rPr>
                <w:vertAlign w:val="superscript"/>
              </w:rPr>
              <w:t xml:space="preserve"> (a)</w:t>
            </w:r>
          </w:p>
        </w:tc>
        <w:tc>
          <w:tcPr>
            <w:tcW w:w="794" w:type="dxa"/>
          </w:tcPr>
          <w:p w14:paraId="69628E5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10 965</w:t>
            </w:r>
          </w:p>
        </w:tc>
        <w:tc>
          <w:tcPr>
            <w:tcW w:w="794" w:type="dxa"/>
          </w:tcPr>
          <w:p w14:paraId="04FB93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11 911</w:t>
            </w:r>
          </w:p>
        </w:tc>
        <w:tc>
          <w:tcPr>
            <w:tcW w:w="794" w:type="dxa"/>
          </w:tcPr>
          <w:p w14:paraId="42572F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2 519</w:t>
            </w:r>
          </w:p>
        </w:tc>
        <w:tc>
          <w:tcPr>
            <w:tcW w:w="794" w:type="dxa"/>
          </w:tcPr>
          <w:p w14:paraId="25B6035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2 535</w:t>
            </w:r>
          </w:p>
        </w:tc>
        <w:tc>
          <w:tcPr>
            <w:tcW w:w="794" w:type="dxa"/>
          </w:tcPr>
          <w:p w14:paraId="52AAB16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2 565</w:t>
            </w:r>
          </w:p>
        </w:tc>
      </w:tr>
      <w:tr w:rsidR="004135EE" w14:paraId="5581C70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FDA0EFD" w14:textId="77777777" w:rsidR="004135EE" w:rsidRDefault="004135EE" w:rsidP="008670FF">
            <w:r>
              <w:t>Plant, equipment and vehicles</w:t>
            </w:r>
          </w:p>
        </w:tc>
        <w:tc>
          <w:tcPr>
            <w:tcW w:w="794" w:type="dxa"/>
          </w:tcPr>
          <w:p w14:paraId="3B7DBA4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425</w:t>
            </w:r>
          </w:p>
        </w:tc>
        <w:tc>
          <w:tcPr>
            <w:tcW w:w="794" w:type="dxa"/>
          </w:tcPr>
          <w:p w14:paraId="616022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409</w:t>
            </w:r>
          </w:p>
        </w:tc>
        <w:tc>
          <w:tcPr>
            <w:tcW w:w="794" w:type="dxa"/>
          </w:tcPr>
          <w:p w14:paraId="40218A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444</w:t>
            </w:r>
          </w:p>
        </w:tc>
        <w:tc>
          <w:tcPr>
            <w:tcW w:w="794" w:type="dxa"/>
          </w:tcPr>
          <w:p w14:paraId="61CCE7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448</w:t>
            </w:r>
          </w:p>
        </w:tc>
        <w:tc>
          <w:tcPr>
            <w:tcW w:w="794" w:type="dxa"/>
          </w:tcPr>
          <w:p w14:paraId="0CCDFD7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451</w:t>
            </w:r>
          </w:p>
        </w:tc>
      </w:tr>
      <w:tr w:rsidR="004135EE" w14:paraId="2155D80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EBE0B1F" w14:textId="77777777" w:rsidR="004135EE" w:rsidRDefault="004135EE" w:rsidP="008670FF">
            <w:r>
              <w:t>Roads and road infrastructure</w:t>
            </w:r>
          </w:p>
        </w:tc>
        <w:tc>
          <w:tcPr>
            <w:tcW w:w="794" w:type="dxa"/>
          </w:tcPr>
          <w:p w14:paraId="0BBD96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19 004</w:t>
            </w:r>
          </w:p>
        </w:tc>
        <w:tc>
          <w:tcPr>
            <w:tcW w:w="794" w:type="dxa"/>
          </w:tcPr>
          <w:p w14:paraId="0341B3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19 380</w:t>
            </w:r>
          </w:p>
        </w:tc>
        <w:tc>
          <w:tcPr>
            <w:tcW w:w="794" w:type="dxa"/>
          </w:tcPr>
          <w:p w14:paraId="0A802FC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19 760</w:t>
            </w:r>
          </w:p>
        </w:tc>
        <w:tc>
          <w:tcPr>
            <w:tcW w:w="794" w:type="dxa"/>
          </w:tcPr>
          <w:p w14:paraId="72B4D4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19 344</w:t>
            </w:r>
          </w:p>
        </w:tc>
        <w:tc>
          <w:tcPr>
            <w:tcW w:w="794" w:type="dxa"/>
          </w:tcPr>
          <w:p w14:paraId="1E3639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18 928</w:t>
            </w:r>
          </w:p>
        </w:tc>
      </w:tr>
      <w:tr w:rsidR="004135EE" w14:paraId="29F5071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54D6619" w14:textId="77777777" w:rsidR="004135EE" w:rsidRDefault="004135EE" w:rsidP="008670FF">
            <w:r>
              <w:t>Earthworks</w:t>
            </w:r>
          </w:p>
        </w:tc>
        <w:tc>
          <w:tcPr>
            <w:tcW w:w="794" w:type="dxa"/>
            <w:tcBorders>
              <w:bottom w:val="single" w:sz="6" w:space="0" w:color="auto"/>
            </w:tcBorders>
          </w:tcPr>
          <w:p w14:paraId="3552B9F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1 130</w:t>
            </w:r>
          </w:p>
        </w:tc>
        <w:tc>
          <w:tcPr>
            <w:tcW w:w="794" w:type="dxa"/>
            <w:tcBorders>
              <w:bottom w:val="single" w:sz="6" w:space="0" w:color="auto"/>
            </w:tcBorders>
          </w:tcPr>
          <w:p w14:paraId="41B49CA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1 130</w:t>
            </w:r>
          </w:p>
        </w:tc>
        <w:tc>
          <w:tcPr>
            <w:tcW w:w="794" w:type="dxa"/>
            <w:tcBorders>
              <w:bottom w:val="single" w:sz="6" w:space="0" w:color="auto"/>
            </w:tcBorders>
          </w:tcPr>
          <w:p w14:paraId="48E9C8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1 130</w:t>
            </w:r>
          </w:p>
        </w:tc>
        <w:tc>
          <w:tcPr>
            <w:tcW w:w="794" w:type="dxa"/>
            <w:tcBorders>
              <w:bottom w:val="single" w:sz="6" w:space="0" w:color="auto"/>
            </w:tcBorders>
          </w:tcPr>
          <w:p w14:paraId="4BB4DB9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1 130</w:t>
            </w:r>
          </w:p>
        </w:tc>
        <w:tc>
          <w:tcPr>
            <w:tcW w:w="794" w:type="dxa"/>
            <w:tcBorders>
              <w:bottom w:val="single" w:sz="6" w:space="0" w:color="auto"/>
            </w:tcBorders>
          </w:tcPr>
          <w:p w14:paraId="7459894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1 130</w:t>
            </w:r>
          </w:p>
        </w:tc>
      </w:tr>
      <w:tr w:rsidR="004135EE" w14:paraId="3777CF6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81DFF82" w14:textId="77777777" w:rsidR="004135EE" w:rsidRDefault="004135EE" w:rsidP="008670FF">
            <w:r>
              <w:rPr>
                <w:b/>
              </w:rPr>
              <w:t>Total service concession assets: land, buildings, infrastructure, plant and equipment</w:t>
            </w:r>
          </w:p>
        </w:tc>
        <w:tc>
          <w:tcPr>
            <w:tcW w:w="794" w:type="dxa"/>
            <w:tcBorders>
              <w:top w:val="single" w:sz="6" w:space="0" w:color="auto"/>
              <w:bottom w:val="single" w:sz="12" w:space="0" w:color="auto"/>
            </w:tcBorders>
          </w:tcPr>
          <w:p w14:paraId="71DFE5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37 622</w:t>
            </w:r>
          </w:p>
        </w:tc>
        <w:tc>
          <w:tcPr>
            <w:tcW w:w="794" w:type="dxa"/>
            <w:tcBorders>
              <w:top w:val="single" w:sz="6" w:space="0" w:color="auto"/>
              <w:bottom w:val="single" w:sz="12" w:space="0" w:color="auto"/>
            </w:tcBorders>
          </w:tcPr>
          <w:p w14:paraId="356AF6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38 928</w:t>
            </w:r>
          </w:p>
        </w:tc>
        <w:tc>
          <w:tcPr>
            <w:tcW w:w="794" w:type="dxa"/>
            <w:tcBorders>
              <w:top w:val="single" w:sz="6" w:space="0" w:color="auto"/>
              <w:bottom w:val="single" w:sz="12" w:space="0" w:color="auto"/>
            </w:tcBorders>
          </w:tcPr>
          <w:p w14:paraId="63780C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29 982</w:t>
            </w:r>
          </w:p>
        </w:tc>
        <w:tc>
          <w:tcPr>
            <w:tcW w:w="794" w:type="dxa"/>
            <w:tcBorders>
              <w:top w:val="single" w:sz="6" w:space="0" w:color="auto"/>
              <w:bottom w:val="single" w:sz="12" w:space="0" w:color="auto"/>
            </w:tcBorders>
          </w:tcPr>
          <w:p w14:paraId="0F8D98E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29 523</w:t>
            </w:r>
          </w:p>
        </w:tc>
        <w:tc>
          <w:tcPr>
            <w:tcW w:w="794" w:type="dxa"/>
            <w:tcBorders>
              <w:top w:val="single" w:sz="6" w:space="0" w:color="auto"/>
              <w:bottom w:val="single" w:sz="12" w:space="0" w:color="auto"/>
            </w:tcBorders>
          </w:tcPr>
          <w:p w14:paraId="462FEBD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29 101</w:t>
            </w:r>
          </w:p>
        </w:tc>
      </w:tr>
    </w:tbl>
    <w:p w14:paraId="0A5D8282" w14:textId="77777777" w:rsidR="004135EE" w:rsidRDefault="004135EE" w:rsidP="002C6164">
      <w:pPr>
        <w:pStyle w:val="Note"/>
        <w:rPr>
          <w:rFonts w:ascii="Calibri-Italic" w:hAnsi="Calibri-Italic" w:cs="Calibri-Italic"/>
          <w:i w:val="0"/>
          <w:iCs/>
          <w:szCs w:val="14"/>
        </w:rPr>
      </w:pPr>
      <w:r>
        <w:t>Note:</w:t>
      </w:r>
    </w:p>
    <w:p w14:paraId="40647D02" w14:textId="01377810" w:rsidR="004135EE" w:rsidRPr="003D1221" w:rsidRDefault="005C5C20" w:rsidP="005C5C20">
      <w:pPr>
        <w:pStyle w:val="Note"/>
      </w:pPr>
      <w:r>
        <w:t>(a)</w:t>
      </w:r>
      <w:r>
        <w:tab/>
      </w:r>
      <w:r w:rsidR="004135EE" w:rsidRPr="003D1221">
        <w:t>The decrease in 2025-26 primarily reflects the transfer of the Metro Tunnel assets from the Department of Transport and Planning in</w:t>
      </w:r>
      <w:r w:rsidR="004135EE">
        <w:t xml:space="preserve"> </w:t>
      </w:r>
      <w:r w:rsidR="004135EE" w:rsidRPr="003D1221">
        <w:t>the general government sector to VicTrack in the public non-financial corporations sector upon its completion.</w:t>
      </w:r>
    </w:p>
    <w:p w14:paraId="40C79650" w14:textId="77777777" w:rsidR="005C5C20" w:rsidRDefault="005C5C20">
      <w:pPr>
        <w:keepLines w:val="0"/>
        <w:rPr>
          <w:rFonts w:asciiTheme="majorHAnsi" w:eastAsiaTheme="majorEastAsia" w:hAnsiTheme="majorHAnsi" w:cstheme="majorBidi"/>
          <w:b/>
          <w:szCs w:val="24"/>
        </w:rPr>
      </w:pPr>
      <w:bookmarkStart w:id="112" w:name="_Toc149221056"/>
      <w:r>
        <w:br w:type="page"/>
      </w:r>
    </w:p>
    <w:p w14:paraId="6A1C9003" w14:textId="7236F0FA" w:rsidR="004135EE" w:rsidRPr="00232F89" w:rsidRDefault="004135EE" w:rsidP="004135EE">
      <w:pPr>
        <w:pStyle w:val="Heading30"/>
      </w:pPr>
      <w:bookmarkStart w:id="113" w:name="_Toc184299153"/>
      <w:r>
        <w:t>4.4.2</w:t>
      </w:r>
      <w:r>
        <w:tab/>
      </w:r>
      <w:r w:rsidRPr="00232F89">
        <w:t>Depreciation</w:t>
      </w:r>
      <w:r w:rsidRPr="00232F89">
        <w:tab/>
        <w:t>($ million)</w:t>
      </w:r>
      <w:bookmarkEnd w:id="112"/>
      <w:bookmarkEnd w:id="113"/>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Depreciation|MergedHeadingRow:1"/>
      </w:tblPr>
      <w:tblGrid>
        <w:gridCol w:w="3740"/>
        <w:gridCol w:w="794"/>
        <w:gridCol w:w="794"/>
        <w:gridCol w:w="794"/>
        <w:gridCol w:w="794"/>
        <w:gridCol w:w="794"/>
      </w:tblGrid>
      <w:tr w:rsidR="004135EE" w14:paraId="10BA2ABC"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4CDBE92" w14:textId="77777777" w:rsidR="004135EE" w:rsidRDefault="004135EE" w:rsidP="008670FF">
            <w:pPr>
              <w:keepNext/>
            </w:pPr>
          </w:p>
        </w:tc>
        <w:tc>
          <w:tcPr>
            <w:tcW w:w="794" w:type="dxa"/>
          </w:tcPr>
          <w:p w14:paraId="4414CE1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6D3232A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39CDE74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B2EEBC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42173E3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7CEB237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106199B" w14:textId="77777777" w:rsidR="004135EE" w:rsidRDefault="004135EE" w:rsidP="008670FF">
            <w:r>
              <w:t>Buildings</w:t>
            </w:r>
            <w:r>
              <w:rPr>
                <w:vertAlign w:val="superscript"/>
              </w:rPr>
              <w:t xml:space="preserve"> (a)</w:t>
            </w:r>
          </w:p>
        </w:tc>
        <w:tc>
          <w:tcPr>
            <w:tcW w:w="794" w:type="dxa"/>
          </w:tcPr>
          <w:p w14:paraId="721128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2 900</w:t>
            </w:r>
          </w:p>
        </w:tc>
        <w:tc>
          <w:tcPr>
            <w:tcW w:w="794" w:type="dxa"/>
          </w:tcPr>
          <w:p w14:paraId="1753294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3 247</w:t>
            </w:r>
          </w:p>
        </w:tc>
        <w:tc>
          <w:tcPr>
            <w:tcW w:w="794" w:type="dxa"/>
          </w:tcPr>
          <w:p w14:paraId="6C626E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3 415</w:t>
            </w:r>
          </w:p>
        </w:tc>
        <w:tc>
          <w:tcPr>
            <w:tcW w:w="794" w:type="dxa"/>
          </w:tcPr>
          <w:p w14:paraId="1730D82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3 456</w:t>
            </w:r>
          </w:p>
        </w:tc>
        <w:tc>
          <w:tcPr>
            <w:tcW w:w="794" w:type="dxa"/>
          </w:tcPr>
          <w:p w14:paraId="47E024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3 529</w:t>
            </w:r>
          </w:p>
        </w:tc>
      </w:tr>
      <w:tr w:rsidR="004135EE" w14:paraId="4D7523C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3BD3FCF" w14:textId="77777777" w:rsidR="004135EE" w:rsidRDefault="004135EE" w:rsidP="008670FF">
            <w:r>
              <w:t>Infrastructure</w:t>
            </w:r>
          </w:p>
        </w:tc>
        <w:tc>
          <w:tcPr>
            <w:tcW w:w="794" w:type="dxa"/>
          </w:tcPr>
          <w:p w14:paraId="6E45DA7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67</w:t>
            </w:r>
          </w:p>
        </w:tc>
        <w:tc>
          <w:tcPr>
            <w:tcW w:w="794" w:type="dxa"/>
          </w:tcPr>
          <w:p w14:paraId="08DAE12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64</w:t>
            </w:r>
          </w:p>
        </w:tc>
        <w:tc>
          <w:tcPr>
            <w:tcW w:w="794" w:type="dxa"/>
          </w:tcPr>
          <w:p w14:paraId="4FFC21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57</w:t>
            </w:r>
          </w:p>
        </w:tc>
        <w:tc>
          <w:tcPr>
            <w:tcW w:w="794" w:type="dxa"/>
          </w:tcPr>
          <w:p w14:paraId="168DF7E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57</w:t>
            </w:r>
          </w:p>
        </w:tc>
        <w:tc>
          <w:tcPr>
            <w:tcW w:w="794" w:type="dxa"/>
          </w:tcPr>
          <w:p w14:paraId="5F6C01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59</w:t>
            </w:r>
          </w:p>
        </w:tc>
      </w:tr>
      <w:tr w:rsidR="004135EE" w14:paraId="5F22224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1E9CD94" w14:textId="77777777" w:rsidR="004135EE" w:rsidRDefault="004135EE" w:rsidP="008670FF">
            <w:r>
              <w:t>Plant, equipment and vehicles</w:t>
            </w:r>
            <w:r>
              <w:rPr>
                <w:vertAlign w:val="superscript"/>
              </w:rPr>
              <w:t xml:space="preserve"> (a)</w:t>
            </w:r>
          </w:p>
        </w:tc>
        <w:tc>
          <w:tcPr>
            <w:tcW w:w="794" w:type="dxa"/>
          </w:tcPr>
          <w:p w14:paraId="2180632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850</w:t>
            </w:r>
          </w:p>
        </w:tc>
        <w:tc>
          <w:tcPr>
            <w:tcW w:w="794" w:type="dxa"/>
          </w:tcPr>
          <w:p w14:paraId="5568DE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832</w:t>
            </w:r>
          </w:p>
        </w:tc>
        <w:tc>
          <w:tcPr>
            <w:tcW w:w="794" w:type="dxa"/>
          </w:tcPr>
          <w:p w14:paraId="333866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839</w:t>
            </w:r>
          </w:p>
        </w:tc>
        <w:tc>
          <w:tcPr>
            <w:tcW w:w="794" w:type="dxa"/>
          </w:tcPr>
          <w:p w14:paraId="15C2B6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838</w:t>
            </w:r>
          </w:p>
        </w:tc>
        <w:tc>
          <w:tcPr>
            <w:tcW w:w="794" w:type="dxa"/>
          </w:tcPr>
          <w:p w14:paraId="69F10A3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845</w:t>
            </w:r>
          </w:p>
        </w:tc>
      </w:tr>
      <w:tr w:rsidR="004135EE" w14:paraId="581FA4A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B898AAE" w14:textId="77777777" w:rsidR="004135EE" w:rsidRDefault="004135EE" w:rsidP="008670FF">
            <w:r>
              <w:t>Roads and road networks</w:t>
            </w:r>
            <w:r>
              <w:rPr>
                <w:vertAlign w:val="superscript"/>
              </w:rPr>
              <w:t xml:space="preserve"> (a)</w:t>
            </w:r>
          </w:p>
        </w:tc>
        <w:tc>
          <w:tcPr>
            <w:tcW w:w="794" w:type="dxa"/>
          </w:tcPr>
          <w:p w14:paraId="269A185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1 086</w:t>
            </w:r>
          </w:p>
        </w:tc>
        <w:tc>
          <w:tcPr>
            <w:tcW w:w="794" w:type="dxa"/>
          </w:tcPr>
          <w:p w14:paraId="00A4A7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1 121</w:t>
            </w:r>
          </w:p>
        </w:tc>
        <w:tc>
          <w:tcPr>
            <w:tcW w:w="794" w:type="dxa"/>
          </w:tcPr>
          <w:p w14:paraId="47B5418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1 282</w:t>
            </w:r>
          </w:p>
        </w:tc>
        <w:tc>
          <w:tcPr>
            <w:tcW w:w="794" w:type="dxa"/>
          </w:tcPr>
          <w:p w14:paraId="0F9F88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1 444</w:t>
            </w:r>
          </w:p>
        </w:tc>
        <w:tc>
          <w:tcPr>
            <w:tcW w:w="794" w:type="dxa"/>
          </w:tcPr>
          <w:p w14:paraId="7631308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1 504</w:t>
            </w:r>
          </w:p>
        </w:tc>
      </w:tr>
      <w:tr w:rsidR="004135EE" w14:paraId="41DF49B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0FC6D03" w14:textId="77777777" w:rsidR="004135EE" w:rsidRDefault="004135EE" w:rsidP="008670FF">
            <w:r>
              <w:t>Cultural assets</w:t>
            </w:r>
          </w:p>
        </w:tc>
        <w:tc>
          <w:tcPr>
            <w:tcW w:w="794" w:type="dxa"/>
          </w:tcPr>
          <w:p w14:paraId="7EEEFD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318CA3E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7B77BDE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3BBE79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1553909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r>
      <w:tr w:rsidR="004135EE" w14:paraId="361A807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E1B2521" w14:textId="77777777" w:rsidR="004135EE" w:rsidRDefault="004135EE" w:rsidP="008670FF">
            <w:r>
              <w:t>Intangible produced assets</w:t>
            </w:r>
            <w:r>
              <w:rPr>
                <w:vertAlign w:val="superscript"/>
              </w:rPr>
              <w:t xml:space="preserve"> (b)</w:t>
            </w:r>
          </w:p>
        </w:tc>
        <w:tc>
          <w:tcPr>
            <w:tcW w:w="794" w:type="dxa"/>
            <w:tcBorders>
              <w:bottom w:val="single" w:sz="6" w:space="0" w:color="auto"/>
            </w:tcBorders>
          </w:tcPr>
          <w:p w14:paraId="626C39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318</w:t>
            </w:r>
          </w:p>
        </w:tc>
        <w:tc>
          <w:tcPr>
            <w:tcW w:w="794" w:type="dxa"/>
            <w:tcBorders>
              <w:bottom w:val="single" w:sz="6" w:space="0" w:color="auto"/>
            </w:tcBorders>
          </w:tcPr>
          <w:p w14:paraId="6CDF48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235</w:t>
            </w:r>
          </w:p>
        </w:tc>
        <w:tc>
          <w:tcPr>
            <w:tcW w:w="794" w:type="dxa"/>
            <w:tcBorders>
              <w:bottom w:val="single" w:sz="6" w:space="0" w:color="auto"/>
            </w:tcBorders>
          </w:tcPr>
          <w:p w14:paraId="4CF7627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235</w:t>
            </w:r>
          </w:p>
        </w:tc>
        <w:tc>
          <w:tcPr>
            <w:tcW w:w="794" w:type="dxa"/>
            <w:tcBorders>
              <w:bottom w:val="single" w:sz="6" w:space="0" w:color="auto"/>
            </w:tcBorders>
          </w:tcPr>
          <w:p w14:paraId="498952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234</w:t>
            </w:r>
          </w:p>
        </w:tc>
        <w:tc>
          <w:tcPr>
            <w:tcW w:w="794" w:type="dxa"/>
            <w:tcBorders>
              <w:bottom w:val="single" w:sz="6" w:space="0" w:color="auto"/>
            </w:tcBorders>
          </w:tcPr>
          <w:p w14:paraId="342979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228</w:t>
            </w:r>
          </w:p>
        </w:tc>
      </w:tr>
      <w:tr w:rsidR="004135EE" w14:paraId="71DF5DD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1BE9219" w14:textId="77777777" w:rsidR="004135EE" w:rsidRDefault="004135EE" w:rsidP="008670FF">
            <w:r>
              <w:rPr>
                <w:b/>
              </w:rPr>
              <w:t>Total depreciation</w:t>
            </w:r>
          </w:p>
        </w:tc>
        <w:tc>
          <w:tcPr>
            <w:tcW w:w="794" w:type="dxa"/>
            <w:tcBorders>
              <w:top w:val="single" w:sz="6" w:space="0" w:color="auto"/>
              <w:bottom w:val="single" w:sz="12" w:space="0" w:color="auto"/>
            </w:tcBorders>
          </w:tcPr>
          <w:p w14:paraId="76F786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5 234</w:t>
            </w:r>
          </w:p>
        </w:tc>
        <w:tc>
          <w:tcPr>
            <w:tcW w:w="794" w:type="dxa"/>
            <w:tcBorders>
              <w:top w:val="single" w:sz="6" w:space="0" w:color="auto"/>
              <w:bottom w:val="single" w:sz="12" w:space="0" w:color="auto"/>
            </w:tcBorders>
          </w:tcPr>
          <w:p w14:paraId="10E23B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5 512</w:t>
            </w:r>
          </w:p>
        </w:tc>
        <w:tc>
          <w:tcPr>
            <w:tcW w:w="794" w:type="dxa"/>
            <w:tcBorders>
              <w:top w:val="single" w:sz="6" w:space="0" w:color="auto"/>
              <w:bottom w:val="single" w:sz="12" w:space="0" w:color="auto"/>
            </w:tcBorders>
          </w:tcPr>
          <w:p w14:paraId="5200DE4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5 840</w:t>
            </w:r>
          </w:p>
        </w:tc>
        <w:tc>
          <w:tcPr>
            <w:tcW w:w="794" w:type="dxa"/>
            <w:tcBorders>
              <w:top w:val="single" w:sz="6" w:space="0" w:color="auto"/>
              <w:bottom w:val="single" w:sz="12" w:space="0" w:color="auto"/>
            </w:tcBorders>
          </w:tcPr>
          <w:p w14:paraId="065D3C1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6 040</w:t>
            </w:r>
          </w:p>
        </w:tc>
        <w:tc>
          <w:tcPr>
            <w:tcW w:w="794" w:type="dxa"/>
            <w:tcBorders>
              <w:top w:val="single" w:sz="6" w:space="0" w:color="auto"/>
              <w:bottom w:val="single" w:sz="12" w:space="0" w:color="auto"/>
            </w:tcBorders>
          </w:tcPr>
          <w:p w14:paraId="41D70B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6 177</w:t>
            </w:r>
          </w:p>
        </w:tc>
      </w:tr>
    </w:tbl>
    <w:p w14:paraId="211F24B9" w14:textId="77777777" w:rsidR="004135EE" w:rsidRPr="003A1BED" w:rsidRDefault="004135EE" w:rsidP="004135EE">
      <w:pPr>
        <w:pStyle w:val="Note"/>
      </w:pPr>
      <w:r w:rsidRPr="003A1BED">
        <w:t>Notes:</w:t>
      </w:r>
    </w:p>
    <w:p w14:paraId="42D0822E" w14:textId="77777777" w:rsidR="004135EE" w:rsidRPr="003A1BED" w:rsidRDefault="004135EE" w:rsidP="004135EE">
      <w:pPr>
        <w:pStyle w:val="Note"/>
      </w:pPr>
      <w:r w:rsidRPr="003A1BED">
        <w:t>(a)</w:t>
      </w:r>
      <w:r w:rsidRPr="003A1BED">
        <w:tab/>
        <w:t>Includes estimated depreciation on amounts not yet allocated to projects in 20</w:t>
      </w:r>
      <w:r>
        <w:t>24-25</w:t>
      </w:r>
      <w:r w:rsidRPr="003A1BED">
        <w:t xml:space="preserve"> to 202</w:t>
      </w:r>
      <w:r>
        <w:t>7-28</w:t>
      </w:r>
      <w:r w:rsidRPr="003A1BED">
        <w:t>.</w:t>
      </w:r>
    </w:p>
    <w:p w14:paraId="541F08A9" w14:textId="77777777" w:rsidR="004135EE" w:rsidRPr="003A1BED" w:rsidRDefault="004135EE" w:rsidP="004135EE">
      <w:pPr>
        <w:pStyle w:val="Note"/>
      </w:pPr>
      <w:r w:rsidRPr="003A1BED">
        <w:t>(b)</w:t>
      </w:r>
      <w:r w:rsidRPr="003A1BED">
        <w:tab/>
        <w:t>Amortisation of intangible non</w:t>
      </w:r>
      <w:r>
        <w:noBreakHyphen/>
      </w:r>
      <w:r w:rsidRPr="003A1BED">
        <w:t>produced assets is included under other gains/(losses) from other economic flows.</w:t>
      </w:r>
    </w:p>
    <w:p w14:paraId="4B3B83D1" w14:textId="77777777" w:rsidR="005C5C20" w:rsidRDefault="005C5C20" w:rsidP="004135EE"/>
    <w:p w14:paraId="459C0F17" w14:textId="4E4514CB" w:rsidR="004135EE" w:rsidRPr="003A1BED" w:rsidRDefault="004135EE" w:rsidP="004135EE">
      <w:r w:rsidRPr="003A1BED">
        <w:t>The following two tables are subsets of total depreciation expense.</w:t>
      </w:r>
    </w:p>
    <w:p w14:paraId="0EFBBB14" w14:textId="77777777" w:rsidR="004135EE" w:rsidRPr="003A1BED" w:rsidRDefault="004135EE" w:rsidP="004135EE"/>
    <w:p w14:paraId="6A4499F2" w14:textId="77777777" w:rsidR="004135EE" w:rsidRDefault="004135EE" w:rsidP="005C5C20">
      <w:pPr>
        <w:pStyle w:val="TableHeading"/>
      </w:pPr>
      <w:r w:rsidRPr="003A1BED">
        <w:t>Depreciation of right</w:t>
      </w:r>
      <w:r>
        <w:noBreakHyphen/>
      </w:r>
      <w:r w:rsidRPr="003A1BED">
        <w:t>of</w:t>
      </w:r>
      <w:r>
        <w:noBreakHyphen/>
      </w:r>
      <w:r w:rsidRPr="003A1BED">
        <w:t>use (leased) assets</w:t>
      </w:r>
      <w:r w:rsidRPr="003A1BED">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Depr_Right_of_Use_Assets|MergedHeadingRow:1"/>
      </w:tblPr>
      <w:tblGrid>
        <w:gridCol w:w="3740"/>
        <w:gridCol w:w="794"/>
        <w:gridCol w:w="794"/>
        <w:gridCol w:w="794"/>
        <w:gridCol w:w="794"/>
        <w:gridCol w:w="794"/>
      </w:tblGrid>
      <w:tr w:rsidR="004135EE" w14:paraId="0E1CD3FE"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4D2D525" w14:textId="77777777" w:rsidR="004135EE" w:rsidRDefault="004135EE" w:rsidP="008670FF">
            <w:pPr>
              <w:keepNext/>
            </w:pPr>
          </w:p>
        </w:tc>
        <w:tc>
          <w:tcPr>
            <w:tcW w:w="794" w:type="dxa"/>
          </w:tcPr>
          <w:p w14:paraId="0747CC6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687A3F3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34D84E7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69460BA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F3923B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6F5AB21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2FD71F2" w14:textId="77777777" w:rsidR="004135EE" w:rsidRDefault="004135EE" w:rsidP="008670FF">
            <w:r>
              <w:t>Buildings</w:t>
            </w:r>
          </w:p>
        </w:tc>
        <w:tc>
          <w:tcPr>
            <w:tcW w:w="794" w:type="dxa"/>
          </w:tcPr>
          <w:p w14:paraId="50090D0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803</w:t>
            </w:r>
          </w:p>
        </w:tc>
        <w:tc>
          <w:tcPr>
            <w:tcW w:w="794" w:type="dxa"/>
          </w:tcPr>
          <w:p w14:paraId="0644D32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814</w:t>
            </w:r>
          </w:p>
        </w:tc>
        <w:tc>
          <w:tcPr>
            <w:tcW w:w="794" w:type="dxa"/>
          </w:tcPr>
          <w:p w14:paraId="19647BD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792</w:t>
            </w:r>
          </w:p>
        </w:tc>
        <w:tc>
          <w:tcPr>
            <w:tcW w:w="794" w:type="dxa"/>
          </w:tcPr>
          <w:p w14:paraId="3EEEF12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788</w:t>
            </w:r>
          </w:p>
        </w:tc>
        <w:tc>
          <w:tcPr>
            <w:tcW w:w="794" w:type="dxa"/>
          </w:tcPr>
          <w:p w14:paraId="6FA6DC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788</w:t>
            </w:r>
          </w:p>
        </w:tc>
      </w:tr>
      <w:tr w:rsidR="004135EE" w14:paraId="08C63BD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56E4E0F" w14:textId="77777777" w:rsidR="004135EE" w:rsidRDefault="004135EE" w:rsidP="008670FF">
            <w:r>
              <w:t>Plant, equipment and vehicles</w:t>
            </w:r>
          </w:p>
        </w:tc>
        <w:tc>
          <w:tcPr>
            <w:tcW w:w="794" w:type="dxa"/>
          </w:tcPr>
          <w:p w14:paraId="73B550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117</w:t>
            </w:r>
          </w:p>
        </w:tc>
        <w:tc>
          <w:tcPr>
            <w:tcW w:w="794" w:type="dxa"/>
          </w:tcPr>
          <w:p w14:paraId="0DCF71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109</w:t>
            </w:r>
          </w:p>
        </w:tc>
        <w:tc>
          <w:tcPr>
            <w:tcW w:w="794" w:type="dxa"/>
          </w:tcPr>
          <w:p w14:paraId="6A3C7D9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110</w:t>
            </w:r>
          </w:p>
        </w:tc>
        <w:tc>
          <w:tcPr>
            <w:tcW w:w="794" w:type="dxa"/>
          </w:tcPr>
          <w:p w14:paraId="2DABA3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108</w:t>
            </w:r>
          </w:p>
        </w:tc>
        <w:tc>
          <w:tcPr>
            <w:tcW w:w="794" w:type="dxa"/>
          </w:tcPr>
          <w:p w14:paraId="2CA9CA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108</w:t>
            </w:r>
          </w:p>
        </w:tc>
      </w:tr>
      <w:tr w:rsidR="004135EE" w14:paraId="1754776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37F274F5" w14:textId="77777777" w:rsidR="004135EE" w:rsidRDefault="004135EE" w:rsidP="008670FF">
            <w:r>
              <w:rPr>
                <w:b/>
              </w:rPr>
              <w:t>Total depreciation of right</w:t>
            </w:r>
            <w:r>
              <w:rPr>
                <w:b/>
              </w:rPr>
              <w:noBreakHyphen/>
              <w:t>of</w:t>
            </w:r>
            <w:r>
              <w:rPr>
                <w:b/>
              </w:rPr>
              <w:noBreakHyphen/>
              <w:t>use assets</w:t>
            </w:r>
          </w:p>
        </w:tc>
        <w:tc>
          <w:tcPr>
            <w:tcW w:w="794" w:type="dxa"/>
            <w:tcBorders>
              <w:top w:val="single" w:sz="6" w:space="0" w:color="auto"/>
              <w:bottom w:val="single" w:sz="12" w:space="0" w:color="auto"/>
            </w:tcBorders>
          </w:tcPr>
          <w:p w14:paraId="6B7DAA4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920</w:t>
            </w:r>
          </w:p>
        </w:tc>
        <w:tc>
          <w:tcPr>
            <w:tcW w:w="794" w:type="dxa"/>
            <w:tcBorders>
              <w:top w:val="single" w:sz="6" w:space="0" w:color="auto"/>
              <w:bottom w:val="single" w:sz="12" w:space="0" w:color="auto"/>
            </w:tcBorders>
          </w:tcPr>
          <w:p w14:paraId="4EFA46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924</w:t>
            </w:r>
          </w:p>
        </w:tc>
        <w:tc>
          <w:tcPr>
            <w:tcW w:w="794" w:type="dxa"/>
            <w:tcBorders>
              <w:top w:val="single" w:sz="6" w:space="0" w:color="auto"/>
              <w:bottom w:val="single" w:sz="12" w:space="0" w:color="auto"/>
            </w:tcBorders>
          </w:tcPr>
          <w:p w14:paraId="726AAFF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902</w:t>
            </w:r>
          </w:p>
        </w:tc>
        <w:tc>
          <w:tcPr>
            <w:tcW w:w="794" w:type="dxa"/>
            <w:tcBorders>
              <w:top w:val="single" w:sz="6" w:space="0" w:color="auto"/>
              <w:bottom w:val="single" w:sz="12" w:space="0" w:color="auto"/>
            </w:tcBorders>
          </w:tcPr>
          <w:p w14:paraId="01ED37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896</w:t>
            </w:r>
          </w:p>
        </w:tc>
        <w:tc>
          <w:tcPr>
            <w:tcW w:w="794" w:type="dxa"/>
            <w:tcBorders>
              <w:top w:val="single" w:sz="6" w:space="0" w:color="auto"/>
              <w:bottom w:val="single" w:sz="12" w:space="0" w:color="auto"/>
            </w:tcBorders>
          </w:tcPr>
          <w:p w14:paraId="0467A5E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897</w:t>
            </w:r>
          </w:p>
        </w:tc>
      </w:tr>
    </w:tbl>
    <w:p w14:paraId="605A7A1C" w14:textId="77777777" w:rsidR="004135EE" w:rsidRDefault="004135EE" w:rsidP="004135EE"/>
    <w:p w14:paraId="0A0B619C" w14:textId="77777777" w:rsidR="004135EE" w:rsidRDefault="004135EE" w:rsidP="005C5C20">
      <w:pPr>
        <w:pStyle w:val="TableHeading"/>
      </w:pPr>
      <w:r w:rsidRPr="00D804E7">
        <w:t>Depreciation of service concession assets</w:t>
      </w:r>
      <w:r w:rsidRPr="00D804E7">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Depr_Service_Concessions|MergedHeadingRow:1"/>
      </w:tblPr>
      <w:tblGrid>
        <w:gridCol w:w="3740"/>
        <w:gridCol w:w="794"/>
        <w:gridCol w:w="794"/>
        <w:gridCol w:w="794"/>
        <w:gridCol w:w="794"/>
        <w:gridCol w:w="794"/>
      </w:tblGrid>
      <w:tr w:rsidR="004135EE" w14:paraId="483F648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1AC648D" w14:textId="77777777" w:rsidR="004135EE" w:rsidRDefault="004135EE" w:rsidP="008670FF">
            <w:pPr>
              <w:keepNext/>
            </w:pPr>
          </w:p>
        </w:tc>
        <w:tc>
          <w:tcPr>
            <w:tcW w:w="794" w:type="dxa"/>
          </w:tcPr>
          <w:p w14:paraId="7D9A6EF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28A0737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2E7A85C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2D6C070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2457680C"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4BC2B16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3009CE2" w14:textId="77777777" w:rsidR="004135EE" w:rsidRDefault="004135EE" w:rsidP="008670FF">
            <w:r>
              <w:t>Buildings</w:t>
            </w:r>
          </w:p>
        </w:tc>
        <w:tc>
          <w:tcPr>
            <w:tcW w:w="794" w:type="dxa"/>
          </w:tcPr>
          <w:p w14:paraId="098F5E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61</w:t>
            </w:r>
          </w:p>
        </w:tc>
        <w:tc>
          <w:tcPr>
            <w:tcW w:w="794" w:type="dxa"/>
          </w:tcPr>
          <w:p w14:paraId="5C16D07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w:t>
            </w:r>
          </w:p>
        </w:tc>
        <w:tc>
          <w:tcPr>
            <w:tcW w:w="794" w:type="dxa"/>
          </w:tcPr>
          <w:p w14:paraId="724744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w:t>
            </w:r>
          </w:p>
        </w:tc>
        <w:tc>
          <w:tcPr>
            <w:tcW w:w="794" w:type="dxa"/>
          </w:tcPr>
          <w:p w14:paraId="3324B7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w:t>
            </w:r>
          </w:p>
        </w:tc>
        <w:tc>
          <w:tcPr>
            <w:tcW w:w="794" w:type="dxa"/>
          </w:tcPr>
          <w:p w14:paraId="2298676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74</w:t>
            </w:r>
          </w:p>
        </w:tc>
      </w:tr>
      <w:tr w:rsidR="004135EE" w14:paraId="200F8B8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71BB879" w14:textId="77777777" w:rsidR="004135EE" w:rsidRDefault="004135EE" w:rsidP="008670FF">
            <w:r>
              <w:t>Plant, equipment and vehicles</w:t>
            </w:r>
          </w:p>
        </w:tc>
        <w:tc>
          <w:tcPr>
            <w:tcW w:w="794" w:type="dxa"/>
          </w:tcPr>
          <w:p w14:paraId="4D80B27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w:t>
            </w:r>
          </w:p>
        </w:tc>
        <w:tc>
          <w:tcPr>
            <w:tcW w:w="794" w:type="dxa"/>
          </w:tcPr>
          <w:p w14:paraId="5D4AE45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w:t>
            </w:r>
          </w:p>
        </w:tc>
        <w:tc>
          <w:tcPr>
            <w:tcW w:w="794" w:type="dxa"/>
          </w:tcPr>
          <w:p w14:paraId="1D2662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38</w:t>
            </w:r>
          </w:p>
        </w:tc>
        <w:tc>
          <w:tcPr>
            <w:tcW w:w="794" w:type="dxa"/>
          </w:tcPr>
          <w:p w14:paraId="64A5545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w:t>
            </w:r>
          </w:p>
        </w:tc>
        <w:tc>
          <w:tcPr>
            <w:tcW w:w="794" w:type="dxa"/>
          </w:tcPr>
          <w:p w14:paraId="35A1ED0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45</w:t>
            </w:r>
          </w:p>
        </w:tc>
      </w:tr>
      <w:tr w:rsidR="004135EE" w14:paraId="4B7B84A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F677270" w14:textId="77777777" w:rsidR="004135EE" w:rsidRDefault="004135EE" w:rsidP="008670FF">
            <w:r>
              <w:t>Roads and road infrastructure</w:t>
            </w:r>
          </w:p>
        </w:tc>
        <w:tc>
          <w:tcPr>
            <w:tcW w:w="794" w:type="dxa"/>
          </w:tcPr>
          <w:p w14:paraId="0E9DEA5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177</w:t>
            </w:r>
          </w:p>
        </w:tc>
        <w:tc>
          <w:tcPr>
            <w:tcW w:w="794" w:type="dxa"/>
          </w:tcPr>
          <w:p w14:paraId="5B34A3B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231</w:t>
            </w:r>
          </w:p>
        </w:tc>
        <w:tc>
          <w:tcPr>
            <w:tcW w:w="794" w:type="dxa"/>
          </w:tcPr>
          <w:p w14:paraId="0D786FB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357</w:t>
            </w:r>
          </w:p>
        </w:tc>
        <w:tc>
          <w:tcPr>
            <w:tcW w:w="794" w:type="dxa"/>
          </w:tcPr>
          <w:p w14:paraId="606315C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470</w:t>
            </w:r>
          </w:p>
        </w:tc>
        <w:tc>
          <w:tcPr>
            <w:tcW w:w="794" w:type="dxa"/>
          </w:tcPr>
          <w:p w14:paraId="544739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470</w:t>
            </w:r>
          </w:p>
        </w:tc>
      </w:tr>
      <w:tr w:rsidR="004135EE" w14:paraId="3084DCB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C9CAAFF" w14:textId="77777777" w:rsidR="004135EE" w:rsidRDefault="004135EE" w:rsidP="008670FF">
            <w:r>
              <w:t>Intangible produced assets</w:t>
            </w:r>
          </w:p>
        </w:tc>
        <w:tc>
          <w:tcPr>
            <w:tcW w:w="794" w:type="dxa"/>
            <w:tcBorders>
              <w:bottom w:val="single" w:sz="6" w:space="0" w:color="auto"/>
            </w:tcBorders>
          </w:tcPr>
          <w:p w14:paraId="0158D8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487839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474361C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7F0C13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Borders>
              <w:bottom w:val="single" w:sz="6" w:space="0" w:color="auto"/>
            </w:tcBorders>
          </w:tcPr>
          <w:p w14:paraId="0D632B6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r>
      <w:tr w:rsidR="004135EE" w14:paraId="6AB66A0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4145190" w14:textId="77777777" w:rsidR="004135EE" w:rsidRDefault="004135EE" w:rsidP="008670FF">
            <w:r>
              <w:rPr>
                <w:b/>
              </w:rPr>
              <w:t>Total depreciation of service concession assets</w:t>
            </w:r>
          </w:p>
        </w:tc>
        <w:tc>
          <w:tcPr>
            <w:tcW w:w="794" w:type="dxa"/>
            <w:tcBorders>
              <w:top w:val="single" w:sz="6" w:space="0" w:color="auto"/>
              <w:bottom w:val="single" w:sz="12" w:space="0" w:color="auto"/>
            </w:tcBorders>
          </w:tcPr>
          <w:p w14:paraId="4A89EF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268</w:t>
            </w:r>
          </w:p>
        </w:tc>
        <w:tc>
          <w:tcPr>
            <w:tcW w:w="794" w:type="dxa"/>
            <w:tcBorders>
              <w:top w:val="single" w:sz="6" w:space="0" w:color="auto"/>
              <w:bottom w:val="single" w:sz="12" w:space="0" w:color="auto"/>
            </w:tcBorders>
          </w:tcPr>
          <w:p w14:paraId="28B715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341</w:t>
            </w:r>
          </w:p>
        </w:tc>
        <w:tc>
          <w:tcPr>
            <w:tcW w:w="794" w:type="dxa"/>
            <w:tcBorders>
              <w:top w:val="single" w:sz="6" w:space="0" w:color="auto"/>
              <w:bottom w:val="single" w:sz="12" w:space="0" w:color="auto"/>
            </w:tcBorders>
          </w:tcPr>
          <w:p w14:paraId="12C9CB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470</w:t>
            </w:r>
          </w:p>
        </w:tc>
        <w:tc>
          <w:tcPr>
            <w:tcW w:w="794" w:type="dxa"/>
            <w:tcBorders>
              <w:top w:val="single" w:sz="6" w:space="0" w:color="auto"/>
              <w:bottom w:val="single" w:sz="12" w:space="0" w:color="auto"/>
            </w:tcBorders>
          </w:tcPr>
          <w:p w14:paraId="62959C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587</w:t>
            </w:r>
          </w:p>
        </w:tc>
        <w:tc>
          <w:tcPr>
            <w:tcW w:w="794" w:type="dxa"/>
            <w:tcBorders>
              <w:top w:val="single" w:sz="6" w:space="0" w:color="auto"/>
              <w:bottom w:val="single" w:sz="12" w:space="0" w:color="auto"/>
            </w:tcBorders>
          </w:tcPr>
          <w:p w14:paraId="209E0F1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590</w:t>
            </w:r>
          </w:p>
        </w:tc>
      </w:tr>
    </w:tbl>
    <w:p w14:paraId="730E8BF8" w14:textId="77777777" w:rsidR="004135EE" w:rsidRDefault="004135EE" w:rsidP="004135EE"/>
    <w:p w14:paraId="4509E0F8" w14:textId="77777777" w:rsidR="005C5C20" w:rsidRDefault="005C5C20">
      <w:pPr>
        <w:keepLines w:val="0"/>
        <w:rPr>
          <w:rFonts w:asciiTheme="majorHAnsi" w:eastAsiaTheme="majorEastAsia" w:hAnsiTheme="majorHAnsi" w:cstheme="majorBidi"/>
          <w:b/>
          <w:szCs w:val="24"/>
        </w:rPr>
      </w:pPr>
      <w:bookmarkStart w:id="114" w:name="_Toc149221057"/>
      <w:r>
        <w:br w:type="page"/>
      </w:r>
    </w:p>
    <w:p w14:paraId="101CABD9" w14:textId="43DE5FB1" w:rsidR="004135EE" w:rsidRPr="00DC3CAB" w:rsidRDefault="004135EE" w:rsidP="004135EE">
      <w:pPr>
        <w:pStyle w:val="Heading30"/>
      </w:pPr>
      <w:bookmarkStart w:id="115" w:name="_Toc184299154"/>
      <w:r>
        <w:t>4.4.3</w:t>
      </w:r>
      <w:r>
        <w:tab/>
      </w:r>
      <w:r w:rsidRPr="00DC3CAB">
        <w:t xml:space="preserve">Reconciliation of movements in land, buildings, infrastructure, </w:t>
      </w:r>
      <w:r w:rsidRPr="00DC3CAB">
        <w:br/>
        <w:t xml:space="preserve">plant and equipment </w:t>
      </w:r>
      <w:r w:rsidRPr="00DC3CAB">
        <w:rPr>
          <w:vertAlign w:val="superscript"/>
        </w:rPr>
        <w:t>(a)</w:t>
      </w:r>
      <w:r w:rsidRPr="00DC3CAB">
        <w:tab/>
        <w:t>($ million)</w:t>
      </w:r>
      <w:bookmarkEnd w:id="114"/>
      <w:bookmarkEnd w:id="115"/>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PPE_Reco.xlsx|Table:PPE_reco|MergedHeadingRow:1"/>
      </w:tblPr>
      <w:tblGrid>
        <w:gridCol w:w="3740"/>
        <w:gridCol w:w="794"/>
        <w:gridCol w:w="794"/>
        <w:gridCol w:w="794"/>
        <w:gridCol w:w="794"/>
        <w:gridCol w:w="794"/>
      </w:tblGrid>
      <w:tr w:rsidR="004135EE" w14:paraId="4D24B47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6F955F6" w14:textId="77777777" w:rsidR="004135EE" w:rsidRDefault="004135EE" w:rsidP="008670FF">
            <w:pPr>
              <w:keepNext/>
            </w:pPr>
          </w:p>
        </w:tc>
        <w:tc>
          <w:tcPr>
            <w:tcW w:w="794" w:type="dxa"/>
          </w:tcPr>
          <w:p w14:paraId="166385B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030CFAE0"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2401047F"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56163A8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2DD12FD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447CDD8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42C8BB5" w14:textId="77777777" w:rsidR="004135EE" w:rsidRDefault="004135EE" w:rsidP="008670FF">
            <w:r>
              <w:t>Carrying amount at the start of the year</w:t>
            </w:r>
          </w:p>
        </w:tc>
        <w:tc>
          <w:tcPr>
            <w:tcW w:w="794" w:type="dxa"/>
          </w:tcPr>
          <w:p w14:paraId="0BF85B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269 691</w:t>
            </w:r>
          </w:p>
        </w:tc>
        <w:tc>
          <w:tcPr>
            <w:tcW w:w="794" w:type="dxa"/>
          </w:tcPr>
          <w:p w14:paraId="51C7C3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269 690</w:t>
            </w:r>
          </w:p>
        </w:tc>
        <w:tc>
          <w:tcPr>
            <w:tcW w:w="794" w:type="dxa"/>
          </w:tcPr>
          <w:p w14:paraId="77B611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283 908</w:t>
            </w:r>
          </w:p>
        </w:tc>
        <w:tc>
          <w:tcPr>
            <w:tcW w:w="794" w:type="dxa"/>
          </w:tcPr>
          <w:p w14:paraId="1EC6967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283 663</w:t>
            </w:r>
          </w:p>
        </w:tc>
        <w:tc>
          <w:tcPr>
            <w:tcW w:w="794" w:type="dxa"/>
          </w:tcPr>
          <w:p w14:paraId="43879C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297 607</w:t>
            </w:r>
          </w:p>
        </w:tc>
      </w:tr>
      <w:tr w:rsidR="004135EE" w14:paraId="57247CF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54C3BF9" w14:textId="77777777" w:rsidR="004135EE" w:rsidRDefault="004135EE" w:rsidP="008670FF">
            <w:r>
              <w:t>Additions of self</w:t>
            </w:r>
            <w:r>
              <w:noBreakHyphen/>
              <w:t>owned assets</w:t>
            </w:r>
            <w:r>
              <w:rPr>
                <w:vertAlign w:val="superscript"/>
              </w:rPr>
              <w:t xml:space="preserve"> (b)</w:t>
            </w:r>
          </w:p>
        </w:tc>
        <w:tc>
          <w:tcPr>
            <w:tcW w:w="794" w:type="dxa"/>
          </w:tcPr>
          <w:p w14:paraId="58A579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18 150</w:t>
            </w:r>
          </w:p>
        </w:tc>
        <w:tc>
          <w:tcPr>
            <w:tcW w:w="794" w:type="dxa"/>
          </w:tcPr>
          <w:p w14:paraId="5F3121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16 449</w:t>
            </w:r>
          </w:p>
        </w:tc>
        <w:tc>
          <w:tcPr>
            <w:tcW w:w="794" w:type="dxa"/>
          </w:tcPr>
          <w:p w14:paraId="7AD53A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18 042</w:t>
            </w:r>
          </w:p>
        </w:tc>
        <w:tc>
          <w:tcPr>
            <w:tcW w:w="794" w:type="dxa"/>
          </w:tcPr>
          <w:p w14:paraId="611F73E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15 922</w:t>
            </w:r>
          </w:p>
        </w:tc>
        <w:tc>
          <w:tcPr>
            <w:tcW w:w="794" w:type="dxa"/>
          </w:tcPr>
          <w:p w14:paraId="0EAE7E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14 115</w:t>
            </w:r>
          </w:p>
        </w:tc>
      </w:tr>
      <w:tr w:rsidR="004135EE" w14:paraId="41DE43E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DDC28EA" w14:textId="77777777" w:rsidR="004135EE" w:rsidRDefault="004135EE" w:rsidP="008670FF">
            <w:r>
              <w:t>Additions of right</w:t>
            </w:r>
            <w:r>
              <w:noBreakHyphen/>
              <w:t>of</w:t>
            </w:r>
            <w:r>
              <w:noBreakHyphen/>
              <w:t>use assets</w:t>
            </w:r>
          </w:p>
        </w:tc>
        <w:tc>
          <w:tcPr>
            <w:tcW w:w="794" w:type="dxa"/>
          </w:tcPr>
          <w:p w14:paraId="721A708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248</w:t>
            </w:r>
          </w:p>
        </w:tc>
        <w:tc>
          <w:tcPr>
            <w:tcW w:w="794" w:type="dxa"/>
          </w:tcPr>
          <w:p w14:paraId="7B5BA4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469</w:t>
            </w:r>
          </w:p>
        </w:tc>
        <w:tc>
          <w:tcPr>
            <w:tcW w:w="794" w:type="dxa"/>
          </w:tcPr>
          <w:p w14:paraId="05C31B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166</w:t>
            </w:r>
          </w:p>
        </w:tc>
        <w:tc>
          <w:tcPr>
            <w:tcW w:w="794" w:type="dxa"/>
          </w:tcPr>
          <w:p w14:paraId="290B2B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2C9096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96</w:t>
            </w:r>
          </w:p>
        </w:tc>
      </w:tr>
      <w:tr w:rsidR="004135EE" w14:paraId="6D5ADA6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6DF7239" w14:textId="77777777" w:rsidR="004135EE" w:rsidRDefault="004135EE" w:rsidP="008670FF">
            <w:r>
              <w:t>Additions of service concession arrangement assets</w:t>
            </w:r>
          </w:p>
        </w:tc>
        <w:tc>
          <w:tcPr>
            <w:tcW w:w="794" w:type="dxa"/>
          </w:tcPr>
          <w:p w14:paraId="452DB9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660</w:t>
            </w:r>
          </w:p>
        </w:tc>
        <w:tc>
          <w:tcPr>
            <w:tcW w:w="794" w:type="dxa"/>
          </w:tcPr>
          <w:p w14:paraId="064046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1 800</w:t>
            </w:r>
          </w:p>
        </w:tc>
        <w:tc>
          <w:tcPr>
            <w:tcW w:w="794" w:type="dxa"/>
          </w:tcPr>
          <w:p w14:paraId="6AD2EA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361</w:t>
            </w:r>
          </w:p>
        </w:tc>
        <w:tc>
          <w:tcPr>
            <w:tcW w:w="794" w:type="dxa"/>
          </w:tcPr>
          <w:p w14:paraId="388D2C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42</w:t>
            </w:r>
          </w:p>
        </w:tc>
        <w:tc>
          <w:tcPr>
            <w:tcW w:w="794" w:type="dxa"/>
          </w:tcPr>
          <w:p w14:paraId="1AEC11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44</w:t>
            </w:r>
          </w:p>
        </w:tc>
      </w:tr>
      <w:tr w:rsidR="004135EE" w14:paraId="15E0252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17AC949" w14:textId="77777777" w:rsidR="004135EE" w:rsidRDefault="004135EE" w:rsidP="008670FF">
            <w:r>
              <w:t>Disposals at written</w:t>
            </w:r>
            <w:r>
              <w:noBreakHyphen/>
              <w:t>down value</w:t>
            </w:r>
          </w:p>
        </w:tc>
        <w:tc>
          <w:tcPr>
            <w:tcW w:w="794" w:type="dxa"/>
          </w:tcPr>
          <w:p w14:paraId="6E88E4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(561)</w:t>
            </w:r>
          </w:p>
        </w:tc>
        <w:tc>
          <w:tcPr>
            <w:tcW w:w="794" w:type="dxa"/>
          </w:tcPr>
          <w:p w14:paraId="14A6EA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(290)</w:t>
            </w:r>
          </w:p>
        </w:tc>
        <w:tc>
          <w:tcPr>
            <w:tcW w:w="794" w:type="dxa"/>
          </w:tcPr>
          <w:p w14:paraId="627145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(967)</w:t>
            </w:r>
          </w:p>
        </w:tc>
        <w:tc>
          <w:tcPr>
            <w:tcW w:w="794" w:type="dxa"/>
          </w:tcPr>
          <w:p w14:paraId="2E8C40C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(631)</w:t>
            </w:r>
          </w:p>
        </w:tc>
        <w:tc>
          <w:tcPr>
            <w:tcW w:w="794" w:type="dxa"/>
          </w:tcPr>
          <w:p w14:paraId="559D7D6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(486)</w:t>
            </w:r>
          </w:p>
        </w:tc>
      </w:tr>
      <w:tr w:rsidR="004135EE" w14:paraId="13143C9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2FEB32B" w14:textId="77777777" w:rsidR="004135EE" w:rsidRDefault="004135EE" w:rsidP="008670FF">
            <w:r>
              <w:t>Revaluations</w:t>
            </w:r>
          </w:p>
        </w:tc>
        <w:tc>
          <w:tcPr>
            <w:tcW w:w="794" w:type="dxa"/>
          </w:tcPr>
          <w:p w14:paraId="102C5C9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6 787</w:t>
            </w:r>
          </w:p>
        </w:tc>
        <w:tc>
          <w:tcPr>
            <w:tcW w:w="794" w:type="dxa"/>
          </w:tcPr>
          <w:p w14:paraId="10E859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6 760</w:t>
            </w:r>
          </w:p>
        </w:tc>
        <w:tc>
          <w:tcPr>
            <w:tcW w:w="794" w:type="dxa"/>
          </w:tcPr>
          <w:p w14:paraId="3CAE40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8 694</w:t>
            </w:r>
          </w:p>
        </w:tc>
        <w:tc>
          <w:tcPr>
            <w:tcW w:w="794" w:type="dxa"/>
          </w:tcPr>
          <w:p w14:paraId="03F7534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5 809</w:t>
            </w:r>
          </w:p>
        </w:tc>
        <w:tc>
          <w:tcPr>
            <w:tcW w:w="794" w:type="dxa"/>
          </w:tcPr>
          <w:p w14:paraId="4242ADD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8 979</w:t>
            </w:r>
          </w:p>
        </w:tc>
      </w:tr>
      <w:tr w:rsidR="004135EE" w14:paraId="63D1677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A664AA0" w14:textId="77777777" w:rsidR="004135EE" w:rsidRDefault="004135EE" w:rsidP="008670FF">
            <w:r>
              <w:t>Asset transfers</w:t>
            </w:r>
            <w:r>
              <w:rPr>
                <w:vertAlign w:val="superscript"/>
              </w:rPr>
              <w:t xml:space="preserve"> (c)</w:t>
            </w:r>
          </w:p>
        </w:tc>
        <w:tc>
          <w:tcPr>
            <w:tcW w:w="794" w:type="dxa"/>
          </w:tcPr>
          <w:p w14:paraId="11498BB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(4 343)</w:t>
            </w:r>
          </w:p>
        </w:tc>
        <w:tc>
          <w:tcPr>
            <w:tcW w:w="794" w:type="dxa"/>
          </w:tcPr>
          <w:p w14:paraId="4D815F5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(5 694)</w:t>
            </w:r>
          </w:p>
        </w:tc>
        <w:tc>
          <w:tcPr>
            <w:tcW w:w="794" w:type="dxa"/>
          </w:tcPr>
          <w:p w14:paraId="77337C7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(20 936)</w:t>
            </w:r>
          </w:p>
        </w:tc>
        <w:tc>
          <w:tcPr>
            <w:tcW w:w="794" w:type="dxa"/>
          </w:tcPr>
          <w:p w14:paraId="0D3B0F1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(1 474)</w:t>
            </w:r>
          </w:p>
        </w:tc>
        <w:tc>
          <w:tcPr>
            <w:tcW w:w="794" w:type="dxa"/>
          </w:tcPr>
          <w:p w14:paraId="2DBDC2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(2 811)</w:t>
            </w:r>
          </w:p>
        </w:tc>
      </w:tr>
      <w:tr w:rsidR="004135EE" w14:paraId="3E2B912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37A2640" w14:textId="77777777" w:rsidR="004135EE" w:rsidRDefault="004135EE" w:rsidP="008670FF">
            <w:r>
              <w:t>Depreciation expense</w:t>
            </w:r>
          </w:p>
        </w:tc>
        <w:tc>
          <w:tcPr>
            <w:tcW w:w="794" w:type="dxa"/>
            <w:tcBorders>
              <w:bottom w:val="single" w:sz="6" w:space="0" w:color="auto"/>
            </w:tcBorders>
          </w:tcPr>
          <w:p w14:paraId="301A5B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(4 916)</w:t>
            </w:r>
          </w:p>
        </w:tc>
        <w:tc>
          <w:tcPr>
            <w:tcW w:w="794" w:type="dxa"/>
            <w:tcBorders>
              <w:bottom w:val="single" w:sz="6" w:space="0" w:color="auto"/>
            </w:tcBorders>
          </w:tcPr>
          <w:p w14:paraId="7E2356C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(5 277)</w:t>
            </w:r>
          </w:p>
        </w:tc>
        <w:tc>
          <w:tcPr>
            <w:tcW w:w="794" w:type="dxa"/>
            <w:tcBorders>
              <w:bottom w:val="single" w:sz="6" w:space="0" w:color="auto"/>
            </w:tcBorders>
          </w:tcPr>
          <w:p w14:paraId="2CC55A2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(5 605)</w:t>
            </w:r>
          </w:p>
        </w:tc>
        <w:tc>
          <w:tcPr>
            <w:tcW w:w="794" w:type="dxa"/>
            <w:tcBorders>
              <w:bottom w:val="single" w:sz="6" w:space="0" w:color="auto"/>
            </w:tcBorders>
          </w:tcPr>
          <w:p w14:paraId="2A204A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(5 806)</w:t>
            </w:r>
          </w:p>
        </w:tc>
        <w:tc>
          <w:tcPr>
            <w:tcW w:w="794" w:type="dxa"/>
            <w:tcBorders>
              <w:bottom w:val="single" w:sz="6" w:space="0" w:color="auto"/>
            </w:tcBorders>
          </w:tcPr>
          <w:p w14:paraId="33E39D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(5 949)</w:t>
            </w:r>
          </w:p>
        </w:tc>
      </w:tr>
      <w:tr w:rsidR="004135EE" w14:paraId="2A69F9E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86D7B83" w14:textId="77777777" w:rsidR="004135EE" w:rsidRDefault="004135EE" w:rsidP="008670FF">
            <w:r>
              <w:rPr>
                <w:b/>
              </w:rPr>
              <w:t>Carrying amount at the end of the year</w:t>
            </w:r>
          </w:p>
        </w:tc>
        <w:tc>
          <w:tcPr>
            <w:tcW w:w="794" w:type="dxa"/>
            <w:tcBorders>
              <w:top w:val="single" w:sz="6" w:space="0" w:color="auto"/>
              <w:bottom w:val="single" w:sz="12" w:space="0" w:color="auto"/>
            </w:tcBorders>
          </w:tcPr>
          <w:p w14:paraId="0B28165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285 717</w:t>
            </w:r>
          </w:p>
        </w:tc>
        <w:tc>
          <w:tcPr>
            <w:tcW w:w="794" w:type="dxa"/>
            <w:tcBorders>
              <w:top w:val="single" w:sz="6" w:space="0" w:color="auto"/>
              <w:bottom w:val="single" w:sz="12" w:space="0" w:color="auto"/>
            </w:tcBorders>
          </w:tcPr>
          <w:p w14:paraId="1BEE324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283 908</w:t>
            </w:r>
          </w:p>
        </w:tc>
        <w:tc>
          <w:tcPr>
            <w:tcW w:w="794" w:type="dxa"/>
            <w:tcBorders>
              <w:top w:val="single" w:sz="6" w:space="0" w:color="auto"/>
              <w:bottom w:val="single" w:sz="12" w:space="0" w:color="auto"/>
            </w:tcBorders>
          </w:tcPr>
          <w:p w14:paraId="1C0C38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283 663</w:t>
            </w:r>
          </w:p>
        </w:tc>
        <w:tc>
          <w:tcPr>
            <w:tcW w:w="794" w:type="dxa"/>
            <w:tcBorders>
              <w:top w:val="single" w:sz="6" w:space="0" w:color="auto"/>
              <w:bottom w:val="single" w:sz="12" w:space="0" w:color="auto"/>
            </w:tcBorders>
          </w:tcPr>
          <w:p w14:paraId="1BE209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297 607</w:t>
            </w:r>
          </w:p>
        </w:tc>
        <w:tc>
          <w:tcPr>
            <w:tcW w:w="794" w:type="dxa"/>
            <w:tcBorders>
              <w:top w:val="single" w:sz="6" w:space="0" w:color="auto"/>
              <w:bottom w:val="single" w:sz="12" w:space="0" w:color="auto"/>
            </w:tcBorders>
          </w:tcPr>
          <w:p w14:paraId="498FBD9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311 594</w:t>
            </w:r>
          </w:p>
        </w:tc>
      </w:tr>
    </w:tbl>
    <w:p w14:paraId="3EA56398" w14:textId="77777777" w:rsidR="004135EE" w:rsidRPr="003A1BED" w:rsidRDefault="004135EE" w:rsidP="004135EE">
      <w:pPr>
        <w:pStyle w:val="Note"/>
      </w:pPr>
      <w:r w:rsidRPr="003A1BED">
        <w:t>Notes:</w:t>
      </w:r>
    </w:p>
    <w:p w14:paraId="69EA9309" w14:textId="77777777" w:rsidR="004135EE" w:rsidRDefault="004135EE" w:rsidP="004135EE">
      <w:pPr>
        <w:pStyle w:val="Note"/>
      </w:pPr>
      <w:r w:rsidRPr="00852CEF">
        <w:t>(a</w:t>
      </w:r>
      <w:r>
        <w:t>)</w:t>
      </w:r>
      <w:r>
        <w:tab/>
      </w:r>
      <w:r w:rsidRPr="003A1BED">
        <w:t>The reconciliation of movements comprises land and buildings, infrastructure systems, plant, equipment, vehicles, roads, roads</w:t>
      </w:r>
      <w:r>
        <w:t> </w:t>
      </w:r>
      <w:r w:rsidRPr="003A1BED">
        <w:t>infrastructure and cultural assets, right</w:t>
      </w:r>
      <w:r w:rsidRPr="003A1BED">
        <w:noBreakHyphen/>
        <w:t>of</w:t>
      </w:r>
      <w:r w:rsidRPr="003A1BED">
        <w:noBreakHyphen/>
        <w:t>use (leased) assets</w:t>
      </w:r>
      <w:r>
        <w:t xml:space="preserve"> and</w:t>
      </w:r>
      <w:r w:rsidRPr="003A1BED">
        <w:t xml:space="preserve"> service concession assets</w:t>
      </w:r>
      <w:r>
        <w:t>. It</w:t>
      </w:r>
      <w:r w:rsidRPr="003A1BED">
        <w:t xml:space="preserve"> excludes intangible assets, investment properties and other non</w:t>
      </w:r>
      <w:r>
        <w:noBreakHyphen/>
      </w:r>
      <w:r w:rsidRPr="003A1BED">
        <w:t>financial assets.</w:t>
      </w:r>
    </w:p>
    <w:p w14:paraId="6717B1C9" w14:textId="77777777" w:rsidR="004135EE" w:rsidRPr="003A1BED" w:rsidRDefault="004135EE" w:rsidP="004135EE">
      <w:pPr>
        <w:pStyle w:val="Note"/>
      </w:pPr>
      <w:r w:rsidRPr="003A1BED">
        <w:t>(</w:t>
      </w:r>
      <w:r>
        <w:t>b</w:t>
      </w:r>
      <w:r w:rsidRPr="003A1BED">
        <w:t>)</w:t>
      </w:r>
      <w:r w:rsidRPr="003A1BED">
        <w:tab/>
        <w:t xml:space="preserve">Represents additions of assets recognised under AASB 116 </w:t>
      </w:r>
      <w:r w:rsidRPr="00343AF5">
        <w:rPr>
          <w:i w:val="0"/>
          <w:iCs/>
        </w:rPr>
        <w:t>Property, Plant and Equipment</w:t>
      </w:r>
      <w:r w:rsidRPr="003A1BED">
        <w:t>.</w:t>
      </w:r>
    </w:p>
    <w:p w14:paraId="130C4CFB" w14:textId="77777777" w:rsidR="004135EE" w:rsidRDefault="004135EE" w:rsidP="004135EE">
      <w:pPr>
        <w:pStyle w:val="Note"/>
      </w:pPr>
      <w:r w:rsidRPr="003A1BED">
        <w:t>(</w:t>
      </w:r>
      <w:r>
        <w:t>c</w:t>
      </w:r>
      <w:r w:rsidRPr="003A1BED">
        <w:t>)</w:t>
      </w:r>
      <w:r w:rsidRPr="003A1BED">
        <w:tab/>
        <w:t>Represents the transfer of assets to/from the public non</w:t>
      </w:r>
      <w:r>
        <w:noBreakHyphen/>
      </w:r>
      <w:r w:rsidRPr="003A1BED">
        <w:t>financial corporations sector.</w:t>
      </w:r>
      <w:r w:rsidRPr="0022495E">
        <w:t xml:space="preserve"> </w:t>
      </w:r>
      <w:r>
        <w:t>The movement in 2025-26 primarily reflects the transfer of the Metro Tunnel assets from the Department of Transport and Planning in the general government sector to VicTrack in the public non-financial corporations sector upon its completion.</w:t>
      </w:r>
    </w:p>
    <w:p w14:paraId="0E11D564" w14:textId="77777777" w:rsidR="005C5C20" w:rsidRDefault="005C5C20" w:rsidP="005C5C20">
      <w:bookmarkStart w:id="116" w:name="_Toc149221058"/>
    </w:p>
    <w:p w14:paraId="32B77206" w14:textId="77777777" w:rsidR="005C5C20" w:rsidRDefault="005C5C20" w:rsidP="005C5C20"/>
    <w:p w14:paraId="59F1EE4E" w14:textId="6FD9B56C" w:rsidR="004135EE" w:rsidRPr="00DC3CAB" w:rsidRDefault="004135EE" w:rsidP="004135EE">
      <w:pPr>
        <w:pStyle w:val="Heading30"/>
      </w:pPr>
      <w:bookmarkStart w:id="117" w:name="_Toc184299155"/>
      <w:r>
        <w:t>4.4.4</w:t>
      </w:r>
      <w:r>
        <w:tab/>
      </w:r>
      <w:r w:rsidRPr="00DC3CAB">
        <w:t>Other non</w:t>
      </w:r>
      <w:r>
        <w:noBreakHyphen/>
      </w:r>
      <w:r w:rsidRPr="00DC3CAB">
        <w:t>financial assets</w:t>
      </w:r>
      <w:r w:rsidRPr="00DC3CAB">
        <w:tab/>
        <w:t>($ million)</w:t>
      </w:r>
      <w:bookmarkEnd w:id="116"/>
      <w:bookmarkEnd w:id="117"/>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Other_NFA|UseWorksheetCellFormatting:True|MergedHeadingRow:1"/>
      </w:tblPr>
      <w:tblGrid>
        <w:gridCol w:w="3740"/>
        <w:gridCol w:w="794"/>
        <w:gridCol w:w="794"/>
        <w:gridCol w:w="794"/>
        <w:gridCol w:w="794"/>
        <w:gridCol w:w="794"/>
      </w:tblGrid>
      <w:tr w:rsidR="004135EE" w14:paraId="3BA99A94"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1501E39" w14:textId="77777777" w:rsidR="004135EE" w:rsidRDefault="004135EE" w:rsidP="008670FF">
            <w:pPr>
              <w:keepNext/>
            </w:pPr>
          </w:p>
        </w:tc>
        <w:tc>
          <w:tcPr>
            <w:tcW w:w="794" w:type="dxa"/>
          </w:tcPr>
          <w:p w14:paraId="69A43C2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5CA4C75C"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388105C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48C7E96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3851F82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5D71C93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49BF242" w14:textId="77777777" w:rsidR="004135EE" w:rsidRDefault="004135EE" w:rsidP="008670FF">
            <w:r>
              <w:t>Intangible produced assets</w:t>
            </w:r>
          </w:p>
        </w:tc>
        <w:tc>
          <w:tcPr>
            <w:tcW w:w="794" w:type="dxa"/>
          </w:tcPr>
          <w:p w14:paraId="1DA9CD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3 045</w:t>
            </w:r>
          </w:p>
        </w:tc>
        <w:tc>
          <w:tcPr>
            <w:tcW w:w="794" w:type="dxa"/>
          </w:tcPr>
          <w:p w14:paraId="16436D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3 082</w:t>
            </w:r>
          </w:p>
        </w:tc>
        <w:tc>
          <w:tcPr>
            <w:tcW w:w="794" w:type="dxa"/>
          </w:tcPr>
          <w:p w14:paraId="33C47FC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3 188</w:t>
            </w:r>
          </w:p>
        </w:tc>
        <w:tc>
          <w:tcPr>
            <w:tcW w:w="794" w:type="dxa"/>
          </w:tcPr>
          <w:p w14:paraId="146601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3 206</w:t>
            </w:r>
          </w:p>
        </w:tc>
        <w:tc>
          <w:tcPr>
            <w:tcW w:w="794" w:type="dxa"/>
          </w:tcPr>
          <w:p w14:paraId="284440A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3 282</w:t>
            </w:r>
          </w:p>
        </w:tc>
      </w:tr>
      <w:tr w:rsidR="004135EE" w14:paraId="54C5FC4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14249A7" w14:textId="77777777" w:rsidR="004135EE" w:rsidRDefault="004135EE" w:rsidP="008670FF">
            <w:r>
              <w:t>Accumulated depreciation</w:t>
            </w:r>
          </w:p>
        </w:tc>
        <w:tc>
          <w:tcPr>
            <w:tcW w:w="794" w:type="dxa"/>
          </w:tcPr>
          <w:p w14:paraId="17108EB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(2 004)</w:t>
            </w:r>
          </w:p>
        </w:tc>
        <w:tc>
          <w:tcPr>
            <w:tcW w:w="794" w:type="dxa"/>
          </w:tcPr>
          <w:p w14:paraId="713FF6D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(1 932)</w:t>
            </w:r>
          </w:p>
        </w:tc>
        <w:tc>
          <w:tcPr>
            <w:tcW w:w="794" w:type="dxa"/>
          </w:tcPr>
          <w:p w14:paraId="3DED99A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(2 125)</w:t>
            </w:r>
          </w:p>
        </w:tc>
        <w:tc>
          <w:tcPr>
            <w:tcW w:w="794" w:type="dxa"/>
          </w:tcPr>
          <w:p w14:paraId="5F2D80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(2 315)</w:t>
            </w:r>
          </w:p>
        </w:tc>
        <w:tc>
          <w:tcPr>
            <w:tcW w:w="794" w:type="dxa"/>
          </w:tcPr>
          <w:p w14:paraId="6FA980F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(2 503)</w:t>
            </w:r>
          </w:p>
        </w:tc>
      </w:tr>
      <w:tr w:rsidR="004135EE" w14:paraId="5FC653A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A6BA9E0" w14:textId="57DF6BEE" w:rsidR="004135EE" w:rsidRDefault="004135EE" w:rsidP="008670FF">
            <w:r>
              <w:t xml:space="preserve">Service concession assets – </w:t>
            </w:r>
            <w:r w:rsidR="007438B5">
              <w:t>Intangible</w:t>
            </w:r>
            <w:r>
              <w:t xml:space="preserve"> produced</w:t>
            </w:r>
          </w:p>
        </w:tc>
        <w:tc>
          <w:tcPr>
            <w:tcW w:w="794" w:type="dxa"/>
          </w:tcPr>
          <w:p w14:paraId="1F60C2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3 540</w:t>
            </w:r>
          </w:p>
        </w:tc>
        <w:tc>
          <w:tcPr>
            <w:tcW w:w="794" w:type="dxa"/>
          </w:tcPr>
          <w:p w14:paraId="5E1E16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3 540</w:t>
            </w:r>
          </w:p>
        </w:tc>
        <w:tc>
          <w:tcPr>
            <w:tcW w:w="794" w:type="dxa"/>
          </w:tcPr>
          <w:p w14:paraId="435D98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3 540</w:t>
            </w:r>
          </w:p>
        </w:tc>
        <w:tc>
          <w:tcPr>
            <w:tcW w:w="794" w:type="dxa"/>
          </w:tcPr>
          <w:p w14:paraId="78B530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3 540</w:t>
            </w:r>
          </w:p>
        </w:tc>
        <w:tc>
          <w:tcPr>
            <w:tcW w:w="794" w:type="dxa"/>
          </w:tcPr>
          <w:p w14:paraId="5A0DD5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3 540</w:t>
            </w:r>
          </w:p>
        </w:tc>
      </w:tr>
      <w:tr w:rsidR="004135EE" w14:paraId="2CC3035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684B1F8" w14:textId="77777777" w:rsidR="004135EE" w:rsidRDefault="004135EE" w:rsidP="008670FF">
            <w:r>
              <w:t>Accumulated depreciation</w:t>
            </w:r>
          </w:p>
        </w:tc>
        <w:tc>
          <w:tcPr>
            <w:tcW w:w="794" w:type="dxa"/>
          </w:tcPr>
          <w:p w14:paraId="3BAC51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5CC6713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43F1AE6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w:t>
            </w:r>
          </w:p>
        </w:tc>
        <w:tc>
          <w:tcPr>
            <w:tcW w:w="794" w:type="dxa"/>
          </w:tcPr>
          <w:p w14:paraId="29BDAA4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6C3AF4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w:t>
            </w:r>
          </w:p>
        </w:tc>
      </w:tr>
      <w:tr w:rsidR="004135EE" w14:paraId="1DB1452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nil"/>
            </w:tcBorders>
          </w:tcPr>
          <w:p w14:paraId="5063A121" w14:textId="77777777" w:rsidR="004135EE" w:rsidRDefault="004135EE" w:rsidP="008670FF">
            <w:r>
              <w:t>Intangible non</w:t>
            </w:r>
            <w:r>
              <w:noBreakHyphen/>
              <w:t>produced assets</w:t>
            </w:r>
          </w:p>
        </w:tc>
        <w:tc>
          <w:tcPr>
            <w:tcW w:w="794" w:type="dxa"/>
            <w:tcBorders>
              <w:bottom w:val="nil"/>
            </w:tcBorders>
          </w:tcPr>
          <w:p w14:paraId="192953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w:t>
            </w:r>
          </w:p>
        </w:tc>
        <w:tc>
          <w:tcPr>
            <w:tcW w:w="794" w:type="dxa"/>
            <w:tcBorders>
              <w:bottom w:val="nil"/>
            </w:tcBorders>
          </w:tcPr>
          <w:p w14:paraId="616B4C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75</w:t>
            </w:r>
          </w:p>
        </w:tc>
        <w:tc>
          <w:tcPr>
            <w:tcW w:w="794" w:type="dxa"/>
            <w:tcBorders>
              <w:bottom w:val="nil"/>
            </w:tcBorders>
          </w:tcPr>
          <w:p w14:paraId="6C6ABE2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76</w:t>
            </w:r>
          </w:p>
        </w:tc>
        <w:tc>
          <w:tcPr>
            <w:tcW w:w="794" w:type="dxa"/>
            <w:tcBorders>
              <w:bottom w:val="nil"/>
            </w:tcBorders>
          </w:tcPr>
          <w:p w14:paraId="560CD3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77</w:t>
            </w:r>
          </w:p>
        </w:tc>
        <w:tc>
          <w:tcPr>
            <w:tcW w:w="794" w:type="dxa"/>
            <w:tcBorders>
              <w:bottom w:val="nil"/>
            </w:tcBorders>
          </w:tcPr>
          <w:p w14:paraId="452B00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78</w:t>
            </w:r>
          </w:p>
        </w:tc>
      </w:tr>
      <w:tr w:rsidR="004135EE" w14:paraId="6A79EC4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4" w:space="0" w:color="auto"/>
            </w:tcBorders>
          </w:tcPr>
          <w:p w14:paraId="34B6244F" w14:textId="77777777" w:rsidR="004135EE" w:rsidRDefault="004135EE" w:rsidP="008670FF">
            <w:r>
              <w:t>Accumulated amortisation</w:t>
            </w:r>
          </w:p>
        </w:tc>
        <w:tc>
          <w:tcPr>
            <w:tcW w:w="794" w:type="dxa"/>
            <w:tcBorders>
              <w:bottom w:val="single" w:sz="4" w:space="0" w:color="auto"/>
            </w:tcBorders>
          </w:tcPr>
          <w:p w14:paraId="4A9BC7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(67)</w:t>
            </w:r>
          </w:p>
        </w:tc>
        <w:tc>
          <w:tcPr>
            <w:tcW w:w="794" w:type="dxa"/>
            <w:tcBorders>
              <w:bottom w:val="single" w:sz="4" w:space="0" w:color="auto"/>
            </w:tcBorders>
          </w:tcPr>
          <w:p w14:paraId="553A0F0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(60)</w:t>
            </w:r>
          </w:p>
        </w:tc>
        <w:tc>
          <w:tcPr>
            <w:tcW w:w="794" w:type="dxa"/>
            <w:tcBorders>
              <w:bottom w:val="single" w:sz="4" w:space="0" w:color="auto"/>
            </w:tcBorders>
          </w:tcPr>
          <w:p w14:paraId="2F5F0D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(59)</w:t>
            </w:r>
          </w:p>
        </w:tc>
        <w:tc>
          <w:tcPr>
            <w:tcW w:w="794" w:type="dxa"/>
            <w:tcBorders>
              <w:bottom w:val="single" w:sz="4" w:space="0" w:color="auto"/>
            </w:tcBorders>
          </w:tcPr>
          <w:p w14:paraId="6C8979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(58)</w:t>
            </w:r>
          </w:p>
        </w:tc>
        <w:tc>
          <w:tcPr>
            <w:tcW w:w="794" w:type="dxa"/>
            <w:tcBorders>
              <w:bottom w:val="single" w:sz="4" w:space="0" w:color="auto"/>
            </w:tcBorders>
          </w:tcPr>
          <w:p w14:paraId="71126A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(56)</w:t>
            </w:r>
          </w:p>
        </w:tc>
      </w:tr>
      <w:tr w:rsidR="004135EE" w14:paraId="2CDF22F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4" w:space="0" w:color="auto"/>
            </w:tcBorders>
          </w:tcPr>
          <w:p w14:paraId="626B1F83" w14:textId="77777777" w:rsidR="004135EE" w:rsidRDefault="004135EE" w:rsidP="008670FF">
            <w:r>
              <w:rPr>
                <w:b/>
              </w:rPr>
              <w:t>Total intangibles</w:t>
            </w:r>
          </w:p>
        </w:tc>
        <w:tc>
          <w:tcPr>
            <w:tcW w:w="794" w:type="dxa"/>
            <w:tcBorders>
              <w:top w:val="single" w:sz="4" w:space="0" w:color="auto"/>
            </w:tcBorders>
          </w:tcPr>
          <w:p w14:paraId="42A4C0C0"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4 581</w:t>
            </w:r>
          </w:p>
        </w:tc>
        <w:tc>
          <w:tcPr>
            <w:tcW w:w="794" w:type="dxa"/>
            <w:tcBorders>
              <w:top w:val="single" w:sz="4" w:space="0" w:color="auto"/>
            </w:tcBorders>
          </w:tcPr>
          <w:p w14:paraId="45836FA0"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4 697</w:t>
            </w:r>
          </w:p>
        </w:tc>
        <w:tc>
          <w:tcPr>
            <w:tcW w:w="794" w:type="dxa"/>
            <w:tcBorders>
              <w:top w:val="single" w:sz="4" w:space="0" w:color="auto"/>
            </w:tcBorders>
          </w:tcPr>
          <w:p w14:paraId="5E5E19DA"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4 609</w:t>
            </w:r>
          </w:p>
        </w:tc>
        <w:tc>
          <w:tcPr>
            <w:tcW w:w="794" w:type="dxa"/>
            <w:tcBorders>
              <w:top w:val="single" w:sz="4" w:space="0" w:color="auto"/>
            </w:tcBorders>
          </w:tcPr>
          <w:p w14:paraId="5B129A08"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4 439</w:t>
            </w:r>
          </w:p>
        </w:tc>
        <w:tc>
          <w:tcPr>
            <w:tcW w:w="794" w:type="dxa"/>
            <w:tcBorders>
              <w:top w:val="single" w:sz="4" w:space="0" w:color="auto"/>
            </w:tcBorders>
          </w:tcPr>
          <w:p w14:paraId="73AC1CF0"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4 328</w:t>
            </w:r>
          </w:p>
        </w:tc>
      </w:tr>
      <w:tr w:rsidR="004135EE" w14:paraId="52E0A33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74C45DB" w14:textId="77777777" w:rsidR="004135EE" w:rsidRDefault="004135EE" w:rsidP="008670FF">
            <w:r>
              <w:t>Investment properties</w:t>
            </w:r>
          </w:p>
        </w:tc>
        <w:tc>
          <w:tcPr>
            <w:tcW w:w="794" w:type="dxa"/>
          </w:tcPr>
          <w:p w14:paraId="14208E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321</w:t>
            </w:r>
          </w:p>
        </w:tc>
        <w:tc>
          <w:tcPr>
            <w:tcW w:w="794" w:type="dxa"/>
          </w:tcPr>
          <w:p w14:paraId="401795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321</w:t>
            </w:r>
          </w:p>
        </w:tc>
        <w:tc>
          <w:tcPr>
            <w:tcW w:w="794" w:type="dxa"/>
          </w:tcPr>
          <w:p w14:paraId="63C4B35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310</w:t>
            </w:r>
          </w:p>
        </w:tc>
        <w:tc>
          <w:tcPr>
            <w:tcW w:w="794" w:type="dxa"/>
          </w:tcPr>
          <w:p w14:paraId="0C206E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293</w:t>
            </w:r>
          </w:p>
        </w:tc>
        <w:tc>
          <w:tcPr>
            <w:tcW w:w="794" w:type="dxa"/>
          </w:tcPr>
          <w:p w14:paraId="533C7EF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293</w:t>
            </w:r>
          </w:p>
        </w:tc>
      </w:tr>
      <w:tr w:rsidR="004135EE" w14:paraId="41AF640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4" w:space="0" w:color="auto"/>
            </w:tcBorders>
          </w:tcPr>
          <w:p w14:paraId="0EE2B074" w14:textId="77777777" w:rsidR="004135EE" w:rsidRDefault="004135EE" w:rsidP="008670FF">
            <w:r>
              <w:t>Other assets</w:t>
            </w:r>
          </w:p>
        </w:tc>
        <w:tc>
          <w:tcPr>
            <w:tcW w:w="794" w:type="dxa"/>
            <w:tcBorders>
              <w:bottom w:val="single" w:sz="4" w:space="0" w:color="auto"/>
            </w:tcBorders>
          </w:tcPr>
          <w:p w14:paraId="299817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1 035</w:t>
            </w:r>
          </w:p>
        </w:tc>
        <w:tc>
          <w:tcPr>
            <w:tcW w:w="794" w:type="dxa"/>
            <w:tcBorders>
              <w:bottom w:val="single" w:sz="4" w:space="0" w:color="auto"/>
            </w:tcBorders>
          </w:tcPr>
          <w:p w14:paraId="4AC871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1 148</w:t>
            </w:r>
          </w:p>
        </w:tc>
        <w:tc>
          <w:tcPr>
            <w:tcW w:w="794" w:type="dxa"/>
            <w:tcBorders>
              <w:bottom w:val="single" w:sz="4" w:space="0" w:color="auto"/>
            </w:tcBorders>
          </w:tcPr>
          <w:p w14:paraId="06AF0DE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1 116</w:t>
            </w:r>
          </w:p>
        </w:tc>
        <w:tc>
          <w:tcPr>
            <w:tcW w:w="794" w:type="dxa"/>
            <w:tcBorders>
              <w:bottom w:val="single" w:sz="4" w:space="0" w:color="auto"/>
            </w:tcBorders>
          </w:tcPr>
          <w:p w14:paraId="04B557F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1 091</w:t>
            </w:r>
          </w:p>
        </w:tc>
        <w:tc>
          <w:tcPr>
            <w:tcW w:w="794" w:type="dxa"/>
            <w:tcBorders>
              <w:bottom w:val="single" w:sz="4" w:space="0" w:color="auto"/>
            </w:tcBorders>
          </w:tcPr>
          <w:p w14:paraId="3BFBB0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1 067</w:t>
            </w:r>
          </w:p>
        </w:tc>
      </w:tr>
      <w:tr w:rsidR="004135EE" w14:paraId="67AE971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4" w:space="0" w:color="auto"/>
              <w:bottom w:val="single" w:sz="12" w:space="0" w:color="auto"/>
            </w:tcBorders>
          </w:tcPr>
          <w:p w14:paraId="009C9971" w14:textId="77777777" w:rsidR="004135EE" w:rsidRDefault="004135EE" w:rsidP="008670FF">
            <w:r>
              <w:rPr>
                <w:b/>
              </w:rPr>
              <w:t>Total other non</w:t>
            </w:r>
            <w:r>
              <w:rPr>
                <w:b/>
              </w:rPr>
              <w:noBreakHyphen/>
              <w:t>financial assets</w:t>
            </w:r>
          </w:p>
        </w:tc>
        <w:tc>
          <w:tcPr>
            <w:tcW w:w="794" w:type="dxa"/>
            <w:tcBorders>
              <w:top w:val="single" w:sz="4" w:space="0" w:color="auto"/>
            </w:tcBorders>
          </w:tcPr>
          <w:p w14:paraId="12B72912"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5 937</w:t>
            </w:r>
          </w:p>
        </w:tc>
        <w:tc>
          <w:tcPr>
            <w:tcW w:w="794" w:type="dxa"/>
            <w:tcBorders>
              <w:top w:val="single" w:sz="4" w:space="0" w:color="auto"/>
            </w:tcBorders>
          </w:tcPr>
          <w:p w14:paraId="17AF40AE"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6 165</w:t>
            </w:r>
          </w:p>
        </w:tc>
        <w:tc>
          <w:tcPr>
            <w:tcW w:w="794" w:type="dxa"/>
            <w:tcBorders>
              <w:top w:val="single" w:sz="4" w:space="0" w:color="auto"/>
            </w:tcBorders>
          </w:tcPr>
          <w:p w14:paraId="39510779"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6 035</w:t>
            </w:r>
          </w:p>
        </w:tc>
        <w:tc>
          <w:tcPr>
            <w:tcW w:w="794" w:type="dxa"/>
            <w:tcBorders>
              <w:top w:val="single" w:sz="4" w:space="0" w:color="auto"/>
            </w:tcBorders>
          </w:tcPr>
          <w:p w14:paraId="74988E40"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5 823</w:t>
            </w:r>
          </w:p>
        </w:tc>
        <w:tc>
          <w:tcPr>
            <w:tcW w:w="794" w:type="dxa"/>
            <w:tcBorders>
              <w:top w:val="single" w:sz="4" w:space="0" w:color="auto"/>
            </w:tcBorders>
          </w:tcPr>
          <w:p w14:paraId="1B9614F4" w14:textId="77777777" w:rsidR="004135EE" w:rsidRPr="00FF0891" w:rsidRDefault="004135EE" w:rsidP="008670FF">
            <w:pPr>
              <w:cnfStyle w:val="000000000000" w:firstRow="0" w:lastRow="0" w:firstColumn="0" w:lastColumn="0" w:oddVBand="0" w:evenVBand="0" w:oddHBand="0" w:evenHBand="0" w:firstRowFirstColumn="0" w:firstRowLastColumn="0" w:lastRowFirstColumn="0" w:lastRowLastColumn="0"/>
              <w:rPr>
                <w:b/>
              </w:rPr>
            </w:pPr>
            <w:r w:rsidRPr="00FF0891">
              <w:rPr>
                <w:b/>
              </w:rPr>
              <w:t>5 688</w:t>
            </w:r>
          </w:p>
        </w:tc>
      </w:tr>
    </w:tbl>
    <w:p w14:paraId="2FE79EB5" w14:textId="77777777" w:rsidR="004135EE" w:rsidRDefault="004135EE" w:rsidP="004135EE"/>
    <w:p w14:paraId="487F9655" w14:textId="77777777" w:rsidR="005C5C20" w:rsidRDefault="005C5C20">
      <w:pPr>
        <w:keepLines w:val="0"/>
        <w:rPr>
          <w:rFonts w:asciiTheme="majorHAnsi" w:eastAsiaTheme="majorEastAsia" w:hAnsiTheme="majorHAnsi" w:cstheme="majorBidi"/>
          <w:b/>
          <w:szCs w:val="24"/>
        </w:rPr>
      </w:pPr>
      <w:bookmarkStart w:id="118" w:name="_Toc149221059"/>
      <w:r>
        <w:br w:type="page"/>
      </w:r>
    </w:p>
    <w:p w14:paraId="63C04C8F" w14:textId="429E285F" w:rsidR="004135EE" w:rsidRPr="00DC3CAB" w:rsidRDefault="004135EE" w:rsidP="004135EE">
      <w:pPr>
        <w:pStyle w:val="Heading30"/>
      </w:pPr>
      <w:bookmarkStart w:id="119" w:name="_Toc184299156"/>
      <w:r>
        <w:t>4.4.5</w:t>
      </w:r>
      <w:r>
        <w:tab/>
      </w:r>
      <w:r w:rsidRPr="00DC3CAB">
        <w:t xml:space="preserve">Total assets by classification of the functions of government </w:t>
      </w:r>
      <w:r w:rsidRPr="00DC3CAB">
        <w:tab/>
        <w:t>($ million)</w:t>
      </w:r>
      <w:bookmarkEnd w:id="118"/>
      <w:bookmarkEnd w:id="119"/>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COFOG/Link_BU_COFOG.xlsx|Table:Total_assets_by_COFOG|MergedHeadingRow:1"/>
      </w:tblPr>
      <w:tblGrid>
        <w:gridCol w:w="3740"/>
        <w:gridCol w:w="794"/>
        <w:gridCol w:w="794"/>
        <w:gridCol w:w="794"/>
        <w:gridCol w:w="794"/>
        <w:gridCol w:w="794"/>
      </w:tblGrid>
      <w:tr w:rsidR="004135EE" w14:paraId="10AA5A6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345FCBD" w14:textId="77777777" w:rsidR="004135EE" w:rsidRDefault="004135EE" w:rsidP="008670FF">
            <w:pPr>
              <w:keepNext/>
            </w:pPr>
          </w:p>
        </w:tc>
        <w:tc>
          <w:tcPr>
            <w:tcW w:w="794" w:type="dxa"/>
          </w:tcPr>
          <w:p w14:paraId="0EFDC2FE"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382E461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6242D21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3881B27D"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62A936D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5C75025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25B225E" w14:textId="77777777" w:rsidR="004135EE" w:rsidRDefault="004135EE" w:rsidP="008670FF">
            <w:r>
              <w:t>General public services</w:t>
            </w:r>
          </w:p>
        </w:tc>
        <w:tc>
          <w:tcPr>
            <w:tcW w:w="794" w:type="dxa"/>
          </w:tcPr>
          <w:p w14:paraId="2D4261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3 114</w:t>
            </w:r>
          </w:p>
        </w:tc>
        <w:tc>
          <w:tcPr>
            <w:tcW w:w="794" w:type="dxa"/>
          </w:tcPr>
          <w:p w14:paraId="669578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3 109</w:t>
            </w:r>
          </w:p>
        </w:tc>
        <w:tc>
          <w:tcPr>
            <w:tcW w:w="794" w:type="dxa"/>
          </w:tcPr>
          <w:p w14:paraId="0F413D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3 028</w:t>
            </w:r>
          </w:p>
        </w:tc>
        <w:tc>
          <w:tcPr>
            <w:tcW w:w="794" w:type="dxa"/>
          </w:tcPr>
          <w:p w14:paraId="54EA24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2 883</w:t>
            </w:r>
          </w:p>
        </w:tc>
        <w:tc>
          <w:tcPr>
            <w:tcW w:w="794" w:type="dxa"/>
          </w:tcPr>
          <w:p w14:paraId="357B76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2 640</w:t>
            </w:r>
          </w:p>
        </w:tc>
      </w:tr>
      <w:tr w:rsidR="004135EE" w14:paraId="68E0432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FE6C1AF" w14:textId="77777777" w:rsidR="004135EE" w:rsidRDefault="004135EE" w:rsidP="008670FF">
            <w:r>
              <w:t>Public order and safety</w:t>
            </w:r>
          </w:p>
        </w:tc>
        <w:tc>
          <w:tcPr>
            <w:tcW w:w="794" w:type="dxa"/>
          </w:tcPr>
          <w:p w14:paraId="22A10B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16 409</w:t>
            </w:r>
          </w:p>
        </w:tc>
        <w:tc>
          <w:tcPr>
            <w:tcW w:w="794" w:type="dxa"/>
          </w:tcPr>
          <w:p w14:paraId="173F24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16 512</w:t>
            </w:r>
          </w:p>
        </w:tc>
        <w:tc>
          <w:tcPr>
            <w:tcW w:w="794" w:type="dxa"/>
          </w:tcPr>
          <w:p w14:paraId="6C577C1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17 411</w:t>
            </w:r>
          </w:p>
        </w:tc>
        <w:tc>
          <w:tcPr>
            <w:tcW w:w="794" w:type="dxa"/>
          </w:tcPr>
          <w:p w14:paraId="734139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16 832</w:t>
            </w:r>
          </w:p>
        </w:tc>
        <w:tc>
          <w:tcPr>
            <w:tcW w:w="794" w:type="dxa"/>
          </w:tcPr>
          <w:p w14:paraId="2847E3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16 245</w:t>
            </w:r>
          </w:p>
        </w:tc>
      </w:tr>
      <w:tr w:rsidR="004135EE" w14:paraId="6FBE2E8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E7DC9F2" w14:textId="77777777" w:rsidR="004135EE" w:rsidRDefault="004135EE" w:rsidP="008670FF">
            <w:r>
              <w:t>Economic affairs</w:t>
            </w:r>
          </w:p>
        </w:tc>
        <w:tc>
          <w:tcPr>
            <w:tcW w:w="794" w:type="dxa"/>
          </w:tcPr>
          <w:p w14:paraId="3AB9366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1 754</w:t>
            </w:r>
          </w:p>
        </w:tc>
        <w:tc>
          <w:tcPr>
            <w:tcW w:w="794" w:type="dxa"/>
          </w:tcPr>
          <w:p w14:paraId="6E6835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1 998</w:t>
            </w:r>
          </w:p>
        </w:tc>
        <w:tc>
          <w:tcPr>
            <w:tcW w:w="794" w:type="dxa"/>
          </w:tcPr>
          <w:p w14:paraId="2EEB92A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3 111</w:t>
            </w:r>
          </w:p>
        </w:tc>
        <w:tc>
          <w:tcPr>
            <w:tcW w:w="794" w:type="dxa"/>
          </w:tcPr>
          <w:p w14:paraId="1E65306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3 255</w:t>
            </w:r>
          </w:p>
        </w:tc>
        <w:tc>
          <w:tcPr>
            <w:tcW w:w="794" w:type="dxa"/>
          </w:tcPr>
          <w:p w14:paraId="2AFE10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3 396</w:t>
            </w:r>
          </w:p>
        </w:tc>
      </w:tr>
      <w:tr w:rsidR="004135EE" w14:paraId="0619D09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E0C2877" w14:textId="77777777" w:rsidR="004135EE" w:rsidRDefault="004135EE" w:rsidP="008670FF">
            <w:r>
              <w:t>Environmental protection</w:t>
            </w:r>
          </w:p>
        </w:tc>
        <w:tc>
          <w:tcPr>
            <w:tcW w:w="794" w:type="dxa"/>
          </w:tcPr>
          <w:p w14:paraId="637950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16 910</w:t>
            </w:r>
          </w:p>
        </w:tc>
        <w:tc>
          <w:tcPr>
            <w:tcW w:w="794" w:type="dxa"/>
          </w:tcPr>
          <w:p w14:paraId="400853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16 872</w:t>
            </w:r>
          </w:p>
        </w:tc>
        <w:tc>
          <w:tcPr>
            <w:tcW w:w="794" w:type="dxa"/>
          </w:tcPr>
          <w:p w14:paraId="1A84EF2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17 017</w:t>
            </w:r>
          </w:p>
        </w:tc>
        <w:tc>
          <w:tcPr>
            <w:tcW w:w="794" w:type="dxa"/>
          </w:tcPr>
          <w:p w14:paraId="78D70C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17 067</w:t>
            </w:r>
          </w:p>
        </w:tc>
        <w:tc>
          <w:tcPr>
            <w:tcW w:w="794" w:type="dxa"/>
          </w:tcPr>
          <w:p w14:paraId="6D197E9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17 036</w:t>
            </w:r>
          </w:p>
        </w:tc>
      </w:tr>
      <w:tr w:rsidR="004135EE" w14:paraId="2688A53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7647FE2" w14:textId="77777777" w:rsidR="004135EE" w:rsidRDefault="004135EE" w:rsidP="008670FF">
            <w:r>
              <w:t>Housing and community amenities</w:t>
            </w:r>
          </w:p>
        </w:tc>
        <w:tc>
          <w:tcPr>
            <w:tcW w:w="794" w:type="dxa"/>
          </w:tcPr>
          <w:p w14:paraId="558AD6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3 813</w:t>
            </w:r>
          </w:p>
        </w:tc>
        <w:tc>
          <w:tcPr>
            <w:tcW w:w="794" w:type="dxa"/>
          </w:tcPr>
          <w:p w14:paraId="4A4349A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3 810</w:t>
            </w:r>
          </w:p>
        </w:tc>
        <w:tc>
          <w:tcPr>
            <w:tcW w:w="794" w:type="dxa"/>
          </w:tcPr>
          <w:p w14:paraId="126C7E3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5 504</w:t>
            </w:r>
          </w:p>
        </w:tc>
        <w:tc>
          <w:tcPr>
            <w:tcW w:w="794" w:type="dxa"/>
          </w:tcPr>
          <w:p w14:paraId="67326D2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5 439</w:t>
            </w:r>
          </w:p>
        </w:tc>
        <w:tc>
          <w:tcPr>
            <w:tcW w:w="794" w:type="dxa"/>
          </w:tcPr>
          <w:p w14:paraId="1491557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5 387</w:t>
            </w:r>
          </w:p>
        </w:tc>
      </w:tr>
      <w:tr w:rsidR="004135EE" w14:paraId="4405386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3366FBD" w14:textId="77777777" w:rsidR="004135EE" w:rsidRDefault="004135EE" w:rsidP="008670FF">
            <w:r>
              <w:t>Health</w:t>
            </w:r>
          </w:p>
        </w:tc>
        <w:tc>
          <w:tcPr>
            <w:tcW w:w="794" w:type="dxa"/>
          </w:tcPr>
          <w:p w14:paraId="3A699A2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33 921</w:t>
            </w:r>
          </w:p>
        </w:tc>
        <w:tc>
          <w:tcPr>
            <w:tcW w:w="794" w:type="dxa"/>
          </w:tcPr>
          <w:p w14:paraId="004C752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33 591</w:t>
            </w:r>
          </w:p>
        </w:tc>
        <w:tc>
          <w:tcPr>
            <w:tcW w:w="794" w:type="dxa"/>
          </w:tcPr>
          <w:p w14:paraId="1036697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34 141</w:t>
            </w:r>
          </w:p>
        </w:tc>
        <w:tc>
          <w:tcPr>
            <w:tcW w:w="794" w:type="dxa"/>
          </w:tcPr>
          <w:p w14:paraId="127841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36 305</w:t>
            </w:r>
          </w:p>
        </w:tc>
        <w:tc>
          <w:tcPr>
            <w:tcW w:w="794" w:type="dxa"/>
          </w:tcPr>
          <w:p w14:paraId="2A6D73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35 948</w:t>
            </w:r>
          </w:p>
        </w:tc>
      </w:tr>
      <w:tr w:rsidR="004135EE" w14:paraId="54B209C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751834A" w14:textId="77777777" w:rsidR="004135EE" w:rsidRDefault="004135EE" w:rsidP="008670FF">
            <w:r>
              <w:t>Recreation, culture and religion</w:t>
            </w:r>
          </w:p>
        </w:tc>
        <w:tc>
          <w:tcPr>
            <w:tcW w:w="794" w:type="dxa"/>
          </w:tcPr>
          <w:p w14:paraId="2D26666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8 799</w:t>
            </w:r>
          </w:p>
        </w:tc>
        <w:tc>
          <w:tcPr>
            <w:tcW w:w="794" w:type="dxa"/>
          </w:tcPr>
          <w:p w14:paraId="35326F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8 842</w:t>
            </w:r>
          </w:p>
        </w:tc>
        <w:tc>
          <w:tcPr>
            <w:tcW w:w="794" w:type="dxa"/>
          </w:tcPr>
          <w:p w14:paraId="6AE9A0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9 053</w:t>
            </w:r>
          </w:p>
        </w:tc>
        <w:tc>
          <w:tcPr>
            <w:tcW w:w="794" w:type="dxa"/>
          </w:tcPr>
          <w:p w14:paraId="1FC9FF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9 401</w:t>
            </w:r>
          </w:p>
        </w:tc>
        <w:tc>
          <w:tcPr>
            <w:tcW w:w="794" w:type="dxa"/>
          </w:tcPr>
          <w:p w14:paraId="236E2C9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9 579</w:t>
            </w:r>
          </w:p>
        </w:tc>
      </w:tr>
      <w:tr w:rsidR="004135EE" w14:paraId="7F9F204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D2DFE78" w14:textId="77777777" w:rsidR="004135EE" w:rsidRDefault="004135EE" w:rsidP="008670FF">
            <w:r>
              <w:t>Education</w:t>
            </w:r>
          </w:p>
        </w:tc>
        <w:tc>
          <w:tcPr>
            <w:tcW w:w="794" w:type="dxa"/>
          </w:tcPr>
          <w:p w14:paraId="7888200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47 612</w:t>
            </w:r>
          </w:p>
        </w:tc>
        <w:tc>
          <w:tcPr>
            <w:tcW w:w="794" w:type="dxa"/>
          </w:tcPr>
          <w:p w14:paraId="19409B1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47 714</w:t>
            </w:r>
          </w:p>
        </w:tc>
        <w:tc>
          <w:tcPr>
            <w:tcW w:w="794" w:type="dxa"/>
          </w:tcPr>
          <w:p w14:paraId="5E8B45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52 489</w:t>
            </w:r>
          </w:p>
        </w:tc>
        <w:tc>
          <w:tcPr>
            <w:tcW w:w="794" w:type="dxa"/>
          </w:tcPr>
          <w:p w14:paraId="1FF379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55 174</w:t>
            </w:r>
          </w:p>
        </w:tc>
        <w:tc>
          <w:tcPr>
            <w:tcW w:w="794" w:type="dxa"/>
          </w:tcPr>
          <w:p w14:paraId="5A7618B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57 472</w:t>
            </w:r>
          </w:p>
        </w:tc>
      </w:tr>
      <w:tr w:rsidR="004135EE" w14:paraId="4899993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6A586E1" w14:textId="77777777" w:rsidR="004135EE" w:rsidRDefault="004135EE" w:rsidP="008670FF">
            <w:r>
              <w:t>Social protection</w:t>
            </w:r>
          </w:p>
        </w:tc>
        <w:tc>
          <w:tcPr>
            <w:tcW w:w="794" w:type="dxa"/>
          </w:tcPr>
          <w:p w14:paraId="673425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2 710</w:t>
            </w:r>
          </w:p>
        </w:tc>
        <w:tc>
          <w:tcPr>
            <w:tcW w:w="794" w:type="dxa"/>
          </w:tcPr>
          <w:p w14:paraId="569B0EE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2 748</w:t>
            </w:r>
          </w:p>
        </w:tc>
        <w:tc>
          <w:tcPr>
            <w:tcW w:w="794" w:type="dxa"/>
          </w:tcPr>
          <w:p w14:paraId="159871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2 802</w:t>
            </w:r>
          </w:p>
        </w:tc>
        <w:tc>
          <w:tcPr>
            <w:tcW w:w="794" w:type="dxa"/>
          </w:tcPr>
          <w:p w14:paraId="144E53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3 023</w:t>
            </w:r>
          </w:p>
        </w:tc>
        <w:tc>
          <w:tcPr>
            <w:tcW w:w="794" w:type="dxa"/>
          </w:tcPr>
          <w:p w14:paraId="1BEF5B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3 183</w:t>
            </w:r>
          </w:p>
        </w:tc>
      </w:tr>
      <w:tr w:rsidR="004135EE" w14:paraId="3CB33A1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7974891" w14:textId="77777777" w:rsidR="004135EE" w:rsidRDefault="004135EE" w:rsidP="008670FF">
            <w:r>
              <w:t>Transport</w:t>
            </w:r>
            <w:r>
              <w:rPr>
                <w:vertAlign w:val="superscript"/>
              </w:rPr>
              <w:t xml:space="preserve"> (a)</w:t>
            </w:r>
          </w:p>
        </w:tc>
        <w:tc>
          <w:tcPr>
            <w:tcW w:w="794" w:type="dxa"/>
          </w:tcPr>
          <w:p w14:paraId="11C7B3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159 763</w:t>
            </w:r>
          </w:p>
        </w:tc>
        <w:tc>
          <w:tcPr>
            <w:tcW w:w="794" w:type="dxa"/>
          </w:tcPr>
          <w:p w14:paraId="352AD60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160 876</w:t>
            </w:r>
          </w:p>
        </w:tc>
        <w:tc>
          <w:tcPr>
            <w:tcW w:w="794" w:type="dxa"/>
          </w:tcPr>
          <w:p w14:paraId="47627C6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150 233</w:t>
            </w:r>
          </w:p>
        </w:tc>
        <w:tc>
          <w:tcPr>
            <w:tcW w:w="794" w:type="dxa"/>
          </w:tcPr>
          <w:p w14:paraId="284B406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154 781</w:t>
            </w:r>
          </w:p>
        </w:tc>
        <w:tc>
          <w:tcPr>
            <w:tcW w:w="794" w:type="dxa"/>
          </w:tcPr>
          <w:p w14:paraId="69F37A9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163 044</w:t>
            </w:r>
          </w:p>
        </w:tc>
      </w:tr>
      <w:tr w:rsidR="004135EE" w14:paraId="722C19B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2C85D85" w14:textId="77777777" w:rsidR="004135EE" w:rsidRDefault="004135EE" w:rsidP="008670FF">
            <w:r>
              <w:t>Not allocated by function</w:t>
            </w:r>
            <w:r>
              <w:rPr>
                <w:vertAlign w:val="superscript"/>
              </w:rPr>
              <w:t xml:space="preserve"> (b)</w:t>
            </w:r>
          </w:p>
        </w:tc>
        <w:tc>
          <w:tcPr>
            <w:tcW w:w="794" w:type="dxa"/>
            <w:tcBorders>
              <w:bottom w:val="single" w:sz="6" w:space="0" w:color="auto"/>
            </w:tcBorders>
          </w:tcPr>
          <w:p w14:paraId="1BB897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148 859</w:t>
            </w:r>
          </w:p>
        </w:tc>
        <w:tc>
          <w:tcPr>
            <w:tcW w:w="794" w:type="dxa"/>
            <w:tcBorders>
              <w:bottom w:val="single" w:sz="6" w:space="0" w:color="auto"/>
            </w:tcBorders>
          </w:tcPr>
          <w:p w14:paraId="1385B31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139 798</w:t>
            </w:r>
          </w:p>
        </w:tc>
        <w:tc>
          <w:tcPr>
            <w:tcW w:w="794" w:type="dxa"/>
            <w:tcBorders>
              <w:bottom w:val="single" w:sz="6" w:space="0" w:color="auto"/>
            </w:tcBorders>
          </w:tcPr>
          <w:p w14:paraId="0B3550C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146 999</w:t>
            </w:r>
          </w:p>
        </w:tc>
        <w:tc>
          <w:tcPr>
            <w:tcW w:w="794" w:type="dxa"/>
            <w:tcBorders>
              <w:bottom w:val="single" w:sz="6" w:space="0" w:color="auto"/>
            </w:tcBorders>
          </w:tcPr>
          <w:p w14:paraId="1767C1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157 127</w:t>
            </w:r>
          </w:p>
        </w:tc>
        <w:tc>
          <w:tcPr>
            <w:tcW w:w="794" w:type="dxa"/>
            <w:tcBorders>
              <w:bottom w:val="single" w:sz="6" w:space="0" w:color="auto"/>
            </w:tcBorders>
          </w:tcPr>
          <w:p w14:paraId="026B87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166 942</w:t>
            </w:r>
          </w:p>
        </w:tc>
      </w:tr>
      <w:tr w:rsidR="004135EE" w14:paraId="452A692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0E44134" w14:textId="77777777" w:rsidR="004135EE" w:rsidRDefault="004135EE" w:rsidP="008670FF">
            <w:r>
              <w:rPr>
                <w:b/>
              </w:rPr>
              <w:t>Total assets</w:t>
            </w:r>
          </w:p>
        </w:tc>
        <w:tc>
          <w:tcPr>
            <w:tcW w:w="794" w:type="dxa"/>
            <w:tcBorders>
              <w:top w:val="single" w:sz="6" w:space="0" w:color="auto"/>
              <w:bottom w:val="single" w:sz="12" w:space="0" w:color="auto"/>
            </w:tcBorders>
          </w:tcPr>
          <w:p w14:paraId="6FA634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443 664</w:t>
            </w:r>
          </w:p>
        </w:tc>
        <w:tc>
          <w:tcPr>
            <w:tcW w:w="794" w:type="dxa"/>
            <w:tcBorders>
              <w:top w:val="single" w:sz="6" w:space="0" w:color="auto"/>
              <w:bottom w:val="single" w:sz="12" w:space="0" w:color="auto"/>
            </w:tcBorders>
          </w:tcPr>
          <w:p w14:paraId="56404B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435 869</w:t>
            </w:r>
          </w:p>
        </w:tc>
        <w:tc>
          <w:tcPr>
            <w:tcW w:w="794" w:type="dxa"/>
            <w:tcBorders>
              <w:top w:val="single" w:sz="6" w:space="0" w:color="auto"/>
              <w:bottom w:val="single" w:sz="12" w:space="0" w:color="auto"/>
            </w:tcBorders>
          </w:tcPr>
          <w:p w14:paraId="7B8E3EB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441 790</w:t>
            </w:r>
          </w:p>
        </w:tc>
        <w:tc>
          <w:tcPr>
            <w:tcW w:w="794" w:type="dxa"/>
            <w:tcBorders>
              <w:top w:val="single" w:sz="6" w:space="0" w:color="auto"/>
              <w:bottom w:val="single" w:sz="12" w:space="0" w:color="auto"/>
            </w:tcBorders>
          </w:tcPr>
          <w:p w14:paraId="1B0918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461 290</w:t>
            </w:r>
          </w:p>
        </w:tc>
        <w:tc>
          <w:tcPr>
            <w:tcW w:w="794" w:type="dxa"/>
            <w:tcBorders>
              <w:top w:val="single" w:sz="6" w:space="0" w:color="auto"/>
              <w:bottom w:val="single" w:sz="12" w:space="0" w:color="auto"/>
            </w:tcBorders>
          </w:tcPr>
          <w:p w14:paraId="470FD34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480 871</w:t>
            </w:r>
          </w:p>
        </w:tc>
      </w:tr>
    </w:tbl>
    <w:p w14:paraId="07109C6B" w14:textId="77777777" w:rsidR="004135EE" w:rsidRPr="003A1BED" w:rsidRDefault="004135EE" w:rsidP="004135EE">
      <w:pPr>
        <w:pStyle w:val="Note"/>
      </w:pPr>
      <w:r w:rsidRPr="003A1BED">
        <w:t>Note</w:t>
      </w:r>
      <w:r>
        <w:t>s</w:t>
      </w:r>
      <w:r w:rsidRPr="003A1BED">
        <w:t>:</w:t>
      </w:r>
    </w:p>
    <w:p w14:paraId="234D5E89" w14:textId="77777777" w:rsidR="004135EE" w:rsidRPr="003A1BED" w:rsidRDefault="004135EE" w:rsidP="004135EE">
      <w:pPr>
        <w:pStyle w:val="Note"/>
      </w:pPr>
      <w:r w:rsidRPr="003A1BED">
        <w:t>(a)</w:t>
      </w:r>
      <w:r w:rsidRPr="003A1BED">
        <w:tab/>
      </w:r>
      <w:r>
        <w:t>The decrease in 2025-26 primarily reflects the transfer of the Metro Tunnel assets from the Department of Transport and Planning in the general government sector to VicTrack in the public non-financial corporations sector upon its completion.</w:t>
      </w:r>
    </w:p>
    <w:p w14:paraId="6A3060F1" w14:textId="77777777" w:rsidR="004135EE" w:rsidRPr="003A1BED" w:rsidRDefault="004135EE" w:rsidP="004135EE">
      <w:pPr>
        <w:pStyle w:val="Note"/>
      </w:pPr>
      <w:r w:rsidRPr="003A1BED">
        <w:t>(</w:t>
      </w:r>
      <w:r>
        <w:t>b</w:t>
      </w:r>
      <w:r w:rsidRPr="003A1BED">
        <w:t>)</w:t>
      </w:r>
      <w:r w:rsidRPr="003A1BED">
        <w:tab/>
        <w:t xml:space="preserve">Represents financial assets </w:t>
      </w:r>
      <w:r>
        <w:t>that</w:t>
      </w:r>
      <w:r w:rsidRPr="003A1BED">
        <w:t xml:space="preserve"> are not able to be allocated by </w:t>
      </w:r>
      <w:r>
        <w:t>function</w:t>
      </w:r>
      <w:r w:rsidRPr="003A1BED">
        <w:t>. This mainly includes balances relating to the general government sector’s investment in other sector entities.</w:t>
      </w:r>
    </w:p>
    <w:p w14:paraId="5D040013" w14:textId="77777777" w:rsidR="004135EE" w:rsidRDefault="004135EE" w:rsidP="005C5C20"/>
    <w:p w14:paraId="49A8113D" w14:textId="77777777" w:rsidR="005C5C20" w:rsidRPr="003A1BED" w:rsidRDefault="005C5C20" w:rsidP="005C5C20"/>
    <w:p w14:paraId="7D83C2C6" w14:textId="77777777" w:rsidR="004135EE" w:rsidRPr="00BC2EDC" w:rsidRDefault="004135EE" w:rsidP="004135EE">
      <w:pPr>
        <w:pStyle w:val="Heading30"/>
      </w:pPr>
      <w:bookmarkStart w:id="120" w:name="_Toc184299157"/>
      <w:r>
        <w:t>4.4.6</w:t>
      </w:r>
      <w:r>
        <w:tab/>
      </w:r>
      <w:r w:rsidRPr="00BC2EDC">
        <w:t>Investments in other sector entities</w:t>
      </w:r>
      <w:r w:rsidRPr="00BC2EDC">
        <w:tab/>
        <w:t>($ million)</w:t>
      </w:r>
      <w:bookmarkEnd w:id="120"/>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Reconciliation_equity|MergedHeadingRow:1"/>
      </w:tblPr>
      <w:tblGrid>
        <w:gridCol w:w="3740"/>
        <w:gridCol w:w="794"/>
        <w:gridCol w:w="794"/>
        <w:gridCol w:w="794"/>
        <w:gridCol w:w="794"/>
        <w:gridCol w:w="794"/>
      </w:tblGrid>
      <w:tr w:rsidR="004135EE" w14:paraId="5601068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2D41905" w14:textId="77777777" w:rsidR="004135EE" w:rsidRDefault="004135EE" w:rsidP="008670FF">
            <w:pPr>
              <w:keepNext/>
            </w:pPr>
          </w:p>
        </w:tc>
        <w:tc>
          <w:tcPr>
            <w:tcW w:w="794" w:type="dxa"/>
          </w:tcPr>
          <w:p w14:paraId="5DD0AEA7"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29C934B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26F7B6C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082BE4E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16F87DD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013A83E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06496A8" w14:textId="77777777" w:rsidR="004135EE" w:rsidRDefault="004135EE" w:rsidP="008670FF">
            <w:r>
              <w:t>Balance of investment in PNFC and PFC sectors at beginning of period</w:t>
            </w:r>
          </w:p>
        </w:tc>
        <w:tc>
          <w:tcPr>
            <w:tcW w:w="794" w:type="dxa"/>
          </w:tcPr>
          <w:p w14:paraId="2DF459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98 143</w:t>
            </w:r>
          </w:p>
        </w:tc>
        <w:tc>
          <w:tcPr>
            <w:tcW w:w="794" w:type="dxa"/>
          </w:tcPr>
          <w:p w14:paraId="120E5C1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98 143</w:t>
            </w:r>
          </w:p>
        </w:tc>
        <w:tc>
          <w:tcPr>
            <w:tcW w:w="794" w:type="dxa"/>
          </w:tcPr>
          <w:p w14:paraId="4BEF6B1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99 515</w:t>
            </w:r>
          </w:p>
        </w:tc>
        <w:tc>
          <w:tcPr>
            <w:tcW w:w="794" w:type="dxa"/>
          </w:tcPr>
          <w:p w14:paraId="3AEC4CE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103 739</w:t>
            </w:r>
          </w:p>
        </w:tc>
        <w:tc>
          <w:tcPr>
            <w:tcW w:w="794" w:type="dxa"/>
          </w:tcPr>
          <w:p w14:paraId="164F74A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107 028</w:t>
            </w:r>
          </w:p>
        </w:tc>
      </w:tr>
      <w:tr w:rsidR="004135EE" w14:paraId="0E3C215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CE41ED2" w14:textId="77777777" w:rsidR="004135EE" w:rsidRDefault="004135EE" w:rsidP="008670FF">
            <w:r>
              <w:t>Net contributions to other sectors by owner</w:t>
            </w:r>
            <w:r>
              <w:rPr>
                <w:vertAlign w:val="superscript"/>
              </w:rPr>
              <w:t xml:space="preserve"> (a)</w:t>
            </w:r>
          </w:p>
        </w:tc>
        <w:tc>
          <w:tcPr>
            <w:tcW w:w="794" w:type="dxa"/>
          </w:tcPr>
          <w:p w14:paraId="167F44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7 916</w:t>
            </w:r>
          </w:p>
        </w:tc>
        <w:tc>
          <w:tcPr>
            <w:tcW w:w="794" w:type="dxa"/>
          </w:tcPr>
          <w:p w14:paraId="2B7651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9 793</w:t>
            </w:r>
          </w:p>
        </w:tc>
        <w:tc>
          <w:tcPr>
            <w:tcW w:w="794" w:type="dxa"/>
          </w:tcPr>
          <w:p w14:paraId="752771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24 076</w:t>
            </w:r>
          </w:p>
        </w:tc>
        <w:tc>
          <w:tcPr>
            <w:tcW w:w="794" w:type="dxa"/>
          </w:tcPr>
          <w:p w14:paraId="054767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4 119</w:t>
            </w:r>
          </w:p>
        </w:tc>
        <w:tc>
          <w:tcPr>
            <w:tcW w:w="794" w:type="dxa"/>
          </w:tcPr>
          <w:p w14:paraId="1F4DFEF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4 094</w:t>
            </w:r>
          </w:p>
        </w:tc>
      </w:tr>
      <w:tr w:rsidR="004135EE" w14:paraId="082900F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3D853AF" w14:textId="77777777" w:rsidR="004135EE" w:rsidRDefault="004135EE" w:rsidP="008670FF">
            <w:r>
              <w:t>Revaluation gain/(loss) for period</w:t>
            </w:r>
            <w:r>
              <w:rPr>
                <w:vertAlign w:val="superscript"/>
              </w:rPr>
              <w:t xml:space="preserve"> (b)</w:t>
            </w:r>
          </w:p>
        </w:tc>
        <w:tc>
          <w:tcPr>
            <w:tcW w:w="794" w:type="dxa"/>
            <w:tcBorders>
              <w:bottom w:val="single" w:sz="6" w:space="0" w:color="auto"/>
            </w:tcBorders>
          </w:tcPr>
          <w:p w14:paraId="0D0F403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(4 143)</w:t>
            </w:r>
          </w:p>
        </w:tc>
        <w:tc>
          <w:tcPr>
            <w:tcW w:w="794" w:type="dxa"/>
            <w:tcBorders>
              <w:bottom w:val="single" w:sz="6" w:space="0" w:color="auto"/>
            </w:tcBorders>
          </w:tcPr>
          <w:p w14:paraId="1D1E1C3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(8 421)</w:t>
            </w:r>
          </w:p>
        </w:tc>
        <w:tc>
          <w:tcPr>
            <w:tcW w:w="794" w:type="dxa"/>
            <w:tcBorders>
              <w:bottom w:val="single" w:sz="6" w:space="0" w:color="auto"/>
            </w:tcBorders>
          </w:tcPr>
          <w:p w14:paraId="272D85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(19 852)</w:t>
            </w:r>
          </w:p>
        </w:tc>
        <w:tc>
          <w:tcPr>
            <w:tcW w:w="794" w:type="dxa"/>
            <w:tcBorders>
              <w:bottom w:val="single" w:sz="6" w:space="0" w:color="auto"/>
            </w:tcBorders>
          </w:tcPr>
          <w:p w14:paraId="186E4F4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(830)</w:t>
            </w:r>
          </w:p>
        </w:tc>
        <w:tc>
          <w:tcPr>
            <w:tcW w:w="794" w:type="dxa"/>
            <w:tcBorders>
              <w:bottom w:val="single" w:sz="6" w:space="0" w:color="auto"/>
            </w:tcBorders>
          </w:tcPr>
          <w:p w14:paraId="5AE46CA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(1 010)</w:t>
            </w:r>
          </w:p>
        </w:tc>
      </w:tr>
      <w:tr w:rsidR="004135EE" w14:paraId="4FD9786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815A87E" w14:textId="77777777" w:rsidR="004135EE" w:rsidRDefault="004135EE" w:rsidP="008670FF">
            <w:r>
              <w:rPr>
                <w:b/>
              </w:rPr>
              <w:t>Investment in other sector entities at end of period</w:t>
            </w:r>
          </w:p>
        </w:tc>
        <w:tc>
          <w:tcPr>
            <w:tcW w:w="794" w:type="dxa"/>
            <w:tcBorders>
              <w:top w:val="single" w:sz="6" w:space="0" w:color="auto"/>
              <w:bottom w:val="single" w:sz="12" w:space="0" w:color="auto"/>
            </w:tcBorders>
          </w:tcPr>
          <w:p w14:paraId="61EDB1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101 916</w:t>
            </w:r>
          </w:p>
        </w:tc>
        <w:tc>
          <w:tcPr>
            <w:tcW w:w="794" w:type="dxa"/>
            <w:tcBorders>
              <w:top w:val="single" w:sz="6" w:space="0" w:color="auto"/>
              <w:bottom w:val="single" w:sz="12" w:space="0" w:color="auto"/>
            </w:tcBorders>
          </w:tcPr>
          <w:p w14:paraId="76B30F8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99 515</w:t>
            </w:r>
          </w:p>
        </w:tc>
        <w:tc>
          <w:tcPr>
            <w:tcW w:w="794" w:type="dxa"/>
            <w:tcBorders>
              <w:top w:val="single" w:sz="6" w:space="0" w:color="auto"/>
              <w:bottom w:val="single" w:sz="12" w:space="0" w:color="auto"/>
            </w:tcBorders>
          </w:tcPr>
          <w:p w14:paraId="4E674B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103 739</w:t>
            </w:r>
          </w:p>
        </w:tc>
        <w:tc>
          <w:tcPr>
            <w:tcW w:w="794" w:type="dxa"/>
            <w:tcBorders>
              <w:top w:val="single" w:sz="6" w:space="0" w:color="auto"/>
              <w:bottom w:val="single" w:sz="12" w:space="0" w:color="auto"/>
            </w:tcBorders>
          </w:tcPr>
          <w:p w14:paraId="6BB6A3D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107 028</w:t>
            </w:r>
          </w:p>
        </w:tc>
        <w:tc>
          <w:tcPr>
            <w:tcW w:w="794" w:type="dxa"/>
            <w:tcBorders>
              <w:top w:val="single" w:sz="6" w:space="0" w:color="auto"/>
              <w:bottom w:val="single" w:sz="12" w:space="0" w:color="auto"/>
            </w:tcBorders>
          </w:tcPr>
          <w:p w14:paraId="58B917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110 111</w:t>
            </w:r>
          </w:p>
        </w:tc>
      </w:tr>
    </w:tbl>
    <w:p w14:paraId="64ED1C86" w14:textId="77777777" w:rsidR="004135EE" w:rsidRDefault="004135EE" w:rsidP="002C6164">
      <w:pPr>
        <w:pStyle w:val="Note"/>
        <w:rPr>
          <w:rFonts w:ascii="Calibri-Italic" w:hAnsi="Calibri-Italic" w:cs="Calibri-Italic"/>
          <w:i w:val="0"/>
          <w:iCs/>
          <w:szCs w:val="14"/>
        </w:rPr>
      </w:pPr>
      <w:r>
        <w:t>Notes:</w:t>
      </w:r>
    </w:p>
    <w:p w14:paraId="776C2C59" w14:textId="2945EE8D" w:rsidR="004135EE" w:rsidRPr="00E144B8" w:rsidRDefault="005C5C20" w:rsidP="005C5C20">
      <w:pPr>
        <w:pStyle w:val="Note"/>
      </w:pPr>
      <w:r>
        <w:t>(a)</w:t>
      </w:r>
      <w:r>
        <w:tab/>
      </w:r>
      <w:r w:rsidR="004135EE" w:rsidRPr="00E144B8">
        <w:t>The movement in 2025-26 primarily reflects the transfer of the Metro Tunnel assets from the Department o</w:t>
      </w:r>
      <w:r w:rsidR="004135EE">
        <w:t xml:space="preserve">f </w:t>
      </w:r>
      <w:r w:rsidR="004135EE" w:rsidRPr="00E144B8">
        <w:t>Transport and</w:t>
      </w:r>
      <w:r w:rsidR="004135EE">
        <w:t xml:space="preserve"> </w:t>
      </w:r>
      <w:r w:rsidR="004135EE" w:rsidRPr="00E144B8">
        <w:t>Planning in the general government sector to VicTrack in the public non-financial corporations sector upon its completion.</w:t>
      </w:r>
    </w:p>
    <w:p w14:paraId="0BEE5336" w14:textId="6C98534D" w:rsidR="004135EE" w:rsidRPr="00E144B8" w:rsidRDefault="005C5C20" w:rsidP="005C5C20">
      <w:pPr>
        <w:pStyle w:val="Note"/>
      </w:pPr>
      <w:r>
        <w:t>(b)</w:t>
      </w:r>
      <w:r>
        <w:tab/>
      </w:r>
      <w:r w:rsidR="004135EE" w:rsidRPr="00E144B8">
        <w:t>The movement in 2025-26 primarily reflects the derecognition of completed Metro Tunnel assets transferred to VicTrack, as</w:t>
      </w:r>
      <w:r>
        <w:t> </w:t>
      </w:r>
      <w:r w:rsidR="004135EE" w:rsidRPr="00E144B8">
        <w:t xml:space="preserve">required under AASB 16 </w:t>
      </w:r>
      <w:r w:rsidR="004135EE" w:rsidRPr="00990854">
        <w:rPr>
          <w:rFonts w:ascii="Calibri" w:hAnsi="Calibri" w:cs="Calibri"/>
          <w:i w:val="0"/>
        </w:rPr>
        <w:t>Leases</w:t>
      </w:r>
      <w:r w:rsidR="004135EE" w:rsidRPr="00E144B8">
        <w:rPr>
          <w:rFonts w:ascii="Calibri" w:hAnsi="Calibri" w:cs="Calibri"/>
        </w:rPr>
        <w:t>.</w:t>
      </w:r>
    </w:p>
    <w:bookmarkEnd w:id="110"/>
    <w:p w14:paraId="50FB0247" w14:textId="2DB8D08C" w:rsidR="004135EE" w:rsidRDefault="004135EE" w:rsidP="0097358A">
      <w:pPr>
        <w:pStyle w:val="Heading2"/>
        <w:pageBreakBefore/>
      </w:pPr>
      <w:r>
        <w:t xml:space="preserve">FINANCING STATE OPERATIONS </w:t>
      </w:r>
    </w:p>
    <w:p w14:paraId="469251A9" w14:textId="77777777" w:rsidR="00916E38" w:rsidRDefault="00916E38" w:rsidP="004135EE">
      <w:pPr>
        <w:pStyle w:val="Heading30"/>
        <w:sectPr w:rsidR="00916E38" w:rsidSect="00A12B31">
          <w:type w:val="continuous"/>
          <w:pgSz w:w="9979" w:h="14175" w:code="34"/>
          <w:pgMar w:top="1134" w:right="1134" w:bottom="1134" w:left="1134" w:header="624" w:footer="567" w:gutter="0"/>
          <w:cols w:space="708"/>
          <w:docGrid w:linePitch="360"/>
        </w:sectPr>
      </w:pPr>
    </w:p>
    <w:p w14:paraId="48933875" w14:textId="77777777" w:rsidR="004135EE" w:rsidRDefault="004135EE" w:rsidP="004135EE">
      <w:pPr>
        <w:pStyle w:val="Heading30"/>
      </w:pPr>
      <w:r>
        <w:t>Introduction</w:t>
      </w:r>
    </w:p>
    <w:p w14:paraId="52E9B21A" w14:textId="77777777" w:rsidR="004135EE" w:rsidRDefault="004135EE" w:rsidP="004135EE">
      <w:r>
        <w:t>State operations are financed through a variety of means, including surplus cash flows from operating activities, asset recycling, advances and borrowings.</w:t>
      </w:r>
    </w:p>
    <w:p w14:paraId="6A6261DD" w14:textId="77777777" w:rsidR="004135EE" w:rsidRDefault="004135EE" w:rsidP="004135EE">
      <w:r>
        <w:t>This section provides information on the balances related to the financing of the general government sector’s operations.</w:t>
      </w:r>
    </w:p>
    <w:p w14:paraId="15775E5C" w14:textId="77777777" w:rsidR="00916E38" w:rsidRDefault="00916E38" w:rsidP="00916E38">
      <w:pPr>
        <w:pStyle w:val="Heading30"/>
      </w:pPr>
      <w:r>
        <w:br w:type="column"/>
        <w:t>Structure</w:t>
      </w:r>
    </w:p>
    <w:bookmarkStart w:id="121" w:name="_Toc150443756"/>
    <w:bookmarkStart w:id="122" w:name="Section_4_5"/>
    <w:p w14:paraId="20E493DB" w14:textId="262D552B" w:rsidR="00916E38" w:rsidRDefault="00916E38">
      <w:pPr>
        <w:pStyle w:val="TOC9"/>
        <w:rPr>
          <w:rFonts w:eastAsiaTheme="minorEastAsia"/>
          <w:noProof/>
          <w:kern w:val="2"/>
          <w:sz w:val="24"/>
          <w:szCs w:val="24"/>
          <w:lang w:eastAsia="en-AU"/>
          <w14:ligatures w14:val="standardContextual"/>
        </w:rPr>
      </w:pPr>
      <w:r>
        <w:fldChar w:fldCharType="begin"/>
      </w:r>
      <w:r>
        <w:instrText xml:space="preserve"> TOC \h \z \t "Heading 3,9" \b "Section_4_5" </w:instrText>
      </w:r>
      <w:r>
        <w:fldChar w:fldCharType="separate"/>
      </w:r>
      <w:hyperlink w:anchor="_Toc184299209" w:history="1">
        <w:r w:rsidRPr="00335FFE">
          <w:rPr>
            <w:rStyle w:val="Hyperlink"/>
            <w:noProof/>
          </w:rPr>
          <w:t>4.5.1</w:t>
        </w:r>
        <w:r>
          <w:rPr>
            <w:rFonts w:eastAsiaTheme="minorEastAsia"/>
            <w:noProof/>
            <w:kern w:val="2"/>
            <w:sz w:val="24"/>
            <w:szCs w:val="24"/>
            <w:lang w:eastAsia="en-AU"/>
            <w14:ligatures w14:val="standardContextual"/>
          </w:rPr>
          <w:tab/>
        </w:r>
        <w:r w:rsidRPr="00335FFE">
          <w:rPr>
            <w:rStyle w:val="Hyperlink"/>
            <w:noProof/>
          </w:rPr>
          <w:t>Borrowings</w:t>
        </w:r>
        <w:r>
          <w:rPr>
            <w:noProof/>
            <w:webHidden/>
          </w:rPr>
          <w:tab/>
        </w:r>
        <w:r>
          <w:rPr>
            <w:noProof/>
            <w:webHidden/>
          </w:rPr>
          <w:fldChar w:fldCharType="begin"/>
        </w:r>
        <w:r>
          <w:rPr>
            <w:noProof/>
            <w:webHidden/>
          </w:rPr>
          <w:instrText xml:space="preserve"> PAGEREF _Toc184299209 \h </w:instrText>
        </w:r>
        <w:r>
          <w:rPr>
            <w:noProof/>
            <w:webHidden/>
          </w:rPr>
        </w:r>
        <w:r>
          <w:rPr>
            <w:noProof/>
            <w:webHidden/>
          </w:rPr>
          <w:fldChar w:fldCharType="separate"/>
        </w:r>
        <w:r>
          <w:rPr>
            <w:noProof/>
            <w:webHidden/>
          </w:rPr>
          <w:t>78</w:t>
        </w:r>
        <w:r>
          <w:rPr>
            <w:noProof/>
            <w:webHidden/>
          </w:rPr>
          <w:fldChar w:fldCharType="end"/>
        </w:r>
      </w:hyperlink>
    </w:p>
    <w:p w14:paraId="7C08ED61" w14:textId="2853F6CB" w:rsidR="00916E38" w:rsidRDefault="00916E38">
      <w:pPr>
        <w:pStyle w:val="TOC9"/>
        <w:rPr>
          <w:rFonts w:eastAsiaTheme="minorEastAsia"/>
          <w:noProof/>
          <w:kern w:val="2"/>
          <w:sz w:val="24"/>
          <w:szCs w:val="24"/>
          <w:lang w:eastAsia="en-AU"/>
          <w14:ligatures w14:val="standardContextual"/>
        </w:rPr>
      </w:pPr>
      <w:hyperlink w:anchor="_Toc184299210" w:history="1">
        <w:r w:rsidRPr="00335FFE">
          <w:rPr>
            <w:rStyle w:val="Hyperlink"/>
            <w:noProof/>
          </w:rPr>
          <w:t>4.5.2</w:t>
        </w:r>
        <w:r>
          <w:rPr>
            <w:rFonts w:eastAsiaTheme="minorEastAsia"/>
            <w:noProof/>
            <w:kern w:val="2"/>
            <w:sz w:val="24"/>
            <w:szCs w:val="24"/>
            <w:lang w:eastAsia="en-AU"/>
            <w14:ligatures w14:val="standardContextual"/>
          </w:rPr>
          <w:tab/>
        </w:r>
        <w:r w:rsidRPr="00335FFE">
          <w:rPr>
            <w:rStyle w:val="Hyperlink"/>
            <w:noProof/>
          </w:rPr>
          <w:t>Advances paid and investments, loans and placements</w:t>
        </w:r>
        <w:r>
          <w:rPr>
            <w:noProof/>
            <w:webHidden/>
          </w:rPr>
          <w:tab/>
        </w:r>
        <w:r>
          <w:rPr>
            <w:noProof/>
            <w:webHidden/>
          </w:rPr>
          <w:fldChar w:fldCharType="begin"/>
        </w:r>
        <w:r>
          <w:rPr>
            <w:noProof/>
            <w:webHidden/>
          </w:rPr>
          <w:instrText xml:space="preserve"> PAGEREF _Toc184299210 \h </w:instrText>
        </w:r>
        <w:r>
          <w:rPr>
            <w:noProof/>
            <w:webHidden/>
          </w:rPr>
        </w:r>
        <w:r>
          <w:rPr>
            <w:noProof/>
            <w:webHidden/>
          </w:rPr>
          <w:fldChar w:fldCharType="separate"/>
        </w:r>
        <w:r>
          <w:rPr>
            <w:noProof/>
            <w:webHidden/>
          </w:rPr>
          <w:t>79</w:t>
        </w:r>
        <w:r>
          <w:rPr>
            <w:noProof/>
            <w:webHidden/>
          </w:rPr>
          <w:fldChar w:fldCharType="end"/>
        </w:r>
      </w:hyperlink>
    </w:p>
    <w:p w14:paraId="7D87A49C" w14:textId="1575B0BF" w:rsidR="00916E38" w:rsidRDefault="00916E38">
      <w:pPr>
        <w:pStyle w:val="TOC9"/>
        <w:rPr>
          <w:rFonts w:eastAsiaTheme="minorEastAsia"/>
          <w:noProof/>
          <w:kern w:val="2"/>
          <w:sz w:val="24"/>
          <w:szCs w:val="24"/>
          <w:lang w:eastAsia="en-AU"/>
          <w14:ligatures w14:val="standardContextual"/>
        </w:rPr>
      </w:pPr>
      <w:hyperlink w:anchor="_Toc184299211" w:history="1">
        <w:r w:rsidRPr="00335FFE">
          <w:rPr>
            <w:rStyle w:val="Hyperlink"/>
            <w:noProof/>
          </w:rPr>
          <w:t>4.5.3</w:t>
        </w:r>
        <w:r>
          <w:rPr>
            <w:rFonts w:eastAsiaTheme="minorEastAsia"/>
            <w:noProof/>
            <w:kern w:val="2"/>
            <w:sz w:val="24"/>
            <w:szCs w:val="24"/>
            <w:lang w:eastAsia="en-AU"/>
            <w14:ligatures w14:val="standardContextual"/>
          </w:rPr>
          <w:tab/>
        </w:r>
        <w:r w:rsidRPr="00335FFE">
          <w:rPr>
            <w:rStyle w:val="Hyperlink"/>
            <w:noProof/>
          </w:rPr>
          <w:t>Interest expense</w:t>
        </w:r>
        <w:r>
          <w:rPr>
            <w:noProof/>
            <w:webHidden/>
          </w:rPr>
          <w:tab/>
        </w:r>
        <w:r>
          <w:rPr>
            <w:noProof/>
            <w:webHidden/>
          </w:rPr>
          <w:fldChar w:fldCharType="begin"/>
        </w:r>
        <w:r>
          <w:rPr>
            <w:noProof/>
            <w:webHidden/>
          </w:rPr>
          <w:instrText xml:space="preserve"> PAGEREF _Toc184299211 \h </w:instrText>
        </w:r>
        <w:r>
          <w:rPr>
            <w:noProof/>
            <w:webHidden/>
          </w:rPr>
        </w:r>
        <w:r>
          <w:rPr>
            <w:noProof/>
            <w:webHidden/>
          </w:rPr>
          <w:fldChar w:fldCharType="separate"/>
        </w:r>
        <w:r>
          <w:rPr>
            <w:noProof/>
            <w:webHidden/>
          </w:rPr>
          <w:t>79</w:t>
        </w:r>
        <w:r>
          <w:rPr>
            <w:noProof/>
            <w:webHidden/>
          </w:rPr>
          <w:fldChar w:fldCharType="end"/>
        </w:r>
      </w:hyperlink>
    </w:p>
    <w:p w14:paraId="4079394C" w14:textId="57C2F6F9" w:rsidR="00916E38" w:rsidRDefault="00916E38" w:rsidP="00916E38">
      <w:r>
        <w:fldChar w:fldCharType="end"/>
      </w:r>
    </w:p>
    <w:p w14:paraId="77B1849E" w14:textId="0597F4B3" w:rsidR="00916E38" w:rsidRDefault="00916E38" w:rsidP="004135EE"/>
    <w:p w14:paraId="6EE4A62D" w14:textId="77777777" w:rsidR="00916E38" w:rsidRDefault="00916E38" w:rsidP="004135EE"/>
    <w:p w14:paraId="76539762" w14:textId="77777777" w:rsidR="00916E38" w:rsidRDefault="00916E38" w:rsidP="004135EE">
      <w:pPr>
        <w:sectPr w:rsidR="00916E38" w:rsidSect="00916E38">
          <w:type w:val="continuous"/>
          <w:pgSz w:w="9979" w:h="14175" w:code="34"/>
          <w:pgMar w:top="1134" w:right="1134" w:bottom="1134" w:left="1134" w:header="624" w:footer="567" w:gutter="0"/>
          <w:cols w:num="2" w:space="708"/>
          <w:docGrid w:linePitch="360"/>
        </w:sectPr>
      </w:pPr>
    </w:p>
    <w:p w14:paraId="3D7ADAE5" w14:textId="77777777" w:rsidR="00916E38" w:rsidRDefault="00916E38" w:rsidP="004135EE"/>
    <w:p w14:paraId="5B5153FE" w14:textId="77777777" w:rsidR="004135EE" w:rsidRPr="00BC2EDC" w:rsidRDefault="004135EE" w:rsidP="004135EE">
      <w:pPr>
        <w:pStyle w:val="Heading30"/>
      </w:pPr>
      <w:bookmarkStart w:id="123" w:name="_Toc184299209"/>
      <w:r>
        <w:t>4.5.1</w:t>
      </w:r>
      <w:r>
        <w:tab/>
      </w:r>
      <w:r w:rsidRPr="00BC2EDC">
        <w:t>Borrowings</w:t>
      </w:r>
      <w:r w:rsidRPr="00BC2EDC">
        <w:tab/>
        <w:t>($ million)</w:t>
      </w:r>
      <w:bookmarkEnd w:id="121"/>
      <w:bookmarkEnd w:id="123"/>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Borrowings|MergedHeadingRow:1"/>
      </w:tblPr>
      <w:tblGrid>
        <w:gridCol w:w="3740"/>
        <w:gridCol w:w="794"/>
        <w:gridCol w:w="794"/>
        <w:gridCol w:w="794"/>
        <w:gridCol w:w="794"/>
        <w:gridCol w:w="794"/>
      </w:tblGrid>
      <w:tr w:rsidR="004135EE" w14:paraId="6438B55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A102903" w14:textId="77777777" w:rsidR="004135EE" w:rsidRDefault="004135EE" w:rsidP="008670FF">
            <w:pPr>
              <w:keepNext/>
            </w:pPr>
          </w:p>
        </w:tc>
        <w:tc>
          <w:tcPr>
            <w:tcW w:w="794" w:type="dxa"/>
          </w:tcPr>
          <w:p w14:paraId="39024DF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287558C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38DB29D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4AE1511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40F0780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16EC77B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E920241" w14:textId="77777777" w:rsidR="004135EE" w:rsidRDefault="004135EE" w:rsidP="008670FF">
            <w:r>
              <w:rPr>
                <w:b/>
              </w:rPr>
              <w:t>Current borrowings</w:t>
            </w:r>
          </w:p>
        </w:tc>
        <w:tc>
          <w:tcPr>
            <w:tcW w:w="794" w:type="dxa"/>
          </w:tcPr>
          <w:p w14:paraId="726D592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802B3A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AB27F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D26B6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F6F2BB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2A8E10C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8B8E9AB" w14:textId="77777777" w:rsidR="004135EE" w:rsidRDefault="004135EE" w:rsidP="008670FF">
            <w:r>
              <w:t>Domestic borrowings</w:t>
            </w:r>
          </w:p>
        </w:tc>
        <w:tc>
          <w:tcPr>
            <w:tcW w:w="794" w:type="dxa"/>
          </w:tcPr>
          <w:p w14:paraId="38E8FE3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14 479</w:t>
            </w:r>
          </w:p>
        </w:tc>
        <w:tc>
          <w:tcPr>
            <w:tcW w:w="794" w:type="dxa"/>
          </w:tcPr>
          <w:p w14:paraId="5D6D6D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14 621</w:t>
            </w:r>
          </w:p>
        </w:tc>
        <w:tc>
          <w:tcPr>
            <w:tcW w:w="794" w:type="dxa"/>
          </w:tcPr>
          <w:p w14:paraId="4A10B7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14 615</w:t>
            </w:r>
          </w:p>
        </w:tc>
        <w:tc>
          <w:tcPr>
            <w:tcW w:w="794" w:type="dxa"/>
          </w:tcPr>
          <w:p w14:paraId="7E681D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14 596</w:t>
            </w:r>
          </w:p>
        </w:tc>
        <w:tc>
          <w:tcPr>
            <w:tcW w:w="794" w:type="dxa"/>
          </w:tcPr>
          <w:p w14:paraId="7B4BEB4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14 904</w:t>
            </w:r>
          </w:p>
        </w:tc>
      </w:tr>
      <w:tr w:rsidR="004135EE" w14:paraId="6F5C275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726AA97" w14:textId="77777777" w:rsidR="004135EE" w:rsidRDefault="004135EE" w:rsidP="008670FF">
            <w:r>
              <w:t>Lease liabilities</w:t>
            </w:r>
          </w:p>
        </w:tc>
        <w:tc>
          <w:tcPr>
            <w:tcW w:w="794" w:type="dxa"/>
          </w:tcPr>
          <w:p w14:paraId="116B25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609</w:t>
            </w:r>
          </w:p>
        </w:tc>
        <w:tc>
          <w:tcPr>
            <w:tcW w:w="794" w:type="dxa"/>
          </w:tcPr>
          <w:p w14:paraId="569791C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652</w:t>
            </w:r>
          </w:p>
        </w:tc>
        <w:tc>
          <w:tcPr>
            <w:tcW w:w="794" w:type="dxa"/>
          </w:tcPr>
          <w:p w14:paraId="0FC075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541</w:t>
            </w:r>
          </w:p>
        </w:tc>
        <w:tc>
          <w:tcPr>
            <w:tcW w:w="794" w:type="dxa"/>
          </w:tcPr>
          <w:p w14:paraId="657AED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416</w:t>
            </w:r>
          </w:p>
        </w:tc>
        <w:tc>
          <w:tcPr>
            <w:tcW w:w="794" w:type="dxa"/>
          </w:tcPr>
          <w:p w14:paraId="37EBE27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284</w:t>
            </w:r>
          </w:p>
        </w:tc>
      </w:tr>
      <w:tr w:rsidR="004135EE" w14:paraId="03D2650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D5DA685" w14:textId="77777777" w:rsidR="004135EE" w:rsidRDefault="004135EE" w:rsidP="008670FF">
            <w:r>
              <w:t>Service concession arrangement liabilities</w:t>
            </w:r>
          </w:p>
        </w:tc>
        <w:tc>
          <w:tcPr>
            <w:tcW w:w="794" w:type="dxa"/>
          </w:tcPr>
          <w:p w14:paraId="4CCA107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450</w:t>
            </w:r>
          </w:p>
        </w:tc>
        <w:tc>
          <w:tcPr>
            <w:tcW w:w="794" w:type="dxa"/>
          </w:tcPr>
          <w:p w14:paraId="7EE6580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400</w:t>
            </w:r>
          </w:p>
        </w:tc>
        <w:tc>
          <w:tcPr>
            <w:tcW w:w="794" w:type="dxa"/>
          </w:tcPr>
          <w:p w14:paraId="65CC0A9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377</w:t>
            </w:r>
          </w:p>
        </w:tc>
        <w:tc>
          <w:tcPr>
            <w:tcW w:w="794" w:type="dxa"/>
          </w:tcPr>
          <w:p w14:paraId="5FBF1B0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1 678</w:t>
            </w:r>
          </w:p>
        </w:tc>
        <w:tc>
          <w:tcPr>
            <w:tcW w:w="794" w:type="dxa"/>
          </w:tcPr>
          <w:p w14:paraId="417D6D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319</w:t>
            </w:r>
          </w:p>
        </w:tc>
      </w:tr>
      <w:tr w:rsidR="004135EE" w14:paraId="35C134E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97AF69E" w14:textId="77777777" w:rsidR="004135EE" w:rsidRDefault="004135EE" w:rsidP="008670FF">
            <w:r>
              <w:t>Derivative financial instruments</w:t>
            </w:r>
          </w:p>
        </w:tc>
        <w:tc>
          <w:tcPr>
            <w:tcW w:w="794" w:type="dxa"/>
            <w:tcBorders>
              <w:bottom w:val="single" w:sz="6" w:space="0" w:color="auto"/>
            </w:tcBorders>
          </w:tcPr>
          <w:p w14:paraId="3D53D7E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w:t>
            </w:r>
          </w:p>
        </w:tc>
        <w:tc>
          <w:tcPr>
            <w:tcW w:w="794" w:type="dxa"/>
            <w:tcBorders>
              <w:bottom w:val="single" w:sz="6" w:space="0" w:color="auto"/>
            </w:tcBorders>
          </w:tcPr>
          <w:p w14:paraId="548E7D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w:t>
            </w:r>
          </w:p>
        </w:tc>
        <w:tc>
          <w:tcPr>
            <w:tcW w:w="794" w:type="dxa"/>
            <w:tcBorders>
              <w:bottom w:val="single" w:sz="6" w:space="0" w:color="auto"/>
            </w:tcBorders>
          </w:tcPr>
          <w:p w14:paraId="797EF2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w:t>
            </w:r>
          </w:p>
        </w:tc>
        <w:tc>
          <w:tcPr>
            <w:tcW w:w="794" w:type="dxa"/>
            <w:tcBorders>
              <w:bottom w:val="single" w:sz="6" w:space="0" w:color="auto"/>
            </w:tcBorders>
          </w:tcPr>
          <w:p w14:paraId="161F99B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w:t>
            </w:r>
          </w:p>
        </w:tc>
        <w:tc>
          <w:tcPr>
            <w:tcW w:w="794" w:type="dxa"/>
            <w:tcBorders>
              <w:bottom w:val="single" w:sz="6" w:space="0" w:color="auto"/>
            </w:tcBorders>
          </w:tcPr>
          <w:p w14:paraId="555840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46</w:t>
            </w:r>
          </w:p>
        </w:tc>
      </w:tr>
      <w:tr w:rsidR="004135EE" w14:paraId="2788556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016337D" w14:textId="77777777" w:rsidR="004135EE" w:rsidRDefault="004135EE" w:rsidP="008670FF">
            <w:r>
              <w:rPr>
                <w:b/>
              </w:rPr>
              <w:t>Total current borrowings</w:t>
            </w:r>
          </w:p>
        </w:tc>
        <w:tc>
          <w:tcPr>
            <w:tcW w:w="794" w:type="dxa"/>
            <w:tcBorders>
              <w:top w:val="single" w:sz="6" w:space="0" w:color="auto"/>
            </w:tcBorders>
          </w:tcPr>
          <w:p w14:paraId="7EC2328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15 585</w:t>
            </w:r>
          </w:p>
        </w:tc>
        <w:tc>
          <w:tcPr>
            <w:tcW w:w="794" w:type="dxa"/>
            <w:tcBorders>
              <w:top w:val="single" w:sz="6" w:space="0" w:color="auto"/>
            </w:tcBorders>
          </w:tcPr>
          <w:p w14:paraId="7B184E8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15 719</w:t>
            </w:r>
          </w:p>
        </w:tc>
        <w:tc>
          <w:tcPr>
            <w:tcW w:w="794" w:type="dxa"/>
            <w:tcBorders>
              <w:top w:val="single" w:sz="6" w:space="0" w:color="auto"/>
            </w:tcBorders>
          </w:tcPr>
          <w:p w14:paraId="6E88D4B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15 580</w:t>
            </w:r>
          </w:p>
        </w:tc>
        <w:tc>
          <w:tcPr>
            <w:tcW w:w="794" w:type="dxa"/>
            <w:tcBorders>
              <w:top w:val="single" w:sz="6" w:space="0" w:color="auto"/>
            </w:tcBorders>
          </w:tcPr>
          <w:p w14:paraId="1255B50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16 736</w:t>
            </w:r>
          </w:p>
        </w:tc>
        <w:tc>
          <w:tcPr>
            <w:tcW w:w="794" w:type="dxa"/>
            <w:tcBorders>
              <w:top w:val="single" w:sz="6" w:space="0" w:color="auto"/>
            </w:tcBorders>
          </w:tcPr>
          <w:p w14:paraId="7D0E455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15 553</w:t>
            </w:r>
          </w:p>
        </w:tc>
      </w:tr>
      <w:tr w:rsidR="004135EE" w14:paraId="7F5E6A0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44249FC" w14:textId="77777777" w:rsidR="004135EE" w:rsidRDefault="004135EE" w:rsidP="008670FF">
            <w:r>
              <w:rPr>
                <w:b/>
              </w:rPr>
              <w:t>Non</w:t>
            </w:r>
            <w:r>
              <w:rPr>
                <w:b/>
              </w:rPr>
              <w:noBreakHyphen/>
              <w:t>current borrowings</w:t>
            </w:r>
          </w:p>
        </w:tc>
        <w:tc>
          <w:tcPr>
            <w:tcW w:w="794" w:type="dxa"/>
          </w:tcPr>
          <w:p w14:paraId="6E1D07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AA3D0D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98FA9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769C56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FC68EB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41FAA6F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415B30E" w14:textId="77777777" w:rsidR="004135EE" w:rsidRDefault="004135EE" w:rsidP="008670FF">
            <w:r>
              <w:t>Domestic borrowings</w:t>
            </w:r>
          </w:p>
        </w:tc>
        <w:tc>
          <w:tcPr>
            <w:tcW w:w="794" w:type="dxa"/>
          </w:tcPr>
          <w:p w14:paraId="2F83025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161 856</w:t>
            </w:r>
          </w:p>
        </w:tc>
        <w:tc>
          <w:tcPr>
            <w:tcW w:w="794" w:type="dxa"/>
          </w:tcPr>
          <w:p w14:paraId="4FFCBC4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160 165</w:t>
            </w:r>
          </w:p>
        </w:tc>
        <w:tc>
          <w:tcPr>
            <w:tcW w:w="794" w:type="dxa"/>
          </w:tcPr>
          <w:p w14:paraId="2DD014B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175 758</w:t>
            </w:r>
          </w:p>
        </w:tc>
        <w:tc>
          <w:tcPr>
            <w:tcW w:w="794" w:type="dxa"/>
          </w:tcPr>
          <w:p w14:paraId="22B75BF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189 211</w:t>
            </w:r>
          </w:p>
        </w:tc>
        <w:tc>
          <w:tcPr>
            <w:tcW w:w="794" w:type="dxa"/>
          </w:tcPr>
          <w:p w14:paraId="6F4EED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201 523</w:t>
            </w:r>
          </w:p>
        </w:tc>
      </w:tr>
      <w:tr w:rsidR="004135EE" w14:paraId="40285ED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7E311D7" w14:textId="77777777" w:rsidR="004135EE" w:rsidRDefault="004135EE" w:rsidP="008670FF">
            <w:r>
              <w:t>Lease liabilities</w:t>
            </w:r>
          </w:p>
        </w:tc>
        <w:tc>
          <w:tcPr>
            <w:tcW w:w="794" w:type="dxa"/>
          </w:tcPr>
          <w:p w14:paraId="6D3037F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6 941</w:t>
            </w:r>
          </w:p>
        </w:tc>
        <w:tc>
          <w:tcPr>
            <w:tcW w:w="794" w:type="dxa"/>
          </w:tcPr>
          <w:p w14:paraId="6DE047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7 077</w:t>
            </w:r>
          </w:p>
        </w:tc>
        <w:tc>
          <w:tcPr>
            <w:tcW w:w="794" w:type="dxa"/>
          </w:tcPr>
          <w:p w14:paraId="50282B2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6 582</w:t>
            </w:r>
          </w:p>
        </w:tc>
        <w:tc>
          <w:tcPr>
            <w:tcW w:w="794" w:type="dxa"/>
          </w:tcPr>
          <w:p w14:paraId="300B436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5 991</w:t>
            </w:r>
          </w:p>
        </w:tc>
        <w:tc>
          <w:tcPr>
            <w:tcW w:w="794" w:type="dxa"/>
          </w:tcPr>
          <w:p w14:paraId="3B261CB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5 470</w:t>
            </w:r>
          </w:p>
        </w:tc>
      </w:tr>
      <w:tr w:rsidR="004135EE" w14:paraId="279D3C3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7CB2715" w14:textId="77777777" w:rsidR="004135EE" w:rsidRDefault="004135EE" w:rsidP="008670FF">
            <w:r>
              <w:t>Service concession arrangement liabilities</w:t>
            </w:r>
          </w:p>
        </w:tc>
        <w:tc>
          <w:tcPr>
            <w:tcW w:w="794" w:type="dxa"/>
          </w:tcPr>
          <w:p w14:paraId="77A74DA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4 955</w:t>
            </w:r>
          </w:p>
        </w:tc>
        <w:tc>
          <w:tcPr>
            <w:tcW w:w="794" w:type="dxa"/>
          </w:tcPr>
          <w:p w14:paraId="685C127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4 939</w:t>
            </w:r>
          </w:p>
        </w:tc>
        <w:tc>
          <w:tcPr>
            <w:tcW w:w="794" w:type="dxa"/>
          </w:tcPr>
          <w:p w14:paraId="2F3DE5B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4 929</w:t>
            </w:r>
          </w:p>
        </w:tc>
        <w:tc>
          <w:tcPr>
            <w:tcW w:w="794" w:type="dxa"/>
          </w:tcPr>
          <w:p w14:paraId="74A20F3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3 503</w:t>
            </w:r>
          </w:p>
        </w:tc>
        <w:tc>
          <w:tcPr>
            <w:tcW w:w="794" w:type="dxa"/>
          </w:tcPr>
          <w:p w14:paraId="082FAA1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3 398</w:t>
            </w:r>
          </w:p>
        </w:tc>
      </w:tr>
      <w:tr w:rsidR="004135EE" w14:paraId="3A6524B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61B566E" w14:textId="77777777" w:rsidR="004135EE" w:rsidRDefault="004135EE" w:rsidP="008670FF">
            <w:r>
              <w:t>Derivative financial instruments</w:t>
            </w:r>
          </w:p>
        </w:tc>
        <w:tc>
          <w:tcPr>
            <w:tcW w:w="794" w:type="dxa"/>
            <w:tcBorders>
              <w:bottom w:val="single" w:sz="6" w:space="0" w:color="auto"/>
            </w:tcBorders>
          </w:tcPr>
          <w:p w14:paraId="71CF94F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237</w:t>
            </w:r>
          </w:p>
        </w:tc>
        <w:tc>
          <w:tcPr>
            <w:tcW w:w="794" w:type="dxa"/>
            <w:tcBorders>
              <w:bottom w:val="single" w:sz="6" w:space="0" w:color="auto"/>
            </w:tcBorders>
          </w:tcPr>
          <w:p w14:paraId="4393EF1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237</w:t>
            </w:r>
          </w:p>
        </w:tc>
        <w:tc>
          <w:tcPr>
            <w:tcW w:w="794" w:type="dxa"/>
            <w:tcBorders>
              <w:bottom w:val="single" w:sz="6" w:space="0" w:color="auto"/>
            </w:tcBorders>
          </w:tcPr>
          <w:p w14:paraId="1D47903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225</w:t>
            </w:r>
          </w:p>
        </w:tc>
        <w:tc>
          <w:tcPr>
            <w:tcW w:w="794" w:type="dxa"/>
            <w:tcBorders>
              <w:bottom w:val="single" w:sz="6" w:space="0" w:color="auto"/>
            </w:tcBorders>
          </w:tcPr>
          <w:p w14:paraId="5D7509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216</w:t>
            </w:r>
          </w:p>
        </w:tc>
        <w:tc>
          <w:tcPr>
            <w:tcW w:w="794" w:type="dxa"/>
            <w:tcBorders>
              <w:bottom w:val="single" w:sz="6" w:space="0" w:color="auto"/>
            </w:tcBorders>
          </w:tcPr>
          <w:p w14:paraId="6DFDBD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188</w:t>
            </w:r>
          </w:p>
        </w:tc>
      </w:tr>
      <w:tr w:rsidR="004135EE" w14:paraId="6DD12CA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553DB879" w14:textId="77777777" w:rsidR="004135EE" w:rsidRDefault="004135EE" w:rsidP="008670FF">
            <w:r>
              <w:rPr>
                <w:b/>
              </w:rPr>
              <w:t>Total non</w:t>
            </w:r>
            <w:r>
              <w:rPr>
                <w:b/>
              </w:rPr>
              <w:noBreakHyphen/>
              <w:t>current borrowings</w:t>
            </w:r>
          </w:p>
        </w:tc>
        <w:tc>
          <w:tcPr>
            <w:tcW w:w="794" w:type="dxa"/>
            <w:tcBorders>
              <w:top w:val="single" w:sz="6" w:space="0" w:color="auto"/>
              <w:bottom w:val="single" w:sz="6" w:space="0" w:color="auto"/>
            </w:tcBorders>
          </w:tcPr>
          <w:p w14:paraId="3BDAE4C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173 989</w:t>
            </w:r>
          </w:p>
        </w:tc>
        <w:tc>
          <w:tcPr>
            <w:tcW w:w="794" w:type="dxa"/>
            <w:tcBorders>
              <w:top w:val="single" w:sz="6" w:space="0" w:color="auto"/>
              <w:bottom w:val="single" w:sz="6" w:space="0" w:color="auto"/>
            </w:tcBorders>
          </w:tcPr>
          <w:p w14:paraId="57888D6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172 418</w:t>
            </w:r>
          </w:p>
        </w:tc>
        <w:tc>
          <w:tcPr>
            <w:tcW w:w="794" w:type="dxa"/>
            <w:tcBorders>
              <w:top w:val="single" w:sz="6" w:space="0" w:color="auto"/>
              <w:bottom w:val="single" w:sz="6" w:space="0" w:color="auto"/>
            </w:tcBorders>
          </w:tcPr>
          <w:p w14:paraId="2CA659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187 494</w:t>
            </w:r>
          </w:p>
        </w:tc>
        <w:tc>
          <w:tcPr>
            <w:tcW w:w="794" w:type="dxa"/>
            <w:tcBorders>
              <w:top w:val="single" w:sz="6" w:space="0" w:color="auto"/>
              <w:bottom w:val="single" w:sz="6" w:space="0" w:color="auto"/>
            </w:tcBorders>
          </w:tcPr>
          <w:p w14:paraId="04B9DC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198 921</w:t>
            </w:r>
          </w:p>
        </w:tc>
        <w:tc>
          <w:tcPr>
            <w:tcW w:w="794" w:type="dxa"/>
            <w:tcBorders>
              <w:top w:val="single" w:sz="6" w:space="0" w:color="auto"/>
              <w:bottom w:val="single" w:sz="6" w:space="0" w:color="auto"/>
            </w:tcBorders>
          </w:tcPr>
          <w:p w14:paraId="6951450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210 578</w:t>
            </w:r>
          </w:p>
        </w:tc>
      </w:tr>
      <w:tr w:rsidR="004135EE" w14:paraId="25678B6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CA9DA3C" w14:textId="77777777" w:rsidR="004135EE" w:rsidRDefault="004135EE" w:rsidP="008670FF">
            <w:r>
              <w:rPr>
                <w:b/>
              </w:rPr>
              <w:t>Total borrowings</w:t>
            </w:r>
          </w:p>
        </w:tc>
        <w:tc>
          <w:tcPr>
            <w:tcW w:w="794" w:type="dxa"/>
            <w:tcBorders>
              <w:top w:val="single" w:sz="6" w:space="0" w:color="auto"/>
              <w:bottom w:val="single" w:sz="12" w:space="0" w:color="auto"/>
            </w:tcBorders>
          </w:tcPr>
          <w:p w14:paraId="6B25D6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189 574</w:t>
            </w:r>
          </w:p>
        </w:tc>
        <w:tc>
          <w:tcPr>
            <w:tcW w:w="794" w:type="dxa"/>
            <w:tcBorders>
              <w:top w:val="single" w:sz="6" w:space="0" w:color="auto"/>
              <w:bottom w:val="single" w:sz="12" w:space="0" w:color="auto"/>
            </w:tcBorders>
          </w:tcPr>
          <w:p w14:paraId="25A9DBD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188 137</w:t>
            </w:r>
          </w:p>
        </w:tc>
        <w:tc>
          <w:tcPr>
            <w:tcW w:w="794" w:type="dxa"/>
            <w:tcBorders>
              <w:top w:val="single" w:sz="6" w:space="0" w:color="auto"/>
              <w:bottom w:val="single" w:sz="12" w:space="0" w:color="auto"/>
            </w:tcBorders>
          </w:tcPr>
          <w:p w14:paraId="00632F5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203 074</w:t>
            </w:r>
          </w:p>
        </w:tc>
        <w:tc>
          <w:tcPr>
            <w:tcW w:w="794" w:type="dxa"/>
            <w:tcBorders>
              <w:top w:val="single" w:sz="6" w:space="0" w:color="auto"/>
              <w:bottom w:val="single" w:sz="12" w:space="0" w:color="auto"/>
            </w:tcBorders>
          </w:tcPr>
          <w:p w14:paraId="781C79A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215 657</w:t>
            </w:r>
          </w:p>
        </w:tc>
        <w:tc>
          <w:tcPr>
            <w:tcW w:w="794" w:type="dxa"/>
            <w:tcBorders>
              <w:top w:val="single" w:sz="6" w:space="0" w:color="auto"/>
              <w:bottom w:val="single" w:sz="12" w:space="0" w:color="auto"/>
            </w:tcBorders>
          </w:tcPr>
          <w:p w14:paraId="777382A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226 131</w:t>
            </w:r>
          </w:p>
        </w:tc>
      </w:tr>
    </w:tbl>
    <w:p w14:paraId="105B75FD" w14:textId="77777777" w:rsidR="004135EE" w:rsidRDefault="004135EE" w:rsidP="004135EE"/>
    <w:p w14:paraId="1FCA2BA7" w14:textId="77777777" w:rsidR="004135EE" w:rsidRDefault="004135EE" w:rsidP="004135EE">
      <w:pPr>
        <w:keepLines w:val="0"/>
        <w:rPr>
          <w:rFonts w:asciiTheme="majorHAnsi" w:eastAsiaTheme="majorEastAsia" w:hAnsiTheme="majorHAnsi" w:cstheme="majorBidi"/>
          <w:b/>
          <w:szCs w:val="28"/>
        </w:rPr>
      </w:pPr>
      <w:bookmarkStart w:id="124" w:name="_Toc150443757"/>
      <w:r>
        <w:br w:type="page"/>
      </w:r>
    </w:p>
    <w:p w14:paraId="29F956BF" w14:textId="77777777" w:rsidR="004135EE" w:rsidRPr="006E14DE" w:rsidRDefault="004135EE" w:rsidP="004135EE">
      <w:pPr>
        <w:pStyle w:val="Heading30"/>
      </w:pPr>
      <w:bookmarkStart w:id="125" w:name="_Toc184299210"/>
      <w:r>
        <w:t>4.5.2</w:t>
      </w:r>
      <w:r>
        <w:tab/>
      </w:r>
      <w:r w:rsidRPr="006E14DE">
        <w:t>Advances paid and investments, loans and placements</w:t>
      </w:r>
      <w:r w:rsidRPr="006E14DE">
        <w:tab/>
        <w:t>($ million)</w:t>
      </w:r>
      <w:bookmarkEnd w:id="124"/>
      <w:bookmarkEnd w:id="125"/>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BS.xlsx|Table:Advances_investments|MergedHeadingRow:1"/>
      </w:tblPr>
      <w:tblGrid>
        <w:gridCol w:w="3740"/>
        <w:gridCol w:w="794"/>
        <w:gridCol w:w="794"/>
        <w:gridCol w:w="794"/>
        <w:gridCol w:w="794"/>
        <w:gridCol w:w="794"/>
      </w:tblGrid>
      <w:tr w:rsidR="004135EE" w14:paraId="5B714AE6"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D81B640" w14:textId="77777777" w:rsidR="004135EE" w:rsidRDefault="004135EE" w:rsidP="008670FF">
            <w:pPr>
              <w:keepNext/>
            </w:pPr>
          </w:p>
        </w:tc>
        <w:tc>
          <w:tcPr>
            <w:tcW w:w="794" w:type="dxa"/>
          </w:tcPr>
          <w:p w14:paraId="54399F6C"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budget</w:t>
            </w:r>
          </w:p>
        </w:tc>
        <w:tc>
          <w:tcPr>
            <w:tcW w:w="794" w:type="dxa"/>
          </w:tcPr>
          <w:p w14:paraId="41A5DAD6"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12C90D1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46084B4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473BC7EB"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4135EE" w14:paraId="5B8C5E9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453532A" w14:textId="77777777" w:rsidR="004135EE" w:rsidRDefault="004135EE" w:rsidP="008670FF">
            <w:r>
              <w:rPr>
                <w:b/>
              </w:rPr>
              <w:t>Current advances paid and investments, loans and placements</w:t>
            </w:r>
          </w:p>
        </w:tc>
        <w:tc>
          <w:tcPr>
            <w:tcW w:w="794" w:type="dxa"/>
          </w:tcPr>
          <w:p w14:paraId="2BAA448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E13D9D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A97FA8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3739B9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52585D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5D4ED60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315F717" w14:textId="77777777" w:rsidR="004135EE" w:rsidRDefault="004135EE" w:rsidP="008670FF">
            <w:r>
              <w:t>Loans and advances paid</w:t>
            </w:r>
          </w:p>
        </w:tc>
        <w:tc>
          <w:tcPr>
            <w:tcW w:w="794" w:type="dxa"/>
          </w:tcPr>
          <w:p w14:paraId="6CB4E93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230</w:t>
            </w:r>
          </w:p>
        </w:tc>
        <w:tc>
          <w:tcPr>
            <w:tcW w:w="794" w:type="dxa"/>
          </w:tcPr>
          <w:p w14:paraId="73640E9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226</w:t>
            </w:r>
          </w:p>
        </w:tc>
        <w:tc>
          <w:tcPr>
            <w:tcW w:w="794" w:type="dxa"/>
          </w:tcPr>
          <w:p w14:paraId="608FA90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205</w:t>
            </w:r>
          </w:p>
        </w:tc>
        <w:tc>
          <w:tcPr>
            <w:tcW w:w="794" w:type="dxa"/>
          </w:tcPr>
          <w:p w14:paraId="0253DE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194</w:t>
            </w:r>
          </w:p>
        </w:tc>
        <w:tc>
          <w:tcPr>
            <w:tcW w:w="794" w:type="dxa"/>
          </w:tcPr>
          <w:p w14:paraId="66837C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155</w:t>
            </w:r>
          </w:p>
        </w:tc>
      </w:tr>
      <w:tr w:rsidR="004135EE" w14:paraId="1E86CEE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475344A" w14:textId="77777777" w:rsidR="004135EE" w:rsidRDefault="004135EE" w:rsidP="008670FF">
            <w:r>
              <w:t>Equities and managed investment schemes</w:t>
            </w:r>
          </w:p>
        </w:tc>
        <w:tc>
          <w:tcPr>
            <w:tcW w:w="794" w:type="dxa"/>
          </w:tcPr>
          <w:p w14:paraId="0F63D6C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852</w:t>
            </w:r>
          </w:p>
        </w:tc>
        <w:tc>
          <w:tcPr>
            <w:tcW w:w="794" w:type="dxa"/>
          </w:tcPr>
          <w:p w14:paraId="04322B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852</w:t>
            </w:r>
          </w:p>
        </w:tc>
        <w:tc>
          <w:tcPr>
            <w:tcW w:w="794" w:type="dxa"/>
          </w:tcPr>
          <w:p w14:paraId="13B7522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869</w:t>
            </w:r>
          </w:p>
        </w:tc>
        <w:tc>
          <w:tcPr>
            <w:tcW w:w="794" w:type="dxa"/>
          </w:tcPr>
          <w:p w14:paraId="7AD860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885</w:t>
            </w:r>
          </w:p>
        </w:tc>
        <w:tc>
          <w:tcPr>
            <w:tcW w:w="794" w:type="dxa"/>
          </w:tcPr>
          <w:p w14:paraId="5A021F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901</w:t>
            </w:r>
          </w:p>
        </w:tc>
      </w:tr>
      <w:tr w:rsidR="004135EE" w14:paraId="7916267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4BC223A" w14:textId="77777777" w:rsidR="004135EE" w:rsidRDefault="004135EE" w:rsidP="008670FF">
            <w:r>
              <w:t>Australian dollar term deposits</w:t>
            </w:r>
          </w:p>
        </w:tc>
        <w:tc>
          <w:tcPr>
            <w:tcW w:w="794" w:type="dxa"/>
          </w:tcPr>
          <w:p w14:paraId="3079C8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349</w:t>
            </w:r>
          </w:p>
        </w:tc>
        <w:tc>
          <w:tcPr>
            <w:tcW w:w="794" w:type="dxa"/>
          </w:tcPr>
          <w:p w14:paraId="4B0581B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337</w:t>
            </w:r>
          </w:p>
        </w:tc>
        <w:tc>
          <w:tcPr>
            <w:tcW w:w="794" w:type="dxa"/>
          </w:tcPr>
          <w:p w14:paraId="2D4E4A9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339</w:t>
            </w:r>
          </w:p>
        </w:tc>
        <w:tc>
          <w:tcPr>
            <w:tcW w:w="794" w:type="dxa"/>
          </w:tcPr>
          <w:p w14:paraId="2F900E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342</w:t>
            </w:r>
          </w:p>
        </w:tc>
        <w:tc>
          <w:tcPr>
            <w:tcW w:w="794" w:type="dxa"/>
          </w:tcPr>
          <w:p w14:paraId="449090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344</w:t>
            </w:r>
          </w:p>
        </w:tc>
      </w:tr>
      <w:tr w:rsidR="004135EE" w14:paraId="39670FA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1CDF7FF" w14:textId="77777777" w:rsidR="004135EE" w:rsidRDefault="004135EE" w:rsidP="008670FF">
            <w:r>
              <w:t>Debt securities</w:t>
            </w:r>
          </w:p>
        </w:tc>
        <w:tc>
          <w:tcPr>
            <w:tcW w:w="794" w:type="dxa"/>
          </w:tcPr>
          <w:p w14:paraId="35AFD2F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353D4C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0B9BBEB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70F0D94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Pr>
          <w:p w14:paraId="62CBA4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4</w:t>
            </w:r>
          </w:p>
        </w:tc>
      </w:tr>
      <w:tr w:rsidR="004135EE" w14:paraId="0CDB5FE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1D0F67A" w14:textId="77777777" w:rsidR="004135EE" w:rsidRDefault="004135EE" w:rsidP="008670FF">
            <w:r>
              <w:t>Derivative financial instruments</w:t>
            </w:r>
          </w:p>
        </w:tc>
        <w:tc>
          <w:tcPr>
            <w:tcW w:w="794" w:type="dxa"/>
            <w:tcBorders>
              <w:bottom w:val="single" w:sz="6" w:space="0" w:color="auto"/>
            </w:tcBorders>
          </w:tcPr>
          <w:p w14:paraId="088C7A9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1048C0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51FFD6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5EC795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29BB2DD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w:t>
            </w:r>
          </w:p>
        </w:tc>
      </w:tr>
      <w:tr w:rsidR="004135EE" w14:paraId="0906C6E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6FA50D2" w14:textId="77777777" w:rsidR="004135EE" w:rsidRDefault="004135EE" w:rsidP="008670FF">
            <w:r>
              <w:rPr>
                <w:b/>
              </w:rPr>
              <w:t>Total current advances paid and investments, loans and placements</w:t>
            </w:r>
          </w:p>
        </w:tc>
        <w:tc>
          <w:tcPr>
            <w:tcW w:w="794" w:type="dxa"/>
            <w:tcBorders>
              <w:top w:val="single" w:sz="6" w:space="0" w:color="auto"/>
            </w:tcBorders>
          </w:tcPr>
          <w:p w14:paraId="5BFB5B7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1 463</w:t>
            </w:r>
          </w:p>
        </w:tc>
        <w:tc>
          <w:tcPr>
            <w:tcW w:w="794" w:type="dxa"/>
            <w:tcBorders>
              <w:top w:val="single" w:sz="6" w:space="0" w:color="auto"/>
            </w:tcBorders>
          </w:tcPr>
          <w:p w14:paraId="54F0892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1 447</w:t>
            </w:r>
          </w:p>
        </w:tc>
        <w:tc>
          <w:tcPr>
            <w:tcW w:w="794" w:type="dxa"/>
            <w:tcBorders>
              <w:top w:val="single" w:sz="6" w:space="0" w:color="auto"/>
            </w:tcBorders>
          </w:tcPr>
          <w:p w14:paraId="2ACB25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1 422</w:t>
            </w:r>
          </w:p>
        </w:tc>
        <w:tc>
          <w:tcPr>
            <w:tcW w:w="794" w:type="dxa"/>
            <w:tcBorders>
              <w:top w:val="single" w:sz="6" w:space="0" w:color="auto"/>
            </w:tcBorders>
          </w:tcPr>
          <w:p w14:paraId="4E6B0C3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1 429</w:t>
            </w:r>
          </w:p>
        </w:tc>
        <w:tc>
          <w:tcPr>
            <w:tcW w:w="794" w:type="dxa"/>
            <w:tcBorders>
              <w:top w:val="single" w:sz="6" w:space="0" w:color="auto"/>
            </w:tcBorders>
          </w:tcPr>
          <w:p w14:paraId="7BBFD2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1 409</w:t>
            </w:r>
          </w:p>
        </w:tc>
      </w:tr>
      <w:tr w:rsidR="004135EE" w14:paraId="299B540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4089FCB" w14:textId="4D511D4D" w:rsidR="004135EE" w:rsidRDefault="004135EE" w:rsidP="008670FF">
            <w:r>
              <w:rPr>
                <w:b/>
              </w:rPr>
              <w:t>Non</w:t>
            </w:r>
            <w:r>
              <w:rPr>
                <w:b/>
              </w:rPr>
              <w:noBreakHyphen/>
              <w:t xml:space="preserve">current advances paid and investments, </w:t>
            </w:r>
            <w:r w:rsidR="00DC6FF1">
              <w:rPr>
                <w:b/>
              </w:rPr>
              <w:br/>
            </w:r>
            <w:r>
              <w:rPr>
                <w:b/>
              </w:rPr>
              <w:t>loans and placements</w:t>
            </w:r>
          </w:p>
        </w:tc>
        <w:tc>
          <w:tcPr>
            <w:tcW w:w="794" w:type="dxa"/>
          </w:tcPr>
          <w:p w14:paraId="39E72A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462D90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F2E10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542C35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D4CE2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3BF4461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6F425A1" w14:textId="77777777" w:rsidR="004135EE" w:rsidRDefault="004135EE" w:rsidP="008670FF">
            <w:r>
              <w:t>Loans and advances paid</w:t>
            </w:r>
          </w:p>
        </w:tc>
        <w:tc>
          <w:tcPr>
            <w:tcW w:w="794" w:type="dxa"/>
          </w:tcPr>
          <w:p w14:paraId="1F54601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6 112</w:t>
            </w:r>
          </w:p>
        </w:tc>
        <w:tc>
          <w:tcPr>
            <w:tcW w:w="794" w:type="dxa"/>
          </w:tcPr>
          <w:p w14:paraId="02F71A9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6 115</w:t>
            </w:r>
          </w:p>
        </w:tc>
        <w:tc>
          <w:tcPr>
            <w:tcW w:w="794" w:type="dxa"/>
          </w:tcPr>
          <w:p w14:paraId="5CC3CA3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6 143</w:t>
            </w:r>
          </w:p>
        </w:tc>
        <w:tc>
          <w:tcPr>
            <w:tcW w:w="794" w:type="dxa"/>
          </w:tcPr>
          <w:p w14:paraId="5E31F5D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6 173</w:t>
            </w:r>
          </w:p>
        </w:tc>
        <w:tc>
          <w:tcPr>
            <w:tcW w:w="794" w:type="dxa"/>
          </w:tcPr>
          <w:p w14:paraId="3DB09FE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6 205</w:t>
            </w:r>
          </w:p>
        </w:tc>
      </w:tr>
      <w:tr w:rsidR="004135EE" w14:paraId="717FFAF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53228B7" w14:textId="77777777" w:rsidR="004135EE" w:rsidRDefault="004135EE" w:rsidP="008670FF">
            <w:r>
              <w:t>Equities and managed investment schemes</w:t>
            </w:r>
          </w:p>
        </w:tc>
        <w:tc>
          <w:tcPr>
            <w:tcW w:w="794" w:type="dxa"/>
          </w:tcPr>
          <w:p w14:paraId="1050C31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15 141</w:t>
            </w:r>
          </w:p>
        </w:tc>
        <w:tc>
          <w:tcPr>
            <w:tcW w:w="794" w:type="dxa"/>
          </w:tcPr>
          <w:p w14:paraId="0558C4D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15 635</w:t>
            </w:r>
          </w:p>
        </w:tc>
        <w:tc>
          <w:tcPr>
            <w:tcW w:w="794" w:type="dxa"/>
          </w:tcPr>
          <w:p w14:paraId="398509A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16 692</w:t>
            </w:r>
          </w:p>
        </w:tc>
        <w:tc>
          <w:tcPr>
            <w:tcW w:w="794" w:type="dxa"/>
          </w:tcPr>
          <w:p w14:paraId="3FD054C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18 143</w:t>
            </w:r>
          </w:p>
        </w:tc>
        <w:tc>
          <w:tcPr>
            <w:tcW w:w="794" w:type="dxa"/>
          </w:tcPr>
          <w:p w14:paraId="36518C4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19 710</w:t>
            </w:r>
          </w:p>
        </w:tc>
      </w:tr>
      <w:tr w:rsidR="004135EE" w14:paraId="4EDFB88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5CB3715" w14:textId="77777777" w:rsidR="004135EE" w:rsidRDefault="004135EE" w:rsidP="008670FF">
            <w:r>
              <w:t>Australian dollar term deposits</w:t>
            </w:r>
          </w:p>
        </w:tc>
        <w:tc>
          <w:tcPr>
            <w:tcW w:w="794" w:type="dxa"/>
          </w:tcPr>
          <w:p w14:paraId="700D15B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4107F03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8965D7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B8BA97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c>
          <w:tcPr>
            <w:tcW w:w="794" w:type="dxa"/>
          </w:tcPr>
          <w:p w14:paraId="67F220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w:t>
            </w:r>
          </w:p>
        </w:tc>
      </w:tr>
      <w:tr w:rsidR="004135EE" w14:paraId="74D50F0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7B6C4CB" w14:textId="77777777" w:rsidR="004135EE" w:rsidRDefault="004135EE" w:rsidP="008670FF">
            <w:r>
              <w:t>Debt securities</w:t>
            </w:r>
          </w:p>
        </w:tc>
        <w:tc>
          <w:tcPr>
            <w:tcW w:w="794" w:type="dxa"/>
          </w:tcPr>
          <w:p w14:paraId="39A890F7"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12CE18E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079DAF6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475EF4A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20DDB77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21</w:t>
            </w:r>
          </w:p>
        </w:tc>
      </w:tr>
      <w:tr w:rsidR="004135EE" w14:paraId="6F3FF9B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CAF3AFE" w14:textId="77777777" w:rsidR="004135EE" w:rsidRDefault="004135EE" w:rsidP="008670FF">
            <w:r>
              <w:t>Derivative financial instruments</w:t>
            </w:r>
          </w:p>
        </w:tc>
        <w:tc>
          <w:tcPr>
            <w:tcW w:w="794" w:type="dxa"/>
            <w:tcBorders>
              <w:bottom w:val="single" w:sz="6" w:space="0" w:color="auto"/>
            </w:tcBorders>
          </w:tcPr>
          <w:p w14:paraId="5976F10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4309495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564FB0D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4A3F722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Borders>
              <w:bottom w:val="single" w:sz="6" w:space="0" w:color="auto"/>
            </w:tcBorders>
          </w:tcPr>
          <w:p w14:paraId="7F0B4AC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w:t>
            </w:r>
          </w:p>
        </w:tc>
      </w:tr>
      <w:tr w:rsidR="004135EE" w14:paraId="4F5AF6B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45B205F" w14:textId="77777777" w:rsidR="004135EE" w:rsidRDefault="004135EE" w:rsidP="008670FF">
            <w:r>
              <w:rPr>
                <w:b/>
              </w:rPr>
              <w:t>Total non</w:t>
            </w:r>
            <w:r>
              <w:rPr>
                <w:b/>
              </w:rPr>
              <w:noBreakHyphen/>
              <w:t>current advances paid and investments, loans and placements</w:t>
            </w:r>
          </w:p>
        </w:tc>
        <w:tc>
          <w:tcPr>
            <w:tcW w:w="794" w:type="dxa"/>
            <w:tcBorders>
              <w:top w:val="single" w:sz="6" w:space="0" w:color="auto"/>
              <w:bottom w:val="single" w:sz="6" w:space="0" w:color="auto"/>
            </w:tcBorders>
          </w:tcPr>
          <w:p w14:paraId="36F595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21 287</w:t>
            </w:r>
          </w:p>
        </w:tc>
        <w:tc>
          <w:tcPr>
            <w:tcW w:w="794" w:type="dxa"/>
            <w:tcBorders>
              <w:top w:val="single" w:sz="6" w:space="0" w:color="auto"/>
              <w:bottom w:val="single" w:sz="6" w:space="0" w:color="auto"/>
            </w:tcBorders>
          </w:tcPr>
          <w:p w14:paraId="0687A43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21 783</w:t>
            </w:r>
          </w:p>
        </w:tc>
        <w:tc>
          <w:tcPr>
            <w:tcW w:w="794" w:type="dxa"/>
            <w:tcBorders>
              <w:top w:val="single" w:sz="6" w:space="0" w:color="auto"/>
              <w:bottom w:val="single" w:sz="6" w:space="0" w:color="auto"/>
            </w:tcBorders>
          </w:tcPr>
          <w:p w14:paraId="1CB47AC6"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22 867</w:t>
            </w:r>
          </w:p>
        </w:tc>
        <w:tc>
          <w:tcPr>
            <w:tcW w:w="794" w:type="dxa"/>
            <w:tcBorders>
              <w:top w:val="single" w:sz="6" w:space="0" w:color="auto"/>
              <w:bottom w:val="single" w:sz="6" w:space="0" w:color="auto"/>
            </w:tcBorders>
          </w:tcPr>
          <w:p w14:paraId="52D6C3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24 348</w:t>
            </w:r>
          </w:p>
        </w:tc>
        <w:tc>
          <w:tcPr>
            <w:tcW w:w="794" w:type="dxa"/>
            <w:tcBorders>
              <w:top w:val="single" w:sz="6" w:space="0" w:color="auto"/>
              <w:bottom w:val="single" w:sz="6" w:space="0" w:color="auto"/>
            </w:tcBorders>
          </w:tcPr>
          <w:p w14:paraId="1420F4C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25 947</w:t>
            </w:r>
          </w:p>
        </w:tc>
      </w:tr>
      <w:tr w:rsidR="004135EE" w14:paraId="1DA838B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FB8B44E" w14:textId="77777777" w:rsidR="004135EE" w:rsidRDefault="004135EE" w:rsidP="008670FF">
            <w:r>
              <w:rPr>
                <w:b/>
              </w:rPr>
              <w:t>Total advances paid and investments, loans and placements</w:t>
            </w:r>
          </w:p>
        </w:tc>
        <w:tc>
          <w:tcPr>
            <w:tcW w:w="794" w:type="dxa"/>
            <w:tcBorders>
              <w:top w:val="single" w:sz="6" w:space="0" w:color="auto"/>
              <w:bottom w:val="single" w:sz="12" w:space="0" w:color="auto"/>
            </w:tcBorders>
          </w:tcPr>
          <w:p w14:paraId="1BEA1A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22 750</w:t>
            </w:r>
          </w:p>
        </w:tc>
        <w:tc>
          <w:tcPr>
            <w:tcW w:w="794" w:type="dxa"/>
            <w:tcBorders>
              <w:top w:val="single" w:sz="6" w:space="0" w:color="auto"/>
              <w:bottom w:val="single" w:sz="12" w:space="0" w:color="auto"/>
            </w:tcBorders>
          </w:tcPr>
          <w:p w14:paraId="7EF49A5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23 229</w:t>
            </w:r>
          </w:p>
        </w:tc>
        <w:tc>
          <w:tcPr>
            <w:tcW w:w="794" w:type="dxa"/>
            <w:tcBorders>
              <w:top w:val="single" w:sz="6" w:space="0" w:color="auto"/>
              <w:bottom w:val="single" w:sz="12" w:space="0" w:color="auto"/>
            </w:tcBorders>
          </w:tcPr>
          <w:p w14:paraId="08D2C13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24 289</w:t>
            </w:r>
          </w:p>
        </w:tc>
        <w:tc>
          <w:tcPr>
            <w:tcW w:w="794" w:type="dxa"/>
            <w:tcBorders>
              <w:top w:val="single" w:sz="6" w:space="0" w:color="auto"/>
              <w:bottom w:val="single" w:sz="12" w:space="0" w:color="auto"/>
            </w:tcBorders>
          </w:tcPr>
          <w:p w14:paraId="184C514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25 777</w:t>
            </w:r>
          </w:p>
        </w:tc>
        <w:tc>
          <w:tcPr>
            <w:tcW w:w="794" w:type="dxa"/>
            <w:tcBorders>
              <w:top w:val="single" w:sz="6" w:space="0" w:color="auto"/>
              <w:bottom w:val="single" w:sz="12" w:space="0" w:color="auto"/>
            </w:tcBorders>
          </w:tcPr>
          <w:p w14:paraId="42D5C30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27 356</w:t>
            </w:r>
          </w:p>
        </w:tc>
      </w:tr>
      <w:tr w:rsidR="004135EE" w14:paraId="0DEDCBE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9949567" w14:textId="77777777" w:rsidR="004135EE" w:rsidRDefault="004135EE" w:rsidP="008670FF">
            <w:r>
              <w:rPr>
                <w:b/>
              </w:rPr>
              <w:t>Represented by:</w:t>
            </w:r>
          </w:p>
        </w:tc>
        <w:tc>
          <w:tcPr>
            <w:tcW w:w="794" w:type="dxa"/>
            <w:tcBorders>
              <w:top w:val="single" w:sz="6" w:space="0" w:color="auto"/>
            </w:tcBorders>
          </w:tcPr>
          <w:p w14:paraId="343470D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ADA2C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EE11B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CD870B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669A50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p>
        </w:tc>
      </w:tr>
      <w:tr w:rsidR="004135EE" w14:paraId="34A22E8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6B31648" w14:textId="77777777" w:rsidR="004135EE" w:rsidRDefault="004135EE" w:rsidP="008670FF">
            <w:r>
              <w:t>Advances paid</w:t>
            </w:r>
          </w:p>
        </w:tc>
        <w:tc>
          <w:tcPr>
            <w:tcW w:w="794" w:type="dxa"/>
          </w:tcPr>
          <w:p w14:paraId="4F6AB40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6 342</w:t>
            </w:r>
          </w:p>
        </w:tc>
        <w:tc>
          <w:tcPr>
            <w:tcW w:w="794" w:type="dxa"/>
          </w:tcPr>
          <w:p w14:paraId="4B8A462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6 342</w:t>
            </w:r>
          </w:p>
        </w:tc>
        <w:tc>
          <w:tcPr>
            <w:tcW w:w="794" w:type="dxa"/>
          </w:tcPr>
          <w:p w14:paraId="12B1B0B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6 348</w:t>
            </w:r>
          </w:p>
        </w:tc>
        <w:tc>
          <w:tcPr>
            <w:tcW w:w="794" w:type="dxa"/>
          </w:tcPr>
          <w:p w14:paraId="45D61E7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6 366</w:t>
            </w:r>
          </w:p>
        </w:tc>
        <w:tc>
          <w:tcPr>
            <w:tcW w:w="794" w:type="dxa"/>
          </w:tcPr>
          <w:p w14:paraId="425AE8C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6 360</w:t>
            </w:r>
          </w:p>
        </w:tc>
      </w:tr>
      <w:tr w:rsidR="004135EE" w14:paraId="14AF6D6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4CDFEF5F" w14:textId="77777777" w:rsidR="004135EE" w:rsidRDefault="004135EE" w:rsidP="008670FF">
            <w:r>
              <w:t>Investments, loans and placements</w:t>
            </w:r>
          </w:p>
        </w:tc>
        <w:tc>
          <w:tcPr>
            <w:tcW w:w="794" w:type="dxa"/>
            <w:tcBorders>
              <w:bottom w:val="single" w:sz="12" w:space="0" w:color="auto"/>
            </w:tcBorders>
          </w:tcPr>
          <w:p w14:paraId="45EEF2C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16 407</w:t>
            </w:r>
          </w:p>
        </w:tc>
        <w:tc>
          <w:tcPr>
            <w:tcW w:w="794" w:type="dxa"/>
            <w:tcBorders>
              <w:bottom w:val="single" w:sz="12" w:space="0" w:color="auto"/>
            </w:tcBorders>
          </w:tcPr>
          <w:p w14:paraId="7AE5231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16 888</w:t>
            </w:r>
          </w:p>
        </w:tc>
        <w:tc>
          <w:tcPr>
            <w:tcW w:w="794" w:type="dxa"/>
            <w:tcBorders>
              <w:bottom w:val="single" w:sz="12" w:space="0" w:color="auto"/>
            </w:tcBorders>
          </w:tcPr>
          <w:p w14:paraId="437F54C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17 941</w:t>
            </w:r>
          </w:p>
        </w:tc>
        <w:tc>
          <w:tcPr>
            <w:tcW w:w="794" w:type="dxa"/>
            <w:tcBorders>
              <w:bottom w:val="single" w:sz="12" w:space="0" w:color="auto"/>
            </w:tcBorders>
          </w:tcPr>
          <w:p w14:paraId="06E393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19 410</w:t>
            </w:r>
          </w:p>
        </w:tc>
        <w:tc>
          <w:tcPr>
            <w:tcW w:w="794" w:type="dxa"/>
            <w:tcBorders>
              <w:bottom w:val="single" w:sz="12" w:space="0" w:color="auto"/>
            </w:tcBorders>
          </w:tcPr>
          <w:p w14:paraId="63B0E78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20 997</w:t>
            </w:r>
          </w:p>
        </w:tc>
      </w:tr>
    </w:tbl>
    <w:p w14:paraId="2905D5B3" w14:textId="77777777" w:rsidR="004135EE" w:rsidRDefault="004135EE" w:rsidP="004135EE"/>
    <w:p w14:paraId="5FE40B78" w14:textId="77777777" w:rsidR="004135EE" w:rsidRDefault="004135EE" w:rsidP="004135EE"/>
    <w:p w14:paraId="4A98D375" w14:textId="77777777" w:rsidR="004135EE" w:rsidRPr="00867E82" w:rsidRDefault="004135EE" w:rsidP="004135EE">
      <w:pPr>
        <w:pStyle w:val="Heading30"/>
      </w:pPr>
      <w:bookmarkStart w:id="126" w:name="_Toc150443758"/>
      <w:bookmarkStart w:id="127" w:name="_Toc184299211"/>
      <w:r>
        <w:t>4.5.3</w:t>
      </w:r>
      <w:r>
        <w:tab/>
      </w:r>
      <w:r w:rsidRPr="00867E82">
        <w:t>Interest expense</w:t>
      </w:r>
      <w:r w:rsidRPr="00867E82">
        <w:tab/>
        <w:t>($ million)</w:t>
      </w:r>
      <w:bookmarkEnd w:id="126"/>
      <w:bookmarkEnd w:id="127"/>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Interest_expense|MergedHeadingRow:1"/>
      </w:tblPr>
      <w:tblGrid>
        <w:gridCol w:w="3740"/>
        <w:gridCol w:w="794"/>
        <w:gridCol w:w="794"/>
        <w:gridCol w:w="794"/>
        <w:gridCol w:w="794"/>
        <w:gridCol w:w="794"/>
      </w:tblGrid>
      <w:tr w:rsidR="004135EE" w14:paraId="50BC1383"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63F519AD" w14:textId="77777777" w:rsidR="004135EE" w:rsidRDefault="004135EE" w:rsidP="008670FF">
            <w:pPr>
              <w:keepNext/>
            </w:pPr>
          </w:p>
        </w:tc>
        <w:tc>
          <w:tcPr>
            <w:tcW w:w="794" w:type="dxa"/>
          </w:tcPr>
          <w:p w14:paraId="4CE6EA7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51BD0722"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5BC77685"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E1ABDFC"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2F73514"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1889357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A455ADC" w14:textId="77777777" w:rsidR="004135EE" w:rsidRDefault="004135EE" w:rsidP="008670FF">
            <w:r>
              <w:t>Interest on interest bearing liabilities and deposits</w:t>
            </w:r>
          </w:p>
        </w:tc>
        <w:tc>
          <w:tcPr>
            <w:tcW w:w="794" w:type="dxa"/>
          </w:tcPr>
          <w:p w14:paraId="31BB94B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5 740</w:t>
            </w:r>
          </w:p>
        </w:tc>
        <w:tc>
          <w:tcPr>
            <w:tcW w:w="794" w:type="dxa"/>
          </w:tcPr>
          <w:p w14:paraId="0444444A"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5 830</w:t>
            </w:r>
          </w:p>
        </w:tc>
        <w:tc>
          <w:tcPr>
            <w:tcW w:w="794" w:type="dxa"/>
          </w:tcPr>
          <w:p w14:paraId="49FC734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6 639</w:t>
            </w:r>
          </w:p>
        </w:tc>
        <w:tc>
          <w:tcPr>
            <w:tcW w:w="794" w:type="dxa"/>
          </w:tcPr>
          <w:p w14:paraId="74DEF43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7 615</w:t>
            </w:r>
          </w:p>
        </w:tc>
        <w:tc>
          <w:tcPr>
            <w:tcW w:w="794" w:type="dxa"/>
          </w:tcPr>
          <w:p w14:paraId="284C774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8 653</w:t>
            </w:r>
          </w:p>
        </w:tc>
      </w:tr>
      <w:tr w:rsidR="004135EE" w14:paraId="4D24AA9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2D4D911" w14:textId="77777777" w:rsidR="004135EE" w:rsidRDefault="004135EE" w:rsidP="008670FF">
            <w:r>
              <w:t>Interest on lease liabilities</w:t>
            </w:r>
          </w:p>
        </w:tc>
        <w:tc>
          <w:tcPr>
            <w:tcW w:w="794" w:type="dxa"/>
          </w:tcPr>
          <w:p w14:paraId="1A983B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375</w:t>
            </w:r>
          </w:p>
        </w:tc>
        <w:tc>
          <w:tcPr>
            <w:tcW w:w="794" w:type="dxa"/>
          </w:tcPr>
          <w:p w14:paraId="5D3F589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364</w:t>
            </w:r>
          </w:p>
        </w:tc>
        <w:tc>
          <w:tcPr>
            <w:tcW w:w="794" w:type="dxa"/>
          </w:tcPr>
          <w:p w14:paraId="6235CDB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359</w:t>
            </w:r>
          </w:p>
        </w:tc>
        <w:tc>
          <w:tcPr>
            <w:tcW w:w="794" w:type="dxa"/>
          </w:tcPr>
          <w:p w14:paraId="4521451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348</w:t>
            </w:r>
          </w:p>
        </w:tc>
        <w:tc>
          <w:tcPr>
            <w:tcW w:w="794" w:type="dxa"/>
          </w:tcPr>
          <w:p w14:paraId="2865316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333</w:t>
            </w:r>
          </w:p>
        </w:tc>
      </w:tr>
      <w:tr w:rsidR="004135EE" w14:paraId="7BDE943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2B10D7E" w14:textId="77777777" w:rsidR="004135EE" w:rsidRDefault="004135EE" w:rsidP="008670FF">
            <w:r>
              <w:t>Interest on service concession liabilities</w:t>
            </w:r>
          </w:p>
        </w:tc>
        <w:tc>
          <w:tcPr>
            <w:tcW w:w="794" w:type="dxa"/>
          </w:tcPr>
          <w:p w14:paraId="2D5F5B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360</w:t>
            </w:r>
          </w:p>
        </w:tc>
        <w:tc>
          <w:tcPr>
            <w:tcW w:w="794" w:type="dxa"/>
          </w:tcPr>
          <w:p w14:paraId="3E52078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362</w:t>
            </w:r>
          </w:p>
        </w:tc>
        <w:tc>
          <w:tcPr>
            <w:tcW w:w="794" w:type="dxa"/>
          </w:tcPr>
          <w:p w14:paraId="6BF71B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386</w:t>
            </w:r>
          </w:p>
        </w:tc>
        <w:tc>
          <w:tcPr>
            <w:tcW w:w="794" w:type="dxa"/>
          </w:tcPr>
          <w:p w14:paraId="01E077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357</w:t>
            </w:r>
          </w:p>
        </w:tc>
        <w:tc>
          <w:tcPr>
            <w:tcW w:w="794" w:type="dxa"/>
          </w:tcPr>
          <w:p w14:paraId="1B5736D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307</w:t>
            </w:r>
          </w:p>
        </w:tc>
      </w:tr>
      <w:tr w:rsidR="004135EE" w14:paraId="15F9D41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4E80959" w14:textId="77777777" w:rsidR="004135EE" w:rsidRDefault="004135EE" w:rsidP="008670FF">
            <w:r>
              <w:t>Discount interest on payables</w:t>
            </w:r>
          </w:p>
        </w:tc>
        <w:tc>
          <w:tcPr>
            <w:tcW w:w="794" w:type="dxa"/>
            <w:tcBorders>
              <w:bottom w:val="single" w:sz="6" w:space="0" w:color="auto"/>
            </w:tcBorders>
          </w:tcPr>
          <w:p w14:paraId="74BB64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540707A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Borders>
              <w:bottom w:val="single" w:sz="6" w:space="0" w:color="auto"/>
            </w:tcBorders>
          </w:tcPr>
          <w:p w14:paraId="2CBC611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26</w:t>
            </w:r>
          </w:p>
        </w:tc>
        <w:tc>
          <w:tcPr>
            <w:tcW w:w="794" w:type="dxa"/>
            <w:tcBorders>
              <w:bottom w:val="single" w:sz="6" w:space="0" w:color="auto"/>
            </w:tcBorders>
          </w:tcPr>
          <w:p w14:paraId="51E477C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25</w:t>
            </w:r>
          </w:p>
        </w:tc>
        <w:tc>
          <w:tcPr>
            <w:tcW w:w="794" w:type="dxa"/>
            <w:tcBorders>
              <w:bottom w:val="single" w:sz="6" w:space="0" w:color="auto"/>
            </w:tcBorders>
          </w:tcPr>
          <w:p w14:paraId="44D40CB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24</w:t>
            </w:r>
          </w:p>
        </w:tc>
      </w:tr>
      <w:tr w:rsidR="004135EE" w14:paraId="41506F5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C4AC5AF" w14:textId="77777777" w:rsidR="004135EE" w:rsidRDefault="004135EE" w:rsidP="008670FF">
            <w:r>
              <w:rPr>
                <w:b/>
              </w:rPr>
              <w:t>Total interest expense</w:t>
            </w:r>
          </w:p>
        </w:tc>
        <w:tc>
          <w:tcPr>
            <w:tcW w:w="794" w:type="dxa"/>
            <w:tcBorders>
              <w:top w:val="single" w:sz="6" w:space="0" w:color="auto"/>
              <w:bottom w:val="single" w:sz="12" w:space="0" w:color="auto"/>
            </w:tcBorders>
          </w:tcPr>
          <w:p w14:paraId="4B8E950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6 502</w:t>
            </w:r>
          </w:p>
        </w:tc>
        <w:tc>
          <w:tcPr>
            <w:tcW w:w="794" w:type="dxa"/>
            <w:tcBorders>
              <w:top w:val="single" w:sz="6" w:space="0" w:color="auto"/>
              <w:bottom w:val="single" w:sz="12" w:space="0" w:color="auto"/>
            </w:tcBorders>
          </w:tcPr>
          <w:p w14:paraId="37F902B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6 582</w:t>
            </w:r>
          </w:p>
        </w:tc>
        <w:tc>
          <w:tcPr>
            <w:tcW w:w="794" w:type="dxa"/>
            <w:tcBorders>
              <w:top w:val="single" w:sz="6" w:space="0" w:color="auto"/>
              <w:bottom w:val="single" w:sz="12" w:space="0" w:color="auto"/>
            </w:tcBorders>
          </w:tcPr>
          <w:p w14:paraId="66E91A8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7 410</w:t>
            </w:r>
          </w:p>
        </w:tc>
        <w:tc>
          <w:tcPr>
            <w:tcW w:w="794" w:type="dxa"/>
            <w:tcBorders>
              <w:top w:val="single" w:sz="6" w:space="0" w:color="auto"/>
              <w:bottom w:val="single" w:sz="12" w:space="0" w:color="auto"/>
            </w:tcBorders>
          </w:tcPr>
          <w:p w14:paraId="17AB081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8 345</w:t>
            </w:r>
          </w:p>
        </w:tc>
        <w:tc>
          <w:tcPr>
            <w:tcW w:w="794" w:type="dxa"/>
            <w:tcBorders>
              <w:top w:val="single" w:sz="6" w:space="0" w:color="auto"/>
              <w:bottom w:val="single" w:sz="12" w:space="0" w:color="auto"/>
            </w:tcBorders>
          </w:tcPr>
          <w:p w14:paraId="1762B89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9 317</w:t>
            </w:r>
          </w:p>
        </w:tc>
      </w:tr>
    </w:tbl>
    <w:p w14:paraId="45CB56EF" w14:textId="77777777" w:rsidR="004135EE" w:rsidRDefault="004135EE" w:rsidP="004135EE"/>
    <w:bookmarkEnd w:id="122"/>
    <w:p w14:paraId="24D2E6DE" w14:textId="77777777" w:rsidR="004135EE" w:rsidRDefault="004135EE" w:rsidP="004135EE"/>
    <w:p w14:paraId="49EF9688" w14:textId="77777777" w:rsidR="004135EE" w:rsidRDefault="004135EE" w:rsidP="004135EE"/>
    <w:p w14:paraId="076ECEFA" w14:textId="4A294E97" w:rsidR="004135EE" w:rsidRDefault="004135EE" w:rsidP="00916E38">
      <w:pPr>
        <w:pStyle w:val="Heading2"/>
        <w:pageBreakBefore/>
      </w:pPr>
      <w:r w:rsidRPr="008E19A2">
        <w:t>OTHER DISCLOSURES</w:t>
      </w:r>
    </w:p>
    <w:p w14:paraId="69D8F38B" w14:textId="77777777" w:rsidR="00916E38" w:rsidRDefault="00916E38" w:rsidP="004135EE">
      <w:pPr>
        <w:pStyle w:val="Heading30"/>
        <w:sectPr w:rsidR="00916E38" w:rsidSect="00A12B31">
          <w:type w:val="continuous"/>
          <w:pgSz w:w="9979" w:h="14175" w:code="34"/>
          <w:pgMar w:top="1134" w:right="1134" w:bottom="1134" w:left="1134" w:header="624" w:footer="567" w:gutter="0"/>
          <w:cols w:space="708"/>
          <w:docGrid w:linePitch="360"/>
        </w:sectPr>
      </w:pPr>
    </w:p>
    <w:p w14:paraId="4107120E" w14:textId="77777777" w:rsidR="004135EE" w:rsidRDefault="004135EE" w:rsidP="004135EE">
      <w:pPr>
        <w:pStyle w:val="Heading30"/>
      </w:pPr>
      <w:r>
        <w:t>Introduction</w:t>
      </w:r>
    </w:p>
    <w:p w14:paraId="474C76A2" w14:textId="77777777" w:rsidR="004135EE" w:rsidRDefault="004135EE" w:rsidP="004135EE">
      <w:r>
        <w:t>This section includes several additional disclosures that assist with understanding the Estimated Financial Statements.</w:t>
      </w:r>
    </w:p>
    <w:p w14:paraId="6BE9C1ED" w14:textId="77777777" w:rsidR="00916E38" w:rsidRDefault="00916E38" w:rsidP="00916E38">
      <w:pPr>
        <w:pStyle w:val="Heading30"/>
      </w:pPr>
      <w:r>
        <w:br w:type="column"/>
        <w:t>Structure</w:t>
      </w:r>
    </w:p>
    <w:p w14:paraId="59010171" w14:textId="30E5F5C9" w:rsidR="00916E38" w:rsidRDefault="00916E38">
      <w:pPr>
        <w:pStyle w:val="TOC9"/>
        <w:rPr>
          <w:rFonts w:eastAsiaTheme="minorEastAsia"/>
          <w:noProof/>
          <w:kern w:val="2"/>
          <w:sz w:val="24"/>
          <w:szCs w:val="24"/>
          <w:lang w:eastAsia="en-AU"/>
          <w14:ligatures w14:val="standardContextual"/>
        </w:rPr>
      </w:pPr>
      <w:r>
        <w:fldChar w:fldCharType="begin"/>
      </w:r>
      <w:r>
        <w:instrText xml:space="preserve"> TOC \h \z \t "Heading 3,9" \b "Section_4_6" </w:instrText>
      </w:r>
      <w:r>
        <w:fldChar w:fldCharType="separate"/>
      </w:r>
      <w:hyperlink w:anchor="_Toc184299241" w:history="1">
        <w:r w:rsidRPr="00871351">
          <w:rPr>
            <w:rStyle w:val="Hyperlink"/>
            <w:noProof/>
          </w:rPr>
          <w:t>4.6.1</w:t>
        </w:r>
        <w:r>
          <w:rPr>
            <w:rFonts w:eastAsiaTheme="minorEastAsia"/>
            <w:noProof/>
            <w:kern w:val="2"/>
            <w:sz w:val="24"/>
            <w:szCs w:val="24"/>
            <w:lang w:eastAsia="en-AU"/>
            <w14:ligatures w14:val="standardContextual"/>
          </w:rPr>
          <w:tab/>
        </w:r>
        <w:r w:rsidRPr="00871351">
          <w:rPr>
            <w:rStyle w:val="Hyperlink"/>
            <w:noProof/>
          </w:rPr>
          <w:t>Other gains/(losses) from other economic flows</w:t>
        </w:r>
        <w:r>
          <w:rPr>
            <w:noProof/>
            <w:webHidden/>
          </w:rPr>
          <w:tab/>
        </w:r>
        <w:r>
          <w:rPr>
            <w:noProof/>
            <w:webHidden/>
          </w:rPr>
          <w:fldChar w:fldCharType="begin"/>
        </w:r>
        <w:r>
          <w:rPr>
            <w:noProof/>
            <w:webHidden/>
          </w:rPr>
          <w:instrText xml:space="preserve"> PAGEREF _Toc184299241 \h </w:instrText>
        </w:r>
        <w:r>
          <w:rPr>
            <w:noProof/>
            <w:webHidden/>
          </w:rPr>
        </w:r>
        <w:r>
          <w:rPr>
            <w:noProof/>
            <w:webHidden/>
          </w:rPr>
          <w:fldChar w:fldCharType="separate"/>
        </w:r>
        <w:r>
          <w:rPr>
            <w:noProof/>
            <w:webHidden/>
          </w:rPr>
          <w:t>80</w:t>
        </w:r>
        <w:r>
          <w:rPr>
            <w:noProof/>
            <w:webHidden/>
          </w:rPr>
          <w:fldChar w:fldCharType="end"/>
        </w:r>
      </w:hyperlink>
    </w:p>
    <w:p w14:paraId="16A13554" w14:textId="4F4D6700" w:rsidR="00916E38" w:rsidRDefault="00916E38">
      <w:pPr>
        <w:pStyle w:val="TOC9"/>
        <w:rPr>
          <w:rFonts w:eastAsiaTheme="minorEastAsia"/>
          <w:noProof/>
          <w:kern w:val="2"/>
          <w:sz w:val="24"/>
          <w:szCs w:val="24"/>
          <w:lang w:eastAsia="en-AU"/>
          <w14:ligatures w14:val="standardContextual"/>
        </w:rPr>
      </w:pPr>
      <w:hyperlink w:anchor="_Toc184299242" w:history="1">
        <w:r w:rsidRPr="00871351">
          <w:rPr>
            <w:rStyle w:val="Hyperlink"/>
            <w:noProof/>
          </w:rPr>
          <w:t>4.6.2</w:t>
        </w:r>
        <w:r>
          <w:rPr>
            <w:rFonts w:eastAsiaTheme="minorEastAsia"/>
            <w:noProof/>
            <w:kern w:val="2"/>
            <w:sz w:val="24"/>
            <w:szCs w:val="24"/>
            <w:lang w:eastAsia="en-AU"/>
            <w14:ligatures w14:val="standardContextual"/>
          </w:rPr>
          <w:tab/>
        </w:r>
        <w:r w:rsidRPr="00871351">
          <w:rPr>
            <w:rStyle w:val="Hyperlink"/>
            <w:noProof/>
          </w:rPr>
          <w:t>Reconciliation of Government Finance Statistics and Australian Accounting Standards</w:t>
        </w:r>
        <w:r>
          <w:rPr>
            <w:noProof/>
            <w:webHidden/>
          </w:rPr>
          <w:tab/>
        </w:r>
        <w:r>
          <w:rPr>
            <w:noProof/>
            <w:webHidden/>
          </w:rPr>
          <w:fldChar w:fldCharType="begin"/>
        </w:r>
        <w:r>
          <w:rPr>
            <w:noProof/>
            <w:webHidden/>
          </w:rPr>
          <w:instrText xml:space="preserve"> PAGEREF _Toc184299242 \h </w:instrText>
        </w:r>
        <w:r>
          <w:rPr>
            <w:noProof/>
            <w:webHidden/>
          </w:rPr>
        </w:r>
        <w:r>
          <w:rPr>
            <w:noProof/>
            <w:webHidden/>
          </w:rPr>
          <w:fldChar w:fldCharType="separate"/>
        </w:r>
        <w:r>
          <w:rPr>
            <w:noProof/>
            <w:webHidden/>
          </w:rPr>
          <w:t>81</w:t>
        </w:r>
        <w:r>
          <w:rPr>
            <w:noProof/>
            <w:webHidden/>
          </w:rPr>
          <w:fldChar w:fldCharType="end"/>
        </w:r>
      </w:hyperlink>
    </w:p>
    <w:p w14:paraId="418792DC" w14:textId="18B3AB2F" w:rsidR="00916E38" w:rsidRDefault="00916E38">
      <w:pPr>
        <w:pStyle w:val="TOC9"/>
        <w:rPr>
          <w:rFonts w:eastAsiaTheme="minorEastAsia"/>
          <w:noProof/>
          <w:kern w:val="2"/>
          <w:sz w:val="24"/>
          <w:szCs w:val="24"/>
          <w:lang w:eastAsia="en-AU"/>
          <w14:ligatures w14:val="standardContextual"/>
        </w:rPr>
      </w:pPr>
      <w:hyperlink w:anchor="_Toc184299243" w:history="1">
        <w:r w:rsidRPr="00871351">
          <w:rPr>
            <w:rStyle w:val="Hyperlink"/>
            <w:noProof/>
          </w:rPr>
          <w:t>4.6.3</w:t>
        </w:r>
        <w:r>
          <w:rPr>
            <w:rFonts w:eastAsiaTheme="minorEastAsia"/>
            <w:noProof/>
            <w:kern w:val="2"/>
            <w:sz w:val="24"/>
            <w:szCs w:val="24"/>
            <w:lang w:eastAsia="en-AU"/>
            <w14:ligatures w14:val="standardContextual"/>
          </w:rPr>
          <w:tab/>
        </w:r>
        <w:r w:rsidRPr="00871351">
          <w:rPr>
            <w:rStyle w:val="Hyperlink"/>
            <w:noProof/>
          </w:rPr>
          <w:t xml:space="preserve">Prospective accounting and </w:t>
        </w:r>
        <w:r>
          <w:rPr>
            <w:rStyle w:val="Hyperlink"/>
            <w:noProof/>
          </w:rPr>
          <w:br/>
        </w:r>
        <w:r w:rsidRPr="00871351">
          <w:rPr>
            <w:rStyle w:val="Hyperlink"/>
            <w:noProof/>
          </w:rPr>
          <w:t>reporting changes</w:t>
        </w:r>
        <w:r>
          <w:rPr>
            <w:noProof/>
            <w:webHidden/>
          </w:rPr>
          <w:tab/>
        </w:r>
        <w:r>
          <w:rPr>
            <w:noProof/>
            <w:webHidden/>
          </w:rPr>
          <w:fldChar w:fldCharType="begin"/>
        </w:r>
        <w:r>
          <w:rPr>
            <w:noProof/>
            <w:webHidden/>
          </w:rPr>
          <w:instrText xml:space="preserve"> PAGEREF _Toc184299243 \h </w:instrText>
        </w:r>
        <w:r>
          <w:rPr>
            <w:noProof/>
            <w:webHidden/>
          </w:rPr>
        </w:r>
        <w:r>
          <w:rPr>
            <w:noProof/>
            <w:webHidden/>
          </w:rPr>
          <w:fldChar w:fldCharType="separate"/>
        </w:r>
        <w:r>
          <w:rPr>
            <w:noProof/>
            <w:webHidden/>
          </w:rPr>
          <w:t>84</w:t>
        </w:r>
        <w:r>
          <w:rPr>
            <w:noProof/>
            <w:webHidden/>
          </w:rPr>
          <w:fldChar w:fldCharType="end"/>
        </w:r>
      </w:hyperlink>
    </w:p>
    <w:p w14:paraId="0919D65F" w14:textId="01112209" w:rsidR="00916E38" w:rsidRDefault="00916E38">
      <w:pPr>
        <w:pStyle w:val="TOC9"/>
        <w:rPr>
          <w:rFonts w:eastAsiaTheme="minorEastAsia"/>
          <w:noProof/>
          <w:kern w:val="2"/>
          <w:sz w:val="24"/>
          <w:szCs w:val="24"/>
          <w:lang w:eastAsia="en-AU"/>
          <w14:ligatures w14:val="standardContextual"/>
        </w:rPr>
      </w:pPr>
      <w:hyperlink w:anchor="_Toc184299244" w:history="1">
        <w:r w:rsidRPr="00871351">
          <w:rPr>
            <w:rStyle w:val="Hyperlink"/>
            <w:noProof/>
          </w:rPr>
          <w:t>4.6.4</w:t>
        </w:r>
        <w:r>
          <w:rPr>
            <w:rFonts w:eastAsiaTheme="minorEastAsia"/>
            <w:noProof/>
            <w:kern w:val="2"/>
            <w:sz w:val="24"/>
            <w:szCs w:val="24"/>
            <w:lang w:eastAsia="en-AU"/>
            <w14:ligatures w14:val="standardContextual"/>
          </w:rPr>
          <w:tab/>
        </w:r>
        <w:r w:rsidRPr="00871351">
          <w:rPr>
            <w:rStyle w:val="Hyperlink"/>
            <w:noProof/>
          </w:rPr>
          <w:t>Controlled entities</w:t>
        </w:r>
        <w:r>
          <w:rPr>
            <w:noProof/>
            <w:webHidden/>
          </w:rPr>
          <w:tab/>
        </w:r>
        <w:r>
          <w:rPr>
            <w:noProof/>
            <w:webHidden/>
          </w:rPr>
          <w:fldChar w:fldCharType="begin"/>
        </w:r>
        <w:r>
          <w:rPr>
            <w:noProof/>
            <w:webHidden/>
          </w:rPr>
          <w:instrText xml:space="preserve"> PAGEREF _Toc184299244 \h </w:instrText>
        </w:r>
        <w:r>
          <w:rPr>
            <w:noProof/>
            <w:webHidden/>
          </w:rPr>
        </w:r>
        <w:r>
          <w:rPr>
            <w:noProof/>
            <w:webHidden/>
          </w:rPr>
          <w:fldChar w:fldCharType="separate"/>
        </w:r>
        <w:r>
          <w:rPr>
            <w:noProof/>
            <w:webHidden/>
          </w:rPr>
          <w:t>85</w:t>
        </w:r>
        <w:r>
          <w:rPr>
            <w:noProof/>
            <w:webHidden/>
          </w:rPr>
          <w:fldChar w:fldCharType="end"/>
        </w:r>
      </w:hyperlink>
    </w:p>
    <w:p w14:paraId="04681161" w14:textId="3F41A2D3" w:rsidR="00916E38" w:rsidRDefault="00916E38" w:rsidP="00916E38">
      <w:r>
        <w:fldChar w:fldCharType="end"/>
      </w:r>
    </w:p>
    <w:p w14:paraId="43040B4A" w14:textId="276F5868" w:rsidR="00916E38" w:rsidRDefault="00916E38" w:rsidP="004135EE">
      <w:pPr>
        <w:sectPr w:rsidR="00916E38" w:rsidSect="00916E38">
          <w:type w:val="continuous"/>
          <w:pgSz w:w="9979" w:h="14175" w:code="34"/>
          <w:pgMar w:top="1134" w:right="1134" w:bottom="1134" w:left="1134" w:header="624" w:footer="567" w:gutter="0"/>
          <w:cols w:num="2" w:space="708"/>
          <w:docGrid w:linePitch="360"/>
        </w:sectPr>
      </w:pPr>
    </w:p>
    <w:p w14:paraId="5B6FECA2" w14:textId="77777777" w:rsidR="004135EE" w:rsidRDefault="004135EE" w:rsidP="004135EE"/>
    <w:p w14:paraId="6FD5DD23" w14:textId="77777777" w:rsidR="004135EE" w:rsidRPr="00CF76E8" w:rsidRDefault="004135EE" w:rsidP="004135EE">
      <w:pPr>
        <w:pStyle w:val="Heading30"/>
      </w:pPr>
      <w:bookmarkStart w:id="128" w:name="_Toc149221097"/>
      <w:bookmarkStart w:id="129" w:name="_Toc184299241"/>
      <w:bookmarkStart w:id="130" w:name="Section_4_6"/>
      <w:r>
        <w:t>4.6.1</w:t>
      </w:r>
      <w:r>
        <w:tab/>
      </w:r>
      <w:r w:rsidRPr="00CF76E8">
        <w:t>Other gains/(losses) from other economic flows</w:t>
      </w:r>
      <w:r w:rsidRPr="00CF76E8">
        <w:tab/>
        <w:t>($ million)</w:t>
      </w:r>
      <w:bookmarkEnd w:id="128"/>
      <w:bookmarkEnd w:id="129"/>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EFS_OS.xlsx|Table:Other_economic_flows|MergedHeadingRow:1"/>
      </w:tblPr>
      <w:tblGrid>
        <w:gridCol w:w="3864"/>
        <w:gridCol w:w="769"/>
        <w:gridCol w:w="769"/>
        <w:gridCol w:w="769"/>
        <w:gridCol w:w="769"/>
        <w:gridCol w:w="770"/>
      </w:tblGrid>
      <w:tr w:rsidR="004135EE" w14:paraId="0014CBD6"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4" w:type="dxa"/>
          </w:tcPr>
          <w:p w14:paraId="7A918332" w14:textId="77777777" w:rsidR="004135EE" w:rsidRDefault="004135EE" w:rsidP="008670FF">
            <w:pPr>
              <w:keepNext/>
            </w:pPr>
          </w:p>
        </w:tc>
        <w:tc>
          <w:tcPr>
            <w:tcW w:w="769" w:type="dxa"/>
          </w:tcPr>
          <w:p w14:paraId="3B62FC31"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69" w:type="dxa"/>
          </w:tcPr>
          <w:p w14:paraId="5F71B459"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69" w:type="dxa"/>
          </w:tcPr>
          <w:p w14:paraId="28209E4A"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69" w:type="dxa"/>
          </w:tcPr>
          <w:p w14:paraId="06653C33"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70" w:type="dxa"/>
          </w:tcPr>
          <w:p w14:paraId="74C336A8" w14:textId="77777777" w:rsidR="004135EE" w:rsidRDefault="004135EE"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4135EE" w14:paraId="3F19ECE7" w14:textId="77777777" w:rsidTr="008670FF">
        <w:tc>
          <w:tcPr>
            <w:cnfStyle w:val="001000000000" w:firstRow="0" w:lastRow="0" w:firstColumn="1" w:lastColumn="0" w:oddVBand="0" w:evenVBand="0" w:oddHBand="0" w:evenHBand="0" w:firstRowFirstColumn="0" w:firstRowLastColumn="0" w:lastRowFirstColumn="0" w:lastRowLastColumn="0"/>
            <w:tcW w:w="3864" w:type="dxa"/>
          </w:tcPr>
          <w:p w14:paraId="38DC8D83" w14:textId="77777777" w:rsidR="004135EE" w:rsidRDefault="004135EE" w:rsidP="008670FF">
            <w:r>
              <w:t>Net (increase)/decrease in allowances for credit losses</w:t>
            </w:r>
          </w:p>
        </w:tc>
        <w:tc>
          <w:tcPr>
            <w:tcW w:w="769" w:type="dxa"/>
          </w:tcPr>
          <w:p w14:paraId="002D99F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(94)</w:t>
            </w:r>
          </w:p>
        </w:tc>
        <w:tc>
          <w:tcPr>
            <w:tcW w:w="769" w:type="dxa"/>
          </w:tcPr>
          <w:p w14:paraId="70790CE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(92)</w:t>
            </w:r>
          </w:p>
        </w:tc>
        <w:tc>
          <w:tcPr>
            <w:tcW w:w="769" w:type="dxa"/>
          </w:tcPr>
          <w:p w14:paraId="6EF1924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(89)</w:t>
            </w:r>
          </w:p>
        </w:tc>
        <w:tc>
          <w:tcPr>
            <w:tcW w:w="769" w:type="dxa"/>
          </w:tcPr>
          <w:p w14:paraId="448670A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w:t>
            </w:r>
          </w:p>
        </w:tc>
        <w:tc>
          <w:tcPr>
            <w:tcW w:w="770" w:type="dxa"/>
          </w:tcPr>
          <w:p w14:paraId="749CD16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(14)</w:t>
            </w:r>
          </w:p>
        </w:tc>
      </w:tr>
      <w:tr w:rsidR="004135EE" w14:paraId="43E592F9" w14:textId="77777777" w:rsidTr="008670FF">
        <w:tc>
          <w:tcPr>
            <w:cnfStyle w:val="001000000000" w:firstRow="0" w:lastRow="0" w:firstColumn="1" w:lastColumn="0" w:oddVBand="0" w:evenVBand="0" w:oddHBand="0" w:evenHBand="0" w:firstRowFirstColumn="0" w:firstRowLastColumn="0" w:lastRowFirstColumn="0" w:lastRowLastColumn="0"/>
            <w:tcW w:w="3864" w:type="dxa"/>
          </w:tcPr>
          <w:p w14:paraId="60A23242" w14:textId="77777777" w:rsidR="004135EE" w:rsidRDefault="004135EE" w:rsidP="008670FF">
            <w:r>
              <w:t>Amortisation of intangible non</w:t>
            </w:r>
            <w:r>
              <w:noBreakHyphen/>
              <w:t>produced assets</w:t>
            </w:r>
          </w:p>
        </w:tc>
        <w:tc>
          <w:tcPr>
            <w:tcW w:w="769" w:type="dxa"/>
          </w:tcPr>
          <w:p w14:paraId="496EEDB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(7)</w:t>
            </w:r>
          </w:p>
        </w:tc>
        <w:tc>
          <w:tcPr>
            <w:tcW w:w="769" w:type="dxa"/>
          </w:tcPr>
          <w:p w14:paraId="3FA3246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69" w:type="dxa"/>
          </w:tcPr>
          <w:p w14:paraId="70B78A55"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69" w:type="dxa"/>
          </w:tcPr>
          <w:p w14:paraId="4C42CAB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c>
          <w:tcPr>
            <w:tcW w:w="770" w:type="dxa"/>
          </w:tcPr>
          <w:p w14:paraId="39671D8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(1)</w:t>
            </w:r>
          </w:p>
        </w:tc>
      </w:tr>
      <w:tr w:rsidR="004135EE" w14:paraId="30B45E6B" w14:textId="77777777" w:rsidTr="008670FF">
        <w:tc>
          <w:tcPr>
            <w:cnfStyle w:val="001000000000" w:firstRow="0" w:lastRow="0" w:firstColumn="1" w:lastColumn="0" w:oddVBand="0" w:evenVBand="0" w:oddHBand="0" w:evenHBand="0" w:firstRowFirstColumn="0" w:firstRowLastColumn="0" w:lastRowFirstColumn="0" w:lastRowLastColumn="0"/>
            <w:tcW w:w="3864" w:type="dxa"/>
          </w:tcPr>
          <w:p w14:paraId="594431BF" w14:textId="77777777" w:rsidR="004135EE" w:rsidRDefault="004135EE" w:rsidP="008670FF">
            <w:r>
              <w:t>Bad debts written off</w:t>
            </w:r>
          </w:p>
        </w:tc>
        <w:tc>
          <w:tcPr>
            <w:tcW w:w="769" w:type="dxa"/>
          </w:tcPr>
          <w:p w14:paraId="28355DAE"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(320)</w:t>
            </w:r>
          </w:p>
        </w:tc>
        <w:tc>
          <w:tcPr>
            <w:tcW w:w="769" w:type="dxa"/>
          </w:tcPr>
          <w:p w14:paraId="2257A844"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(321)</w:t>
            </w:r>
          </w:p>
        </w:tc>
        <w:tc>
          <w:tcPr>
            <w:tcW w:w="769" w:type="dxa"/>
          </w:tcPr>
          <w:p w14:paraId="17DEFA3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(287)</w:t>
            </w:r>
          </w:p>
        </w:tc>
        <w:tc>
          <w:tcPr>
            <w:tcW w:w="769" w:type="dxa"/>
          </w:tcPr>
          <w:p w14:paraId="6030FA32"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(390)</w:t>
            </w:r>
          </w:p>
        </w:tc>
        <w:tc>
          <w:tcPr>
            <w:tcW w:w="770" w:type="dxa"/>
          </w:tcPr>
          <w:p w14:paraId="51FB4C8B"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(362)</w:t>
            </w:r>
          </w:p>
        </w:tc>
      </w:tr>
      <w:tr w:rsidR="004135EE" w14:paraId="0113D7DC" w14:textId="77777777" w:rsidTr="008670FF">
        <w:tc>
          <w:tcPr>
            <w:cnfStyle w:val="001000000000" w:firstRow="0" w:lastRow="0" w:firstColumn="1" w:lastColumn="0" w:oddVBand="0" w:evenVBand="0" w:oddHBand="0" w:evenHBand="0" w:firstRowFirstColumn="0" w:firstRowLastColumn="0" w:lastRowFirstColumn="0" w:lastRowLastColumn="0"/>
            <w:tcW w:w="3864" w:type="dxa"/>
            <w:tcBorders>
              <w:bottom w:val="single" w:sz="6" w:space="0" w:color="auto"/>
            </w:tcBorders>
          </w:tcPr>
          <w:p w14:paraId="1296F442" w14:textId="77777777" w:rsidR="004135EE" w:rsidRDefault="004135EE" w:rsidP="008670FF">
            <w:r>
              <w:t>Other gains/(losses)</w:t>
            </w:r>
          </w:p>
        </w:tc>
        <w:tc>
          <w:tcPr>
            <w:tcW w:w="769" w:type="dxa"/>
            <w:tcBorders>
              <w:bottom w:val="single" w:sz="6" w:space="0" w:color="auto"/>
            </w:tcBorders>
          </w:tcPr>
          <w:p w14:paraId="44254318"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(38)</w:t>
            </w:r>
          </w:p>
        </w:tc>
        <w:tc>
          <w:tcPr>
            <w:tcW w:w="769" w:type="dxa"/>
            <w:tcBorders>
              <w:bottom w:val="single" w:sz="6" w:space="0" w:color="auto"/>
            </w:tcBorders>
          </w:tcPr>
          <w:p w14:paraId="648BD59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(38)</w:t>
            </w:r>
          </w:p>
        </w:tc>
        <w:tc>
          <w:tcPr>
            <w:tcW w:w="769" w:type="dxa"/>
            <w:tcBorders>
              <w:bottom w:val="single" w:sz="6" w:space="0" w:color="auto"/>
            </w:tcBorders>
          </w:tcPr>
          <w:p w14:paraId="638F0FCC"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(35)</w:t>
            </w:r>
          </w:p>
        </w:tc>
        <w:tc>
          <w:tcPr>
            <w:tcW w:w="769" w:type="dxa"/>
            <w:tcBorders>
              <w:bottom w:val="single" w:sz="6" w:space="0" w:color="auto"/>
            </w:tcBorders>
          </w:tcPr>
          <w:p w14:paraId="025DF98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(65)</w:t>
            </w:r>
          </w:p>
        </w:tc>
        <w:tc>
          <w:tcPr>
            <w:tcW w:w="770" w:type="dxa"/>
            <w:tcBorders>
              <w:bottom w:val="single" w:sz="6" w:space="0" w:color="auto"/>
            </w:tcBorders>
          </w:tcPr>
          <w:p w14:paraId="6A3B5409"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t>(22)</w:t>
            </w:r>
          </w:p>
        </w:tc>
      </w:tr>
      <w:tr w:rsidR="004135EE" w14:paraId="4F16DBB6" w14:textId="77777777" w:rsidTr="008670FF">
        <w:tc>
          <w:tcPr>
            <w:cnfStyle w:val="001000000000" w:firstRow="0" w:lastRow="0" w:firstColumn="1" w:lastColumn="0" w:oddVBand="0" w:evenVBand="0" w:oddHBand="0" w:evenHBand="0" w:firstRowFirstColumn="0" w:firstRowLastColumn="0" w:lastRowFirstColumn="0" w:lastRowLastColumn="0"/>
            <w:tcW w:w="3864" w:type="dxa"/>
            <w:tcBorders>
              <w:top w:val="single" w:sz="6" w:space="0" w:color="auto"/>
              <w:bottom w:val="single" w:sz="12" w:space="0" w:color="auto"/>
            </w:tcBorders>
          </w:tcPr>
          <w:p w14:paraId="714CBD54" w14:textId="77777777" w:rsidR="004135EE" w:rsidRDefault="004135EE" w:rsidP="008670FF">
            <w:r>
              <w:rPr>
                <w:b/>
              </w:rPr>
              <w:t>Total other gains/(losses) from other economic flows</w:t>
            </w:r>
          </w:p>
        </w:tc>
        <w:tc>
          <w:tcPr>
            <w:tcW w:w="769" w:type="dxa"/>
            <w:tcBorders>
              <w:top w:val="single" w:sz="6" w:space="0" w:color="auto"/>
              <w:bottom w:val="single" w:sz="12" w:space="0" w:color="auto"/>
            </w:tcBorders>
          </w:tcPr>
          <w:p w14:paraId="28083861"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(459)</w:t>
            </w:r>
          </w:p>
        </w:tc>
        <w:tc>
          <w:tcPr>
            <w:tcW w:w="769" w:type="dxa"/>
            <w:tcBorders>
              <w:top w:val="single" w:sz="6" w:space="0" w:color="auto"/>
              <w:bottom w:val="single" w:sz="12" w:space="0" w:color="auto"/>
            </w:tcBorders>
          </w:tcPr>
          <w:p w14:paraId="5E679FCD"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(452)</w:t>
            </w:r>
          </w:p>
        </w:tc>
        <w:tc>
          <w:tcPr>
            <w:tcW w:w="769" w:type="dxa"/>
            <w:tcBorders>
              <w:top w:val="single" w:sz="6" w:space="0" w:color="auto"/>
              <w:bottom w:val="single" w:sz="12" w:space="0" w:color="auto"/>
            </w:tcBorders>
          </w:tcPr>
          <w:p w14:paraId="486A6F03"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(411)</w:t>
            </w:r>
          </w:p>
        </w:tc>
        <w:tc>
          <w:tcPr>
            <w:tcW w:w="769" w:type="dxa"/>
            <w:tcBorders>
              <w:top w:val="single" w:sz="6" w:space="0" w:color="auto"/>
              <w:bottom w:val="single" w:sz="12" w:space="0" w:color="auto"/>
            </w:tcBorders>
          </w:tcPr>
          <w:p w14:paraId="3631A360"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(441)</w:t>
            </w:r>
          </w:p>
        </w:tc>
        <w:tc>
          <w:tcPr>
            <w:tcW w:w="770" w:type="dxa"/>
            <w:tcBorders>
              <w:top w:val="single" w:sz="6" w:space="0" w:color="auto"/>
              <w:bottom w:val="single" w:sz="12" w:space="0" w:color="auto"/>
            </w:tcBorders>
          </w:tcPr>
          <w:p w14:paraId="2955792F" w14:textId="77777777" w:rsidR="004135EE" w:rsidRDefault="004135EE" w:rsidP="008670FF">
            <w:pPr>
              <w:cnfStyle w:val="000000000000" w:firstRow="0" w:lastRow="0" w:firstColumn="0" w:lastColumn="0" w:oddVBand="0" w:evenVBand="0" w:oddHBand="0" w:evenHBand="0" w:firstRowFirstColumn="0" w:firstRowLastColumn="0" w:lastRowFirstColumn="0" w:lastRowLastColumn="0"/>
            </w:pPr>
            <w:r>
              <w:rPr>
                <w:b/>
              </w:rPr>
              <w:t>(399)</w:t>
            </w:r>
          </w:p>
        </w:tc>
      </w:tr>
    </w:tbl>
    <w:p w14:paraId="3AF7B494" w14:textId="77777777" w:rsidR="004135EE" w:rsidRDefault="004135EE" w:rsidP="004135EE"/>
    <w:p w14:paraId="6A6B268C" w14:textId="77777777" w:rsidR="005C5C20" w:rsidRDefault="005C5C20">
      <w:pPr>
        <w:keepLines w:val="0"/>
        <w:rPr>
          <w:rFonts w:asciiTheme="majorHAnsi" w:eastAsiaTheme="majorEastAsia" w:hAnsiTheme="majorHAnsi" w:cstheme="majorBidi"/>
          <w:b/>
          <w:szCs w:val="24"/>
        </w:rPr>
      </w:pPr>
      <w:bookmarkStart w:id="131" w:name="_Toc496606683"/>
      <w:bookmarkStart w:id="132" w:name="_Toc149221098"/>
      <w:r>
        <w:br w:type="page"/>
      </w:r>
    </w:p>
    <w:p w14:paraId="4BD754FA" w14:textId="3AB5C59F" w:rsidR="004135EE" w:rsidRPr="00E43D00" w:rsidRDefault="004135EE" w:rsidP="004135EE">
      <w:pPr>
        <w:pStyle w:val="Heading30"/>
        <w:rPr>
          <w:b w:val="0"/>
          <w:i/>
        </w:rPr>
      </w:pPr>
      <w:bookmarkStart w:id="133" w:name="_Toc184299242"/>
      <w:r w:rsidRPr="00E43D00">
        <w:t>4.6.2</w:t>
      </w:r>
      <w:r w:rsidRPr="00E43D00">
        <w:tab/>
        <w:t>Reconciliation of Government Finance Statistics and Australian Accounting Standards</w:t>
      </w:r>
      <w:bookmarkEnd w:id="131"/>
      <w:bookmarkEnd w:id="132"/>
      <w:bookmarkEnd w:id="133"/>
    </w:p>
    <w:p w14:paraId="1EE3D20A" w14:textId="77777777" w:rsidR="004135EE" w:rsidRDefault="004135EE" w:rsidP="004135EE">
      <w:r>
        <w:t>The estimated financial statements</w:t>
      </w:r>
      <w:r w:rsidRPr="00563C12">
        <w:t xml:space="preserve"> </w:t>
      </w:r>
      <w:r>
        <w:t xml:space="preserve">have </w:t>
      </w:r>
      <w:r w:rsidRPr="00563C12">
        <w:t>been prepared on the basis of relevant AAS</w:t>
      </w:r>
      <w:r>
        <w:t>s</w:t>
      </w:r>
      <w:r w:rsidRPr="00563C12">
        <w:t>. This note outlines the key converge</w:t>
      </w:r>
      <w:r>
        <w:t>nce</w:t>
      </w:r>
      <w:r w:rsidRPr="00563C12">
        <w:t xml:space="preserve"> differences between the AAS and GFS reporting frameworks, to explain the relationship between the balances and aggregates presented in this financial report and the related balances and aggregates presented under the GFS reporting framework. </w:t>
      </w:r>
    </w:p>
    <w:p w14:paraId="24FD8D98" w14:textId="77777777" w:rsidR="004135EE" w:rsidRDefault="004135EE" w:rsidP="004135EE">
      <w:r>
        <w:t>GFS information enables policymakers and analysts to study developments in the financial operations, financial position and liquidity situation of governments based on consistent economic reporting rules and definitions.</w:t>
      </w:r>
    </w:p>
    <w:p w14:paraId="2E2DD065" w14:textId="77777777" w:rsidR="004135EE" w:rsidRDefault="004135EE" w:rsidP="004135EE">
      <w:r>
        <w:t xml:space="preserve">AASB 1049 provides optional relief from the disclosure of reconciliations of key fiscal aggregates measured in accordance with the GFS where they differ from the key fiscal aggregates provided pursuant to this accounting standard. </w:t>
      </w:r>
    </w:p>
    <w:p w14:paraId="2EA073CE" w14:textId="77777777" w:rsidR="004135EE" w:rsidRDefault="004135EE" w:rsidP="004135EE">
      <w:r>
        <w:t xml:space="preserve">The State has adopted the optional relief, which requires an explanation of how each of the key fiscal aggregates required by AASB 1049 are calculated and how it differs from the corresponding key fiscal aggregate measured in accordance with the ABS GFS. </w:t>
      </w:r>
    </w:p>
    <w:p w14:paraId="5C8779C1" w14:textId="77777777" w:rsidR="004135EE" w:rsidRDefault="004135EE" w:rsidP="004135EE">
      <w:r>
        <w:t>The key fiscal aggregates below, as defined by AASB 1049, have convergence differences with the GFS:</w:t>
      </w:r>
    </w:p>
    <w:p w14:paraId="5456CBBC" w14:textId="77777777" w:rsidR="004135EE" w:rsidRDefault="004135EE" w:rsidP="005C5C20">
      <w:pPr>
        <w:pStyle w:val="ListBullet"/>
      </w:pPr>
      <w:r w:rsidRPr="00EF7CCE">
        <w:rPr>
          <w:b/>
          <w:bCs/>
        </w:rPr>
        <w:t>Cash surplus/deficit</w:t>
      </w:r>
      <w:r>
        <w:t xml:space="preserve"> represents the net cash flows from operating activities plus the net cash flows from investments in non</w:t>
      </w:r>
      <w:r>
        <w:noBreakHyphen/>
        <w:t>financial assets (less dividends paid only for the PNFC and PFC sectors).</w:t>
      </w:r>
    </w:p>
    <w:p w14:paraId="20D2D758" w14:textId="77777777" w:rsidR="004135EE" w:rsidRDefault="004135EE" w:rsidP="005C5C20">
      <w:pPr>
        <w:pStyle w:val="ListBullet"/>
      </w:pPr>
      <w:r w:rsidRPr="00EF7CCE">
        <w:rPr>
          <w:b/>
          <w:bCs/>
        </w:rPr>
        <w:t>Comprehensive result – total change in net worth</w:t>
      </w:r>
      <w:r>
        <w:t xml:space="preserve"> is the amount included in the operating statement representing the total change in net worth other than transactions with owners as owners.</w:t>
      </w:r>
    </w:p>
    <w:p w14:paraId="539C21F6" w14:textId="77777777" w:rsidR="004135EE" w:rsidRDefault="004135EE" w:rsidP="005C5C20">
      <w:pPr>
        <w:pStyle w:val="ListBullet"/>
      </w:pPr>
      <w:r w:rsidRPr="00EF7CCE">
        <w:rPr>
          <w:b/>
          <w:bCs/>
        </w:rPr>
        <w:t>Net lending/borrowing</w:t>
      </w:r>
      <w:r>
        <w:t xml:space="preserve"> is the financing requirement of government, calculated as the net operating balance less the net acquisition of non</w:t>
      </w:r>
      <w:r>
        <w:noBreakHyphen/>
        <w:t>financial assets. It also equals transactions in financial assets less transactions in liabilities. A positive result reflects a net lending position and a negative result reflects a net borrowing position.</w:t>
      </w:r>
    </w:p>
    <w:p w14:paraId="27CFAFCA" w14:textId="77777777" w:rsidR="004135EE" w:rsidRDefault="004135EE" w:rsidP="005C5C20">
      <w:pPr>
        <w:pStyle w:val="ListBullet"/>
      </w:pPr>
      <w:r w:rsidRPr="00EF7CCE">
        <w:rPr>
          <w:b/>
          <w:bCs/>
        </w:rPr>
        <w:t>Net result from transactions – net operating balance</w:t>
      </w:r>
      <w:r>
        <w:t xml:space="preserve">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65978E8E" w14:textId="77777777" w:rsidR="004135EE" w:rsidRDefault="004135EE" w:rsidP="005C5C20">
      <w:pPr>
        <w:pStyle w:val="ListBullet"/>
      </w:pPr>
      <w:r w:rsidRPr="00EF7CCE">
        <w:rPr>
          <w:b/>
          <w:bCs/>
        </w:rPr>
        <w:t>Net worth</w:t>
      </w:r>
      <w:r>
        <w:t xml:space="preserve"> is calculated as assets less liabilities, which is an economic measure of wealth.</w:t>
      </w:r>
    </w:p>
    <w:p w14:paraId="0244C3F1" w14:textId="77777777" w:rsidR="004135EE" w:rsidRDefault="004135EE" w:rsidP="004135EE"/>
    <w:p w14:paraId="01DB9EE4" w14:textId="77777777" w:rsidR="005C5C20" w:rsidRDefault="005C5C20">
      <w:pPr>
        <w:keepLines w:val="0"/>
      </w:pPr>
      <w:r>
        <w:br w:type="page"/>
      </w:r>
    </w:p>
    <w:p w14:paraId="231DACAD" w14:textId="2BB2B522" w:rsidR="004135EE" w:rsidRDefault="004135EE" w:rsidP="004135EE">
      <w:pPr>
        <w:spacing w:after="120"/>
      </w:pPr>
      <w:r>
        <w:t>The convergence differences between AASB 1049 and the GFS and their expected impacts applying GFS methodology are outlined in the following table.</w:t>
      </w:r>
    </w:p>
    <w:tbl>
      <w:tblPr>
        <w:tblStyle w:val="DTFTableText"/>
        <w:tblW w:w="0" w:type="auto"/>
        <w:tblLayout w:type="fixed"/>
        <w:tblLook w:val="0620" w:firstRow="1" w:lastRow="0" w:firstColumn="0" w:lastColumn="0" w:noHBand="1" w:noVBand="1"/>
      </w:tblPr>
      <w:tblGrid>
        <w:gridCol w:w="1170"/>
        <w:gridCol w:w="2070"/>
        <w:gridCol w:w="2005"/>
        <w:gridCol w:w="2466"/>
      </w:tblGrid>
      <w:tr w:rsidR="004135EE" w:rsidRPr="005C5C20" w14:paraId="204020F0" w14:textId="77777777" w:rsidTr="005C5C20">
        <w:trPr>
          <w:cnfStyle w:val="100000000000" w:firstRow="1" w:lastRow="0" w:firstColumn="0" w:lastColumn="0" w:oddVBand="0" w:evenVBand="0" w:oddHBand="0" w:evenHBand="0" w:firstRowFirstColumn="0" w:firstRowLastColumn="0" w:lastRowFirstColumn="0" w:lastRowLastColumn="0"/>
          <w:tblHeader/>
        </w:trPr>
        <w:tc>
          <w:tcPr>
            <w:tcW w:w="1170" w:type="dxa"/>
          </w:tcPr>
          <w:p w14:paraId="44761E33" w14:textId="77777777" w:rsidR="004135EE" w:rsidRPr="005C5C20" w:rsidRDefault="004135EE" w:rsidP="008670FF">
            <w:pPr>
              <w:rPr>
                <w:sz w:val="18"/>
                <w:szCs w:val="18"/>
              </w:rPr>
            </w:pPr>
            <w:r w:rsidRPr="005C5C20">
              <w:rPr>
                <w:sz w:val="18"/>
                <w:szCs w:val="18"/>
              </w:rPr>
              <w:t>Convergence difference</w:t>
            </w:r>
          </w:p>
        </w:tc>
        <w:tc>
          <w:tcPr>
            <w:tcW w:w="2070" w:type="dxa"/>
          </w:tcPr>
          <w:p w14:paraId="02716199" w14:textId="77777777" w:rsidR="004135EE" w:rsidRPr="005C5C20" w:rsidRDefault="004135EE" w:rsidP="008670FF">
            <w:pPr>
              <w:rPr>
                <w:sz w:val="18"/>
                <w:szCs w:val="18"/>
              </w:rPr>
            </w:pPr>
            <w:r w:rsidRPr="005C5C20">
              <w:rPr>
                <w:sz w:val="18"/>
                <w:szCs w:val="18"/>
              </w:rPr>
              <w:t>AASB 1049 treatment</w:t>
            </w:r>
          </w:p>
        </w:tc>
        <w:tc>
          <w:tcPr>
            <w:tcW w:w="2005" w:type="dxa"/>
          </w:tcPr>
          <w:p w14:paraId="52B9E09B" w14:textId="77777777" w:rsidR="004135EE" w:rsidRPr="005C5C20" w:rsidRDefault="004135EE" w:rsidP="008670FF">
            <w:pPr>
              <w:rPr>
                <w:sz w:val="18"/>
                <w:szCs w:val="18"/>
              </w:rPr>
            </w:pPr>
            <w:r w:rsidRPr="005C5C20">
              <w:rPr>
                <w:sz w:val="18"/>
                <w:szCs w:val="18"/>
              </w:rPr>
              <w:t>ABS GFS treatment</w:t>
            </w:r>
          </w:p>
        </w:tc>
        <w:tc>
          <w:tcPr>
            <w:tcW w:w="2466" w:type="dxa"/>
          </w:tcPr>
          <w:p w14:paraId="3FEA72BA" w14:textId="77777777" w:rsidR="004135EE" w:rsidRPr="005C5C20" w:rsidRDefault="004135EE" w:rsidP="008670FF">
            <w:pPr>
              <w:rPr>
                <w:sz w:val="18"/>
                <w:szCs w:val="18"/>
              </w:rPr>
            </w:pPr>
            <w:r w:rsidRPr="005C5C20">
              <w:rPr>
                <w:sz w:val="18"/>
                <w:szCs w:val="18"/>
              </w:rPr>
              <w:t>Fiscal aggregate impact</w:t>
            </w:r>
          </w:p>
        </w:tc>
      </w:tr>
      <w:tr w:rsidR="004135EE" w:rsidRPr="005C5C20" w14:paraId="439838EC" w14:textId="77777777" w:rsidTr="005C5C20">
        <w:tc>
          <w:tcPr>
            <w:tcW w:w="7711" w:type="dxa"/>
            <w:gridSpan w:val="4"/>
            <w:shd w:val="clear" w:color="auto" w:fill="D9D9D9" w:themeFill="background1" w:themeFillShade="D9"/>
          </w:tcPr>
          <w:p w14:paraId="573C6915" w14:textId="77777777" w:rsidR="004135EE" w:rsidRPr="005C5C20" w:rsidRDefault="004135EE" w:rsidP="008670FF">
            <w:pPr>
              <w:keepNext/>
              <w:rPr>
                <w:b/>
                <w:bCs/>
                <w:sz w:val="18"/>
                <w:szCs w:val="18"/>
              </w:rPr>
            </w:pPr>
            <w:r w:rsidRPr="005C5C20">
              <w:rPr>
                <w:b/>
                <w:bCs/>
                <w:sz w:val="18"/>
                <w:szCs w:val="18"/>
              </w:rPr>
              <w:t xml:space="preserve">AASB 16 </w:t>
            </w:r>
            <w:r w:rsidRPr="005C5C20">
              <w:rPr>
                <w:b/>
                <w:bCs/>
                <w:i/>
                <w:iCs/>
                <w:sz w:val="18"/>
                <w:szCs w:val="18"/>
              </w:rPr>
              <w:t>Leases</w:t>
            </w:r>
          </w:p>
        </w:tc>
      </w:tr>
      <w:tr w:rsidR="004135EE" w:rsidRPr="005C5C20" w14:paraId="659C710E" w14:textId="77777777" w:rsidTr="005C5C20">
        <w:tc>
          <w:tcPr>
            <w:tcW w:w="1170" w:type="dxa"/>
          </w:tcPr>
          <w:p w14:paraId="41CC9DF6" w14:textId="77777777" w:rsidR="004135EE" w:rsidRPr="005C5C20" w:rsidRDefault="004135EE" w:rsidP="008670FF">
            <w:pPr>
              <w:rPr>
                <w:sz w:val="18"/>
                <w:szCs w:val="18"/>
              </w:rPr>
            </w:pPr>
          </w:p>
        </w:tc>
        <w:tc>
          <w:tcPr>
            <w:tcW w:w="2070" w:type="dxa"/>
          </w:tcPr>
          <w:p w14:paraId="61D4B33E" w14:textId="77777777" w:rsidR="004135EE" w:rsidRPr="005C5C20" w:rsidRDefault="004135EE" w:rsidP="008670FF">
            <w:pPr>
              <w:rPr>
                <w:sz w:val="18"/>
                <w:szCs w:val="18"/>
              </w:rPr>
            </w:pPr>
            <w:r w:rsidRPr="005C5C20">
              <w:rPr>
                <w:sz w:val="18"/>
                <w:szCs w:val="18"/>
              </w:rPr>
              <w:t xml:space="preserve">Operating leases are recognised on the balance sheet under AASB 16 </w:t>
            </w:r>
            <w:r w:rsidRPr="00511CF3">
              <w:rPr>
                <w:i/>
                <w:sz w:val="18"/>
                <w:szCs w:val="18"/>
              </w:rPr>
              <w:t>Leases</w:t>
            </w:r>
            <w:r w:rsidRPr="005C5C20">
              <w:rPr>
                <w:sz w:val="18"/>
                <w:szCs w:val="18"/>
              </w:rPr>
              <w:t xml:space="preserve"> unless the lease is shorter than 12 months or where the underlying assets are worth less than $10 000.</w:t>
            </w:r>
          </w:p>
        </w:tc>
        <w:tc>
          <w:tcPr>
            <w:tcW w:w="2005" w:type="dxa"/>
          </w:tcPr>
          <w:p w14:paraId="37ED394D" w14:textId="77777777" w:rsidR="004135EE" w:rsidRPr="005C5C20" w:rsidRDefault="004135EE" w:rsidP="008670FF">
            <w:pPr>
              <w:rPr>
                <w:sz w:val="18"/>
                <w:szCs w:val="18"/>
              </w:rPr>
            </w:pPr>
            <w:r w:rsidRPr="005C5C20">
              <w:rPr>
                <w:sz w:val="18"/>
                <w:szCs w:val="18"/>
              </w:rPr>
              <w:t>Operating leases are not recognised on the balance sheet.</w:t>
            </w:r>
          </w:p>
        </w:tc>
        <w:tc>
          <w:tcPr>
            <w:tcW w:w="2466" w:type="dxa"/>
          </w:tcPr>
          <w:p w14:paraId="22BC0868" w14:textId="77777777" w:rsidR="004135EE" w:rsidRPr="005C5C20" w:rsidRDefault="004135EE" w:rsidP="0011545A">
            <w:pPr>
              <w:pStyle w:val="ListParagraph"/>
              <w:numPr>
                <w:ilvl w:val="0"/>
                <w:numId w:val="13"/>
              </w:numPr>
              <w:ind w:left="170" w:hanging="170"/>
              <w:rPr>
                <w:sz w:val="18"/>
                <w:szCs w:val="18"/>
              </w:rPr>
            </w:pPr>
            <w:r w:rsidRPr="005C5C20">
              <w:rPr>
                <w:sz w:val="18"/>
                <w:szCs w:val="18"/>
              </w:rPr>
              <w:t>Cash surplus/deficit</w:t>
            </w:r>
          </w:p>
          <w:p w14:paraId="229B318F" w14:textId="6DA81071" w:rsidR="004135EE" w:rsidRPr="005C5C20" w:rsidRDefault="004135EE" w:rsidP="0011545A">
            <w:pPr>
              <w:pStyle w:val="ListParagraph"/>
              <w:numPr>
                <w:ilvl w:val="0"/>
                <w:numId w:val="13"/>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36C90222" w14:textId="77777777" w:rsidR="004135EE" w:rsidRPr="005C5C20" w:rsidRDefault="004135EE" w:rsidP="0011545A">
            <w:pPr>
              <w:pStyle w:val="ListParagraph"/>
              <w:numPr>
                <w:ilvl w:val="0"/>
                <w:numId w:val="13"/>
              </w:numPr>
              <w:ind w:left="170" w:hanging="170"/>
              <w:rPr>
                <w:sz w:val="18"/>
                <w:szCs w:val="18"/>
              </w:rPr>
            </w:pPr>
            <w:r w:rsidRPr="005C5C20">
              <w:rPr>
                <w:sz w:val="18"/>
                <w:szCs w:val="18"/>
              </w:rPr>
              <w:t xml:space="preserve">Net lending/borrowing </w:t>
            </w:r>
          </w:p>
          <w:p w14:paraId="58639B41" w14:textId="77777777" w:rsidR="004135EE" w:rsidRPr="005C5C20" w:rsidRDefault="004135EE" w:rsidP="0011545A">
            <w:pPr>
              <w:pStyle w:val="ListParagraph"/>
              <w:numPr>
                <w:ilvl w:val="0"/>
                <w:numId w:val="13"/>
              </w:numPr>
              <w:ind w:left="170" w:hanging="170"/>
              <w:rPr>
                <w:sz w:val="18"/>
                <w:szCs w:val="18"/>
              </w:rPr>
            </w:pPr>
            <w:r w:rsidRPr="005C5C20">
              <w:rPr>
                <w:sz w:val="18"/>
                <w:szCs w:val="18"/>
              </w:rPr>
              <w:t xml:space="preserve">Net result from transactions – Net operating balance </w:t>
            </w:r>
          </w:p>
          <w:p w14:paraId="004802B4" w14:textId="77777777" w:rsidR="004135EE" w:rsidRPr="005C5C20" w:rsidRDefault="004135EE" w:rsidP="0011545A">
            <w:pPr>
              <w:pStyle w:val="ListParagraph"/>
              <w:numPr>
                <w:ilvl w:val="0"/>
                <w:numId w:val="13"/>
              </w:numPr>
              <w:ind w:left="170" w:hanging="170"/>
              <w:rPr>
                <w:sz w:val="18"/>
                <w:szCs w:val="18"/>
              </w:rPr>
            </w:pPr>
            <w:r w:rsidRPr="005C5C20">
              <w:rPr>
                <w:sz w:val="18"/>
                <w:szCs w:val="18"/>
              </w:rPr>
              <w:t>Net worth</w:t>
            </w:r>
          </w:p>
        </w:tc>
      </w:tr>
      <w:tr w:rsidR="004135EE" w:rsidRPr="005C5C20" w14:paraId="409D86B2" w14:textId="77777777" w:rsidTr="005C5C20">
        <w:tc>
          <w:tcPr>
            <w:tcW w:w="7711" w:type="dxa"/>
            <w:gridSpan w:val="4"/>
            <w:shd w:val="clear" w:color="auto" w:fill="D9D9D9" w:themeFill="background1" w:themeFillShade="D9"/>
          </w:tcPr>
          <w:p w14:paraId="3DAA12BC" w14:textId="77777777" w:rsidR="004135EE" w:rsidRPr="005C5C20" w:rsidRDefault="004135EE" w:rsidP="008670FF">
            <w:pPr>
              <w:keepNext/>
              <w:rPr>
                <w:b/>
                <w:bCs/>
                <w:sz w:val="18"/>
                <w:szCs w:val="18"/>
              </w:rPr>
            </w:pPr>
            <w:r w:rsidRPr="005C5C20">
              <w:rPr>
                <w:b/>
                <w:bCs/>
                <w:sz w:val="18"/>
                <w:szCs w:val="18"/>
              </w:rPr>
              <w:t xml:space="preserve">AASB 1059 </w:t>
            </w:r>
            <w:r w:rsidRPr="005C5C20">
              <w:rPr>
                <w:b/>
                <w:bCs/>
                <w:i/>
                <w:iCs/>
                <w:sz w:val="18"/>
                <w:szCs w:val="18"/>
              </w:rPr>
              <w:t>Service concession arrangements</w:t>
            </w:r>
          </w:p>
        </w:tc>
      </w:tr>
      <w:tr w:rsidR="004135EE" w:rsidRPr="005C5C20" w14:paraId="28CDC845" w14:textId="77777777" w:rsidTr="005C5C20">
        <w:tc>
          <w:tcPr>
            <w:tcW w:w="1170" w:type="dxa"/>
          </w:tcPr>
          <w:p w14:paraId="764530AE" w14:textId="77777777" w:rsidR="004135EE" w:rsidRPr="005C5C20" w:rsidRDefault="004135EE" w:rsidP="008670FF">
            <w:pPr>
              <w:rPr>
                <w:sz w:val="18"/>
                <w:szCs w:val="18"/>
              </w:rPr>
            </w:pPr>
          </w:p>
        </w:tc>
        <w:tc>
          <w:tcPr>
            <w:tcW w:w="2070" w:type="dxa"/>
          </w:tcPr>
          <w:p w14:paraId="57697121" w14:textId="77777777" w:rsidR="004135EE" w:rsidRPr="005C5C20" w:rsidRDefault="004135EE" w:rsidP="008670FF">
            <w:pPr>
              <w:rPr>
                <w:sz w:val="18"/>
                <w:szCs w:val="18"/>
              </w:rPr>
            </w:pPr>
            <w:r w:rsidRPr="005C5C20">
              <w:rPr>
                <w:sz w:val="18"/>
                <w:szCs w:val="18"/>
              </w:rPr>
              <w:t xml:space="preserve">Economic service concession arrangements, such as toll roads, are recognised on the State’s balance sheet under AASB 1059 </w:t>
            </w:r>
            <w:r w:rsidRPr="00511CF3">
              <w:rPr>
                <w:i/>
                <w:sz w:val="18"/>
                <w:szCs w:val="18"/>
              </w:rPr>
              <w:t>Service Concession Arrangements: Grantors</w:t>
            </w:r>
            <w:r w:rsidRPr="005C5C20">
              <w:rPr>
                <w:sz w:val="18"/>
                <w:szCs w:val="18"/>
              </w:rPr>
              <w:t>.</w:t>
            </w:r>
          </w:p>
        </w:tc>
        <w:tc>
          <w:tcPr>
            <w:tcW w:w="2005" w:type="dxa"/>
          </w:tcPr>
          <w:p w14:paraId="0325EAD0" w14:textId="77777777" w:rsidR="004135EE" w:rsidRPr="005C5C20" w:rsidRDefault="004135EE" w:rsidP="008670FF">
            <w:pPr>
              <w:rPr>
                <w:sz w:val="18"/>
                <w:szCs w:val="18"/>
              </w:rPr>
            </w:pPr>
            <w:r w:rsidRPr="005C5C20">
              <w:rPr>
                <w:sz w:val="18"/>
                <w:szCs w:val="18"/>
              </w:rPr>
              <w:t>Economic service concession arrangements, such as toll roads, are not recognised on the balance sheet.</w:t>
            </w:r>
          </w:p>
        </w:tc>
        <w:tc>
          <w:tcPr>
            <w:tcW w:w="2466" w:type="dxa"/>
          </w:tcPr>
          <w:p w14:paraId="60ADEFA6" w14:textId="77777777" w:rsidR="004135EE" w:rsidRPr="005C5C20" w:rsidRDefault="004135EE" w:rsidP="0011545A">
            <w:pPr>
              <w:pStyle w:val="ListParagraph"/>
              <w:numPr>
                <w:ilvl w:val="0"/>
                <w:numId w:val="14"/>
              </w:numPr>
              <w:ind w:left="170" w:hanging="170"/>
              <w:rPr>
                <w:sz w:val="18"/>
                <w:szCs w:val="18"/>
              </w:rPr>
            </w:pPr>
            <w:r w:rsidRPr="005C5C20">
              <w:rPr>
                <w:sz w:val="18"/>
                <w:szCs w:val="18"/>
              </w:rPr>
              <w:t>Cash surplus/deficit</w:t>
            </w:r>
          </w:p>
          <w:p w14:paraId="0BCF9518" w14:textId="6DE7B8C3" w:rsidR="004135EE" w:rsidRPr="005C5C20" w:rsidRDefault="004135EE" w:rsidP="0011545A">
            <w:pPr>
              <w:pStyle w:val="ListParagraph"/>
              <w:numPr>
                <w:ilvl w:val="0"/>
                <w:numId w:val="14"/>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35975F69" w14:textId="77777777" w:rsidR="004135EE" w:rsidRPr="005C5C20" w:rsidRDefault="004135EE" w:rsidP="0011545A">
            <w:pPr>
              <w:pStyle w:val="ListParagraph"/>
              <w:numPr>
                <w:ilvl w:val="0"/>
                <w:numId w:val="14"/>
              </w:numPr>
              <w:ind w:left="170" w:hanging="170"/>
              <w:rPr>
                <w:sz w:val="18"/>
                <w:szCs w:val="18"/>
              </w:rPr>
            </w:pPr>
            <w:r w:rsidRPr="005C5C20">
              <w:rPr>
                <w:sz w:val="18"/>
                <w:szCs w:val="18"/>
              </w:rPr>
              <w:t xml:space="preserve">Net lending/borrowing </w:t>
            </w:r>
          </w:p>
          <w:p w14:paraId="0B3400A3" w14:textId="77777777" w:rsidR="004135EE" w:rsidRPr="005C5C20" w:rsidRDefault="004135EE" w:rsidP="0011545A">
            <w:pPr>
              <w:pStyle w:val="ListParagraph"/>
              <w:numPr>
                <w:ilvl w:val="0"/>
                <w:numId w:val="14"/>
              </w:numPr>
              <w:ind w:left="170" w:hanging="170"/>
              <w:rPr>
                <w:sz w:val="18"/>
                <w:szCs w:val="18"/>
              </w:rPr>
            </w:pPr>
            <w:r w:rsidRPr="005C5C20">
              <w:rPr>
                <w:sz w:val="18"/>
                <w:szCs w:val="18"/>
              </w:rPr>
              <w:t xml:space="preserve">Net result from transactions – Net operating balance </w:t>
            </w:r>
          </w:p>
          <w:p w14:paraId="6509173F" w14:textId="77777777" w:rsidR="004135EE" w:rsidRPr="005C5C20" w:rsidRDefault="004135EE" w:rsidP="0011545A">
            <w:pPr>
              <w:pStyle w:val="ListParagraph"/>
              <w:numPr>
                <w:ilvl w:val="0"/>
                <w:numId w:val="14"/>
              </w:numPr>
              <w:ind w:left="170" w:hanging="170"/>
              <w:rPr>
                <w:sz w:val="18"/>
                <w:szCs w:val="18"/>
              </w:rPr>
            </w:pPr>
            <w:r w:rsidRPr="005C5C20">
              <w:rPr>
                <w:sz w:val="18"/>
                <w:szCs w:val="18"/>
              </w:rPr>
              <w:t>Net worth</w:t>
            </w:r>
          </w:p>
        </w:tc>
      </w:tr>
      <w:tr w:rsidR="004135EE" w:rsidRPr="005C5C20" w14:paraId="0F38AD83" w14:textId="77777777" w:rsidTr="005C5C20">
        <w:tc>
          <w:tcPr>
            <w:tcW w:w="7711" w:type="dxa"/>
            <w:gridSpan w:val="4"/>
            <w:shd w:val="clear" w:color="auto" w:fill="D9D9D9" w:themeFill="background1" w:themeFillShade="D9"/>
          </w:tcPr>
          <w:p w14:paraId="7988C69F" w14:textId="4BD640E0" w:rsidR="004135EE" w:rsidRPr="005C5C20" w:rsidRDefault="004135EE" w:rsidP="008670FF">
            <w:pPr>
              <w:keepNext/>
              <w:rPr>
                <w:b/>
                <w:bCs/>
                <w:sz w:val="18"/>
                <w:szCs w:val="18"/>
              </w:rPr>
            </w:pPr>
            <w:r w:rsidRPr="005C5C20">
              <w:rPr>
                <w:b/>
                <w:bCs/>
                <w:sz w:val="18"/>
                <w:szCs w:val="18"/>
              </w:rPr>
              <w:t xml:space="preserve">AASB 15 </w:t>
            </w:r>
            <w:r w:rsidRPr="005C5C20">
              <w:rPr>
                <w:b/>
                <w:bCs/>
                <w:i/>
                <w:iCs/>
                <w:sz w:val="18"/>
                <w:szCs w:val="18"/>
              </w:rPr>
              <w:t>Revenue from Contracts with Customers</w:t>
            </w:r>
            <w:r w:rsidRPr="005C5C20">
              <w:rPr>
                <w:b/>
                <w:bCs/>
                <w:sz w:val="18"/>
                <w:szCs w:val="18"/>
              </w:rPr>
              <w:t xml:space="preserve"> and </w:t>
            </w:r>
            <w:r w:rsidR="00511CF3">
              <w:rPr>
                <w:b/>
                <w:bCs/>
                <w:sz w:val="18"/>
                <w:szCs w:val="18"/>
              </w:rPr>
              <w:br/>
            </w:r>
            <w:r w:rsidRPr="005C5C20">
              <w:rPr>
                <w:b/>
                <w:bCs/>
                <w:sz w:val="18"/>
                <w:szCs w:val="18"/>
              </w:rPr>
              <w:t xml:space="preserve">AASB 1058 </w:t>
            </w:r>
            <w:r w:rsidRPr="005C5C20">
              <w:rPr>
                <w:b/>
                <w:bCs/>
                <w:i/>
                <w:iCs/>
                <w:sz w:val="18"/>
                <w:szCs w:val="18"/>
              </w:rPr>
              <w:t>Income of Not</w:t>
            </w:r>
            <w:r w:rsidRPr="005C5C20">
              <w:rPr>
                <w:b/>
                <w:bCs/>
                <w:i/>
                <w:iCs/>
                <w:sz w:val="18"/>
                <w:szCs w:val="18"/>
              </w:rPr>
              <w:noBreakHyphen/>
              <w:t>for</w:t>
            </w:r>
            <w:r w:rsidRPr="005C5C20">
              <w:rPr>
                <w:b/>
                <w:bCs/>
                <w:i/>
                <w:iCs/>
                <w:sz w:val="18"/>
                <w:szCs w:val="18"/>
              </w:rPr>
              <w:noBreakHyphen/>
              <w:t>Profit Entities</w:t>
            </w:r>
          </w:p>
        </w:tc>
      </w:tr>
      <w:tr w:rsidR="004135EE" w:rsidRPr="005C5C20" w14:paraId="11317018" w14:textId="77777777" w:rsidTr="005C5C20">
        <w:tc>
          <w:tcPr>
            <w:tcW w:w="1170" w:type="dxa"/>
          </w:tcPr>
          <w:p w14:paraId="0C6535DD" w14:textId="77777777" w:rsidR="004135EE" w:rsidRPr="005C5C20" w:rsidRDefault="004135EE" w:rsidP="008670FF">
            <w:pPr>
              <w:rPr>
                <w:sz w:val="18"/>
                <w:szCs w:val="18"/>
              </w:rPr>
            </w:pPr>
          </w:p>
        </w:tc>
        <w:tc>
          <w:tcPr>
            <w:tcW w:w="2070" w:type="dxa"/>
          </w:tcPr>
          <w:p w14:paraId="21D00666" w14:textId="77777777" w:rsidR="004135EE" w:rsidRPr="005C5C20" w:rsidRDefault="004135EE" w:rsidP="008670FF">
            <w:pPr>
              <w:rPr>
                <w:sz w:val="18"/>
                <w:szCs w:val="18"/>
              </w:rPr>
            </w:pPr>
            <w:r w:rsidRPr="005C5C20">
              <w:rPr>
                <w:sz w:val="18"/>
                <w:szCs w:val="18"/>
              </w:rPr>
              <w:t>Deferral of revenue recognition, such as where performance obligations have not been satisfied, or for capital grants from the Commonwealth Government, is a requirement under AASB 15 and AASB 1058.</w:t>
            </w:r>
          </w:p>
        </w:tc>
        <w:tc>
          <w:tcPr>
            <w:tcW w:w="2005" w:type="dxa"/>
          </w:tcPr>
          <w:p w14:paraId="449249DA" w14:textId="77777777" w:rsidR="004135EE" w:rsidRPr="005C5C20" w:rsidRDefault="004135EE" w:rsidP="008670FF">
            <w:pPr>
              <w:rPr>
                <w:sz w:val="18"/>
                <w:szCs w:val="18"/>
              </w:rPr>
            </w:pPr>
            <w:r w:rsidRPr="005C5C20">
              <w:rPr>
                <w:sz w:val="18"/>
                <w:szCs w:val="18"/>
              </w:rPr>
              <w:t>Deferral of revenue recognition, such as where performance obligations have not been satisfied, or for capital grants from the Commonwealth Government, is not recognised. This timing difference is expected to impact all the key fiscal aggregates. While it is expected that there will not be a net change to the fiscal aggregates over time, there will be convergence differences in any given year.</w:t>
            </w:r>
          </w:p>
        </w:tc>
        <w:tc>
          <w:tcPr>
            <w:tcW w:w="2466" w:type="dxa"/>
          </w:tcPr>
          <w:p w14:paraId="3B27FF05" w14:textId="77777777" w:rsidR="004135EE" w:rsidRPr="005C5C20" w:rsidRDefault="004135EE" w:rsidP="0011545A">
            <w:pPr>
              <w:pStyle w:val="ListParagraph"/>
              <w:numPr>
                <w:ilvl w:val="0"/>
                <w:numId w:val="15"/>
              </w:numPr>
              <w:ind w:left="170" w:hanging="170"/>
              <w:rPr>
                <w:sz w:val="18"/>
                <w:szCs w:val="18"/>
              </w:rPr>
            </w:pPr>
            <w:r w:rsidRPr="005C5C20">
              <w:rPr>
                <w:sz w:val="18"/>
                <w:szCs w:val="18"/>
              </w:rPr>
              <w:t>Cash surplus/deficit</w:t>
            </w:r>
          </w:p>
          <w:p w14:paraId="086F3FF5" w14:textId="62C30019" w:rsidR="004135EE" w:rsidRPr="005C5C20" w:rsidRDefault="004135EE" w:rsidP="0011545A">
            <w:pPr>
              <w:pStyle w:val="ListParagraph"/>
              <w:numPr>
                <w:ilvl w:val="0"/>
                <w:numId w:val="15"/>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2EF54504" w14:textId="77777777" w:rsidR="004135EE" w:rsidRPr="005C5C20" w:rsidRDefault="004135EE" w:rsidP="0011545A">
            <w:pPr>
              <w:pStyle w:val="ListParagraph"/>
              <w:numPr>
                <w:ilvl w:val="0"/>
                <w:numId w:val="15"/>
              </w:numPr>
              <w:ind w:left="170" w:hanging="170"/>
              <w:rPr>
                <w:sz w:val="18"/>
                <w:szCs w:val="18"/>
              </w:rPr>
            </w:pPr>
            <w:r w:rsidRPr="005C5C20">
              <w:rPr>
                <w:sz w:val="18"/>
                <w:szCs w:val="18"/>
              </w:rPr>
              <w:t xml:space="preserve">Net lending/borrowing </w:t>
            </w:r>
          </w:p>
          <w:p w14:paraId="126567F9" w14:textId="77777777" w:rsidR="004135EE" w:rsidRPr="005C5C20" w:rsidRDefault="004135EE" w:rsidP="0011545A">
            <w:pPr>
              <w:pStyle w:val="ListParagraph"/>
              <w:numPr>
                <w:ilvl w:val="0"/>
                <w:numId w:val="15"/>
              </w:numPr>
              <w:ind w:left="170" w:hanging="170"/>
              <w:rPr>
                <w:sz w:val="18"/>
                <w:szCs w:val="18"/>
              </w:rPr>
            </w:pPr>
            <w:r w:rsidRPr="005C5C20">
              <w:rPr>
                <w:sz w:val="18"/>
                <w:szCs w:val="18"/>
              </w:rPr>
              <w:t>Net result from transactions – Net operating balance</w:t>
            </w:r>
          </w:p>
          <w:p w14:paraId="575273CD" w14:textId="77777777" w:rsidR="004135EE" w:rsidRPr="005C5C20" w:rsidRDefault="004135EE" w:rsidP="0011545A">
            <w:pPr>
              <w:pStyle w:val="ListParagraph"/>
              <w:numPr>
                <w:ilvl w:val="0"/>
                <w:numId w:val="15"/>
              </w:numPr>
              <w:ind w:left="170" w:hanging="170"/>
              <w:rPr>
                <w:sz w:val="18"/>
                <w:szCs w:val="18"/>
              </w:rPr>
            </w:pPr>
            <w:r w:rsidRPr="005C5C20">
              <w:rPr>
                <w:sz w:val="18"/>
                <w:szCs w:val="18"/>
              </w:rPr>
              <w:t>Net worth</w:t>
            </w:r>
          </w:p>
        </w:tc>
      </w:tr>
      <w:tr w:rsidR="004135EE" w:rsidRPr="005C5C20" w14:paraId="6AD17B72" w14:textId="77777777" w:rsidTr="005C5C20">
        <w:tc>
          <w:tcPr>
            <w:tcW w:w="7711" w:type="dxa"/>
            <w:gridSpan w:val="4"/>
            <w:shd w:val="clear" w:color="auto" w:fill="D9D9D9" w:themeFill="background1" w:themeFillShade="D9"/>
          </w:tcPr>
          <w:p w14:paraId="30A5FC6C" w14:textId="77777777" w:rsidR="004135EE" w:rsidRPr="005C5C20" w:rsidRDefault="004135EE" w:rsidP="008670FF">
            <w:pPr>
              <w:keepNext/>
              <w:rPr>
                <w:b/>
                <w:bCs/>
                <w:sz w:val="18"/>
                <w:szCs w:val="18"/>
              </w:rPr>
            </w:pPr>
            <w:r w:rsidRPr="005C5C20">
              <w:rPr>
                <w:b/>
                <w:bCs/>
                <w:sz w:val="18"/>
                <w:szCs w:val="18"/>
              </w:rPr>
              <w:t>Port of Melbourne lease transaction</w:t>
            </w:r>
          </w:p>
        </w:tc>
      </w:tr>
      <w:tr w:rsidR="004135EE" w:rsidRPr="005C5C20" w14:paraId="7C42460B" w14:textId="77777777" w:rsidTr="005C5C20">
        <w:trPr>
          <w:trHeight w:val="1944"/>
        </w:trPr>
        <w:tc>
          <w:tcPr>
            <w:tcW w:w="1170" w:type="dxa"/>
          </w:tcPr>
          <w:p w14:paraId="0179B7CF" w14:textId="77777777" w:rsidR="004135EE" w:rsidRPr="005C5C20" w:rsidRDefault="004135EE" w:rsidP="008670FF">
            <w:pPr>
              <w:rPr>
                <w:sz w:val="18"/>
                <w:szCs w:val="18"/>
              </w:rPr>
            </w:pPr>
            <w:r w:rsidRPr="005C5C20">
              <w:rPr>
                <w:sz w:val="18"/>
                <w:szCs w:val="18"/>
              </w:rPr>
              <w:t>Port Licence Fee</w:t>
            </w:r>
          </w:p>
        </w:tc>
        <w:tc>
          <w:tcPr>
            <w:tcW w:w="2070" w:type="dxa"/>
          </w:tcPr>
          <w:p w14:paraId="358D2930" w14:textId="77777777" w:rsidR="004135EE" w:rsidRPr="005C5C20" w:rsidRDefault="004135EE" w:rsidP="008670FF">
            <w:pPr>
              <w:rPr>
                <w:sz w:val="18"/>
                <w:szCs w:val="18"/>
              </w:rPr>
            </w:pPr>
            <w:r w:rsidRPr="005C5C20">
              <w:rPr>
                <w:sz w:val="18"/>
                <w:szCs w:val="18"/>
              </w:rPr>
              <w:t>The 15</w:t>
            </w:r>
            <w:r w:rsidRPr="005C5C20">
              <w:rPr>
                <w:sz w:val="18"/>
                <w:szCs w:val="18"/>
              </w:rPr>
              <w:noBreakHyphen/>
              <w:t>year prepaid Port Licence Fee from the medium</w:t>
            </w:r>
            <w:r w:rsidRPr="005C5C20">
              <w:rPr>
                <w:sz w:val="18"/>
                <w:szCs w:val="18"/>
              </w:rPr>
              <w:noBreakHyphen/>
              <w:t>term lease of the Port of Melbourne is recognised upfront upon receipt.</w:t>
            </w:r>
          </w:p>
        </w:tc>
        <w:tc>
          <w:tcPr>
            <w:tcW w:w="2005" w:type="dxa"/>
          </w:tcPr>
          <w:p w14:paraId="0371D7A1" w14:textId="77777777" w:rsidR="004135EE" w:rsidRPr="005C5C20" w:rsidRDefault="004135EE" w:rsidP="008670FF">
            <w:pPr>
              <w:rPr>
                <w:sz w:val="18"/>
                <w:szCs w:val="18"/>
              </w:rPr>
            </w:pPr>
            <w:r w:rsidRPr="005C5C20">
              <w:rPr>
                <w:sz w:val="18"/>
                <w:szCs w:val="18"/>
              </w:rPr>
              <w:t>The 15</w:t>
            </w:r>
            <w:r w:rsidRPr="005C5C20">
              <w:rPr>
                <w:sz w:val="18"/>
                <w:szCs w:val="18"/>
              </w:rPr>
              <w:noBreakHyphen/>
              <w:t>year prepaid Port Licence Fee from the medium</w:t>
            </w:r>
            <w:r w:rsidRPr="005C5C20">
              <w:rPr>
                <w:sz w:val="18"/>
                <w:szCs w:val="18"/>
              </w:rPr>
              <w:noBreakHyphen/>
              <w:t>term lease of the Port of Melbourne is recognised as revenue over the 15</w:t>
            </w:r>
            <w:r w:rsidRPr="005C5C20">
              <w:rPr>
                <w:sz w:val="18"/>
                <w:szCs w:val="18"/>
              </w:rPr>
              <w:noBreakHyphen/>
              <w:t>year period.</w:t>
            </w:r>
          </w:p>
        </w:tc>
        <w:tc>
          <w:tcPr>
            <w:tcW w:w="2466" w:type="dxa"/>
          </w:tcPr>
          <w:p w14:paraId="4169FB7A" w14:textId="638BA5C7" w:rsidR="004135EE" w:rsidRPr="005C5C20" w:rsidRDefault="004135EE" w:rsidP="0011545A">
            <w:pPr>
              <w:pStyle w:val="ListParagraph"/>
              <w:numPr>
                <w:ilvl w:val="0"/>
                <w:numId w:val="16"/>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19E155CF"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 xml:space="preserve">Net lending/borrowing </w:t>
            </w:r>
          </w:p>
          <w:p w14:paraId="74A59B8C"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Net result from transactions – Net operating balance</w:t>
            </w:r>
          </w:p>
          <w:p w14:paraId="104D304A"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Net worth</w:t>
            </w:r>
          </w:p>
        </w:tc>
      </w:tr>
      <w:tr w:rsidR="004135EE" w:rsidRPr="005C5C20" w14:paraId="66C03EFA" w14:textId="77777777" w:rsidTr="005C5C20">
        <w:tc>
          <w:tcPr>
            <w:tcW w:w="1170" w:type="dxa"/>
          </w:tcPr>
          <w:p w14:paraId="158618EC" w14:textId="77777777" w:rsidR="004135EE" w:rsidRPr="005C5C20" w:rsidRDefault="004135EE" w:rsidP="008670FF">
            <w:pPr>
              <w:rPr>
                <w:sz w:val="18"/>
                <w:szCs w:val="18"/>
              </w:rPr>
            </w:pPr>
            <w:r w:rsidRPr="005C5C20">
              <w:rPr>
                <w:sz w:val="18"/>
                <w:szCs w:val="18"/>
              </w:rPr>
              <w:t>Port of Melbourne lease transaction</w:t>
            </w:r>
          </w:p>
        </w:tc>
        <w:tc>
          <w:tcPr>
            <w:tcW w:w="2070" w:type="dxa"/>
          </w:tcPr>
          <w:p w14:paraId="5476D233" w14:textId="77777777" w:rsidR="004135EE" w:rsidRPr="005C5C20" w:rsidRDefault="004135EE" w:rsidP="008670FF">
            <w:pPr>
              <w:rPr>
                <w:sz w:val="18"/>
                <w:szCs w:val="18"/>
              </w:rPr>
            </w:pPr>
            <w:r w:rsidRPr="005C5C20">
              <w:rPr>
                <w:sz w:val="18"/>
                <w:szCs w:val="18"/>
              </w:rPr>
              <w:t>The Port of Melbourne lease transaction is treated as an operating lease with the leased assets remaining with the PNFC sector.</w:t>
            </w:r>
          </w:p>
        </w:tc>
        <w:tc>
          <w:tcPr>
            <w:tcW w:w="2005" w:type="dxa"/>
          </w:tcPr>
          <w:p w14:paraId="6D6ADEC4" w14:textId="77777777" w:rsidR="004135EE" w:rsidRPr="005C5C20" w:rsidRDefault="004135EE" w:rsidP="008670FF">
            <w:pPr>
              <w:rPr>
                <w:sz w:val="18"/>
                <w:szCs w:val="18"/>
              </w:rPr>
            </w:pPr>
            <w:r w:rsidRPr="005C5C20">
              <w:rPr>
                <w:sz w:val="18"/>
                <w:szCs w:val="18"/>
              </w:rPr>
              <w:t>The Port of Melbourne lease transaction is recognised as a sale of equity from the general government sector.</w:t>
            </w:r>
          </w:p>
        </w:tc>
        <w:tc>
          <w:tcPr>
            <w:tcW w:w="2466" w:type="dxa"/>
          </w:tcPr>
          <w:p w14:paraId="37F10927"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Cash surplus/deficit</w:t>
            </w:r>
          </w:p>
          <w:p w14:paraId="34F8F210" w14:textId="7F639E54" w:rsidR="004135EE" w:rsidRPr="005C5C20" w:rsidRDefault="004135EE" w:rsidP="0011545A">
            <w:pPr>
              <w:pStyle w:val="ListParagraph"/>
              <w:numPr>
                <w:ilvl w:val="0"/>
                <w:numId w:val="16"/>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4D6B21EF"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 xml:space="preserve">Net lending/borrowing </w:t>
            </w:r>
          </w:p>
          <w:p w14:paraId="2201AAAA"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Net result from transactions – Net operating balance</w:t>
            </w:r>
          </w:p>
          <w:p w14:paraId="34FCF142" w14:textId="77777777" w:rsidR="004135EE" w:rsidRPr="005C5C20" w:rsidRDefault="004135EE" w:rsidP="0011545A">
            <w:pPr>
              <w:pStyle w:val="ListParagraph"/>
              <w:numPr>
                <w:ilvl w:val="0"/>
                <w:numId w:val="16"/>
              </w:numPr>
              <w:ind w:left="170" w:hanging="170"/>
              <w:rPr>
                <w:sz w:val="18"/>
                <w:szCs w:val="18"/>
              </w:rPr>
            </w:pPr>
            <w:r w:rsidRPr="005C5C20">
              <w:rPr>
                <w:sz w:val="18"/>
                <w:szCs w:val="18"/>
              </w:rPr>
              <w:t>Net worth</w:t>
            </w:r>
          </w:p>
        </w:tc>
      </w:tr>
      <w:tr w:rsidR="004135EE" w:rsidRPr="005C5C20" w14:paraId="51853D3F" w14:textId="77777777" w:rsidTr="005C5C20">
        <w:tc>
          <w:tcPr>
            <w:tcW w:w="7711" w:type="dxa"/>
            <w:gridSpan w:val="4"/>
            <w:shd w:val="clear" w:color="auto" w:fill="D9D9D9" w:themeFill="background1" w:themeFillShade="D9"/>
          </w:tcPr>
          <w:p w14:paraId="783CDA07" w14:textId="77777777" w:rsidR="004135EE" w:rsidRPr="005C5C20" w:rsidRDefault="004135EE" w:rsidP="008670FF">
            <w:pPr>
              <w:keepNext/>
              <w:rPr>
                <w:b/>
                <w:bCs/>
                <w:sz w:val="18"/>
                <w:szCs w:val="18"/>
              </w:rPr>
            </w:pPr>
            <w:r w:rsidRPr="005C5C20">
              <w:rPr>
                <w:b/>
                <w:bCs/>
                <w:sz w:val="18"/>
                <w:szCs w:val="18"/>
              </w:rPr>
              <w:t>Doubtful receivables</w:t>
            </w:r>
          </w:p>
        </w:tc>
      </w:tr>
      <w:tr w:rsidR="004135EE" w:rsidRPr="005C5C20" w14:paraId="636C391E" w14:textId="77777777" w:rsidTr="005C5C20">
        <w:tc>
          <w:tcPr>
            <w:tcW w:w="1170" w:type="dxa"/>
          </w:tcPr>
          <w:p w14:paraId="7F8B79B7" w14:textId="77777777" w:rsidR="004135EE" w:rsidRPr="005C5C20" w:rsidRDefault="004135EE" w:rsidP="008670FF">
            <w:pPr>
              <w:rPr>
                <w:sz w:val="18"/>
                <w:szCs w:val="18"/>
              </w:rPr>
            </w:pPr>
          </w:p>
        </w:tc>
        <w:tc>
          <w:tcPr>
            <w:tcW w:w="2070" w:type="dxa"/>
          </w:tcPr>
          <w:p w14:paraId="24C96DE6" w14:textId="77777777" w:rsidR="004135EE" w:rsidRPr="005C5C20" w:rsidRDefault="004135EE" w:rsidP="008670FF">
            <w:pPr>
              <w:rPr>
                <w:sz w:val="18"/>
                <w:szCs w:val="18"/>
              </w:rPr>
            </w:pPr>
            <w:r w:rsidRPr="005C5C20">
              <w:rPr>
                <w:sz w:val="18"/>
                <w:szCs w:val="18"/>
              </w:rPr>
              <w:t>Provisions for expected credit losses are included on the balance sheet as a reduction in assets.</w:t>
            </w:r>
          </w:p>
        </w:tc>
        <w:tc>
          <w:tcPr>
            <w:tcW w:w="2005" w:type="dxa"/>
          </w:tcPr>
          <w:p w14:paraId="5E89D350" w14:textId="77777777" w:rsidR="004135EE" w:rsidRPr="005C5C20" w:rsidRDefault="004135EE" w:rsidP="008670FF">
            <w:pPr>
              <w:rPr>
                <w:sz w:val="18"/>
                <w:szCs w:val="18"/>
              </w:rPr>
            </w:pPr>
            <w:r w:rsidRPr="005C5C20">
              <w:rPr>
                <w:sz w:val="18"/>
                <w:szCs w:val="18"/>
              </w:rPr>
              <w:t>The act of creating provisions is not considered an economic event and is therefore not included on the balance sheet.</w:t>
            </w:r>
          </w:p>
        </w:tc>
        <w:tc>
          <w:tcPr>
            <w:tcW w:w="2466" w:type="dxa"/>
          </w:tcPr>
          <w:p w14:paraId="687C9E32" w14:textId="2BBDF0F5" w:rsidR="004135EE" w:rsidRPr="005C5C20" w:rsidRDefault="004135EE" w:rsidP="0011545A">
            <w:pPr>
              <w:pStyle w:val="ListParagraph"/>
              <w:numPr>
                <w:ilvl w:val="0"/>
                <w:numId w:val="18"/>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0FCDC0DB" w14:textId="77777777" w:rsidR="004135EE" w:rsidRPr="005C5C20" w:rsidRDefault="004135EE" w:rsidP="0011545A">
            <w:pPr>
              <w:pStyle w:val="ListParagraph"/>
              <w:numPr>
                <w:ilvl w:val="0"/>
                <w:numId w:val="17"/>
              </w:numPr>
              <w:ind w:left="170" w:hanging="170"/>
              <w:rPr>
                <w:sz w:val="18"/>
                <w:szCs w:val="18"/>
              </w:rPr>
            </w:pPr>
            <w:r w:rsidRPr="005C5C20">
              <w:rPr>
                <w:sz w:val="18"/>
                <w:szCs w:val="18"/>
              </w:rPr>
              <w:t>Net worth</w:t>
            </w:r>
          </w:p>
        </w:tc>
      </w:tr>
      <w:tr w:rsidR="004135EE" w:rsidRPr="005C5C20" w14:paraId="28E4EC37" w14:textId="77777777" w:rsidTr="005C5C20">
        <w:tc>
          <w:tcPr>
            <w:tcW w:w="1170" w:type="dxa"/>
            <w:shd w:val="clear" w:color="auto" w:fill="D9D9D9" w:themeFill="background1" w:themeFillShade="D9"/>
          </w:tcPr>
          <w:p w14:paraId="49D83081" w14:textId="77777777" w:rsidR="004135EE" w:rsidRPr="005C5C20" w:rsidRDefault="004135EE" w:rsidP="008670FF">
            <w:pPr>
              <w:keepNext/>
              <w:rPr>
                <w:b/>
                <w:bCs/>
                <w:sz w:val="18"/>
                <w:szCs w:val="18"/>
              </w:rPr>
            </w:pPr>
            <w:r w:rsidRPr="005C5C20">
              <w:rPr>
                <w:b/>
                <w:bCs/>
                <w:sz w:val="18"/>
                <w:szCs w:val="18"/>
              </w:rPr>
              <w:t>Provisions</w:t>
            </w:r>
          </w:p>
        </w:tc>
        <w:tc>
          <w:tcPr>
            <w:tcW w:w="2070" w:type="dxa"/>
            <w:shd w:val="clear" w:color="auto" w:fill="D9D9D9" w:themeFill="background1" w:themeFillShade="D9"/>
          </w:tcPr>
          <w:p w14:paraId="05C9A154" w14:textId="77777777" w:rsidR="004135EE" w:rsidRPr="005C5C20" w:rsidRDefault="004135EE" w:rsidP="008670FF">
            <w:pPr>
              <w:keepNext/>
              <w:rPr>
                <w:b/>
                <w:bCs/>
                <w:sz w:val="18"/>
                <w:szCs w:val="18"/>
              </w:rPr>
            </w:pPr>
          </w:p>
        </w:tc>
        <w:tc>
          <w:tcPr>
            <w:tcW w:w="2005" w:type="dxa"/>
            <w:shd w:val="clear" w:color="auto" w:fill="D9D9D9" w:themeFill="background1" w:themeFillShade="D9"/>
          </w:tcPr>
          <w:p w14:paraId="233ECC8A" w14:textId="77777777" w:rsidR="004135EE" w:rsidRPr="005C5C20" w:rsidRDefault="004135EE" w:rsidP="008670FF">
            <w:pPr>
              <w:keepNext/>
              <w:rPr>
                <w:b/>
                <w:bCs/>
                <w:sz w:val="18"/>
                <w:szCs w:val="18"/>
              </w:rPr>
            </w:pPr>
          </w:p>
        </w:tc>
        <w:tc>
          <w:tcPr>
            <w:tcW w:w="2466" w:type="dxa"/>
            <w:shd w:val="clear" w:color="auto" w:fill="D9D9D9" w:themeFill="background1" w:themeFillShade="D9"/>
          </w:tcPr>
          <w:p w14:paraId="3B398660" w14:textId="77777777" w:rsidR="004135EE" w:rsidRPr="005C5C20" w:rsidRDefault="004135EE" w:rsidP="008670FF">
            <w:pPr>
              <w:keepNext/>
              <w:rPr>
                <w:b/>
                <w:bCs/>
                <w:sz w:val="18"/>
                <w:szCs w:val="18"/>
              </w:rPr>
            </w:pPr>
          </w:p>
        </w:tc>
      </w:tr>
      <w:tr w:rsidR="004135EE" w:rsidRPr="005C5C20" w14:paraId="2C9D4A24" w14:textId="77777777" w:rsidTr="005C5C20">
        <w:tc>
          <w:tcPr>
            <w:tcW w:w="1170" w:type="dxa"/>
          </w:tcPr>
          <w:p w14:paraId="7146BD90" w14:textId="77777777" w:rsidR="004135EE" w:rsidRPr="005C5C20" w:rsidRDefault="004135EE" w:rsidP="008670FF">
            <w:pPr>
              <w:rPr>
                <w:sz w:val="18"/>
                <w:szCs w:val="18"/>
              </w:rPr>
            </w:pPr>
          </w:p>
        </w:tc>
        <w:tc>
          <w:tcPr>
            <w:tcW w:w="2070" w:type="dxa"/>
          </w:tcPr>
          <w:p w14:paraId="41E3375F" w14:textId="77777777" w:rsidR="004135EE" w:rsidRPr="005C5C20" w:rsidRDefault="004135EE" w:rsidP="008670FF">
            <w:pPr>
              <w:rPr>
                <w:sz w:val="18"/>
                <w:szCs w:val="18"/>
              </w:rPr>
            </w:pPr>
            <w:r w:rsidRPr="005C5C20">
              <w:rPr>
                <w:sz w:val="18"/>
                <w:szCs w:val="18"/>
              </w:rPr>
              <w:t>Provisions recognised under AASB 137 are recorded when there is a present obligation, the future sacrifice of economic benefits is probable, and the amount of the provision can be measured reliably.</w:t>
            </w:r>
          </w:p>
        </w:tc>
        <w:tc>
          <w:tcPr>
            <w:tcW w:w="2005" w:type="dxa"/>
          </w:tcPr>
          <w:p w14:paraId="44D00D4E" w14:textId="77777777" w:rsidR="004135EE" w:rsidRPr="005C5C20" w:rsidRDefault="004135EE" w:rsidP="008670FF">
            <w:pPr>
              <w:rPr>
                <w:sz w:val="18"/>
                <w:szCs w:val="18"/>
              </w:rPr>
            </w:pPr>
            <w:r w:rsidRPr="005C5C20">
              <w:rPr>
                <w:sz w:val="18"/>
                <w:szCs w:val="18"/>
              </w:rPr>
              <w:t xml:space="preserve">The act of creating provisions is not considered an economic event and is therefore not included on the balance sheet. The associated expense is not recognised on the operating statement. </w:t>
            </w:r>
          </w:p>
        </w:tc>
        <w:tc>
          <w:tcPr>
            <w:tcW w:w="2466" w:type="dxa"/>
          </w:tcPr>
          <w:p w14:paraId="7C9B4259" w14:textId="30D1A4F9" w:rsidR="004135EE" w:rsidRPr="005C5C20" w:rsidRDefault="004135EE" w:rsidP="0011545A">
            <w:pPr>
              <w:pStyle w:val="ListParagraph"/>
              <w:numPr>
                <w:ilvl w:val="0"/>
                <w:numId w:val="17"/>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6B4D4871" w14:textId="77777777" w:rsidR="004135EE" w:rsidRPr="005C5C20" w:rsidRDefault="004135EE" w:rsidP="0011545A">
            <w:pPr>
              <w:pStyle w:val="ListParagraph"/>
              <w:numPr>
                <w:ilvl w:val="0"/>
                <w:numId w:val="17"/>
              </w:numPr>
              <w:ind w:left="170" w:hanging="170"/>
              <w:rPr>
                <w:sz w:val="18"/>
                <w:szCs w:val="18"/>
              </w:rPr>
            </w:pPr>
            <w:r w:rsidRPr="005C5C20">
              <w:rPr>
                <w:sz w:val="18"/>
                <w:szCs w:val="18"/>
              </w:rPr>
              <w:t xml:space="preserve">Net lending/borrowing </w:t>
            </w:r>
          </w:p>
          <w:p w14:paraId="0EE0F77D" w14:textId="77777777" w:rsidR="004135EE" w:rsidRPr="005C5C20" w:rsidRDefault="004135EE" w:rsidP="0011545A">
            <w:pPr>
              <w:pStyle w:val="ListParagraph"/>
              <w:numPr>
                <w:ilvl w:val="0"/>
                <w:numId w:val="17"/>
              </w:numPr>
              <w:ind w:left="170" w:hanging="170"/>
              <w:rPr>
                <w:sz w:val="18"/>
                <w:szCs w:val="18"/>
              </w:rPr>
            </w:pPr>
            <w:r w:rsidRPr="005C5C20">
              <w:rPr>
                <w:sz w:val="18"/>
                <w:szCs w:val="18"/>
              </w:rPr>
              <w:t xml:space="preserve">Net result from transactions – Net operating balance </w:t>
            </w:r>
          </w:p>
          <w:p w14:paraId="67832131" w14:textId="77777777" w:rsidR="004135EE" w:rsidRPr="005C5C20" w:rsidRDefault="004135EE" w:rsidP="0011545A">
            <w:pPr>
              <w:pStyle w:val="ListParagraph"/>
              <w:numPr>
                <w:ilvl w:val="0"/>
                <w:numId w:val="17"/>
              </w:numPr>
              <w:ind w:left="170" w:hanging="170"/>
              <w:rPr>
                <w:sz w:val="18"/>
                <w:szCs w:val="18"/>
              </w:rPr>
            </w:pPr>
            <w:r w:rsidRPr="005C5C20">
              <w:rPr>
                <w:sz w:val="18"/>
                <w:szCs w:val="18"/>
              </w:rPr>
              <w:t>Net worth</w:t>
            </w:r>
          </w:p>
        </w:tc>
      </w:tr>
      <w:tr w:rsidR="004135EE" w:rsidRPr="005C5C20" w14:paraId="7FFB0D82" w14:textId="77777777" w:rsidTr="005C5C20">
        <w:tc>
          <w:tcPr>
            <w:tcW w:w="7711" w:type="dxa"/>
            <w:gridSpan w:val="4"/>
            <w:shd w:val="clear" w:color="auto" w:fill="D9D9D9" w:themeFill="background1" w:themeFillShade="D9"/>
          </w:tcPr>
          <w:p w14:paraId="29320BCA" w14:textId="77777777" w:rsidR="004135EE" w:rsidRPr="005C5C20" w:rsidRDefault="004135EE" w:rsidP="008670FF">
            <w:pPr>
              <w:keepNext/>
              <w:rPr>
                <w:sz w:val="18"/>
                <w:szCs w:val="18"/>
              </w:rPr>
            </w:pPr>
            <w:r w:rsidRPr="005C5C20">
              <w:rPr>
                <w:sz w:val="18"/>
                <w:szCs w:val="18"/>
              </w:rPr>
              <w:t>Investment in other sector entities</w:t>
            </w:r>
          </w:p>
        </w:tc>
      </w:tr>
      <w:tr w:rsidR="004135EE" w:rsidRPr="005C5C20" w14:paraId="2311C0BD" w14:textId="77777777" w:rsidTr="005C5C20">
        <w:tc>
          <w:tcPr>
            <w:tcW w:w="1170" w:type="dxa"/>
          </w:tcPr>
          <w:p w14:paraId="5D423F38" w14:textId="77777777" w:rsidR="004135EE" w:rsidRPr="005C5C20" w:rsidRDefault="004135EE" w:rsidP="008670FF">
            <w:pPr>
              <w:rPr>
                <w:sz w:val="18"/>
                <w:szCs w:val="18"/>
              </w:rPr>
            </w:pPr>
          </w:p>
        </w:tc>
        <w:tc>
          <w:tcPr>
            <w:tcW w:w="2070" w:type="dxa"/>
          </w:tcPr>
          <w:p w14:paraId="51801F16" w14:textId="77777777" w:rsidR="004135EE" w:rsidRPr="005C5C20" w:rsidRDefault="004135EE" w:rsidP="008670FF">
            <w:pPr>
              <w:rPr>
                <w:sz w:val="18"/>
                <w:szCs w:val="18"/>
              </w:rPr>
            </w:pPr>
            <w:r w:rsidRPr="005C5C20">
              <w:rPr>
                <w:sz w:val="18"/>
                <w:szCs w:val="18"/>
              </w:rPr>
              <w:t>The net worth of investments in other sector entities for the general government sector includes doubtful receivables, future tax benefits and deferred tax liabilities of the PNFC and PFC sectors.</w:t>
            </w:r>
          </w:p>
        </w:tc>
        <w:tc>
          <w:tcPr>
            <w:tcW w:w="2005" w:type="dxa"/>
          </w:tcPr>
          <w:p w14:paraId="3B355D5E" w14:textId="77777777" w:rsidR="004135EE" w:rsidRPr="005C5C20" w:rsidRDefault="004135EE" w:rsidP="008670FF">
            <w:pPr>
              <w:rPr>
                <w:sz w:val="18"/>
                <w:szCs w:val="18"/>
              </w:rPr>
            </w:pPr>
            <w:r w:rsidRPr="005C5C20">
              <w:rPr>
                <w:sz w:val="18"/>
                <w:szCs w:val="18"/>
              </w:rPr>
              <w:t>The determination of net worth is exclusive of this.</w:t>
            </w:r>
          </w:p>
        </w:tc>
        <w:tc>
          <w:tcPr>
            <w:tcW w:w="2466" w:type="dxa"/>
          </w:tcPr>
          <w:p w14:paraId="094BB8D7" w14:textId="75B2A03F" w:rsidR="004135EE" w:rsidRPr="005C5C20" w:rsidRDefault="004135EE" w:rsidP="0011545A">
            <w:pPr>
              <w:pStyle w:val="ListParagraph"/>
              <w:numPr>
                <w:ilvl w:val="0"/>
                <w:numId w:val="19"/>
              </w:numPr>
              <w:ind w:left="170" w:hanging="170"/>
              <w:rPr>
                <w:sz w:val="18"/>
                <w:szCs w:val="18"/>
              </w:rPr>
            </w:pPr>
            <w:r w:rsidRPr="005C5C20">
              <w:rPr>
                <w:sz w:val="18"/>
                <w:szCs w:val="18"/>
              </w:rPr>
              <w:t xml:space="preserve">Comprehensive result – </w:t>
            </w:r>
            <w:r w:rsidR="005C5C20">
              <w:rPr>
                <w:sz w:val="18"/>
                <w:szCs w:val="18"/>
              </w:rPr>
              <w:br/>
            </w:r>
            <w:r w:rsidRPr="005C5C20">
              <w:rPr>
                <w:sz w:val="18"/>
                <w:szCs w:val="18"/>
              </w:rPr>
              <w:t>Total change in net worth</w:t>
            </w:r>
          </w:p>
          <w:p w14:paraId="38FED3D7" w14:textId="77777777" w:rsidR="004135EE" w:rsidRPr="005C5C20" w:rsidRDefault="004135EE" w:rsidP="0011545A">
            <w:pPr>
              <w:pStyle w:val="ListParagraph"/>
              <w:numPr>
                <w:ilvl w:val="0"/>
                <w:numId w:val="19"/>
              </w:numPr>
              <w:ind w:left="170" w:hanging="170"/>
              <w:rPr>
                <w:sz w:val="18"/>
                <w:szCs w:val="18"/>
              </w:rPr>
            </w:pPr>
            <w:r w:rsidRPr="005C5C20">
              <w:rPr>
                <w:sz w:val="18"/>
                <w:szCs w:val="18"/>
              </w:rPr>
              <w:t>Net worth</w:t>
            </w:r>
          </w:p>
        </w:tc>
      </w:tr>
    </w:tbl>
    <w:p w14:paraId="7B1BE022" w14:textId="77777777" w:rsidR="004135EE" w:rsidRDefault="004135EE" w:rsidP="004135EE">
      <w:pPr>
        <w:pStyle w:val="Heading30"/>
      </w:pPr>
      <w:bookmarkStart w:id="134" w:name="_Toc149221099"/>
      <w:bookmarkStart w:id="135" w:name="_Toc184299243"/>
      <w:r>
        <w:t>4.6.3</w:t>
      </w:r>
      <w:r>
        <w:tab/>
      </w:r>
      <w:r w:rsidRPr="00F872C9">
        <w:t>Prospective accounting and reporting changes</w:t>
      </w:r>
      <w:bookmarkEnd w:id="134"/>
      <w:bookmarkEnd w:id="135"/>
    </w:p>
    <w:p w14:paraId="77727182" w14:textId="77777777" w:rsidR="004135EE" w:rsidRPr="00A7102E" w:rsidRDefault="004135EE" w:rsidP="004135EE">
      <w:r w:rsidRPr="00A7102E">
        <w:t xml:space="preserve">New and revised accounting standards have been issued </w:t>
      </w:r>
      <w:r>
        <w:t>that</w:t>
      </w:r>
      <w:r w:rsidRPr="00A7102E">
        <w:t xml:space="preserve"> are not effective for the 202</w:t>
      </w:r>
      <w:r>
        <w:t>4-25</w:t>
      </w:r>
      <w:r w:rsidRPr="00A7102E">
        <w:t xml:space="preserve"> reporting period. These accounting standards have not been applied to the Estimated Financial Statements. The State is reviewing its existing policies and assessing the potential implications of: </w:t>
      </w:r>
    </w:p>
    <w:p w14:paraId="7C797D7C" w14:textId="77777777" w:rsidR="004135EE" w:rsidRPr="00D94C5C" w:rsidRDefault="004135EE" w:rsidP="0011545A">
      <w:pPr>
        <w:pStyle w:val="ListBullet"/>
      </w:pPr>
      <w:r w:rsidRPr="00D94C5C">
        <w:t xml:space="preserve">AASB 17 </w:t>
      </w:r>
      <w:r w:rsidRPr="005C5C20">
        <w:rPr>
          <w:i/>
          <w:iCs/>
        </w:rPr>
        <w:t>Insurance Contracts</w:t>
      </w:r>
      <w:r w:rsidRPr="00525F4F">
        <w:t>,</w:t>
      </w:r>
      <w:r w:rsidRPr="00D94C5C">
        <w:t xml:space="preserve"> AASB 2022</w:t>
      </w:r>
      <w:r>
        <w:noBreakHyphen/>
      </w:r>
      <w:r w:rsidRPr="00D94C5C">
        <w:t xml:space="preserve">8 </w:t>
      </w:r>
      <w:r w:rsidRPr="005C5C20">
        <w:rPr>
          <w:i/>
          <w:iCs/>
        </w:rPr>
        <w:t>Amendments to Australian Accounting Standards – Insurance Contracts: Consequential Amendments</w:t>
      </w:r>
      <w:r w:rsidRPr="00D94C5C">
        <w:t xml:space="preserve"> and AASB 2022</w:t>
      </w:r>
      <w:r>
        <w:noBreakHyphen/>
      </w:r>
      <w:r w:rsidRPr="00D94C5C">
        <w:t xml:space="preserve">9 </w:t>
      </w:r>
      <w:r w:rsidRPr="005C5C20">
        <w:rPr>
          <w:i/>
          <w:iCs/>
        </w:rPr>
        <w:t>Amendments to Australian Accounting Standards – Insurance Contracts in the Public Sector</w:t>
      </w:r>
      <w:r w:rsidRPr="00525F4F">
        <w:t>:</w:t>
      </w:r>
    </w:p>
    <w:p w14:paraId="5BD00897" w14:textId="77777777" w:rsidR="004135EE" w:rsidRDefault="004135EE" w:rsidP="0011545A">
      <w:pPr>
        <w:pStyle w:val="ListBullet2"/>
      </w:pPr>
      <w:r>
        <w:t xml:space="preserve">AASB 17 replaces AASB 4 </w:t>
      </w:r>
      <w:r w:rsidRPr="0035086E">
        <w:rPr>
          <w:i/>
          <w:iCs/>
        </w:rPr>
        <w:t>Insurance Contracts</w:t>
      </w:r>
      <w:r>
        <w:t xml:space="preserve">, AASB 1023 </w:t>
      </w:r>
      <w:r w:rsidRPr="0035086E">
        <w:rPr>
          <w:i/>
          <w:iCs/>
        </w:rPr>
        <w:t>General Insurance Contracts</w:t>
      </w:r>
      <w:r>
        <w:t xml:space="preserve"> and AASB 1038 </w:t>
      </w:r>
      <w:r w:rsidRPr="0035086E">
        <w:rPr>
          <w:i/>
          <w:iCs/>
        </w:rPr>
        <w:t>Life Insurance Contracts</w:t>
      </w:r>
      <w:r>
        <w:t xml:space="preserve"> for not</w:t>
      </w:r>
      <w:r>
        <w:noBreakHyphen/>
        <w:t>for</w:t>
      </w:r>
      <w:r>
        <w:noBreakHyphen/>
        <w:t>profit public sector entities for annual reporting periods beginning on or after 1 July 2026.</w:t>
      </w:r>
    </w:p>
    <w:p w14:paraId="56E65D26" w14:textId="77777777" w:rsidR="004135EE" w:rsidRDefault="004135EE" w:rsidP="0011545A">
      <w:pPr>
        <w:pStyle w:val="ListBullet2"/>
      </w:pPr>
      <w:r>
        <w:t>AASB 2022</w:t>
      </w:r>
      <w:r>
        <w:noBreakHyphen/>
        <w:t>9 amends AASB 17 to make public sector</w:t>
      </w:r>
      <w:r>
        <w:noBreakHyphen/>
        <w:t>related modifications (for example, it specifies the pre</w:t>
      </w:r>
      <w:r>
        <w:noBreakHyphen/>
        <w:t>requisites, indicators, and other considerations in identifying arrangements that fall within the scope of AASB 17 in a public sector context). This Standard applies for annual reporting periods beginning on or after 1 July 2026.</w:t>
      </w:r>
    </w:p>
    <w:p w14:paraId="5E9061E8" w14:textId="77777777" w:rsidR="004135EE" w:rsidRDefault="004135EE" w:rsidP="0011545A">
      <w:pPr>
        <w:pStyle w:val="ListBullet2"/>
      </w:pPr>
      <w:r>
        <w:t>AASB 2022</w:t>
      </w:r>
      <w:r>
        <w:noBreakHyphen/>
        <w:t xml:space="preserve">8 makes consequential amendments to other AASs so that public sector entities are permitted to continue to apply AASB 4 and AASB 1023 to annual periods before 1 July 2026. </w:t>
      </w:r>
    </w:p>
    <w:p w14:paraId="6408D8B8" w14:textId="77777777" w:rsidR="004135EE" w:rsidRPr="00346B8E" w:rsidRDefault="004135EE" w:rsidP="0011545A">
      <w:pPr>
        <w:pStyle w:val="ListBullet"/>
      </w:pPr>
      <w:r>
        <w:t xml:space="preserve">AASB 2024-2 </w:t>
      </w:r>
      <w:r w:rsidRPr="005C5C20">
        <w:rPr>
          <w:i/>
          <w:iCs/>
        </w:rPr>
        <w:t>Amendments to Australian Accounting Standards – Classification and Measurement of Financial Instruments</w:t>
      </w:r>
    </w:p>
    <w:p w14:paraId="38E23EB7" w14:textId="7C02F997" w:rsidR="004135EE" w:rsidRDefault="004135EE" w:rsidP="0011545A">
      <w:pPr>
        <w:pStyle w:val="ListBullet2"/>
      </w:pPr>
      <w:r>
        <w:t xml:space="preserve">AASB 2024-2 amends AASB 7 </w:t>
      </w:r>
      <w:r w:rsidRPr="0011545A">
        <w:rPr>
          <w:i/>
          <w:iCs/>
        </w:rPr>
        <w:t>Financial Instruments: Disclosures</w:t>
      </w:r>
      <w:r>
        <w:t xml:space="preserve"> and AASB 9 </w:t>
      </w:r>
      <w:r w:rsidRPr="0011545A">
        <w:rPr>
          <w:i/>
          <w:iCs/>
        </w:rPr>
        <w:t>Financial Instruments</w:t>
      </w:r>
      <w:r>
        <w:t>.</w:t>
      </w:r>
    </w:p>
    <w:p w14:paraId="5A8CB4B7" w14:textId="77777777" w:rsidR="004135EE" w:rsidRDefault="004135EE" w:rsidP="0011545A">
      <w:pPr>
        <w:pStyle w:val="ListBullet2"/>
      </w:pPr>
      <w:r>
        <w:t>AASB 2024-2 amends requirements related to:</w:t>
      </w:r>
    </w:p>
    <w:p w14:paraId="62FDC032" w14:textId="44432C0A" w:rsidR="004135EE" w:rsidRDefault="004135EE" w:rsidP="0011545A">
      <w:pPr>
        <w:pStyle w:val="ListBullet3"/>
      </w:pPr>
      <w:r>
        <w:t>settling financial liabilities using an electronic payment system</w:t>
      </w:r>
    </w:p>
    <w:p w14:paraId="3BC337B3" w14:textId="0DB9BA42" w:rsidR="004135EE" w:rsidRDefault="004135EE" w:rsidP="0011545A">
      <w:pPr>
        <w:pStyle w:val="ListBullet3"/>
      </w:pPr>
      <w:r>
        <w:t>assessing contractual cash flow characteristics of financial assets with environmental, social and corporate governance (ESG) and similar features</w:t>
      </w:r>
    </w:p>
    <w:p w14:paraId="4B3C9954" w14:textId="77777777" w:rsidR="004135EE" w:rsidRDefault="004135EE" w:rsidP="0011545A">
      <w:pPr>
        <w:pStyle w:val="ListBullet3"/>
      </w:pPr>
      <w:r>
        <w:t>disclosure requirements for investments in equity instruments designated at fair value through other comprehensive income and financial instruments with contingent features that do not relate directly to basic lending risks and costs.</w:t>
      </w:r>
    </w:p>
    <w:p w14:paraId="6ED31A68" w14:textId="1E371E6D" w:rsidR="004135EE" w:rsidRDefault="004135EE" w:rsidP="0011545A">
      <w:pPr>
        <w:pStyle w:val="ListBullet2"/>
      </w:pPr>
      <w:r>
        <w:t>This amendment applies to annual reporting periods beginning on or after 1</w:t>
      </w:r>
      <w:r w:rsidR="005C5C20">
        <w:t> </w:t>
      </w:r>
      <w:r>
        <w:t>January 2026.</w:t>
      </w:r>
    </w:p>
    <w:p w14:paraId="33A90164" w14:textId="77777777" w:rsidR="004135EE" w:rsidRPr="00153783" w:rsidRDefault="004135EE" w:rsidP="0011545A">
      <w:pPr>
        <w:pStyle w:val="ListBullet"/>
      </w:pPr>
      <w:r w:rsidRPr="00153783">
        <w:t xml:space="preserve">AASB 18 </w:t>
      </w:r>
      <w:r w:rsidRPr="005C5C20">
        <w:rPr>
          <w:i/>
          <w:iCs/>
        </w:rPr>
        <w:t>Presentation and Disclosure in Financial Statements</w:t>
      </w:r>
    </w:p>
    <w:p w14:paraId="75A72BAC" w14:textId="77777777" w:rsidR="004135EE" w:rsidRPr="00153783" w:rsidRDefault="004135EE" w:rsidP="0011545A">
      <w:pPr>
        <w:pStyle w:val="ListBullet2"/>
      </w:pPr>
      <w:r w:rsidRPr="00153783">
        <w:t xml:space="preserve">AASB 18 replaces AASB 101 </w:t>
      </w:r>
      <w:r w:rsidRPr="00153783">
        <w:rPr>
          <w:i/>
        </w:rPr>
        <w:t>Presentation of Financial Statements</w:t>
      </w:r>
      <w:r w:rsidRPr="00153783">
        <w:t xml:space="preserve"> to improve how entities communicate in their financial statements, with a particular focus on information about financial performance in the statement of </w:t>
      </w:r>
      <w:r>
        <w:t>comprehensive income</w:t>
      </w:r>
      <w:r w:rsidRPr="00153783">
        <w:t>.</w:t>
      </w:r>
    </w:p>
    <w:p w14:paraId="17761BB9" w14:textId="2F468663" w:rsidR="004135EE" w:rsidRPr="0011545A" w:rsidRDefault="004135EE" w:rsidP="0011545A">
      <w:pPr>
        <w:pStyle w:val="ListBullet2"/>
      </w:pPr>
      <w:r w:rsidRPr="0011545A">
        <w:t>AASB 18 applies to annual reporting periods beginning on or after</w:t>
      </w:r>
      <w:r w:rsidR="005C5C20" w:rsidRPr="0011545A">
        <w:t xml:space="preserve"> </w:t>
      </w:r>
      <w:r w:rsidRPr="0011545A">
        <w:t>1</w:t>
      </w:r>
      <w:r w:rsidR="005C5C20" w:rsidRPr="0011545A">
        <w:t> </w:t>
      </w:r>
      <w:r w:rsidRPr="0011545A">
        <w:t>January 2027 for for-profit entities and applies to annual reporting periods beginning on or after 1 January 2028 for not-for-profit public sector entities. The delayed date of one year will allow the AASB to consult with stakeholders and consider potential modifications for application by not-for-profit public sector entities.</w:t>
      </w:r>
    </w:p>
    <w:p w14:paraId="3C0414B0" w14:textId="77777777" w:rsidR="004135EE" w:rsidRPr="009E03FE" w:rsidRDefault="004135EE" w:rsidP="004135EE">
      <w:r>
        <w:t xml:space="preserve">A number of other standards and amendments have also been issued that apply to future reporting periods, however they are not expected to have any significant impact on the financial statements in the period of initial application. </w:t>
      </w:r>
    </w:p>
    <w:p w14:paraId="039A6594" w14:textId="77777777" w:rsidR="004135EE" w:rsidRPr="00A7102E" w:rsidRDefault="004135EE" w:rsidP="004135EE">
      <w:pPr>
        <w:pStyle w:val="Heading30"/>
      </w:pPr>
      <w:bookmarkStart w:id="136" w:name="_Toc149221100"/>
      <w:bookmarkStart w:id="137" w:name="_Toc184299244"/>
      <w:r>
        <w:t>4.6.4</w:t>
      </w:r>
      <w:r>
        <w:tab/>
      </w:r>
      <w:r w:rsidRPr="00A7102E">
        <w:t>Controlled entities</w:t>
      </w:r>
      <w:bookmarkEnd w:id="136"/>
      <w:bookmarkEnd w:id="137"/>
    </w:p>
    <w:p w14:paraId="553796BC" w14:textId="77777777" w:rsidR="004135EE" w:rsidRPr="00A7102E" w:rsidRDefault="004135EE" w:rsidP="004135EE">
      <w:r w:rsidRPr="00A7102E">
        <w:t xml:space="preserve">Note 9.8 in Chapter 4 of the </w:t>
      </w:r>
      <w:r w:rsidRPr="00F872C9">
        <w:rPr>
          <w:i/>
          <w:iCs/>
        </w:rPr>
        <w:t>202</w:t>
      </w:r>
      <w:r>
        <w:rPr>
          <w:i/>
          <w:iCs/>
        </w:rPr>
        <w:t>3-24</w:t>
      </w:r>
      <w:r w:rsidRPr="00F872C9">
        <w:rPr>
          <w:i/>
          <w:iCs/>
        </w:rPr>
        <w:t> Financial Report</w:t>
      </w:r>
      <w:r w:rsidRPr="00A7102E">
        <w:t xml:space="preserve"> for the State of Victoria</w:t>
      </w:r>
      <w:r w:rsidRPr="00A7102E" w:rsidDel="00F21926">
        <w:t xml:space="preserve"> </w:t>
      </w:r>
      <w:r w:rsidRPr="00A7102E">
        <w:t>lists significant controlled entities</w:t>
      </w:r>
      <w:r>
        <w:t xml:space="preserve"> that</w:t>
      </w:r>
      <w:r w:rsidRPr="00A7102E">
        <w:t xml:space="preserve"> were consolidated in that financial report. </w:t>
      </w:r>
    </w:p>
    <w:p w14:paraId="7030F6FE" w14:textId="07AE6FCC" w:rsidR="004135EE" w:rsidRDefault="004135EE" w:rsidP="0011545A">
      <w:pPr>
        <w:spacing w:after="120"/>
      </w:pPr>
      <w:r w:rsidRPr="00A7102E">
        <w:t xml:space="preserve">The following are changes </w:t>
      </w:r>
      <w:r>
        <w:t>to</w:t>
      </w:r>
      <w:r w:rsidRPr="00A7102E">
        <w:t xml:space="preserve"> entities</w:t>
      </w:r>
      <w:r>
        <w:t xml:space="preserve"> </w:t>
      </w:r>
      <w:r w:rsidRPr="00A7102E">
        <w:t>since 1 July 202</w:t>
      </w:r>
      <w:r>
        <w:t>4</w:t>
      </w:r>
      <w:r w:rsidRPr="00A7102E">
        <w:t xml:space="preserve">, which have </w:t>
      </w:r>
      <w:r>
        <w:t xml:space="preserve">been consolidated in </w:t>
      </w:r>
      <w:r w:rsidRPr="00A7102E">
        <w:t>this financial report:</w:t>
      </w:r>
      <w:r>
        <w:t xml:space="preserve"> </w:t>
      </w:r>
    </w:p>
    <w:tbl>
      <w:tblPr>
        <w:tblStyle w:val="DTFTableText"/>
        <w:tblW w:w="0" w:type="auto"/>
        <w:tblLook w:val="0620" w:firstRow="1" w:lastRow="0" w:firstColumn="0" w:lastColumn="0" w:noHBand="1" w:noVBand="1"/>
      </w:tblPr>
      <w:tblGrid>
        <w:gridCol w:w="7701"/>
      </w:tblGrid>
      <w:tr w:rsidR="004135EE" w:rsidRPr="00141EE5" w14:paraId="52FC1F74" w14:textId="77777777" w:rsidTr="008670FF">
        <w:trPr>
          <w:cnfStyle w:val="100000000000" w:firstRow="1" w:lastRow="0" w:firstColumn="0" w:lastColumn="0" w:oddVBand="0" w:evenVBand="0" w:oddHBand="0" w:evenHBand="0" w:firstRowFirstColumn="0" w:firstRowLastColumn="0" w:lastRowFirstColumn="0" w:lastRowLastColumn="0"/>
        </w:trPr>
        <w:tc>
          <w:tcPr>
            <w:tcW w:w="7701" w:type="dxa"/>
          </w:tcPr>
          <w:p w14:paraId="218052FB" w14:textId="77777777" w:rsidR="004135EE" w:rsidRPr="00141EE5" w:rsidRDefault="004135EE" w:rsidP="008670FF">
            <w:r w:rsidRPr="00141EE5">
              <w:t>General government</w:t>
            </w:r>
          </w:p>
        </w:tc>
      </w:tr>
      <w:tr w:rsidR="004135EE" w:rsidRPr="00141EE5" w14:paraId="6025B991" w14:textId="77777777" w:rsidTr="000056E9">
        <w:tc>
          <w:tcPr>
            <w:tcW w:w="7701" w:type="dxa"/>
            <w:tcBorders>
              <w:bottom w:val="single" w:sz="12" w:space="0" w:color="auto"/>
            </w:tcBorders>
          </w:tcPr>
          <w:p w14:paraId="2426FFA0" w14:textId="77777777" w:rsidR="004135EE" w:rsidRDefault="004135EE" w:rsidP="000056E9">
            <w:pPr>
              <w:pStyle w:val="ControlledEntitiesDepartment"/>
              <w:rPr>
                <w:b w:val="0"/>
                <w:bCs w:val="0"/>
                <w:vertAlign w:val="superscript"/>
              </w:rPr>
            </w:pPr>
            <w:r w:rsidRPr="00F57347">
              <w:t xml:space="preserve">Department of Energy, Environment and Climate Action </w:t>
            </w:r>
            <w:r w:rsidRPr="00F57347">
              <w:rPr>
                <w:vertAlign w:val="superscript"/>
              </w:rPr>
              <w:t>(a)(b)</w:t>
            </w:r>
          </w:p>
          <w:p w14:paraId="290C0C4F" w14:textId="77777777" w:rsidR="00E86F27" w:rsidRDefault="00E86F27" w:rsidP="000056E9">
            <w:pPr>
              <w:pStyle w:val="ControlledEntitiesDepartment"/>
              <w:rPr>
                <w:vertAlign w:val="superscript"/>
              </w:rPr>
            </w:pPr>
            <w:r>
              <w:t xml:space="preserve">Department of Jobs, Skills, Industry and Regions </w:t>
            </w:r>
            <w:r w:rsidRPr="00500471">
              <w:rPr>
                <w:vertAlign w:val="superscript"/>
              </w:rPr>
              <w:t>(</w:t>
            </w:r>
            <w:r>
              <w:rPr>
                <w:vertAlign w:val="superscript"/>
              </w:rPr>
              <w:t>c</w:t>
            </w:r>
            <w:r w:rsidRPr="00500471">
              <w:rPr>
                <w:vertAlign w:val="superscript"/>
              </w:rPr>
              <w:t>)</w:t>
            </w:r>
          </w:p>
          <w:p w14:paraId="2D4F8ECA" w14:textId="4E40EDE4" w:rsidR="004135EE" w:rsidRPr="00876C03" w:rsidDel="00020015" w:rsidRDefault="00E86F27" w:rsidP="000056E9">
            <w:pPr>
              <w:pStyle w:val="ControlledEntitiesDepartment"/>
            </w:pPr>
            <w:r w:rsidRPr="00DD1ADA">
              <w:t xml:space="preserve">Department of Justice and Community Safety </w:t>
            </w:r>
            <w:r w:rsidRPr="00DD1ADA">
              <w:rPr>
                <w:vertAlign w:val="superscript"/>
              </w:rPr>
              <w:t>(</w:t>
            </w:r>
            <w:r>
              <w:rPr>
                <w:vertAlign w:val="superscript"/>
              </w:rPr>
              <w:t>d</w:t>
            </w:r>
            <w:r w:rsidRPr="00DD1ADA">
              <w:rPr>
                <w:vertAlign w:val="superscript"/>
              </w:rPr>
              <w:t>)</w:t>
            </w:r>
          </w:p>
        </w:tc>
      </w:tr>
    </w:tbl>
    <w:p w14:paraId="13E0D9EC" w14:textId="77777777" w:rsidR="004135EE" w:rsidRDefault="004135EE" w:rsidP="004135EE">
      <w:pPr>
        <w:pStyle w:val="Note"/>
        <w:ind w:left="0" w:firstLine="0"/>
      </w:pPr>
      <w:r>
        <w:t>Notes:</w:t>
      </w:r>
    </w:p>
    <w:p w14:paraId="3414E47D" w14:textId="77777777" w:rsidR="004135EE" w:rsidRDefault="004135EE" w:rsidP="004135EE">
      <w:pPr>
        <w:pStyle w:val="Note"/>
      </w:pPr>
      <w:r>
        <w:t>(a)</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sidRPr="00692560">
        <w:t xml:space="preserve">. </w:t>
      </w:r>
    </w:p>
    <w:p w14:paraId="208E5A44" w14:textId="77777777" w:rsidR="004135EE" w:rsidRDefault="004135EE" w:rsidP="004135EE">
      <w:pPr>
        <w:pStyle w:val="Note"/>
      </w:pPr>
      <w:r>
        <w:t xml:space="preserve">(b) </w:t>
      </w:r>
      <w:r>
        <w:tab/>
      </w:r>
      <w:r w:rsidRPr="004A5DD2">
        <w:t xml:space="preserve">VicForests ceased operations on 30 June 2024 and </w:t>
      </w:r>
      <w:r>
        <w:t>the residual assets and liabilities together</w:t>
      </w:r>
      <w:r w:rsidRPr="004A5DD2">
        <w:t xml:space="preserve"> with residual responsibilities for native forest management </w:t>
      </w:r>
      <w:r>
        <w:t xml:space="preserve">were </w:t>
      </w:r>
      <w:r w:rsidRPr="004A5DD2">
        <w:t xml:space="preserve">transferred to the Department of Energy, Environment and Climate Action following proclamation of the </w:t>
      </w:r>
      <w:r w:rsidRPr="005E6087">
        <w:rPr>
          <w:i w:val="0"/>
          <w:iCs/>
        </w:rPr>
        <w:t>Sustainable Forests (Timber) Repeal Act 2024</w:t>
      </w:r>
      <w:r w:rsidRPr="004A5DD2">
        <w:t>, effective from 1 July 2024. This has resulted in the 1 July 2024 opening balance not equalling the 30 June closing balance.</w:t>
      </w:r>
    </w:p>
    <w:p w14:paraId="1029A7CA" w14:textId="77777777" w:rsidR="004135EE" w:rsidRDefault="004135EE" w:rsidP="004135EE">
      <w:pPr>
        <w:pStyle w:val="Note"/>
      </w:pPr>
      <w:r>
        <w:t>(c)</w:t>
      </w:r>
      <w:r>
        <w:tab/>
        <w:t>On 21 August 2024, Victoria 2026 Pty Ltd, was officially deregistered as a company from Australian Securities and Investments Commission (ASIC). The decision to deregister was made following the July 2023 announcement that Victoria would no longer host the 2026 Commonwealth Games.</w:t>
      </w:r>
    </w:p>
    <w:p w14:paraId="2916B5FE" w14:textId="77777777" w:rsidR="004135EE" w:rsidRDefault="004135EE" w:rsidP="004135EE">
      <w:pPr>
        <w:pStyle w:val="Note"/>
      </w:pPr>
      <w:r>
        <w:t xml:space="preserve">(d) </w:t>
      </w:r>
      <w:r>
        <w:tab/>
        <w:t xml:space="preserve">The Victorian Responsible Gambling Foundation ceased operations on 1 July 2024 and all property, rights and liabilities have been transferred to the Department of Justice and Community Safety following proclamation of the </w:t>
      </w:r>
      <w:r w:rsidRPr="00026BD5">
        <w:rPr>
          <w:i w:val="0"/>
        </w:rPr>
        <w:t>Victorian Responsible Gambling Foundation Repeal and Advisory Councils Act 2024</w:t>
      </w:r>
      <w:r>
        <w:t>, effective from 25 June 2024.</w:t>
      </w:r>
    </w:p>
    <w:p w14:paraId="417D4621" w14:textId="77777777" w:rsidR="00AB205D" w:rsidRPr="00901F0C" w:rsidRDefault="00AB205D"/>
    <w:bookmarkEnd w:id="130"/>
    <w:p w14:paraId="081578E5" w14:textId="0B8C6071" w:rsidR="00341416" w:rsidRDefault="00A13A45">
      <w:pPr>
        <w:keepLines w:val="0"/>
      </w:pPr>
      <w:r>
        <w:br w:type="page"/>
      </w:r>
    </w:p>
    <w:p w14:paraId="235C7D95" w14:textId="77777777" w:rsidR="00341416" w:rsidRDefault="00341416" w:rsidP="00341416"/>
    <w:p w14:paraId="7C80122A" w14:textId="77777777" w:rsidR="004C16B3" w:rsidRDefault="004C16B3" w:rsidP="00341416">
      <w:pPr>
        <w:sectPr w:rsidR="004C16B3" w:rsidSect="00A12B31">
          <w:type w:val="continuous"/>
          <w:pgSz w:w="9979" w:h="14175" w:code="34"/>
          <w:pgMar w:top="1134" w:right="1134" w:bottom="1134" w:left="1134" w:header="624" w:footer="567" w:gutter="0"/>
          <w:cols w:space="708"/>
          <w:docGrid w:linePitch="360"/>
        </w:sectPr>
      </w:pPr>
    </w:p>
    <w:p w14:paraId="0D01556A" w14:textId="77777777" w:rsidR="00AB205D" w:rsidRPr="00921F69" w:rsidRDefault="00471A3B">
      <w:pPr>
        <w:pStyle w:val="ChapterHeading"/>
      </w:pPr>
      <w:bookmarkStart w:id="138" w:name="_Toc184299451"/>
      <w:r w:rsidRPr="00921F69">
        <w:t>Chapter 5 – Supplementary uniform presentation framework tables</w:t>
      </w:r>
      <w:bookmarkEnd w:id="138"/>
    </w:p>
    <w:p w14:paraId="563158EB" w14:textId="77777777" w:rsidR="005D339F" w:rsidRDefault="005D339F" w:rsidP="005D339F">
      <w:pPr>
        <w:pStyle w:val="TableHeading"/>
      </w:pPr>
      <w:r w:rsidRPr="00921F69">
        <w:t>Table 5.1</w:t>
      </w:r>
      <w:r w:rsidRPr="00921F69">
        <w:tab/>
        <w:t xml:space="preserve">Public non-financial corporations sector comprehensive operating </w:t>
      </w:r>
      <w:r w:rsidRPr="00921F69">
        <w:br/>
        <w:t>statement for the financial year ended 30 June</w:t>
      </w:r>
      <w:r>
        <w:t xml:space="preserve"> </w:t>
      </w:r>
      <w:r w:rsidRPr="00DE0702">
        <w:rPr>
          <w:vertAlign w:val="superscript"/>
        </w:rPr>
        <w:t>(a)</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NFC_OS|MergedHeadingRow:1|LastRow:36"/>
      </w:tblPr>
      <w:tblGrid>
        <w:gridCol w:w="3686"/>
        <w:gridCol w:w="804"/>
        <w:gridCol w:w="805"/>
        <w:gridCol w:w="805"/>
        <w:gridCol w:w="805"/>
        <w:gridCol w:w="805"/>
      </w:tblGrid>
      <w:tr w:rsidR="005D339F" w14:paraId="7BAC3C2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3E2D1F50" w14:textId="77777777" w:rsidR="005D339F" w:rsidRDefault="005D339F" w:rsidP="005D339F">
            <w:pPr>
              <w:keepNext/>
              <w:spacing w:after="0"/>
            </w:pPr>
          </w:p>
        </w:tc>
        <w:tc>
          <w:tcPr>
            <w:tcW w:w="804" w:type="dxa"/>
          </w:tcPr>
          <w:p w14:paraId="64172823"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805" w:type="dxa"/>
          </w:tcPr>
          <w:p w14:paraId="676BAC04"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05" w:type="dxa"/>
          </w:tcPr>
          <w:p w14:paraId="28B30579"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05" w:type="dxa"/>
          </w:tcPr>
          <w:p w14:paraId="76E5BBA2"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05" w:type="dxa"/>
          </w:tcPr>
          <w:p w14:paraId="665C3D65"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2568A23B"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198CBD06" w14:textId="77777777" w:rsidR="005D339F" w:rsidRDefault="005D339F" w:rsidP="005D339F">
            <w:pPr>
              <w:spacing w:after="0"/>
            </w:pPr>
            <w:r>
              <w:rPr>
                <w:b/>
              </w:rPr>
              <w:t>Revenue and income from transactions</w:t>
            </w:r>
          </w:p>
        </w:tc>
        <w:tc>
          <w:tcPr>
            <w:tcW w:w="804" w:type="dxa"/>
          </w:tcPr>
          <w:p w14:paraId="473C57A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70FAD47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61B6BC2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3A5D81B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3046C10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0153B76E"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3A24861A" w14:textId="77777777" w:rsidR="005D339F" w:rsidRDefault="005D339F" w:rsidP="005D339F">
            <w:pPr>
              <w:spacing w:after="0"/>
            </w:pPr>
            <w:r>
              <w:t>Interest income</w:t>
            </w:r>
          </w:p>
        </w:tc>
        <w:tc>
          <w:tcPr>
            <w:tcW w:w="804" w:type="dxa"/>
          </w:tcPr>
          <w:p w14:paraId="2639770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27</w:t>
            </w:r>
          </w:p>
        </w:tc>
        <w:tc>
          <w:tcPr>
            <w:tcW w:w="805" w:type="dxa"/>
          </w:tcPr>
          <w:p w14:paraId="05980A6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90</w:t>
            </w:r>
          </w:p>
        </w:tc>
        <w:tc>
          <w:tcPr>
            <w:tcW w:w="805" w:type="dxa"/>
          </w:tcPr>
          <w:p w14:paraId="34D305FA" w14:textId="0DBE4471" w:rsidR="005D339F" w:rsidRDefault="00F60A8E" w:rsidP="005D339F">
            <w:pPr>
              <w:spacing w:after="0"/>
              <w:cnfStyle w:val="000000000000" w:firstRow="0" w:lastRow="0" w:firstColumn="0" w:lastColumn="0" w:oddVBand="0" w:evenVBand="0" w:oddHBand="0" w:evenHBand="0" w:firstRowFirstColumn="0" w:firstRowLastColumn="0" w:lastRowFirstColumn="0" w:lastRowLastColumn="0"/>
            </w:pPr>
            <w:r>
              <w:t>42</w:t>
            </w:r>
          </w:p>
        </w:tc>
        <w:tc>
          <w:tcPr>
            <w:tcW w:w="805" w:type="dxa"/>
          </w:tcPr>
          <w:p w14:paraId="1E992063" w14:textId="57545B2C" w:rsidR="005D339F" w:rsidRDefault="00025288" w:rsidP="005D339F">
            <w:pPr>
              <w:spacing w:after="0"/>
              <w:cnfStyle w:val="000000000000" w:firstRow="0" w:lastRow="0" w:firstColumn="0" w:lastColumn="0" w:oddVBand="0" w:evenVBand="0" w:oddHBand="0" w:evenHBand="0" w:firstRowFirstColumn="0" w:firstRowLastColumn="0" w:lastRowFirstColumn="0" w:lastRowLastColumn="0"/>
            </w:pPr>
            <w:r>
              <w:t>42</w:t>
            </w:r>
          </w:p>
        </w:tc>
        <w:tc>
          <w:tcPr>
            <w:tcW w:w="805" w:type="dxa"/>
          </w:tcPr>
          <w:p w14:paraId="737C4443" w14:textId="5A3A82B2" w:rsidR="005D339F" w:rsidRDefault="00025288" w:rsidP="005D339F">
            <w:pPr>
              <w:spacing w:after="0"/>
              <w:cnfStyle w:val="000000000000" w:firstRow="0" w:lastRow="0" w:firstColumn="0" w:lastColumn="0" w:oddVBand="0" w:evenVBand="0" w:oddHBand="0" w:evenHBand="0" w:firstRowFirstColumn="0" w:firstRowLastColumn="0" w:lastRowFirstColumn="0" w:lastRowLastColumn="0"/>
            </w:pPr>
            <w:r>
              <w:t>49</w:t>
            </w:r>
          </w:p>
        </w:tc>
      </w:tr>
      <w:tr w:rsidR="005D339F" w14:paraId="0BB34EC2"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03B09875" w14:textId="77777777" w:rsidR="005D339F" w:rsidRDefault="005D339F" w:rsidP="005D339F">
            <w:pPr>
              <w:spacing w:after="0"/>
            </w:pPr>
            <w:r>
              <w:t>Dividend income</w:t>
            </w:r>
          </w:p>
        </w:tc>
        <w:tc>
          <w:tcPr>
            <w:tcW w:w="804" w:type="dxa"/>
          </w:tcPr>
          <w:p w14:paraId="28D57B6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31</w:t>
            </w:r>
          </w:p>
        </w:tc>
        <w:tc>
          <w:tcPr>
            <w:tcW w:w="805" w:type="dxa"/>
          </w:tcPr>
          <w:p w14:paraId="20EBD48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22</w:t>
            </w:r>
          </w:p>
        </w:tc>
        <w:tc>
          <w:tcPr>
            <w:tcW w:w="805" w:type="dxa"/>
          </w:tcPr>
          <w:p w14:paraId="1245ED4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19</w:t>
            </w:r>
          </w:p>
        </w:tc>
        <w:tc>
          <w:tcPr>
            <w:tcW w:w="805" w:type="dxa"/>
          </w:tcPr>
          <w:p w14:paraId="1FAC293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20</w:t>
            </w:r>
          </w:p>
        </w:tc>
        <w:tc>
          <w:tcPr>
            <w:tcW w:w="805" w:type="dxa"/>
          </w:tcPr>
          <w:p w14:paraId="2AB5636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21</w:t>
            </w:r>
          </w:p>
        </w:tc>
      </w:tr>
      <w:tr w:rsidR="005D339F" w14:paraId="5D0F98B2"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78E12C9F" w14:textId="77777777" w:rsidR="005D339F" w:rsidRDefault="005D339F" w:rsidP="005D339F">
            <w:pPr>
              <w:spacing w:after="0"/>
            </w:pPr>
            <w:r>
              <w:t>Sales of goods and services</w:t>
            </w:r>
          </w:p>
        </w:tc>
        <w:tc>
          <w:tcPr>
            <w:tcW w:w="804" w:type="dxa"/>
          </w:tcPr>
          <w:p w14:paraId="7179C48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7 968</w:t>
            </w:r>
          </w:p>
        </w:tc>
        <w:tc>
          <w:tcPr>
            <w:tcW w:w="805" w:type="dxa"/>
          </w:tcPr>
          <w:p w14:paraId="6775AC3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8 039</w:t>
            </w:r>
          </w:p>
        </w:tc>
        <w:tc>
          <w:tcPr>
            <w:tcW w:w="805" w:type="dxa"/>
          </w:tcPr>
          <w:p w14:paraId="285D6C5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8 510</w:t>
            </w:r>
          </w:p>
        </w:tc>
        <w:tc>
          <w:tcPr>
            <w:tcW w:w="805" w:type="dxa"/>
          </w:tcPr>
          <w:p w14:paraId="2312FB3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8 838</w:t>
            </w:r>
          </w:p>
        </w:tc>
        <w:tc>
          <w:tcPr>
            <w:tcW w:w="805" w:type="dxa"/>
          </w:tcPr>
          <w:p w14:paraId="2A3C0EC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9 108</w:t>
            </w:r>
          </w:p>
        </w:tc>
      </w:tr>
      <w:tr w:rsidR="005D339F" w14:paraId="13D3E181"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3A61CB8B" w14:textId="77777777" w:rsidR="005D339F" w:rsidRDefault="005D339F" w:rsidP="005D339F">
            <w:pPr>
              <w:spacing w:after="0"/>
            </w:pPr>
            <w:r>
              <w:t>Grants</w:t>
            </w:r>
          </w:p>
        </w:tc>
        <w:tc>
          <w:tcPr>
            <w:tcW w:w="804" w:type="dxa"/>
          </w:tcPr>
          <w:p w14:paraId="54CA560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2 358</w:t>
            </w:r>
          </w:p>
        </w:tc>
        <w:tc>
          <w:tcPr>
            <w:tcW w:w="805" w:type="dxa"/>
          </w:tcPr>
          <w:p w14:paraId="7153562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2 619</w:t>
            </w:r>
          </w:p>
        </w:tc>
        <w:tc>
          <w:tcPr>
            <w:tcW w:w="805" w:type="dxa"/>
          </w:tcPr>
          <w:p w14:paraId="251C3F6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2 159</w:t>
            </w:r>
          </w:p>
        </w:tc>
        <w:tc>
          <w:tcPr>
            <w:tcW w:w="805" w:type="dxa"/>
          </w:tcPr>
          <w:p w14:paraId="47B91F5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1 956</w:t>
            </w:r>
          </w:p>
        </w:tc>
        <w:tc>
          <w:tcPr>
            <w:tcW w:w="805" w:type="dxa"/>
          </w:tcPr>
          <w:p w14:paraId="23F547E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1 939</w:t>
            </w:r>
          </w:p>
        </w:tc>
      </w:tr>
      <w:tr w:rsidR="005D339F" w14:paraId="46BF2906"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427EC603" w14:textId="77777777" w:rsidR="005D339F" w:rsidRDefault="005D339F" w:rsidP="005D339F">
            <w:pPr>
              <w:spacing w:after="0"/>
            </w:pPr>
            <w:r>
              <w:t>Other revenue and income</w:t>
            </w:r>
          </w:p>
        </w:tc>
        <w:tc>
          <w:tcPr>
            <w:tcW w:w="804" w:type="dxa"/>
            <w:tcBorders>
              <w:bottom w:val="single" w:sz="6" w:space="0" w:color="auto"/>
            </w:tcBorders>
          </w:tcPr>
          <w:p w14:paraId="147F4B1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681</w:t>
            </w:r>
          </w:p>
        </w:tc>
        <w:tc>
          <w:tcPr>
            <w:tcW w:w="805" w:type="dxa"/>
            <w:tcBorders>
              <w:bottom w:val="single" w:sz="6" w:space="0" w:color="auto"/>
            </w:tcBorders>
          </w:tcPr>
          <w:p w14:paraId="7271723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724</w:t>
            </w:r>
          </w:p>
        </w:tc>
        <w:tc>
          <w:tcPr>
            <w:tcW w:w="805" w:type="dxa"/>
            <w:tcBorders>
              <w:bottom w:val="single" w:sz="6" w:space="0" w:color="auto"/>
            </w:tcBorders>
          </w:tcPr>
          <w:p w14:paraId="0536E02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776</w:t>
            </w:r>
          </w:p>
        </w:tc>
        <w:tc>
          <w:tcPr>
            <w:tcW w:w="805" w:type="dxa"/>
            <w:tcBorders>
              <w:bottom w:val="single" w:sz="6" w:space="0" w:color="auto"/>
            </w:tcBorders>
          </w:tcPr>
          <w:p w14:paraId="2540FE1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797</w:t>
            </w:r>
          </w:p>
        </w:tc>
        <w:tc>
          <w:tcPr>
            <w:tcW w:w="805" w:type="dxa"/>
            <w:tcBorders>
              <w:bottom w:val="single" w:sz="6" w:space="0" w:color="auto"/>
            </w:tcBorders>
          </w:tcPr>
          <w:p w14:paraId="4961C49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848</w:t>
            </w:r>
          </w:p>
        </w:tc>
      </w:tr>
      <w:tr w:rsidR="005D339F" w14:paraId="14556132"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2E959B0E" w14:textId="77777777" w:rsidR="005D339F" w:rsidRDefault="005D339F" w:rsidP="005D339F">
            <w:pPr>
              <w:spacing w:after="0"/>
            </w:pPr>
            <w:r>
              <w:rPr>
                <w:b/>
              </w:rPr>
              <w:t>Total revenue and income from transactions</w:t>
            </w:r>
          </w:p>
        </w:tc>
        <w:tc>
          <w:tcPr>
            <w:tcW w:w="804" w:type="dxa"/>
            <w:tcBorders>
              <w:top w:val="single" w:sz="6" w:space="0" w:color="auto"/>
            </w:tcBorders>
          </w:tcPr>
          <w:p w14:paraId="3C6A33B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11 065</w:t>
            </w:r>
          </w:p>
        </w:tc>
        <w:tc>
          <w:tcPr>
            <w:tcW w:w="805" w:type="dxa"/>
            <w:tcBorders>
              <w:top w:val="single" w:sz="6" w:space="0" w:color="auto"/>
            </w:tcBorders>
          </w:tcPr>
          <w:p w14:paraId="514DCB5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11 493</w:t>
            </w:r>
          </w:p>
        </w:tc>
        <w:tc>
          <w:tcPr>
            <w:tcW w:w="805" w:type="dxa"/>
            <w:tcBorders>
              <w:top w:val="single" w:sz="6" w:space="0" w:color="auto"/>
            </w:tcBorders>
          </w:tcPr>
          <w:p w14:paraId="307EB1BB" w14:textId="11B4CD18"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 xml:space="preserve">11 </w:t>
            </w:r>
            <w:r w:rsidR="004B01AA">
              <w:rPr>
                <w:b/>
              </w:rPr>
              <w:t>506</w:t>
            </w:r>
          </w:p>
        </w:tc>
        <w:tc>
          <w:tcPr>
            <w:tcW w:w="805" w:type="dxa"/>
            <w:tcBorders>
              <w:top w:val="single" w:sz="6" w:space="0" w:color="auto"/>
            </w:tcBorders>
          </w:tcPr>
          <w:p w14:paraId="077526B5" w14:textId="602CD0CF"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11 6</w:t>
            </w:r>
            <w:r w:rsidR="00591C5D">
              <w:rPr>
                <w:b/>
              </w:rPr>
              <w:t>53</w:t>
            </w:r>
          </w:p>
        </w:tc>
        <w:tc>
          <w:tcPr>
            <w:tcW w:w="805" w:type="dxa"/>
            <w:tcBorders>
              <w:top w:val="single" w:sz="6" w:space="0" w:color="auto"/>
            </w:tcBorders>
          </w:tcPr>
          <w:p w14:paraId="345AA414" w14:textId="32536CCB"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11 9</w:t>
            </w:r>
            <w:r w:rsidR="00591C5D">
              <w:rPr>
                <w:b/>
              </w:rPr>
              <w:t>65</w:t>
            </w:r>
          </w:p>
        </w:tc>
      </w:tr>
      <w:tr w:rsidR="005D339F" w14:paraId="23610F00"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A7E6B0B" w14:textId="77777777" w:rsidR="005D339F" w:rsidRDefault="005D339F" w:rsidP="005D339F">
            <w:pPr>
              <w:spacing w:after="0"/>
            </w:pPr>
            <w:r>
              <w:rPr>
                <w:b/>
              </w:rPr>
              <w:t>Expenses from transactions</w:t>
            </w:r>
          </w:p>
        </w:tc>
        <w:tc>
          <w:tcPr>
            <w:tcW w:w="804" w:type="dxa"/>
          </w:tcPr>
          <w:p w14:paraId="4EDD617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1DF0A4E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33F27B1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78683CE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51F4475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6E80FE22"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5D89304A" w14:textId="77777777" w:rsidR="005D339F" w:rsidRDefault="005D339F" w:rsidP="005D339F">
            <w:pPr>
              <w:spacing w:after="0"/>
            </w:pPr>
            <w:r>
              <w:t>Employee expenses</w:t>
            </w:r>
          </w:p>
        </w:tc>
        <w:tc>
          <w:tcPr>
            <w:tcW w:w="804" w:type="dxa"/>
          </w:tcPr>
          <w:p w14:paraId="730E770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1 850</w:t>
            </w:r>
          </w:p>
        </w:tc>
        <w:tc>
          <w:tcPr>
            <w:tcW w:w="805" w:type="dxa"/>
          </w:tcPr>
          <w:p w14:paraId="0CFA045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1 967</w:t>
            </w:r>
          </w:p>
        </w:tc>
        <w:tc>
          <w:tcPr>
            <w:tcW w:w="805" w:type="dxa"/>
          </w:tcPr>
          <w:p w14:paraId="6E85568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1 906</w:t>
            </w:r>
          </w:p>
        </w:tc>
        <w:tc>
          <w:tcPr>
            <w:tcW w:w="805" w:type="dxa"/>
          </w:tcPr>
          <w:p w14:paraId="0C5603A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1 952</w:t>
            </w:r>
          </w:p>
        </w:tc>
        <w:tc>
          <w:tcPr>
            <w:tcW w:w="805" w:type="dxa"/>
          </w:tcPr>
          <w:p w14:paraId="5AD668D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2 013</w:t>
            </w:r>
          </w:p>
        </w:tc>
      </w:tr>
      <w:tr w:rsidR="005D339F" w14:paraId="4FBD4119"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65A24C1F" w14:textId="77777777" w:rsidR="005D339F" w:rsidRDefault="005D339F" w:rsidP="005D339F">
            <w:pPr>
              <w:spacing w:after="0"/>
            </w:pPr>
            <w:r>
              <w:t>Net superannuation interest expense</w:t>
            </w:r>
          </w:p>
        </w:tc>
        <w:tc>
          <w:tcPr>
            <w:tcW w:w="804" w:type="dxa"/>
          </w:tcPr>
          <w:p w14:paraId="1E4F1F2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w:t>
            </w:r>
          </w:p>
        </w:tc>
        <w:tc>
          <w:tcPr>
            <w:tcW w:w="805" w:type="dxa"/>
          </w:tcPr>
          <w:p w14:paraId="5C6ABF2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w:t>
            </w:r>
          </w:p>
        </w:tc>
        <w:tc>
          <w:tcPr>
            <w:tcW w:w="805" w:type="dxa"/>
          </w:tcPr>
          <w:p w14:paraId="06335C6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w:t>
            </w:r>
          </w:p>
        </w:tc>
        <w:tc>
          <w:tcPr>
            <w:tcW w:w="805" w:type="dxa"/>
          </w:tcPr>
          <w:p w14:paraId="7B6BFE0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w:t>
            </w:r>
          </w:p>
        </w:tc>
        <w:tc>
          <w:tcPr>
            <w:tcW w:w="805" w:type="dxa"/>
          </w:tcPr>
          <w:p w14:paraId="78FE52D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w:t>
            </w:r>
          </w:p>
        </w:tc>
      </w:tr>
      <w:tr w:rsidR="005D339F" w14:paraId="370C8C9A"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A773613" w14:textId="77777777" w:rsidR="005D339F" w:rsidRDefault="005D339F" w:rsidP="005D339F">
            <w:pPr>
              <w:spacing w:after="0"/>
            </w:pPr>
            <w:r>
              <w:t>Other superannuation</w:t>
            </w:r>
          </w:p>
        </w:tc>
        <w:tc>
          <w:tcPr>
            <w:tcW w:w="804" w:type="dxa"/>
          </w:tcPr>
          <w:p w14:paraId="3A62302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203</w:t>
            </w:r>
          </w:p>
        </w:tc>
        <w:tc>
          <w:tcPr>
            <w:tcW w:w="805" w:type="dxa"/>
          </w:tcPr>
          <w:p w14:paraId="63DDF2F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227</w:t>
            </w:r>
          </w:p>
        </w:tc>
        <w:tc>
          <w:tcPr>
            <w:tcW w:w="805" w:type="dxa"/>
          </w:tcPr>
          <w:p w14:paraId="54BE499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239</w:t>
            </w:r>
          </w:p>
        </w:tc>
        <w:tc>
          <w:tcPr>
            <w:tcW w:w="805" w:type="dxa"/>
          </w:tcPr>
          <w:p w14:paraId="231AF71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246</w:t>
            </w:r>
          </w:p>
        </w:tc>
        <w:tc>
          <w:tcPr>
            <w:tcW w:w="805" w:type="dxa"/>
          </w:tcPr>
          <w:p w14:paraId="5C86B64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253</w:t>
            </w:r>
          </w:p>
        </w:tc>
      </w:tr>
      <w:tr w:rsidR="005D339F" w14:paraId="317AFFA3"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777AC79C" w14:textId="77777777" w:rsidR="005D339F" w:rsidRDefault="005D339F" w:rsidP="005D339F">
            <w:pPr>
              <w:spacing w:after="0"/>
            </w:pPr>
            <w:r>
              <w:t>Depreciation</w:t>
            </w:r>
          </w:p>
        </w:tc>
        <w:tc>
          <w:tcPr>
            <w:tcW w:w="804" w:type="dxa"/>
          </w:tcPr>
          <w:p w14:paraId="3C48997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2 121</w:t>
            </w:r>
          </w:p>
        </w:tc>
        <w:tc>
          <w:tcPr>
            <w:tcW w:w="805" w:type="dxa"/>
          </w:tcPr>
          <w:p w14:paraId="483361F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2 194</w:t>
            </w:r>
          </w:p>
        </w:tc>
        <w:tc>
          <w:tcPr>
            <w:tcW w:w="805" w:type="dxa"/>
          </w:tcPr>
          <w:p w14:paraId="7640FE8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2 279</w:t>
            </w:r>
          </w:p>
        </w:tc>
        <w:tc>
          <w:tcPr>
            <w:tcW w:w="805" w:type="dxa"/>
          </w:tcPr>
          <w:p w14:paraId="3670EEF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2 361</w:t>
            </w:r>
          </w:p>
        </w:tc>
        <w:tc>
          <w:tcPr>
            <w:tcW w:w="805" w:type="dxa"/>
          </w:tcPr>
          <w:p w14:paraId="258D1C1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2 307</w:t>
            </w:r>
          </w:p>
        </w:tc>
      </w:tr>
      <w:tr w:rsidR="005D339F" w14:paraId="352F7204"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56ADD7EC" w14:textId="77777777" w:rsidR="005D339F" w:rsidRDefault="005D339F" w:rsidP="005D339F">
            <w:pPr>
              <w:spacing w:after="0"/>
            </w:pPr>
            <w:r>
              <w:t>Interest expense</w:t>
            </w:r>
          </w:p>
        </w:tc>
        <w:tc>
          <w:tcPr>
            <w:tcW w:w="804" w:type="dxa"/>
          </w:tcPr>
          <w:p w14:paraId="66414C0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1 077</w:t>
            </w:r>
          </w:p>
        </w:tc>
        <w:tc>
          <w:tcPr>
            <w:tcW w:w="805" w:type="dxa"/>
          </w:tcPr>
          <w:p w14:paraId="720F8E5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1 055</w:t>
            </w:r>
          </w:p>
        </w:tc>
        <w:tc>
          <w:tcPr>
            <w:tcW w:w="805" w:type="dxa"/>
          </w:tcPr>
          <w:p w14:paraId="59D3ECC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1 237</w:t>
            </w:r>
          </w:p>
        </w:tc>
        <w:tc>
          <w:tcPr>
            <w:tcW w:w="805" w:type="dxa"/>
          </w:tcPr>
          <w:p w14:paraId="32306EF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1 354</w:t>
            </w:r>
          </w:p>
        </w:tc>
        <w:tc>
          <w:tcPr>
            <w:tcW w:w="805" w:type="dxa"/>
          </w:tcPr>
          <w:p w14:paraId="071E6C5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1 469</w:t>
            </w:r>
          </w:p>
        </w:tc>
      </w:tr>
      <w:tr w:rsidR="005D339F" w14:paraId="609D2862"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7835DB91" w14:textId="77777777" w:rsidR="005D339F" w:rsidRDefault="005D339F" w:rsidP="005D339F">
            <w:pPr>
              <w:spacing w:after="0"/>
            </w:pPr>
            <w:r>
              <w:t>Grant expense</w:t>
            </w:r>
          </w:p>
        </w:tc>
        <w:tc>
          <w:tcPr>
            <w:tcW w:w="804" w:type="dxa"/>
          </w:tcPr>
          <w:p w14:paraId="45353AE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490</w:t>
            </w:r>
          </w:p>
        </w:tc>
        <w:tc>
          <w:tcPr>
            <w:tcW w:w="805" w:type="dxa"/>
          </w:tcPr>
          <w:p w14:paraId="2621285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415</w:t>
            </w:r>
          </w:p>
        </w:tc>
        <w:tc>
          <w:tcPr>
            <w:tcW w:w="805" w:type="dxa"/>
          </w:tcPr>
          <w:p w14:paraId="6115D14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502</w:t>
            </w:r>
          </w:p>
        </w:tc>
        <w:tc>
          <w:tcPr>
            <w:tcW w:w="805" w:type="dxa"/>
          </w:tcPr>
          <w:p w14:paraId="1D0A365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410</w:t>
            </w:r>
          </w:p>
        </w:tc>
        <w:tc>
          <w:tcPr>
            <w:tcW w:w="805" w:type="dxa"/>
          </w:tcPr>
          <w:p w14:paraId="2BD334C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409</w:t>
            </w:r>
          </w:p>
        </w:tc>
      </w:tr>
      <w:tr w:rsidR="005D339F" w14:paraId="66AF11F0"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0823333D" w14:textId="77777777" w:rsidR="005D339F" w:rsidRDefault="005D339F" w:rsidP="005D339F">
            <w:pPr>
              <w:spacing w:after="0"/>
            </w:pPr>
            <w:r>
              <w:t>Other operating expenses</w:t>
            </w:r>
          </w:p>
        </w:tc>
        <w:tc>
          <w:tcPr>
            <w:tcW w:w="804" w:type="dxa"/>
          </w:tcPr>
          <w:p w14:paraId="4971536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4 913</w:t>
            </w:r>
          </w:p>
        </w:tc>
        <w:tc>
          <w:tcPr>
            <w:tcW w:w="805" w:type="dxa"/>
          </w:tcPr>
          <w:p w14:paraId="1B99384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5 298</w:t>
            </w:r>
          </w:p>
        </w:tc>
        <w:tc>
          <w:tcPr>
            <w:tcW w:w="805" w:type="dxa"/>
          </w:tcPr>
          <w:p w14:paraId="60112641" w14:textId="1086B502" w:rsidR="005D339F" w:rsidRDefault="00FA6966" w:rsidP="005D339F">
            <w:pPr>
              <w:spacing w:after="0"/>
              <w:cnfStyle w:val="000000000000" w:firstRow="0" w:lastRow="0" w:firstColumn="0" w:lastColumn="0" w:oddVBand="0" w:evenVBand="0" w:oddHBand="0" w:evenHBand="0" w:firstRowFirstColumn="0" w:firstRowLastColumn="0" w:lastRowFirstColumn="0" w:lastRowLastColumn="0"/>
            </w:pPr>
            <w:r>
              <w:t>5016</w:t>
            </w:r>
            <w:r w:rsidR="005D339F">
              <w:t xml:space="preserve"> </w:t>
            </w:r>
          </w:p>
        </w:tc>
        <w:tc>
          <w:tcPr>
            <w:tcW w:w="805" w:type="dxa"/>
          </w:tcPr>
          <w:p w14:paraId="0CF56E5F" w14:textId="1ADAD0B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5 0</w:t>
            </w:r>
            <w:r w:rsidR="00F46126">
              <w:t>56</w:t>
            </w:r>
          </w:p>
        </w:tc>
        <w:tc>
          <w:tcPr>
            <w:tcW w:w="805" w:type="dxa"/>
          </w:tcPr>
          <w:p w14:paraId="3E97F56C" w14:textId="5785BECA"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5 1</w:t>
            </w:r>
            <w:r w:rsidR="008367AA">
              <w:t>50</w:t>
            </w:r>
          </w:p>
        </w:tc>
      </w:tr>
      <w:tr w:rsidR="005D339F" w14:paraId="2855CAE4"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65501EFE" w14:textId="77777777" w:rsidR="005D339F" w:rsidRDefault="005D339F" w:rsidP="005D339F">
            <w:pPr>
              <w:spacing w:after="0"/>
            </w:pPr>
            <w:r>
              <w:t>Other property expenses</w:t>
            </w:r>
          </w:p>
        </w:tc>
        <w:tc>
          <w:tcPr>
            <w:tcW w:w="804" w:type="dxa"/>
            <w:tcBorders>
              <w:bottom w:val="single" w:sz="6" w:space="0" w:color="auto"/>
            </w:tcBorders>
          </w:tcPr>
          <w:p w14:paraId="4DC1EB5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239</w:t>
            </w:r>
          </w:p>
        </w:tc>
        <w:tc>
          <w:tcPr>
            <w:tcW w:w="805" w:type="dxa"/>
            <w:tcBorders>
              <w:bottom w:val="single" w:sz="6" w:space="0" w:color="auto"/>
            </w:tcBorders>
          </w:tcPr>
          <w:p w14:paraId="236D2B4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202</w:t>
            </w:r>
          </w:p>
        </w:tc>
        <w:tc>
          <w:tcPr>
            <w:tcW w:w="805" w:type="dxa"/>
            <w:tcBorders>
              <w:bottom w:val="single" w:sz="6" w:space="0" w:color="auto"/>
            </w:tcBorders>
          </w:tcPr>
          <w:p w14:paraId="2E2182F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195</w:t>
            </w:r>
          </w:p>
        </w:tc>
        <w:tc>
          <w:tcPr>
            <w:tcW w:w="805" w:type="dxa"/>
            <w:tcBorders>
              <w:bottom w:val="single" w:sz="6" w:space="0" w:color="auto"/>
            </w:tcBorders>
          </w:tcPr>
          <w:p w14:paraId="56A9ADC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176</w:t>
            </w:r>
          </w:p>
        </w:tc>
        <w:tc>
          <w:tcPr>
            <w:tcW w:w="805" w:type="dxa"/>
            <w:tcBorders>
              <w:bottom w:val="single" w:sz="6" w:space="0" w:color="auto"/>
            </w:tcBorders>
          </w:tcPr>
          <w:p w14:paraId="467C445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167</w:t>
            </w:r>
          </w:p>
        </w:tc>
      </w:tr>
      <w:tr w:rsidR="005D339F" w14:paraId="6E3D8F0D"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7E556324" w14:textId="77777777" w:rsidR="005D339F" w:rsidRDefault="005D339F" w:rsidP="005D339F">
            <w:pPr>
              <w:spacing w:after="0"/>
            </w:pPr>
            <w:r>
              <w:rPr>
                <w:b/>
              </w:rPr>
              <w:t>Total expenses from transactions</w:t>
            </w:r>
          </w:p>
        </w:tc>
        <w:tc>
          <w:tcPr>
            <w:tcW w:w="804" w:type="dxa"/>
            <w:tcBorders>
              <w:top w:val="single" w:sz="6" w:space="0" w:color="auto"/>
              <w:bottom w:val="single" w:sz="6" w:space="0" w:color="auto"/>
            </w:tcBorders>
          </w:tcPr>
          <w:p w14:paraId="2CC965D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10 899</w:t>
            </w:r>
          </w:p>
        </w:tc>
        <w:tc>
          <w:tcPr>
            <w:tcW w:w="805" w:type="dxa"/>
            <w:tcBorders>
              <w:top w:val="single" w:sz="6" w:space="0" w:color="auto"/>
              <w:bottom w:val="single" w:sz="6" w:space="0" w:color="auto"/>
            </w:tcBorders>
          </w:tcPr>
          <w:p w14:paraId="4555F75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11 362</w:t>
            </w:r>
          </w:p>
        </w:tc>
        <w:tc>
          <w:tcPr>
            <w:tcW w:w="805" w:type="dxa"/>
            <w:tcBorders>
              <w:top w:val="single" w:sz="6" w:space="0" w:color="auto"/>
              <w:bottom w:val="single" w:sz="6" w:space="0" w:color="auto"/>
            </w:tcBorders>
          </w:tcPr>
          <w:p w14:paraId="0DFEFB49" w14:textId="40F54212"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11 3</w:t>
            </w:r>
            <w:r w:rsidR="00236DC5">
              <w:rPr>
                <w:b/>
              </w:rPr>
              <w:t>78</w:t>
            </w:r>
          </w:p>
        </w:tc>
        <w:tc>
          <w:tcPr>
            <w:tcW w:w="805" w:type="dxa"/>
            <w:tcBorders>
              <w:top w:val="single" w:sz="6" w:space="0" w:color="auto"/>
              <w:bottom w:val="single" w:sz="6" w:space="0" w:color="auto"/>
            </w:tcBorders>
          </w:tcPr>
          <w:p w14:paraId="09FACCDB" w14:textId="0D361B89"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11 5</w:t>
            </w:r>
            <w:r w:rsidR="0036305D">
              <w:rPr>
                <w:b/>
              </w:rPr>
              <w:t>5</w:t>
            </w:r>
            <w:r w:rsidR="001C5A94">
              <w:rPr>
                <w:b/>
              </w:rPr>
              <w:t>8</w:t>
            </w:r>
          </w:p>
        </w:tc>
        <w:tc>
          <w:tcPr>
            <w:tcW w:w="805" w:type="dxa"/>
            <w:tcBorders>
              <w:top w:val="single" w:sz="6" w:space="0" w:color="auto"/>
              <w:bottom w:val="single" w:sz="6" w:space="0" w:color="auto"/>
            </w:tcBorders>
          </w:tcPr>
          <w:p w14:paraId="75919CE9" w14:textId="6FCB1BC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11 7</w:t>
            </w:r>
            <w:r w:rsidR="003D3150">
              <w:rPr>
                <w:b/>
              </w:rPr>
              <w:t>72</w:t>
            </w:r>
          </w:p>
        </w:tc>
      </w:tr>
      <w:tr w:rsidR="005D339F" w14:paraId="59274743"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4AA5E207" w14:textId="285A7043" w:rsidR="005D339F" w:rsidRDefault="005D339F" w:rsidP="005D339F">
            <w:pPr>
              <w:spacing w:after="0"/>
            </w:pPr>
            <w:r>
              <w:rPr>
                <w:b/>
              </w:rPr>
              <w:t xml:space="preserve">Net result from transactions – </w:t>
            </w:r>
            <w:r>
              <w:rPr>
                <w:b/>
              </w:rPr>
              <w:br/>
              <w:t>Net operating balance</w:t>
            </w:r>
          </w:p>
        </w:tc>
        <w:tc>
          <w:tcPr>
            <w:tcW w:w="804" w:type="dxa"/>
            <w:tcBorders>
              <w:top w:val="single" w:sz="6" w:space="0" w:color="auto"/>
              <w:bottom w:val="single" w:sz="12" w:space="0" w:color="auto"/>
            </w:tcBorders>
          </w:tcPr>
          <w:p w14:paraId="58DD0D9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166</w:t>
            </w:r>
          </w:p>
        </w:tc>
        <w:tc>
          <w:tcPr>
            <w:tcW w:w="805" w:type="dxa"/>
            <w:tcBorders>
              <w:top w:val="single" w:sz="6" w:space="0" w:color="auto"/>
              <w:bottom w:val="single" w:sz="12" w:space="0" w:color="auto"/>
            </w:tcBorders>
          </w:tcPr>
          <w:p w14:paraId="335E6A8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131</w:t>
            </w:r>
          </w:p>
        </w:tc>
        <w:tc>
          <w:tcPr>
            <w:tcW w:w="805" w:type="dxa"/>
            <w:tcBorders>
              <w:top w:val="single" w:sz="6" w:space="0" w:color="auto"/>
              <w:bottom w:val="single" w:sz="12" w:space="0" w:color="auto"/>
            </w:tcBorders>
          </w:tcPr>
          <w:p w14:paraId="4829009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128</w:t>
            </w:r>
          </w:p>
        </w:tc>
        <w:tc>
          <w:tcPr>
            <w:tcW w:w="805" w:type="dxa"/>
            <w:tcBorders>
              <w:top w:val="single" w:sz="6" w:space="0" w:color="auto"/>
              <w:bottom w:val="single" w:sz="12" w:space="0" w:color="auto"/>
            </w:tcBorders>
          </w:tcPr>
          <w:p w14:paraId="6807F13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95</w:t>
            </w:r>
          </w:p>
        </w:tc>
        <w:tc>
          <w:tcPr>
            <w:tcW w:w="805" w:type="dxa"/>
            <w:tcBorders>
              <w:top w:val="single" w:sz="6" w:space="0" w:color="auto"/>
              <w:bottom w:val="single" w:sz="12" w:space="0" w:color="auto"/>
            </w:tcBorders>
          </w:tcPr>
          <w:p w14:paraId="13BD1DA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193</w:t>
            </w:r>
          </w:p>
        </w:tc>
      </w:tr>
      <w:tr w:rsidR="005D339F" w14:paraId="67BF4136"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52E5CD00" w14:textId="77777777" w:rsidR="005D339F" w:rsidRDefault="005D339F" w:rsidP="005D339F">
            <w:pPr>
              <w:spacing w:after="0"/>
            </w:pPr>
            <w:r>
              <w:t>Net gain/(loss) on disposal of non</w:t>
            </w:r>
            <w:r>
              <w:noBreakHyphen/>
              <w:t>financial assets</w:t>
            </w:r>
          </w:p>
        </w:tc>
        <w:tc>
          <w:tcPr>
            <w:tcW w:w="804" w:type="dxa"/>
            <w:tcBorders>
              <w:top w:val="single" w:sz="6" w:space="0" w:color="auto"/>
            </w:tcBorders>
          </w:tcPr>
          <w:p w14:paraId="54F655E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52</w:t>
            </w:r>
          </w:p>
        </w:tc>
        <w:tc>
          <w:tcPr>
            <w:tcW w:w="805" w:type="dxa"/>
            <w:tcBorders>
              <w:top w:val="single" w:sz="6" w:space="0" w:color="auto"/>
            </w:tcBorders>
          </w:tcPr>
          <w:p w14:paraId="094AAE7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52</w:t>
            </w:r>
          </w:p>
        </w:tc>
        <w:tc>
          <w:tcPr>
            <w:tcW w:w="805" w:type="dxa"/>
            <w:tcBorders>
              <w:top w:val="single" w:sz="6" w:space="0" w:color="auto"/>
            </w:tcBorders>
          </w:tcPr>
          <w:p w14:paraId="1114483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51</w:t>
            </w:r>
          </w:p>
        </w:tc>
        <w:tc>
          <w:tcPr>
            <w:tcW w:w="805" w:type="dxa"/>
            <w:tcBorders>
              <w:top w:val="single" w:sz="6" w:space="0" w:color="auto"/>
            </w:tcBorders>
          </w:tcPr>
          <w:p w14:paraId="5222AA1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30</w:t>
            </w:r>
          </w:p>
        </w:tc>
        <w:tc>
          <w:tcPr>
            <w:tcW w:w="805" w:type="dxa"/>
            <w:tcBorders>
              <w:top w:val="single" w:sz="6" w:space="0" w:color="auto"/>
            </w:tcBorders>
          </w:tcPr>
          <w:p w14:paraId="16E4EF5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292</w:t>
            </w:r>
          </w:p>
        </w:tc>
      </w:tr>
      <w:tr w:rsidR="005D339F" w14:paraId="258FBA3D"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F359593" w14:textId="77777777" w:rsidR="005D339F" w:rsidRDefault="005D339F" w:rsidP="005D339F">
            <w:pPr>
              <w:spacing w:after="0"/>
            </w:pPr>
            <w:r>
              <w:t>Net gain/(loss) on financial assets or liabilities at fair value</w:t>
            </w:r>
          </w:p>
        </w:tc>
        <w:tc>
          <w:tcPr>
            <w:tcW w:w="804" w:type="dxa"/>
          </w:tcPr>
          <w:p w14:paraId="35B803E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6F7A135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39452F2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7</w:t>
            </w:r>
          </w:p>
        </w:tc>
        <w:tc>
          <w:tcPr>
            <w:tcW w:w="805" w:type="dxa"/>
          </w:tcPr>
          <w:p w14:paraId="2E2E9B5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3</w:t>
            </w:r>
          </w:p>
        </w:tc>
        <w:tc>
          <w:tcPr>
            <w:tcW w:w="805" w:type="dxa"/>
          </w:tcPr>
          <w:p w14:paraId="4D0A774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(6)</w:t>
            </w:r>
          </w:p>
        </w:tc>
      </w:tr>
      <w:tr w:rsidR="005D339F" w14:paraId="49239E53"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15E873E7" w14:textId="77777777" w:rsidR="005D339F" w:rsidRDefault="005D339F" w:rsidP="005D339F">
            <w:pPr>
              <w:spacing w:after="0"/>
            </w:pPr>
            <w:r>
              <w:t>Share of net profit/(loss) from associates/joint venture entities</w:t>
            </w:r>
          </w:p>
        </w:tc>
        <w:tc>
          <w:tcPr>
            <w:tcW w:w="804" w:type="dxa"/>
          </w:tcPr>
          <w:p w14:paraId="11B3322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22987FE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4F6E8F9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16</w:t>
            </w:r>
          </w:p>
        </w:tc>
        <w:tc>
          <w:tcPr>
            <w:tcW w:w="805" w:type="dxa"/>
          </w:tcPr>
          <w:p w14:paraId="5F86635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12</w:t>
            </w:r>
          </w:p>
        </w:tc>
        <w:tc>
          <w:tcPr>
            <w:tcW w:w="805" w:type="dxa"/>
          </w:tcPr>
          <w:p w14:paraId="419D431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11</w:t>
            </w:r>
          </w:p>
        </w:tc>
      </w:tr>
      <w:tr w:rsidR="005D339F" w14:paraId="653E1681"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767DAF3D" w14:textId="77777777" w:rsidR="005D339F" w:rsidRDefault="005D339F" w:rsidP="005D339F">
            <w:pPr>
              <w:spacing w:after="0"/>
            </w:pPr>
            <w:r>
              <w:t>Other gains/(losses) from other economic flows</w:t>
            </w:r>
            <w:r>
              <w:rPr>
                <w:vertAlign w:val="superscript"/>
              </w:rPr>
              <w:t xml:space="preserve"> (b)</w:t>
            </w:r>
          </w:p>
        </w:tc>
        <w:tc>
          <w:tcPr>
            <w:tcW w:w="804" w:type="dxa"/>
            <w:tcBorders>
              <w:bottom w:val="single" w:sz="6" w:space="0" w:color="auto"/>
            </w:tcBorders>
          </w:tcPr>
          <w:p w14:paraId="4EB8B63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(4 129)</w:t>
            </w:r>
          </w:p>
        </w:tc>
        <w:tc>
          <w:tcPr>
            <w:tcW w:w="805" w:type="dxa"/>
            <w:tcBorders>
              <w:bottom w:val="single" w:sz="6" w:space="0" w:color="auto"/>
            </w:tcBorders>
          </w:tcPr>
          <w:p w14:paraId="1F341E6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(4 782)</w:t>
            </w:r>
          </w:p>
        </w:tc>
        <w:tc>
          <w:tcPr>
            <w:tcW w:w="805" w:type="dxa"/>
            <w:tcBorders>
              <w:bottom w:val="single" w:sz="6" w:space="0" w:color="auto"/>
            </w:tcBorders>
          </w:tcPr>
          <w:p w14:paraId="2D7EF98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(19 495)</w:t>
            </w:r>
          </w:p>
        </w:tc>
        <w:tc>
          <w:tcPr>
            <w:tcW w:w="805" w:type="dxa"/>
            <w:tcBorders>
              <w:bottom w:val="single" w:sz="6" w:space="0" w:color="auto"/>
            </w:tcBorders>
          </w:tcPr>
          <w:p w14:paraId="7B37C55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(1 057)</w:t>
            </w:r>
          </w:p>
        </w:tc>
        <w:tc>
          <w:tcPr>
            <w:tcW w:w="805" w:type="dxa"/>
            <w:tcBorders>
              <w:bottom w:val="single" w:sz="6" w:space="0" w:color="auto"/>
            </w:tcBorders>
          </w:tcPr>
          <w:p w14:paraId="259BCE17"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(1 499)</w:t>
            </w:r>
          </w:p>
        </w:tc>
      </w:tr>
      <w:tr w:rsidR="005D339F" w14:paraId="32090981"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19F23E03" w14:textId="77777777" w:rsidR="005D339F" w:rsidRDefault="005D339F" w:rsidP="005D339F">
            <w:pPr>
              <w:spacing w:after="0"/>
            </w:pPr>
            <w:r>
              <w:rPr>
                <w:b/>
              </w:rPr>
              <w:t>Total other economic flows included in net result</w:t>
            </w:r>
          </w:p>
        </w:tc>
        <w:tc>
          <w:tcPr>
            <w:tcW w:w="804" w:type="dxa"/>
            <w:tcBorders>
              <w:top w:val="single" w:sz="6" w:space="0" w:color="auto"/>
              <w:bottom w:val="single" w:sz="6" w:space="0" w:color="auto"/>
            </w:tcBorders>
          </w:tcPr>
          <w:p w14:paraId="7D41C92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(4 078)</w:t>
            </w:r>
          </w:p>
        </w:tc>
        <w:tc>
          <w:tcPr>
            <w:tcW w:w="805" w:type="dxa"/>
            <w:tcBorders>
              <w:top w:val="single" w:sz="6" w:space="0" w:color="auto"/>
              <w:bottom w:val="single" w:sz="6" w:space="0" w:color="auto"/>
            </w:tcBorders>
          </w:tcPr>
          <w:p w14:paraId="5FD016F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(4 730)</w:t>
            </w:r>
          </w:p>
        </w:tc>
        <w:tc>
          <w:tcPr>
            <w:tcW w:w="805" w:type="dxa"/>
            <w:tcBorders>
              <w:top w:val="single" w:sz="6" w:space="0" w:color="auto"/>
              <w:bottom w:val="single" w:sz="6" w:space="0" w:color="auto"/>
            </w:tcBorders>
          </w:tcPr>
          <w:p w14:paraId="4D0D19F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(19 421)</w:t>
            </w:r>
          </w:p>
        </w:tc>
        <w:tc>
          <w:tcPr>
            <w:tcW w:w="805" w:type="dxa"/>
            <w:tcBorders>
              <w:top w:val="single" w:sz="6" w:space="0" w:color="auto"/>
              <w:bottom w:val="single" w:sz="6" w:space="0" w:color="auto"/>
            </w:tcBorders>
          </w:tcPr>
          <w:p w14:paraId="0AA98FE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(1 012)</w:t>
            </w:r>
          </w:p>
        </w:tc>
        <w:tc>
          <w:tcPr>
            <w:tcW w:w="805" w:type="dxa"/>
            <w:tcBorders>
              <w:top w:val="single" w:sz="6" w:space="0" w:color="auto"/>
              <w:bottom w:val="single" w:sz="6" w:space="0" w:color="auto"/>
            </w:tcBorders>
          </w:tcPr>
          <w:p w14:paraId="2601E70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(1 202)</w:t>
            </w:r>
          </w:p>
        </w:tc>
      </w:tr>
      <w:tr w:rsidR="005D339F" w14:paraId="2D2667B9"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1FBE6D69" w14:textId="77777777" w:rsidR="005D339F" w:rsidRDefault="005D339F" w:rsidP="005D339F">
            <w:pPr>
              <w:spacing w:after="0"/>
            </w:pPr>
            <w:r>
              <w:rPr>
                <w:b/>
              </w:rPr>
              <w:t>Net result</w:t>
            </w:r>
          </w:p>
        </w:tc>
        <w:tc>
          <w:tcPr>
            <w:tcW w:w="804" w:type="dxa"/>
            <w:tcBorders>
              <w:top w:val="single" w:sz="6" w:space="0" w:color="auto"/>
              <w:bottom w:val="single" w:sz="12" w:space="0" w:color="auto"/>
            </w:tcBorders>
          </w:tcPr>
          <w:p w14:paraId="67781CE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(3 912)</w:t>
            </w:r>
          </w:p>
        </w:tc>
        <w:tc>
          <w:tcPr>
            <w:tcW w:w="805" w:type="dxa"/>
            <w:tcBorders>
              <w:top w:val="single" w:sz="6" w:space="0" w:color="auto"/>
              <w:bottom w:val="single" w:sz="12" w:space="0" w:color="auto"/>
            </w:tcBorders>
          </w:tcPr>
          <w:p w14:paraId="05FA8A6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(4 599)</w:t>
            </w:r>
          </w:p>
        </w:tc>
        <w:tc>
          <w:tcPr>
            <w:tcW w:w="805" w:type="dxa"/>
            <w:tcBorders>
              <w:top w:val="single" w:sz="6" w:space="0" w:color="auto"/>
              <w:bottom w:val="single" w:sz="12" w:space="0" w:color="auto"/>
            </w:tcBorders>
          </w:tcPr>
          <w:p w14:paraId="779BCD1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(19 292)</w:t>
            </w:r>
          </w:p>
        </w:tc>
        <w:tc>
          <w:tcPr>
            <w:tcW w:w="805" w:type="dxa"/>
            <w:tcBorders>
              <w:top w:val="single" w:sz="6" w:space="0" w:color="auto"/>
              <w:bottom w:val="single" w:sz="12" w:space="0" w:color="auto"/>
            </w:tcBorders>
          </w:tcPr>
          <w:p w14:paraId="2F1785A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(917)</w:t>
            </w:r>
          </w:p>
        </w:tc>
        <w:tc>
          <w:tcPr>
            <w:tcW w:w="805" w:type="dxa"/>
            <w:tcBorders>
              <w:top w:val="single" w:sz="6" w:space="0" w:color="auto"/>
              <w:bottom w:val="single" w:sz="12" w:space="0" w:color="auto"/>
            </w:tcBorders>
          </w:tcPr>
          <w:p w14:paraId="346F4E9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(1 009)</w:t>
            </w:r>
          </w:p>
        </w:tc>
      </w:tr>
      <w:tr w:rsidR="005D339F" w14:paraId="1ABFC0B0"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3565E386" w14:textId="38582399" w:rsidR="005D339F" w:rsidRDefault="005D339F" w:rsidP="005D339F">
            <w:pPr>
              <w:spacing w:after="0"/>
            </w:pPr>
            <w:r>
              <w:rPr>
                <w:b/>
              </w:rPr>
              <w:t xml:space="preserve">Other economic flows – </w:t>
            </w:r>
            <w:r>
              <w:rPr>
                <w:b/>
              </w:rPr>
              <w:br/>
              <w:t>Other comprehensive income</w:t>
            </w:r>
          </w:p>
        </w:tc>
        <w:tc>
          <w:tcPr>
            <w:tcW w:w="804" w:type="dxa"/>
            <w:tcBorders>
              <w:top w:val="single" w:sz="6" w:space="0" w:color="auto"/>
            </w:tcBorders>
          </w:tcPr>
          <w:p w14:paraId="20D651D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590D730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7401AA0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7EE5B9D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4E18714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66BAAE7F"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494FE35F" w14:textId="77777777" w:rsidR="005D339F" w:rsidRDefault="005D339F" w:rsidP="005D339F">
            <w:pPr>
              <w:spacing w:after="0"/>
            </w:pPr>
            <w:r>
              <w:rPr>
                <w:b/>
              </w:rPr>
              <w:t>Items that will not be reclassified to net result</w:t>
            </w:r>
          </w:p>
        </w:tc>
        <w:tc>
          <w:tcPr>
            <w:tcW w:w="804" w:type="dxa"/>
          </w:tcPr>
          <w:p w14:paraId="18D29FA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6342E7C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18C3E7D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2EA2BFD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34A6313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5D0FC179"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22C51BB9" w14:textId="77777777" w:rsidR="005D339F" w:rsidRDefault="005D339F" w:rsidP="005D339F">
            <w:pPr>
              <w:spacing w:after="0"/>
            </w:pPr>
            <w:r>
              <w:t>Changes in non</w:t>
            </w:r>
            <w:r>
              <w:noBreakHyphen/>
              <w:t>financial assets revaluation surplus</w:t>
            </w:r>
          </w:p>
        </w:tc>
        <w:tc>
          <w:tcPr>
            <w:tcW w:w="804" w:type="dxa"/>
          </w:tcPr>
          <w:p w14:paraId="7EC55D0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62</w:t>
            </w:r>
          </w:p>
        </w:tc>
        <w:tc>
          <w:tcPr>
            <w:tcW w:w="805" w:type="dxa"/>
          </w:tcPr>
          <w:p w14:paraId="748EA0B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8</w:t>
            </w:r>
          </w:p>
        </w:tc>
        <w:tc>
          <w:tcPr>
            <w:tcW w:w="805" w:type="dxa"/>
          </w:tcPr>
          <w:p w14:paraId="1EB7ADB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638</w:t>
            </w:r>
          </w:p>
        </w:tc>
        <w:tc>
          <w:tcPr>
            <w:tcW w:w="805" w:type="dxa"/>
          </w:tcPr>
          <w:p w14:paraId="078F683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191</w:t>
            </w:r>
          </w:p>
        </w:tc>
        <w:tc>
          <w:tcPr>
            <w:tcW w:w="805" w:type="dxa"/>
          </w:tcPr>
          <w:p w14:paraId="239D1A8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41</w:t>
            </w:r>
          </w:p>
        </w:tc>
      </w:tr>
      <w:tr w:rsidR="005D339F" w14:paraId="33B835D0"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407E38A4" w14:textId="77777777" w:rsidR="005D339F" w:rsidRDefault="005D339F" w:rsidP="005D339F">
            <w:pPr>
              <w:spacing w:after="0"/>
            </w:pPr>
            <w:r>
              <w:t>Remeasurement of superannuation defined benefit plans</w:t>
            </w:r>
          </w:p>
        </w:tc>
        <w:tc>
          <w:tcPr>
            <w:tcW w:w="804" w:type="dxa"/>
          </w:tcPr>
          <w:p w14:paraId="454FC4D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203E6C94"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9</w:t>
            </w:r>
          </w:p>
        </w:tc>
        <w:tc>
          <w:tcPr>
            <w:tcW w:w="805" w:type="dxa"/>
          </w:tcPr>
          <w:p w14:paraId="15D83DC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23C62D1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Pr>
          <w:p w14:paraId="04BBCD1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r>
      <w:tr w:rsidR="005D339F" w14:paraId="19E607EF"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3CF53E76" w14:textId="77777777" w:rsidR="005D339F" w:rsidRDefault="005D339F" w:rsidP="005D339F">
            <w:pPr>
              <w:spacing w:after="0"/>
            </w:pPr>
            <w:r>
              <w:t>Other movements in equity</w:t>
            </w:r>
          </w:p>
        </w:tc>
        <w:tc>
          <w:tcPr>
            <w:tcW w:w="804" w:type="dxa"/>
          </w:tcPr>
          <w:p w14:paraId="2769FCC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3</w:t>
            </w:r>
          </w:p>
        </w:tc>
        <w:tc>
          <w:tcPr>
            <w:tcW w:w="805" w:type="dxa"/>
          </w:tcPr>
          <w:p w14:paraId="2814065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3</w:t>
            </w:r>
          </w:p>
        </w:tc>
        <w:tc>
          <w:tcPr>
            <w:tcW w:w="805" w:type="dxa"/>
          </w:tcPr>
          <w:p w14:paraId="2343DE1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(8)</w:t>
            </w:r>
          </w:p>
        </w:tc>
        <w:tc>
          <w:tcPr>
            <w:tcW w:w="805" w:type="dxa"/>
          </w:tcPr>
          <w:p w14:paraId="7DAD0CA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(12)</w:t>
            </w:r>
          </w:p>
        </w:tc>
        <w:tc>
          <w:tcPr>
            <w:tcW w:w="805" w:type="dxa"/>
          </w:tcPr>
          <w:p w14:paraId="72CC124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(14)</w:t>
            </w:r>
          </w:p>
        </w:tc>
      </w:tr>
    </w:tbl>
    <w:p w14:paraId="140DAC81" w14:textId="77777777" w:rsidR="005D339F" w:rsidRDefault="005D339F" w:rsidP="005D339F">
      <w:pPr>
        <w:pStyle w:val="TableHeading"/>
      </w:pPr>
      <w:r w:rsidRPr="00921F69">
        <w:t>Table 5.1</w:t>
      </w:r>
      <w:r w:rsidRPr="00921F69">
        <w:tab/>
        <w:t xml:space="preserve">Public non-financial corporations sector comprehensive operating </w:t>
      </w:r>
      <w:r w:rsidRPr="00921F69">
        <w:br/>
        <w:t>statement for the financial year ended 30 June</w:t>
      </w:r>
      <w:r w:rsidRPr="003F323F">
        <w:rPr>
          <w:i/>
        </w:rPr>
        <w:t xml:space="preserve"> </w:t>
      </w:r>
      <w:r w:rsidRPr="00174DB6">
        <w:rPr>
          <w:i/>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NFC_OS|MergedHeadingRow:1|FirstRow:37"/>
      </w:tblPr>
      <w:tblGrid>
        <w:gridCol w:w="3686"/>
        <w:gridCol w:w="804"/>
        <w:gridCol w:w="805"/>
        <w:gridCol w:w="805"/>
        <w:gridCol w:w="805"/>
        <w:gridCol w:w="805"/>
      </w:tblGrid>
      <w:tr w:rsidR="005D339F" w14:paraId="2F3A567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6B9F9C77" w14:textId="77777777" w:rsidR="005D339F" w:rsidRDefault="005D339F" w:rsidP="005D339F">
            <w:pPr>
              <w:keepNext/>
              <w:spacing w:after="0"/>
            </w:pPr>
          </w:p>
        </w:tc>
        <w:tc>
          <w:tcPr>
            <w:tcW w:w="804" w:type="dxa"/>
          </w:tcPr>
          <w:p w14:paraId="654265A2"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805" w:type="dxa"/>
          </w:tcPr>
          <w:p w14:paraId="3F41E0FA"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805" w:type="dxa"/>
          </w:tcPr>
          <w:p w14:paraId="5D60AA97"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805" w:type="dxa"/>
          </w:tcPr>
          <w:p w14:paraId="607D3F8A"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805" w:type="dxa"/>
          </w:tcPr>
          <w:p w14:paraId="3FFB856C" w14:textId="77777777" w:rsidR="005D339F" w:rsidRDefault="005D339F" w:rsidP="005D339F">
            <w:pPr>
              <w:keepNext/>
              <w:spacing w:after="0"/>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43B8B8E5"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6C1462C8" w14:textId="77777777" w:rsidR="005D339F" w:rsidRDefault="005D339F" w:rsidP="005D339F">
            <w:pPr>
              <w:spacing w:after="0"/>
            </w:pPr>
            <w:r>
              <w:rPr>
                <w:b/>
              </w:rPr>
              <w:t>Items that may be reclassified subsequently to net result</w:t>
            </w:r>
          </w:p>
        </w:tc>
        <w:tc>
          <w:tcPr>
            <w:tcW w:w="804" w:type="dxa"/>
          </w:tcPr>
          <w:p w14:paraId="651E720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5C09CC5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7EEFFB5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578B2AF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10FC8CF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70CE6012"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209A08E1" w14:textId="77777777" w:rsidR="005D339F" w:rsidRDefault="005D339F" w:rsidP="005D339F">
            <w:pPr>
              <w:spacing w:after="0"/>
            </w:pPr>
            <w:r>
              <w:t>Net gain/(loss) on financial assets at fair value</w:t>
            </w:r>
          </w:p>
        </w:tc>
        <w:tc>
          <w:tcPr>
            <w:tcW w:w="804" w:type="dxa"/>
            <w:tcBorders>
              <w:bottom w:val="single" w:sz="6" w:space="0" w:color="auto"/>
            </w:tcBorders>
          </w:tcPr>
          <w:p w14:paraId="5053517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(5)</w:t>
            </w:r>
          </w:p>
        </w:tc>
        <w:tc>
          <w:tcPr>
            <w:tcW w:w="805" w:type="dxa"/>
            <w:tcBorders>
              <w:bottom w:val="single" w:sz="6" w:space="0" w:color="auto"/>
            </w:tcBorders>
          </w:tcPr>
          <w:p w14:paraId="276A19A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(13)</w:t>
            </w:r>
          </w:p>
        </w:tc>
        <w:tc>
          <w:tcPr>
            <w:tcW w:w="805" w:type="dxa"/>
            <w:tcBorders>
              <w:bottom w:val="single" w:sz="6" w:space="0" w:color="auto"/>
            </w:tcBorders>
          </w:tcPr>
          <w:p w14:paraId="2C65FA9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w:t>
            </w:r>
          </w:p>
        </w:tc>
        <w:tc>
          <w:tcPr>
            <w:tcW w:w="805" w:type="dxa"/>
            <w:tcBorders>
              <w:bottom w:val="single" w:sz="6" w:space="0" w:color="auto"/>
            </w:tcBorders>
          </w:tcPr>
          <w:p w14:paraId="5F4A9F0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c>
          <w:tcPr>
            <w:tcW w:w="805" w:type="dxa"/>
            <w:tcBorders>
              <w:bottom w:val="single" w:sz="6" w:space="0" w:color="auto"/>
            </w:tcBorders>
          </w:tcPr>
          <w:p w14:paraId="4CC3061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w:t>
            </w:r>
          </w:p>
        </w:tc>
      </w:tr>
      <w:tr w:rsidR="005D339F" w14:paraId="3F298767"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6" w:space="0" w:color="auto"/>
            </w:tcBorders>
          </w:tcPr>
          <w:p w14:paraId="38489511" w14:textId="5304C764" w:rsidR="005D339F" w:rsidRDefault="005D339F" w:rsidP="005D339F">
            <w:pPr>
              <w:spacing w:after="0"/>
            </w:pPr>
            <w:r>
              <w:rPr>
                <w:b/>
              </w:rPr>
              <w:t xml:space="preserve">Total other economic flows – </w:t>
            </w:r>
            <w:r>
              <w:rPr>
                <w:b/>
              </w:rPr>
              <w:br/>
              <w:t>Other comprehensive income</w:t>
            </w:r>
          </w:p>
        </w:tc>
        <w:tc>
          <w:tcPr>
            <w:tcW w:w="804" w:type="dxa"/>
            <w:tcBorders>
              <w:top w:val="single" w:sz="6" w:space="0" w:color="auto"/>
              <w:bottom w:val="single" w:sz="6" w:space="0" w:color="auto"/>
            </w:tcBorders>
          </w:tcPr>
          <w:p w14:paraId="538B70D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60</w:t>
            </w:r>
          </w:p>
        </w:tc>
        <w:tc>
          <w:tcPr>
            <w:tcW w:w="805" w:type="dxa"/>
            <w:tcBorders>
              <w:top w:val="single" w:sz="6" w:space="0" w:color="auto"/>
              <w:bottom w:val="single" w:sz="6" w:space="0" w:color="auto"/>
            </w:tcBorders>
          </w:tcPr>
          <w:p w14:paraId="27749C6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8</w:t>
            </w:r>
          </w:p>
        </w:tc>
        <w:tc>
          <w:tcPr>
            <w:tcW w:w="805" w:type="dxa"/>
            <w:tcBorders>
              <w:top w:val="single" w:sz="6" w:space="0" w:color="auto"/>
              <w:bottom w:val="single" w:sz="6" w:space="0" w:color="auto"/>
            </w:tcBorders>
          </w:tcPr>
          <w:p w14:paraId="3FA11361"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633</w:t>
            </w:r>
          </w:p>
        </w:tc>
        <w:tc>
          <w:tcPr>
            <w:tcW w:w="805" w:type="dxa"/>
            <w:tcBorders>
              <w:top w:val="single" w:sz="6" w:space="0" w:color="auto"/>
              <w:bottom w:val="single" w:sz="6" w:space="0" w:color="auto"/>
            </w:tcBorders>
          </w:tcPr>
          <w:p w14:paraId="217142A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179</w:t>
            </w:r>
          </w:p>
        </w:tc>
        <w:tc>
          <w:tcPr>
            <w:tcW w:w="805" w:type="dxa"/>
            <w:tcBorders>
              <w:top w:val="single" w:sz="6" w:space="0" w:color="auto"/>
              <w:bottom w:val="single" w:sz="6" w:space="0" w:color="auto"/>
            </w:tcBorders>
          </w:tcPr>
          <w:p w14:paraId="11171FB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27</w:t>
            </w:r>
          </w:p>
        </w:tc>
      </w:tr>
      <w:tr w:rsidR="005D339F" w14:paraId="76D42127"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373C49EB" w14:textId="4420C5FC" w:rsidR="005D339F" w:rsidRDefault="005D339F" w:rsidP="005D339F">
            <w:pPr>
              <w:spacing w:after="0"/>
            </w:pPr>
            <w:r>
              <w:rPr>
                <w:b/>
              </w:rPr>
              <w:t>Comprehensive result – Total change in net worth</w:t>
            </w:r>
          </w:p>
        </w:tc>
        <w:tc>
          <w:tcPr>
            <w:tcW w:w="804" w:type="dxa"/>
            <w:tcBorders>
              <w:top w:val="single" w:sz="6" w:space="0" w:color="auto"/>
              <w:bottom w:val="single" w:sz="12" w:space="0" w:color="auto"/>
            </w:tcBorders>
          </w:tcPr>
          <w:p w14:paraId="1EEC8B7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(3 851)</w:t>
            </w:r>
          </w:p>
        </w:tc>
        <w:tc>
          <w:tcPr>
            <w:tcW w:w="805" w:type="dxa"/>
            <w:tcBorders>
              <w:top w:val="single" w:sz="6" w:space="0" w:color="auto"/>
              <w:bottom w:val="single" w:sz="12" w:space="0" w:color="auto"/>
            </w:tcBorders>
          </w:tcPr>
          <w:p w14:paraId="73B059C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(4 591)</w:t>
            </w:r>
          </w:p>
        </w:tc>
        <w:tc>
          <w:tcPr>
            <w:tcW w:w="805" w:type="dxa"/>
            <w:tcBorders>
              <w:top w:val="single" w:sz="6" w:space="0" w:color="auto"/>
              <w:bottom w:val="single" w:sz="12" w:space="0" w:color="auto"/>
            </w:tcBorders>
          </w:tcPr>
          <w:p w14:paraId="4F7134E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(18 659)</w:t>
            </w:r>
          </w:p>
        </w:tc>
        <w:tc>
          <w:tcPr>
            <w:tcW w:w="805" w:type="dxa"/>
            <w:tcBorders>
              <w:top w:val="single" w:sz="6" w:space="0" w:color="auto"/>
              <w:bottom w:val="single" w:sz="12" w:space="0" w:color="auto"/>
            </w:tcBorders>
          </w:tcPr>
          <w:p w14:paraId="45078DC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(739)</w:t>
            </w:r>
          </w:p>
        </w:tc>
        <w:tc>
          <w:tcPr>
            <w:tcW w:w="805" w:type="dxa"/>
            <w:tcBorders>
              <w:top w:val="single" w:sz="6" w:space="0" w:color="auto"/>
              <w:bottom w:val="single" w:sz="12" w:space="0" w:color="auto"/>
            </w:tcBorders>
          </w:tcPr>
          <w:p w14:paraId="4DD81CC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(982)</w:t>
            </w:r>
          </w:p>
        </w:tc>
      </w:tr>
      <w:tr w:rsidR="005D339F" w14:paraId="4790DFFA"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tcBorders>
          </w:tcPr>
          <w:p w14:paraId="4308DDD6" w14:textId="77777777" w:rsidR="005D339F" w:rsidRDefault="005D339F" w:rsidP="005D339F">
            <w:pPr>
              <w:spacing w:after="0"/>
            </w:pPr>
          </w:p>
        </w:tc>
        <w:tc>
          <w:tcPr>
            <w:tcW w:w="804" w:type="dxa"/>
            <w:tcBorders>
              <w:top w:val="single" w:sz="6" w:space="0" w:color="auto"/>
            </w:tcBorders>
          </w:tcPr>
          <w:p w14:paraId="4633409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3740F51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5208055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18C2CAF5"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Borders>
              <w:top w:val="single" w:sz="6" w:space="0" w:color="auto"/>
            </w:tcBorders>
          </w:tcPr>
          <w:p w14:paraId="03F0CA6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69E953B7"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1BED5383" w14:textId="77777777" w:rsidR="005D339F" w:rsidRDefault="005D339F" w:rsidP="005D339F">
            <w:pPr>
              <w:spacing w:after="0"/>
            </w:pPr>
            <w:r>
              <w:rPr>
                <w:b/>
              </w:rPr>
              <w:t>KEY FISCAL AGGREGATES</w:t>
            </w:r>
          </w:p>
        </w:tc>
        <w:tc>
          <w:tcPr>
            <w:tcW w:w="804" w:type="dxa"/>
          </w:tcPr>
          <w:p w14:paraId="7AA98C52"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55792DC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24DE459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7E1FCBC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c>
          <w:tcPr>
            <w:tcW w:w="805" w:type="dxa"/>
          </w:tcPr>
          <w:p w14:paraId="24DA688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p>
        </w:tc>
      </w:tr>
      <w:tr w:rsidR="005D339F" w14:paraId="10515A11" w14:textId="77777777" w:rsidTr="008670FF">
        <w:tc>
          <w:tcPr>
            <w:cnfStyle w:val="001000000000" w:firstRow="0" w:lastRow="0" w:firstColumn="1" w:lastColumn="0" w:oddVBand="0" w:evenVBand="0" w:oddHBand="0" w:evenHBand="0" w:firstRowFirstColumn="0" w:firstRowLastColumn="0" w:lastRowFirstColumn="0" w:lastRowLastColumn="0"/>
            <w:tcW w:w="3686" w:type="dxa"/>
          </w:tcPr>
          <w:p w14:paraId="373D8EAA" w14:textId="77777777" w:rsidR="005D339F" w:rsidRDefault="005D339F" w:rsidP="005D339F">
            <w:pPr>
              <w:spacing w:after="0"/>
            </w:pPr>
            <w:r>
              <w:rPr>
                <w:b/>
              </w:rPr>
              <w:t>Net operating balance</w:t>
            </w:r>
          </w:p>
        </w:tc>
        <w:tc>
          <w:tcPr>
            <w:tcW w:w="804" w:type="dxa"/>
          </w:tcPr>
          <w:p w14:paraId="4F96DAE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166</w:t>
            </w:r>
          </w:p>
        </w:tc>
        <w:tc>
          <w:tcPr>
            <w:tcW w:w="805" w:type="dxa"/>
          </w:tcPr>
          <w:p w14:paraId="6958FD9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131</w:t>
            </w:r>
          </w:p>
        </w:tc>
        <w:tc>
          <w:tcPr>
            <w:tcW w:w="805" w:type="dxa"/>
          </w:tcPr>
          <w:p w14:paraId="1605D87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128</w:t>
            </w:r>
          </w:p>
        </w:tc>
        <w:tc>
          <w:tcPr>
            <w:tcW w:w="805" w:type="dxa"/>
          </w:tcPr>
          <w:p w14:paraId="794CEBD8"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95</w:t>
            </w:r>
          </w:p>
        </w:tc>
        <w:tc>
          <w:tcPr>
            <w:tcW w:w="805" w:type="dxa"/>
          </w:tcPr>
          <w:p w14:paraId="1700AF4A"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193</w:t>
            </w:r>
          </w:p>
        </w:tc>
      </w:tr>
      <w:tr w:rsidR="005D339F" w14:paraId="4FBA8156"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bottom w:val="single" w:sz="6" w:space="0" w:color="auto"/>
            </w:tcBorders>
          </w:tcPr>
          <w:p w14:paraId="1BF8E9C9" w14:textId="77777777" w:rsidR="005D339F" w:rsidRDefault="005D339F" w:rsidP="005D339F">
            <w:pPr>
              <w:spacing w:after="0"/>
            </w:pPr>
            <w:r>
              <w:t>Less: Net acquisition of non</w:t>
            </w:r>
            <w:r>
              <w:noBreakHyphen/>
              <w:t>financial assets from transactions</w:t>
            </w:r>
            <w:r>
              <w:rPr>
                <w:vertAlign w:val="superscript"/>
              </w:rPr>
              <w:t xml:space="preserve"> (c)</w:t>
            </w:r>
          </w:p>
        </w:tc>
        <w:tc>
          <w:tcPr>
            <w:tcW w:w="804" w:type="dxa"/>
            <w:tcBorders>
              <w:bottom w:val="single" w:sz="6" w:space="0" w:color="auto"/>
            </w:tcBorders>
          </w:tcPr>
          <w:p w14:paraId="372D92EB"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11 717</w:t>
            </w:r>
          </w:p>
        </w:tc>
        <w:tc>
          <w:tcPr>
            <w:tcW w:w="805" w:type="dxa"/>
            <w:tcBorders>
              <w:bottom w:val="single" w:sz="6" w:space="0" w:color="auto"/>
            </w:tcBorders>
          </w:tcPr>
          <w:p w14:paraId="6A6A2579"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14 099</w:t>
            </w:r>
          </w:p>
        </w:tc>
        <w:tc>
          <w:tcPr>
            <w:tcW w:w="805" w:type="dxa"/>
            <w:tcBorders>
              <w:bottom w:val="single" w:sz="6" w:space="0" w:color="auto"/>
            </w:tcBorders>
          </w:tcPr>
          <w:p w14:paraId="052C8693"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27 647</w:t>
            </w:r>
          </w:p>
        </w:tc>
        <w:tc>
          <w:tcPr>
            <w:tcW w:w="805" w:type="dxa"/>
            <w:tcBorders>
              <w:bottom w:val="single" w:sz="6" w:space="0" w:color="auto"/>
            </w:tcBorders>
          </w:tcPr>
          <w:p w14:paraId="1833734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7 077</w:t>
            </w:r>
          </w:p>
        </w:tc>
        <w:tc>
          <w:tcPr>
            <w:tcW w:w="805" w:type="dxa"/>
            <w:tcBorders>
              <w:bottom w:val="single" w:sz="6" w:space="0" w:color="auto"/>
            </w:tcBorders>
          </w:tcPr>
          <w:p w14:paraId="08DADF70"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t>6 242</w:t>
            </w:r>
          </w:p>
        </w:tc>
      </w:tr>
      <w:tr w:rsidR="005D339F" w14:paraId="41440891" w14:textId="77777777" w:rsidTr="008670FF">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auto"/>
              <w:bottom w:val="single" w:sz="12" w:space="0" w:color="auto"/>
            </w:tcBorders>
          </w:tcPr>
          <w:p w14:paraId="41009C2E" w14:textId="77777777" w:rsidR="005D339F" w:rsidRDefault="005D339F" w:rsidP="005D339F">
            <w:pPr>
              <w:spacing w:after="0"/>
            </w:pPr>
            <w:r>
              <w:rPr>
                <w:b/>
              </w:rPr>
              <w:t>Net lending/(borrowing)</w:t>
            </w:r>
          </w:p>
        </w:tc>
        <w:tc>
          <w:tcPr>
            <w:tcW w:w="804" w:type="dxa"/>
            <w:tcBorders>
              <w:top w:val="single" w:sz="6" w:space="0" w:color="auto"/>
              <w:bottom w:val="single" w:sz="12" w:space="0" w:color="auto"/>
            </w:tcBorders>
          </w:tcPr>
          <w:p w14:paraId="4F7465AE"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(11 551)</w:t>
            </w:r>
          </w:p>
        </w:tc>
        <w:tc>
          <w:tcPr>
            <w:tcW w:w="805" w:type="dxa"/>
            <w:tcBorders>
              <w:top w:val="single" w:sz="6" w:space="0" w:color="auto"/>
              <w:bottom w:val="single" w:sz="12" w:space="0" w:color="auto"/>
            </w:tcBorders>
          </w:tcPr>
          <w:p w14:paraId="3F6D9D4D"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(13 968)</w:t>
            </w:r>
          </w:p>
        </w:tc>
        <w:tc>
          <w:tcPr>
            <w:tcW w:w="805" w:type="dxa"/>
            <w:tcBorders>
              <w:top w:val="single" w:sz="6" w:space="0" w:color="auto"/>
              <w:bottom w:val="single" w:sz="12" w:space="0" w:color="auto"/>
            </w:tcBorders>
          </w:tcPr>
          <w:p w14:paraId="6B386BAF"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(27 519)</w:t>
            </w:r>
          </w:p>
        </w:tc>
        <w:tc>
          <w:tcPr>
            <w:tcW w:w="805" w:type="dxa"/>
            <w:tcBorders>
              <w:top w:val="single" w:sz="6" w:space="0" w:color="auto"/>
              <w:bottom w:val="single" w:sz="12" w:space="0" w:color="auto"/>
            </w:tcBorders>
          </w:tcPr>
          <w:p w14:paraId="6E881B2C"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(6 982)</w:t>
            </w:r>
          </w:p>
        </w:tc>
        <w:tc>
          <w:tcPr>
            <w:tcW w:w="805" w:type="dxa"/>
            <w:tcBorders>
              <w:top w:val="single" w:sz="6" w:space="0" w:color="auto"/>
              <w:bottom w:val="single" w:sz="12" w:space="0" w:color="auto"/>
            </w:tcBorders>
          </w:tcPr>
          <w:p w14:paraId="768757E6" w14:textId="77777777" w:rsidR="005D339F" w:rsidRDefault="005D339F" w:rsidP="005D339F">
            <w:pPr>
              <w:spacing w:after="0"/>
              <w:cnfStyle w:val="000000000000" w:firstRow="0" w:lastRow="0" w:firstColumn="0" w:lastColumn="0" w:oddVBand="0" w:evenVBand="0" w:oddHBand="0" w:evenHBand="0" w:firstRowFirstColumn="0" w:firstRowLastColumn="0" w:lastRowFirstColumn="0" w:lastRowLastColumn="0"/>
            </w:pPr>
            <w:r>
              <w:rPr>
                <w:b/>
              </w:rPr>
              <w:t>(6 050)</w:t>
            </w:r>
          </w:p>
        </w:tc>
      </w:tr>
    </w:tbl>
    <w:p w14:paraId="6A097FCF" w14:textId="77777777" w:rsidR="005D339F" w:rsidRPr="008E4197" w:rsidRDefault="005D339F" w:rsidP="005D339F">
      <w:pPr>
        <w:pStyle w:val="Note"/>
      </w:pPr>
      <w:r w:rsidRPr="008E4197">
        <w:t>Notes:</w:t>
      </w:r>
    </w:p>
    <w:p w14:paraId="09791FF0" w14:textId="77777777" w:rsidR="005D339F" w:rsidRPr="004D1722" w:rsidRDefault="005D339F" w:rsidP="005D339F">
      <w:pPr>
        <w:pStyle w:val="Note"/>
      </w:pPr>
      <w:r w:rsidRPr="008E4197">
        <w:t>(a)</w:t>
      </w:r>
      <w:r w:rsidRPr="008E4197">
        <w:tab/>
      </w:r>
      <w:r>
        <w:t>S</w:t>
      </w:r>
      <w:r w:rsidRPr="008E4197">
        <w:t>avings and efficiency initiatives</w:t>
      </w:r>
      <w:r>
        <w:t xml:space="preserve"> introduced in the </w:t>
      </w:r>
      <w:r w:rsidRPr="00696D40">
        <w:rPr>
          <w:i w:val="0"/>
          <w:iCs/>
        </w:rPr>
        <w:t>2023-24 Budget</w:t>
      </w:r>
      <w:r w:rsidRPr="008E4197">
        <w:t xml:space="preserve"> will</w:t>
      </w:r>
      <w:r>
        <w:t xml:space="preserve"> continue to</w:t>
      </w:r>
      <w:r w:rsidRPr="008E4197">
        <w:t xml:space="preserve"> be implemented by the public non-financial corporations sector. The impact of these initiatives is reflected over the budget and forward estimates.</w:t>
      </w:r>
    </w:p>
    <w:p w14:paraId="06CAF7B5" w14:textId="692CBD59" w:rsidR="005D339F" w:rsidRPr="00BA4099" w:rsidRDefault="005D339F" w:rsidP="005D339F">
      <w:pPr>
        <w:pStyle w:val="Note"/>
        <w:rPr>
          <w:i w:val="0"/>
        </w:rPr>
      </w:pPr>
      <w:r w:rsidRPr="00380F51">
        <w:t>(</w:t>
      </w:r>
      <w:r>
        <w:t>b</w:t>
      </w:r>
      <w:r w:rsidRPr="00380F51">
        <w:t>)</w:t>
      </w:r>
      <w:r w:rsidRPr="00380F51">
        <w:tab/>
      </w:r>
      <w:r>
        <w:t>The movement in 2025-26 primarily reflects the derecognition of completed Metro Tunnel assets transferred to VicTrack, as required under AASB 16</w:t>
      </w:r>
      <w:r>
        <w:rPr>
          <w:i w:val="0"/>
          <w:iCs/>
        </w:rPr>
        <w:t xml:space="preserve"> Leases.</w:t>
      </w:r>
    </w:p>
    <w:p w14:paraId="338D931A" w14:textId="77777777" w:rsidR="005D339F" w:rsidRPr="00380F51" w:rsidRDefault="005D339F" w:rsidP="005D339F">
      <w:pPr>
        <w:pStyle w:val="Note"/>
      </w:pPr>
      <w:r w:rsidRPr="00380F51">
        <w:t>(</w:t>
      </w:r>
      <w:r>
        <w:t>c</w:t>
      </w:r>
      <w:r w:rsidRPr="00380F51">
        <w:t>)</w:t>
      </w:r>
      <w:r w:rsidRPr="00380F51">
        <w:tab/>
      </w:r>
      <w:r>
        <w:t xml:space="preserve">The movement in 2025-26 primarily reflects the transfer of the Metro Tunnel assets from the </w:t>
      </w:r>
      <w:r w:rsidRPr="00974BE0">
        <w:t xml:space="preserve">Department of Transport and Planning in the </w:t>
      </w:r>
      <w:r>
        <w:t xml:space="preserve">general government sector to </w:t>
      </w:r>
      <w:r w:rsidRPr="00974BE0">
        <w:t>VicTrack in the public non-financial corporations sector</w:t>
      </w:r>
      <w:r>
        <w:t xml:space="preserve"> upon its completion.</w:t>
      </w:r>
    </w:p>
    <w:p w14:paraId="595116B3" w14:textId="77777777" w:rsidR="005D339F" w:rsidRDefault="005D339F" w:rsidP="005D339F"/>
    <w:p w14:paraId="16E0AB18" w14:textId="77777777" w:rsidR="005D339F" w:rsidRDefault="005D339F" w:rsidP="005D339F"/>
    <w:p w14:paraId="441077EF" w14:textId="77777777" w:rsidR="005D339F" w:rsidRDefault="005D339F" w:rsidP="005D339F">
      <w:pPr>
        <w:keepLines w:val="0"/>
        <w:rPr>
          <w:rFonts w:asciiTheme="majorHAnsi" w:hAnsiTheme="majorHAnsi" w:cstheme="minorBidi"/>
          <w:b/>
          <w:iCs/>
          <w:sz w:val="20"/>
          <w:szCs w:val="18"/>
        </w:rPr>
      </w:pPr>
      <w:r>
        <w:br w:type="page"/>
      </w:r>
    </w:p>
    <w:p w14:paraId="46D5D8DA" w14:textId="77777777" w:rsidR="005D339F" w:rsidRDefault="005D339F" w:rsidP="005D339F">
      <w:pPr>
        <w:pStyle w:val="TableHeading"/>
      </w:pPr>
      <w:r w:rsidRPr="00921F69">
        <w:t>Table 5.2</w:t>
      </w:r>
      <w:r w:rsidRPr="00921F69">
        <w:tab/>
        <w:t>Public non-financial corporations sector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BS.xlsx|Table:Manual_PNFC_BS|MergedHeadingRow:1"/>
      </w:tblPr>
      <w:tblGrid>
        <w:gridCol w:w="3544"/>
        <w:gridCol w:w="833"/>
        <w:gridCol w:w="833"/>
        <w:gridCol w:w="833"/>
        <w:gridCol w:w="833"/>
        <w:gridCol w:w="834"/>
      </w:tblGrid>
      <w:tr w:rsidR="005D339F" w14:paraId="16E2F8A7"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4ECF28C" w14:textId="77777777" w:rsidR="005D339F" w:rsidRDefault="005D339F" w:rsidP="008670FF">
            <w:pPr>
              <w:keepNext/>
            </w:pPr>
          </w:p>
        </w:tc>
        <w:tc>
          <w:tcPr>
            <w:tcW w:w="833" w:type="dxa"/>
          </w:tcPr>
          <w:p w14:paraId="6121A60C"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p>
        </w:tc>
        <w:tc>
          <w:tcPr>
            <w:tcW w:w="833" w:type="dxa"/>
          </w:tcPr>
          <w:p w14:paraId="62EBF53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p>
        </w:tc>
        <w:tc>
          <w:tcPr>
            <w:tcW w:w="833" w:type="dxa"/>
          </w:tcPr>
          <w:p w14:paraId="112C5864"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p>
        </w:tc>
        <w:tc>
          <w:tcPr>
            <w:tcW w:w="833" w:type="dxa"/>
          </w:tcPr>
          <w:p w14:paraId="6D47BA6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p>
        </w:tc>
        <w:tc>
          <w:tcPr>
            <w:tcW w:w="834" w:type="dxa"/>
          </w:tcPr>
          <w:p w14:paraId="73C63B6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2028</w:t>
            </w:r>
          </w:p>
        </w:tc>
      </w:tr>
      <w:tr w:rsidR="005D339F" w14:paraId="5239C42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69E4BA" w14:textId="77777777" w:rsidR="005D339F" w:rsidRDefault="005D339F" w:rsidP="008670FF">
            <w:pPr>
              <w:keepNext/>
            </w:pPr>
          </w:p>
        </w:tc>
        <w:tc>
          <w:tcPr>
            <w:tcW w:w="833" w:type="dxa"/>
          </w:tcPr>
          <w:p w14:paraId="2578870B"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budget</w:t>
            </w:r>
            <w:r>
              <w:rPr>
                <w:vertAlign w:val="superscript"/>
              </w:rPr>
              <w:t xml:space="preserve"> (a)</w:t>
            </w:r>
          </w:p>
        </w:tc>
        <w:tc>
          <w:tcPr>
            <w:tcW w:w="833" w:type="dxa"/>
          </w:tcPr>
          <w:p w14:paraId="1BE171D0"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revised</w:t>
            </w:r>
          </w:p>
        </w:tc>
        <w:tc>
          <w:tcPr>
            <w:tcW w:w="833" w:type="dxa"/>
          </w:tcPr>
          <w:p w14:paraId="32D7F09C"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c>
          <w:tcPr>
            <w:tcW w:w="833" w:type="dxa"/>
          </w:tcPr>
          <w:p w14:paraId="2136656B"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c>
          <w:tcPr>
            <w:tcW w:w="834" w:type="dxa"/>
          </w:tcPr>
          <w:p w14:paraId="3EDD7E0E"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r>
      <w:tr w:rsidR="005D339F" w14:paraId="3DB33834"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D275A60" w14:textId="77777777" w:rsidR="005D339F" w:rsidRDefault="005D339F" w:rsidP="008670FF">
            <w:r>
              <w:rPr>
                <w:b/>
              </w:rPr>
              <w:t>Assets</w:t>
            </w:r>
          </w:p>
        </w:tc>
        <w:tc>
          <w:tcPr>
            <w:tcW w:w="833" w:type="dxa"/>
          </w:tcPr>
          <w:p w14:paraId="39C2C38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7FD4FE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2939D4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2A9B68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4" w:type="dxa"/>
          </w:tcPr>
          <w:p w14:paraId="27031E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1ADABA7"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1F7FFF5B" w14:textId="77777777" w:rsidR="005D339F" w:rsidRDefault="005D339F" w:rsidP="008670FF">
            <w:r>
              <w:rPr>
                <w:b/>
              </w:rPr>
              <w:t>Financial assets</w:t>
            </w:r>
          </w:p>
        </w:tc>
        <w:tc>
          <w:tcPr>
            <w:tcW w:w="833" w:type="dxa"/>
          </w:tcPr>
          <w:p w14:paraId="0C73FF1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590D84D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76AF3A5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3B5E524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4" w:type="dxa"/>
          </w:tcPr>
          <w:p w14:paraId="2C87680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5A829EA"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5E9F15D6" w14:textId="77777777" w:rsidR="005D339F" w:rsidRDefault="005D339F" w:rsidP="008670FF">
            <w:r>
              <w:t>Cash and deposits</w:t>
            </w:r>
          </w:p>
        </w:tc>
        <w:tc>
          <w:tcPr>
            <w:tcW w:w="833" w:type="dxa"/>
          </w:tcPr>
          <w:p w14:paraId="181589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1 198</w:t>
            </w:r>
          </w:p>
        </w:tc>
        <w:tc>
          <w:tcPr>
            <w:tcW w:w="833" w:type="dxa"/>
          </w:tcPr>
          <w:p w14:paraId="0D4367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1 578</w:t>
            </w:r>
          </w:p>
        </w:tc>
        <w:tc>
          <w:tcPr>
            <w:tcW w:w="833" w:type="dxa"/>
          </w:tcPr>
          <w:p w14:paraId="6DE125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1 251</w:t>
            </w:r>
          </w:p>
        </w:tc>
        <w:tc>
          <w:tcPr>
            <w:tcW w:w="833" w:type="dxa"/>
          </w:tcPr>
          <w:p w14:paraId="716AE9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1 241</w:t>
            </w:r>
          </w:p>
        </w:tc>
        <w:tc>
          <w:tcPr>
            <w:tcW w:w="834" w:type="dxa"/>
          </w:tcPr>
          <w:p w14:paraId="2D97DA8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1 464</w:t>
            </w:r>
          </w:p>
        </w:tc>
      </w:tr>
      <w:tr w:rsidR="005D339F" w14:paraId="74AA115A"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F5CD5EB" w14:textId="77777777" w:rsidR="005D339F" w:rsidRDefault="005D339F" w:rsidP="008670FF">
            <w:r>
              <w:t>Advances paid</w:t>
            </w:r>
          </w:p>
        </w:tc>
        <w:tc>
          <w:tcPr>
            <w:tcW w:w="833" w:type="dxa"/>
          </w:tcPr>
          <w:p w14:paraId="77875F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41</w:t>
            </w:r>
          </w:p>
        </w:tc>
        <w:tc>
          <w:tcPr>
            <w:tcW w:w="833" w:type="dxa"/>
          </w:tcPr>
          <w:p w14:paraId="1F5574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w:t>
            </w:r>
          </w:p>
        </w:tc>
        <w:tc>
          <w:tcPr>
            <w:tcW w:w="833" w:type="dxa"/>
          </w:tcPr>
          <w:p w14:paraId="2C5F336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w:t>
            </w:r>
          </w:p>
        </w:tc>
        <w:tc>
          <w:tcPr>
            <w:tcW w:w="833" w:type="dxa"/>
          </w:tcPr>
          <w:p w14:paraId="5B4432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w:t>
            </w:r>
          </w:p>
        </w:tc>
        <w:tc>
          <w:tcPr>
            <w:tcW w:w="834" w:type="dxa"/>
          </w:tcPr>
          <w:p w14:paraId="6251BC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w:t>
            </w:r>
          </w:p>
        </w:tc>
      </w:tr>
      <w:tr w:rsidR="005D339F" w14:paraId="433A9B1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3B6896B7" w14:textId="77777777" w:rsidR="005D339F" w:rsidRDefault="005D339F" w:rsidP="008670FF">
            <w:r>
              <w:t>Receivables and contract assets</w:t>
            </w:r>
          </w:p>
        </w:tc>
        <w:tc>
          <w:tcPr>
            <w:tcW w:w="833" w:type="dxa"/>
          </w:tcPr>
          <w:p w14:paraId="366ACF6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1 950</w:t>
            </w:r>
          </w:p>
        </w:tc>
        <w:tc>
          <w:tcPr>
            <w:tcW w:w="833" w:type="dxa"/>
          </w:tcPr>
          <w:p w14:paraId="3AA3BC5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1 847</w:t>
            </w:r>
          </w:p>
        </w:tc>
        <w:tc>
          <w:tcPr>
            <w:tcW w:w="833" w:type="dxa"/>
          </w:tcPr>
          <w:p w14:paraId="367C73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1 846</w:t>
            </w:r>
          </w:p>
        </w:tc>
        <w:tc>
          <w:tcPr>
            <w:tcW w:w="833" w:type="dxa"/>
          </w:tcPr>
          <w:p w14:paraId="5F577F3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1 789</w:t>
            </w:r>
          </w:p>
        </w:tc>
        <w:tc>
          <w:tcPr>
            <w:tcW w:w="834" w:type="dxa"/>
          </w:tcPr>
          <w:p w14:paraId="3AB816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1 755</w:t>
            </w:r>
          </w:p>
        </w:tc>
      </w:tr>
      <w:tr w:rsidR="005D339F" w14:paraId="4279019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3A5BEB1D" w14:textId="77777777" w:rsidR="005D339F" w:rsidRDefault="005D339F" w:rsidP="008670FF">
            <w:r>
              <w:t>Investments, loans and placements</w:t>
            </w:r>
          </w:p>
        </w:tc>
        <w:tc>
          <w:tcPr>
            <w:tcW w:w="833" w:type="dxa"/>
          </w:tcPr>
          <w:p w14:paraId="73578E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849</w:t>
            </w:r>
          </w:p>
        </w:tc>
        <w:tc>
          <w:tcPr>
            <w:tcW w:w="833" w:type="dxa"/>
          </w:tcPr>
          <w:p w14:paraId="010C46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797</w:t>
            </w:r>
          </w:p>
        </w:tc>
        <w:tc>
          <w:tcPr>
            <w:tcW w:w="833" w:type="dxa"/>
          </w:tcPr>
          <w:p w14:paraId="4EE9172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945</w:t>
            </w:r>
          </w:p>
        </w:tc>
        <w:tc>
          <w:tcPr>
            <w:tcW w:w="833" w:type="dxa"/>
          </w:tcPr>
          <w:p w14:paraId="5F29FB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915</w:t>
            </w:r>
          </w:p>
        </w:tc>
        <w:tc>
          <w:tcPr>
            <w:tcW w:w="834" w:type="dxa"/>
          </w:tcPr>
          <w:p w14:paraId="6898A18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881</w:t>
            </w:r>
          </w:p>
        </w:tc>
      </w:tr>
      <w:tr w:rsidR="005D339F" w14:paraId="3CFEE90C"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373E15DB" w14:textId="77777777" w:rsidR="005D339F" w:rsidRDefault="005D339F" w:rsidP="008670FF">
            <w:r>
              <w:t>Investments accounted for using equity method</w:t>
            </w:r>
          </w:p>
        </w:tc>
        <w:tc>
          <w:tcPr>
            <w:tcW w:w="833" w:type="dxa"/>
            <w:tcBorders>
              <w:bottom w:val="single" w:sz="6" w:space="0" w:color="auto"/>
            </w:tcBorders>
          </w:tcPr>
          <w:p w14:paraId="63D947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611</w:t>
            </w:r>
          </w:p>
        </w:tc>
        <w:tc>
          <w:tcPr>
            <w:tcW w:w="833" w:type="dxa"/>
            <w:tcBorders>
              <w:bottom w:val="single" w:sz="6" w:space="0" w:color="auto"/>
            </w:tcBorders>
          </w:tcPr>
          <w:p w14:paraId="21A83E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213</w:t>
            </w:r>
          </w:p>
        </w:tc>
        <w:tc>
          <w:tcPr>
            <w:tcW w:w="833" w:type="dxa"/>
            <w:tcBorders>
              <w:bottom w:val="single" w:sz="6" w:space="0" w:color="auto"/>
            </w:tcBorders>
          </w:tcPr>
          <w:p w14:paraId="4E7205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257</w:t>
            </w:r>
          </w:p>
        </w:tc>
        <w:tc>
          <w:tcPr>
            <w:tcW w:w="833" w:type="dxa"/>
            <w:tcBorders>
              <w:bottom w:val="single" w:sz="6" w:space="0" w:color="auto"/>
            </w:tcBorders>
          </w:tcPr>
          <w:p w14:paraId="074A9D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261</w:t>
            </w:r>
          </w:p>
        </w:tc>
        <w:tc>
          <w:tcPr>
            <w:tcW w:w="834" w:type="dxa"/>
            <w:tcBorders>
              <w:bottom w:val="single" w:sz="6" w:space="0" w:color="auto"/>
            </w:tcBorders>
          </w:tcPr>
          <w:p w14:paraId="54863D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263</w:t>
            </w:r>
          </w:p>
        </w:tc>
      </w:tr>
      <w:tr w:rsidR="005D339F" w14:paraId="5F23644E"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1A3F54F1" w14:textId="77777777" w:rsidR="005D339F" w:rsidRDefault="005D339F" w:rsidP="008670FF">
            <w:r>
              <w:rPr>
                <w:b/>
              </w:rPr>
              <w:t>Total financial assets</w:t>
            </w:r>
          </w:p>
        </w:tc>
        <w:tc>
          <w:tcPr>
            <w:tcW w:w="833" w:type="dxa"/>
            <w:tcBorders>
              <w:top w:val="single" w:sz="6" w:space="0" w:color="auto"/>
              <w:bottom w:val="single" w:sz="6" w:space="0" w:color="auto"/>
            </w:tcBorders>
          </w:tcPr>
          <w:p w14:paraId="0AAA646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4 648</w:t>
            </w:r>
          </w:p>
        </w:tc>
        <w:tc>
          <w:tcPr>
            <w:tcW w:w="833" w:type="dxa"/>
            <w:tcBorders>
              <w:top w:val="single" w:sz="6" w:space="0" w:color="auto"/>
              <w:bottom w:val="single" w:sz="6" w:space="0" w:color="auto"/>
            </w:tcBorders>
          </w:tcPr>
          <w:p w14:paraId="45DA04B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4 463</w:t>
            </w:r>
          </w:p>
        </w:tc>
        <w:tc>
          <w:tcPr>
            <w:tcW w:w="833" w:type="dxa"/>
            <w:tcBorders>
              <w:top w:val="single" w:sz="6" w:space="0" w:color="auto"/>
              <w:bottom w:val="single" w:sz="6" w:space="0" w:color="auto"/>
            </w:tcBorders>
          </w:tcPr>
          <w:p w14:paraId="57F345F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4 326</w:t>
            </w:r>
          </w:p>
        </w:tc>
        <w:tc>
          <w:tcPr>
            <w:tcW w:w="833" w:type="dxa"/>
            <w:tcBorders>
              <w:top w:val="single" w:sz="6" w:space="0" w:color="auto"/>
              <w:bottom w:val="single" w:sz="6" w:space="0" w:color="auto"/>
            </w:tcBorders>
          </w:tcPr>
          <w:p w14:paraId="2ACF964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4 231</w:t>
            </w:r>
          </w:p>
        </w:tc>
        <w:tc>
          <w:tcPr>
            <w:tcW w:w="834" w:type="dxa"/>
            <w:tcBorders>
              <w:top w:val="single" w:sz="6" w:space="0" w:color="auto"/>
              <w:bottom w:val="single" w:sz="6" w:space="0" w:color="auto"/>
            </w:tcBorders>
          </w:tcPr>
          <w:p w14:paraId="78C601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4 385</w:t>
            </w:r>
          </w:p>
        </w:tc>
      </w:tr>
      <w:tr w:rsidR="005D339F" w14:paraId="41FE08D3"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6BCBE5AA" w14:textId="77777777" w:rsidR="005D339F" w:rsidRDefault="005D339F" w:rsidP="008670FF">
            <w:r>
              <w:rPr>
                <w:b/>
              </w:rPr>
              <w:t>Non</w:t>
            </w:r>
            <w:r>
              <w:rPr>
                <w:b/>
              </w:rPr>
              <w:noBreakHyphen/>
              <w:t>financial assets</w:t>
            </w:r>
          </w:p>
        </w:tc>
        <w:tc>
          <w:tcPr>
            <w:tcW w:w="833" w:type="dxa"/>
            <w:tcBorders>
              <w:top w:val="single" w:sz="6" w:space="0" w:color="auto"/>
            </w:tcBorders>
          </w:tcPr>
          <w:p w14:paraId="0836A9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340194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3BA7CE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2FA9C11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4" w:type="dxa"/>
            <w:tcBorders>
              <w:top w:val="single" w:sz="6" w:space="0" w:color="auto"/>
            </w:tcBorders>
          </w:tcPr>
          <w:p w14:paraId="1E6273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D370BD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9A55C38" w14:textId="77777777" w:rsidR="005D339F" w:rsidRDefault="005D339F" w:rsidP="008670FF">
            <w:r>
              <w:t>Inventories</w:t>
            </w:r>
          </w:p>
        </w:tc>
        <w:tc>
          <w:tcPr>
            <w:tcW w:w="833" w:type="dxa"/>
          </w:tcPr>
          <w:p w14:paraId="67CFBA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1 353</w:t>
            </w:r>
          </w:p>
        </w:tc>
        <w:tc>
          <w:tcPr>
            <w:tcW w:w="833" w:type="dxa"/>
          </w:tcPr>
          <w:p w14:paraId="273EC20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1 482</w:t>
            </w:r>
          </w:p>
        </w:tc>
        <w:tc>
          <w:tcPr>
            <w:tcW w:w="833" w:type="dxa"/>
          </w:tcPr>
          <w:p w14:paraId="2DA6B2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1 514</w:t>
            </w:r>
          </w:p>
        </w:tc>
        <w:tc>
          <w:tcPr>
            <w:tcW w:w="833" w:type="dxa"/>
          </w:tcPr>
          <w:p w14:paraId="6F1AD3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1 699</w:t>
            </w:r>
          </w:p>
        </w:tc>
        <w:tc>
          <w:tcPr>
            <w:tcW w:w="834" w:type="dxa"/>
          </w:tcPr>
          <w:p w14:paraId="7331EB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1 507</w:t>
            </w:r>
          </w:p>
        </w:tc>
      </w:tr>
      <w:tr w:rsidR="005D339F" w14:paraId="658754D7"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23CD5913" w14:textId="77777777" w:rsidR="005D339F" w:rsidRDefault="005D339F" w:rsidP="008670FF">
            <w:r>
              <w:t>Non</w:t>
            </w:r>
            <w:r>
              <w:noBreakHyphen/>
              <w:t>financial assets held for sale</w:t>
            </w:r>
          </w:p>
        </w:tc>
        <w:tc>
          <w:tcPr>
            <w:tcW w:w="833" w:type="dxa"/>
          </w:tcPr>
          <w:p w14:paraId="17DEE2F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w:t>
            </w:r>
          </w:p>
        </w:tc>
        <w:tc>
          <w:tcPr>
            <w:tcW w:w="833" w:type="dxa"/>
          </w:tcPr>
          <w:p w14:paraId="5CB575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w:t>
            </w:r>
          </w:p>
        </w:tc>
        <w:tc>
          <w:tcPr>
            <w:tcW w:w="833" w:type="dxa"/>
          </w:tcPr>
          <w:p w14:paraId="385DCEB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w:t>
            </w:r>
          </w:p>
        </w:tc>
        <w:tc>
          <w:tcPr>
            <w:tcW w:w="833" w:type="dxa"/>
          </w:tcPr>
          <w:p w14:paraId="01D0FE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w:t>
            </w:r>
          </w:p>
        </w:tc>
        <w:tc>
          <w:tcPr>
            <w:tcW w:w="834" w:type="dxa"/>
          </w:tcPr>
          <w:p w14:paraId="49CA00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w:t>
            </w:r>
          </w:p>
        </w:tc>
      </w:tr>
      <w:tr w:rsidR="005D339F" w14:paraId="42695D07"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13CEB4F8" w14:textId="77777777" w:rsidR="005D339F" w:rsidRDefault="005D339F" w:rsidP="008670FF">
            <w:r>
              <w:t>Land, buildings, infrastructure, plant and equipment</w:t>
            </w:r>
          </w:p>
        </w:tc>
        <w:tc>
          <w:tcPr>
            <w:tcW w:w="833" w:type="dxa"/>
          </w:tcPr>
          <w:p w14:paraId="7C0141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130 269</w:t>
            </w:r>
          </w:p>
        </w:tc>
        <w:tc>
          <w:tcPr>
            <w:tcW w:w="833" w:type="dxa"/>
          </w:tcPr>
          <w:p w14:paraId="5729309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131 842</w:t>
            </w:r>
          </w:p>
        </w:tc>
        <w:tc>
          <w:tcPr>
            <w:tcW w:w="833" w:type="dxa"/>
          </w:tcPr>
          <w:p w14:paraId="623AED5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140 601</w:t>
            </w:r>
          </w:p>
        </w:tc>
        <w:tc>
          <w:tcPr>
            <w:tcW w:w="833" w:type="dxa"/>
          </w:tcPr>
          <w:p w14:paraId="09B041E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146 365</w:t>
            </w:r>
          </w:p>
        </w:tc>
        <w:tc>
          <w:tcPr>
            <w:tcW w:w="834" w:type="dxa"/>
          </w:tcPr>
          <w:p w14:paraId="49DD1B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151 349</w:t>
            </w:r>
          </w:p>
        </w:tc>
      </w:tr>
      <w:tr w:rsidR="005D339F" w14:paraId="503FB50B"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5F22A5CA" w14:textId="77777777" w:rsidR="005D339F" w:rsidRDefault="005D339F" w:rsidP="008670FF">
            <w:r>
              <w:t>Other non</w:t>
            </w:r>
            <w:r>
              <w:noBreakHyphen/>
              <w:t>financial assets</w:t>
            </w:r>
          </w:p>
        </w:tc>
        <w:tc>
          <w:tcPr>
            <w:tcW w:w="833" w:type="dxa"/>
            <w:tcBorders>
              <w:bottom w:val="single" w:sz="6" w:space="0" w:color="auto"/>
            </w:tcBorders>
          </w:tcPr>
          <w:p w14:paraId="4F3F24D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3 538</w:t>
            </w:r>
          </w:p>
        </w:tc>
        <w:tc>
          <w:tcPr>
            <w:tcW w:w="833" w:type="dxa"/>
            <w:tcBorders>
              <w:bottom w:val="single" w:sz="6" w:space="0" w:color="auto"/>
            </w:tcBorders>
          </w:tcPr>
          <w:p w14:paraId="4474A8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3 611</w:t>
            </w:r>
          </w:p>
        </w:tc>
        <w:tc>
          <w:tcPr>
            <w:tcW w:w="833" w:type="dxa"/>
            <w:tcBorders>
              <w:bottom w:val="single" w:sz="6" w:space="0" w:color="auto"/>
            </w:tcBorders>
          </w:tcPr>
          <w:p w14:paraId="4A7D1E8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3 908</w:t>
            </w:r>
          </w:p>
        </w:tc>
        <w:tc>
          <w:tcPr>
            <w:tcW w:w="833" w:type="dxa"/>
            <w:tcBorders>
              <w:bottom w:val="single" w:sz="6" w:space="0" w:color="auto"/>
            </w:tcBorders>
          </w:tcPr>
          <w:p w14:paraId="3D0A3C7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4 218</w:t>
            </w:r>
          </w:p>
        </w:tc>
        <w:tc>
          <w:tcPr>
            <w:tcW w:w="834" w:type="dxa"/>
            <w:tcBorders>
              <w:bottom w:val="single" w:sz="6" w:space="0" w:color="auto"/>
            </w:tcBorders>
          </w:tcPr>
          <w:p w14:paraId="4CBED6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4 543</w:t>
            </w:r>
          </w:p>
        </w:tc>
      </w:tr>
      <w:tr w:rsidR="005D339F" w14:paraId="44BD2D7D"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3711584A" w14:textId="77777777" w:rsidR="005D339F" w:rsidRDefault="005D339F" w:rsidP="008670FF">
            <w:r>
              <w:rPr>
                <w:b/>
              </w:rPr>
              <w:t>Total non</w:t>
            </w:r>
            <w:r>
              <w:rPr>
                <w:b/>
              </w:rPr>
              <w:noBreakHyphen/>
              <w:t>financial assets</w:t>
            </w:r>
          </w:p>
        </w:tc>
        <w:tc>
          <w:tcPr>
            <w:tcW w:w="833" w:type="dxa"/>
            <w:tcBorders>
              <w:top w:val="single" w:sz="6" w:space="0" w:color="auto"/>
              <w:bottom w:val="single" w:sz="6" w:space="0" w:color="auto"/>
            </w:tcBorders>
          </w:tcPr>
          <w:p w14:paraId="2F74DA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135 172</w:t>
            </w:r>
          </w:p>
        </w:tc>
        <w:tc>
          <w:tcPr>
            <w:tcW w:w="833" w:type="dxa"/>
            <w:tcBorders>
              <w:top w:val="single" w:sz="6" w:space="0" w:color="auto"/>
              <w:bottom w:val="single" w:sz="6" w:space="0" w:color="auto"/>
            </w:tcBorders>
          </w:tcPr>
          <w:p w14:paraId="30FFEA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136 948</w:t>
            </w:r>
          </w:p>
        </w:tc>
        <w:tc>
          <w:tcPr>
            <w:tcW w:w="833" w:type="dxa"/>
            <w:tcBorders>
              <w:top w:val="single" w:sz="6" w:space="0" w:color="auto"/>
              <w:bottom w:val="single" w:sz="6" w:space="0" w:color="auto"/>
            </w:tcBorders>
          </w:tcPr>
          <w:p w14:paraId="64DABF3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146 036</w:t>
            </w:r>
          </w:p>
        </w:tc>
        <w:tc>
          <w:tcPr>
            <w:tcW w:w="833" w:type="dxa"/>
            <w:tcBorders>
              <w:top w:val="single" w:sz="6" w:space="0" w:color="auto"/>
              <w:bottom w:val="single" w:sz="6" w:space="0" w:color="auto"/>
            </w:tcBorders>
          </w:tcPr>
          <w:p w14:paraId="36E7A9E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152 296</w:t>
            </w:r>
          </w:p>
        </w:tc>
        <w:tc>
          <w:tcPr>
            <w:tcW w:w="834" w:type="dxa"/>
            <w:tcBorders>
              <w:top w:val="single" w:sz="6" w:space="0" w:color="auto"/>
              <w:bottom w:val="single" w:sz="6" w:space="0" w:color="auto"/>
            </w:tcBorders>
          </w:tcPr>
          <w:p w14:paraId="706DF0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157 412</w:t>
            </w:r>
          </w:p>
        </w:tc>
      </w:tr>
      <w:tr w:rsidR="005D339F" w14:paraId="0A425C90"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2886F60B" w14:textId="77777777" w:rsidR="005D339F" w:rsidRDefault="005D339F" w:rsidP="008670FF">
            <w:r>
              <w:rPr>
                <w:b/>
              </w:rPr>
              <w:t>Total assets</w:t>
            </w:r>
          </w:p>
        </w:tc>
        <w:tc>
          <w:tcPr>
            <w:tcW w:w="833" w:type="dxa"/>
            <w:tcBorders>
              <w:top w:val="single" w:sz="6" w:space="0" w:color="auto"/>
            </w:tcBorders>
          </w:tcPr>
          <w:p w14:paraId="5C99D1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139 820</w:t>
            </w:r>
          </w:p>
        </w:tc>
        <w:tc>
          <w:tcPr>
            <w:tcW w:w="833" w:type="dxa"/>
            <w:tcBorders>
              <w:top w:val="single" w:sz="6" w:space="0" w:color="auto"/>
            </w:tcBorders>
          </w:tcPr>
          <w:p w14:paraId="1405E1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141 411</w:t>
            </w:r>
          </w:p>
        </w:tc>
        <w:tc>
          <w:tcPr>
            <w:tcW w:w="833" w:type="dxa"/>
            <w:tcBorders>
              <w:top w:val="single" w:sz="6" w:space="0" w:color="auto"/>
            </w:tcBorders>
          </w:tcPr>
          <w:p w14:paraId="40B277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150 362</w:t>
            </w:r>
          </w:p>
        </w:tc>
        <w:tc>
          <w:tcPr>
            <w:tcW w:w="833" w:type="dxa"/>
            <w:tcBorders>
              <w:top w:val="single" w:sz="6" w:space="0" w:color="auto"/>
            </w:tcBorders>
          </w:tcPr>
          <w:p w14:paraId="19B00F5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156 527</w:t>
            </w:r>
          </w:p>
        </w:tc>
        <w:tc>
          <w:tcPr>
            <w:tcW w:w="834" w:type="dxa"/>
            <w:tcBorders>
              <w:top w:val="single" w:sz="6" w:space="0" w:color="auto"/>
            </w:tcBorders>
          </w:tcPr>
          <w:p w14:paraId="1248B48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161 797</w:t>
            </w:r>
          </w:p>
        </w:tc>
      </w:tr>
      <w:tr w:rsidR="005D339F" w14:paraId="028C8104"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2EE5B8A9" w14:textId="77777777" w:rsidR="005D339F" w:rsidRDefault="005D339F" w:rsidP="008670FF">
            <w:r>
              <w:rPr>
                <w:b/>
              </w:rPr>
              <w:t>Liabilities</w:t>
            </w:r>
          </w:p>
        </w:tc>
        <w:tc>
          <w:tcPr>
            <w:tcW w:w="833" w:type="dxa"/>
          </w:tcPr>
          <w:p w14:paraId="3DE9F5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5381BB5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32FDEB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52490B9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4" w:type="dxa"/>
          </w:tcPr>
          <w:p w14:paraId="574EBBE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DA148EE"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633E2AFA" w14:textId="77777777" w:rsidR="005D339F" w:rsidRDefault="005D339F" w:rsidP="008670FF">
            <w:r>
              <w:t>Deposits held and advances received</w:t>
            </w:r>
          </w:p>
        </w:tc>
        <w:tc>
          <w:tcPr>
            <w:tcW w:w="833" w:type="dxa"/>
          </w:tcPr>
          <w:p w14:paraId="63039F5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2 825</w:t>
            </w:r>
          </w:p>
        </w:tc>
        <w:tc>
          <w:tcPr>
            <w:tcW w:w="833" w:type="dxa"/>
          </w:tcPr>
          <w:p w14:paraId="1D0410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2 820</w:t>
            </w:r>
          </w:p>
        </w:tc>
        <w:tc>
          <w:tcPr>
            <w:tcW w:w="833" w:type="dxa"/>
          </w:tcPr>
          <w:p w14:paraId="3FEED86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2 906</w:t>
            </w:r>
          </w:p>
        </w:tc>
        <w:tc>
          <w:tcPr>
            <w:tcW w:w="833" w:type="dxa"/>
          </w:tcPr>
          <w:p w14:paraId="48F00F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2 990</w:t>
            </w:r>
          </w:p>
        </w:tc>
        <w:tc>
          <w:tcPr>
            <w:tcW w:w="834" w:type="dxa"/>
          </w:tcPr>
          <w:p w14:paraId="3C93654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3 088</w:t>
            </w:r>
          </w:p>
        </w:tc>
      </w:tr>
      <w:tr w:rsidR="005D339F" w14:paraId="5B71599C"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2F77C122" w14:textId="77777777" w:rsidR="005D339F" w:rsidRDefault="005D339F" w:rsidP="008670FF">
            <w:r>
              <w:t>Payables</w:t>
            </w:r>
            <w:r>
              <w:rPr>
                <w:vertAlign w:val="superscript"/>
              </w:rPr>
              <w:t xml:space="preserve"> </w:t>
            </w:r>
          </w:p>
        </w:tc>
        <w:tc>
          <w:tcPr>
            <w:tcW w:w="833" w:type="dxa"/>
          </w:tcPr>
          <w:p w14:paraId="2038F3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1 859</w:t>
            </w:r>
          </w:p>
        </w:tc>
        <w:tc>
          <w:tcPr>
            <w:tcW w:w="833" w:type="dxa"/>
          </w:tcPr>
          <w:p w14:paraId="43EC8B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2 125</w:t>
            </w:r>
          </w:p>
        </w:tc>
        <w:tc>
          <w:tcPr>
            <w:tcW w:w="833" w:type="dxa"/>
          </w:tcPr>
          <w:p w14:paraId="64BC43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2 256</w:t>
            </w:r>
          </w:p>
        </w:tc>
        <w:tc>
          <w:tcPr>
            <w:tcW w:w="833" w:type="dxa"/>
          </w:tcPr>
          <w:p w14:paraId="2571255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2 126</w:t>
            </w:r>
          </w:p>
        </w:tc>
        <w:tc>
          <w:tcPr>
            <w:tcW w:w="834" w:type="dxa"/>
          </w:tcPr>
          <w:p w14:paraId="00B283A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2 098</w:t>
            </w:r>
          </w:p>
        </w:tc>
      </w:tr>
      <w:tr w:rsidR="005D339F" w14:paraId="38CF9170"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26879B81" w14:textId="77777777" w:rsidR="005D339F" w:rsidRDefault="005D339F" w:rsidP="008670FF">
            <w:r>
              <w:t>Borrowings</w:t>
            </w:r>
          </w:p>
        </w:tc>
        <w:tc>
          <w:tcPr>
            <w:tcW w:w="833" w:type="dxa"/>
          </w:tcPr>
          <w:p w14:paraId="3B655D0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26 807</w:t>
            </w:r>
          </w:p>
        </w:tc>
        <w:tc>
          <w:tcPr>
            <w:tcW w:w="833" w:type="dxa"/>
          </w:tcPr>
          <w:p w14:paraId="3AAEEC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26 948</w:t>
            </w:r>
          </w:p>
        </w:tc>
        <w:tc>
          <w:tcPr>
            <w:tcW w:w="833" w:type="dxa"/>
          </w:tcPr>
          <w:p w14:paraId="63B1CAD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30 513</w:t>
            </w:r>
          </w:p>
        </w:tc>
        <w:tc>
          <w:tcPr>
            <w:tcW w:w="833" w:type="dxa"/>
          </w:tcPr>
          <w:p w14:paraId="36C0B7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33 700</w:t>
            </w:r>
          </w:p>
        </w:tc>
        <w:tc>
          <w:tcPr>
            <w:tcW w:w="834" w:type="dxa"/>
          </w:tcPr>
          <w:p w14:paraId="1A548D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36 149</w:t>
            </w:r>
          </w:p>
        </w:tc>
      </w:tr>
      <w:tr w:rsidR="005D339F" w14:paraId="06DAC7E0"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E0B4B7C" w14:textId="77777777" w:rsidR="005D339F" w:rsidRDefault="005D339F" w:rsidP="008670FF">
            <w:r>
              <w:t>Employee benefits</w:t>
            </w:r>
          </w:p>
        </w:tc>
        <w:tc>
          <w:tcPr>
            <w:tcW w:w="833" w:type="dxa"/>
          </w:tcPr>
          <w:p w14:paraId="625B86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603</w:t>
            </w:r>
          </w:p>
        </w:tc>
        <w:tc>
          <w:tcPr>
            <w:tcW w:w="833" w:type="dxa"/>
          </w:tcPr>
          <w:p w14:paraId="6C4B52C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596</w:t>
            </w:r>
          </w:p>
        </w:tc>
        <w:tc>
          <w:tcPr>
            <w:tcW w:w="833" w:type="dxa"/>
          </w:tcPr>
          <w:p w14:paraId="20B356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613</w:t>
            </w:r>
          </w:p>
        </w:tc>
        <w:tc>
          <w:tcPr>
            <w:tcW w:w="833" w:type="dxa"/>
          </w:tcPr>
          <w:p w14:paraId="1B021F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634</w:t>
            </w:r>
          </w:p>
        </w:tc>
        <w:tc>
          <w:tcPr>
            <w:tcW w:w="834" w:type="dxa"/>
          </w:tcPr>
          <w:p w14:paraId="3B715B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658</w:t>
            </w:r>
          </w:p>
        </w:tc>
      </w:tr>
      <w:tr w:rsidR="005D339F" w14:paraId="4509DA1F"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1232830B" w14:textId="77777777" w:rsidR="005D339F" w:rsidRDefault="005D339F" w:rsidP="008670FF">
            <w:r>
              <w:t>Superannuation</w:t>
            </w:r>
          </w:p>
        </w:tc>
        <w:tc>
          <w:tcPr>
            <w:tcW w:w="833" w:type="dxa"/>
          </w:tcPr>
          <w:p w14:paraId="36D9E5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w:t>
            </w:r>
          </w:p>
        </w:tc>
        <w:tc>
          <w:tcPr>
            <w:tcW w:w="833" w:type="dxa"/>
          </w:tcPr>
          <w:p w14:paraId="6058B5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w:t>
            </w:r>
          </w:p>
        </w:tc>
        <w:tc>
          <w:tcPr>
            <w:tcW w:w="833" w:type="dxa"/>
          </w:tcPr>
          <w:p w14:paraId="4640C82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w:t>
            </w:r>
          </w:p>
        </w:tc>
        <w:tc>
          <w:tcPr>
            <w:tcW w:w="833" w:type="dxa"/>
          </w:tcPr>
          <w:p w14:paraId="3E4C99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w:t>
            </w:r>
          </w:p>
        </w:tc>
        <w:tc>
          <w:tcPr>
            <w:tcW w:w="834" w:type="dxa"/>
          </w:tcPr>
          <w:p w14:paraId="1BAC88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w:t>
            </w:r>
          </w:p>
        </w:tc>
      </w:tr>
      <w:tr w:rsidR="005D339F" w14:paraId="10D20F48"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2601BE71" w14:textId="77777777" w:rsidR="005D339F" w:rsidRDefault="005D339F" w:rsidP="008670FF">
            <w:r>
              <w:t>Other provisions</w:t>
            </w:r>
          </w:p>
        </w:tc>
        <w:tc>
          <w:tcPr>
            <w:tcW w:w="833" w:type="dxa"/>
          </w:tcPr>
          <w:p w14:paraId="2BF3AD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11 951</w:t>
            </w:r>
          </w:p>
        </w:tc>
        <w:tc>
          <w:tcPr>
            <w:tcW w:w="833" w:type="dxa"/>
          </w:tcPr>
          <w:p w14:paraId="3E446CD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11 959</w:t>
            </w:r>
          </w:p>
        </w:tc>
        <w:tc>
          <w:tcPr>
            <w:tcW w:w="833" w:type="dxa"/>
          </w:tcPr>
          <w:p w14:paraId="620FC5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12 100</w:t>
            </w:r>
          </w:p>
        </w:tc>
        <w:tc>
          <w:tcPr>
            <w:tcW w:w="833" w:type="dxa"/>
          </w:tcPr>
          <w:p w14:paraId="120D1A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12 141</w:t>
            </w:r>
          </w:p>
        </w:tc>
        <w:tc>
          <w:tcPr>
            <w:tcW w:w="834" w:type="dxa"/>
          </w:tcPr>
          <w:p w14:paraId="1BC2876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12 160</w:t>
            </w:r>
          </w:p>
        </w:tc>
      </w:tr>
      <w:tr w:rsidR="005D339F" w14:paraId="5FF274E2"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65A0F6D9" w14:textId="77777777" w:rsidR="005D339F" w:rsidRDefault="005D339F" w:rsidP="008670FF">
            <w:r>
              <w:t>Other liabilities</w:t>
            </w:r>
            <w:r>
              <w:rPr>
                <w:vertAlign w:val="superscript"/>
              </w:rPr>
              <w:t xml:space="preserve"> </w:t>
            </w:r>
          </w:p>
        </w:tc>
        <w:tc>
          <w:tcPr>
            <w:tcW w:w="833" w:type="dxa"/>
            <w:tcBorders>
              <w:bottom w:val="single" w:sz="6" w:space="0" w:color="auto"/>
            </w:tcBorders>
          </w:tcPr>
          <w:p w14:paraId="6B2ADD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8 763</w:t>
            </w:r>
          </w:p>
        </w:tc>
        <w:tc>
          <w:tcPr>
            <w:tcW w:w="833" w:type="dxa"/>
            <w:tcBorders>
              <w:bottom w:val="single" w:sz="6" w:space="0" w:color="auto"/>
            </w:tcBorders>
          </w:tcPr>
          <w:p w14:paraId="668B6A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8 885</w:t>
            </w:r>
          </w:p>
        </w:tc>
        <w:tc>
          <w:tcPr>
            <w:tcW w:w="833" w:type="dxa"/>
            <w:tcBorders>
              <w:bottom w:val="single" w:sz="6" w:space="0" w:color="auto"/>
            </w:tcBorders>
          </w:tcPr>
          <w:p w14:paraId="0D947F9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8 688</w:t>
            </w:r>
          </w:p>
        </w:tc>
        <w:tc>
          <w:tcPr>
            <w:tcW w:w="833" w:type="dxa"/>
            <w:tcBorders>
              <w:bottom w:val="single" w:sz="6" w:space="0" w:color="auto"/>
            </w:tcBorders>
          </w:tcPr>
          <w:p w14:paraId="14EFC4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8 504</w:t>
            </w:r>
          </w:p>
        </w:tc>
        <w:tc>
          <w:tcPr>
            <w:tcW w:w="834" w:type="dxa"/>
            <w:tcBorders>
              <w:bottom w:val="single" w:sz="6" w:space="0" w:color="auto"/>
            </w:tcBorders>
          </w:tcPr>
          <w:p w14:paraId="4D5564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8 322</w:t>
            </w:r>
          </w:p>
        </w:tc>
      </w:tr>
      <w:tr w:rsidR="005D339F" w14:paraId="1AC33E12"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737AF94F" w14:textId="77777777" w:rsidR="005D339F" w:rsidRDefault="005D339F" w:rsidP="008670FF">
            <w:r>
              <w:rPr>
                <w:b/>
              </w:rPr>
              <w:t>Total liabilities</w:t>
            </w:r>
          </w:p>
        </w:tc>
        <w:tc>
          <w:tcPr>
            <w:tcW w:w="833" w:type="dxa"/>
            <w:tcBorders>
              <w:top w:val="single" w:sz="6" w:space="0" w:color="auto"/>
              <w:bottom w:val="single" w:sz="6" w:space="0" w:color="auto"/>
            </w:tcBorders>
          </w:tcPr>
          <w:p w14:paraId="4FBB4B8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52 808</w:t>
            </w:r>
          </w:p>
        </w:tc>
        <w:tc>
          <w:tcPr>
            <w:tcW w:w="833" w:type="dxa"/>
            <w:tcBorders>
              <w:top w:val="single" w:sz="6" w:space="0" w:color="auto"/>
              <w:bottom w:val="single" w:sz="6" w:space="0" w:color="auto"/>
            </w:tcBorders>
          </w:tcPr>
          <w:p w14:paraId="5F4D4F6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53 335</w:t>
            </w:r>
          </w:p>
        </w:tc>
        <w:tc>
          <w:tcPr>
            <w:tcW w:w="833" w:type="dxa"/>
            <w:tcBorders>
              <w:top w:val="single" w:sz="6" w:space="0" w:color="auto"/>
              <w:bottom w:val="single" w:sz="6" w:space="0" w:color="auto"/>
            </w:tcBorders>
          </w:tcPr>
          <w:p w14:paraId="33EB5E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57 078</w:t>
            </w:r>
          </w:p>
        </w:tc>
        <w:tc>
          <w:tcPr>
            <w:tcW w:w="833" w:type="dxa"/>
            <w:tcBorders>
              <w:top w:val="single" w:sz="6" w:space="0" w:color="auto"/>
              <w:bottom w:val="single" w:sz="6" w:space="0" w:color="auto"/>
            </w:tcBorders>
          </w:tcPr>
          <w:p w14:paraId="679671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60 098</w:t>
            </w:r>
          </w:p>
        </w:tc>
        <w:tc>
          <w:tcPr>
            <w:tcW w:w="834" w:type="dxa"/>
            <w:tcBorders>
              <w:top w:val="single" w:sz="6" w:space="0" w:color="auto"/>
              <w:bottom w:val="single" w:sz="6" w:space="0" w:color="auto"/>
            </w:tcBorders>
          </w:tcPr>
          <w:p w14:paraId="119BA2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62 477</w:t>
            </w:r>
          </w:p>
        </w:tc>
      </w:tr>
      <w:tr w:rsidR="005D339F" w14:paraId="48DF49B8"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4F30E6D8" w14:textId="77777777" w:rsidR="005D339F" w:rsidRDefault="005D339F" w:rsidP="008670FF">
            <w:r>
              <w:rPr>
                <w:b/>
              </w:rPr>
              <w:t>Net assets</w:t>
            </w:r>
          </w:p>
        </w:tc>
        <w:tc>
          <w:tcPr>
            <w:tcW w:w="833" w:type="dxa"/>
            <w:tcBorders>
              <w:top w:val="single" w:sz="6" w:space="0" w:color="auto"/>
              <w:bottom w:val="single" w:sz="12" w:space="0" w:color="auto"/>
            </w:tcBorders>
          </w:tcPr>
          <w:p w14:paraId="2214D0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87 012</w:t>
            </w:r>
          </w:p>
        </w:tc>
        <w:tc>
          <w:tcPr>
            <w:tcW w:w="833" w:type="dxa"/>
            <w:tcBorders>
              <w:top w:val="single" w:sz="6" w:space="0" w:color="auto"/>
              <w:bottom w:val="single" w:sz="12" w:space="0" w:color="auto"/>
            </w:tcBorders>
          </w:tcPr>
          <w:p w14:paraId="137E45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88 076</w:t>
            </w:r>
          </w:p>
        </w:tc>
        <w:tc>
          <w:tcPr>
            <w:tcW w:w="833" w:type="dxa"/>
            <w:tcBorders>
              <w:top w:val="single" w:sz="6" w:space="0" w:color="auto"/>
              <w:bottom w:val="single" w:sz="12" w:space="0" w:color="auto"/>
            </w:tcBorders>
          </w:tcPr>
          <w:p w14:paraId="6E3F59A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93 284</w:t>
            </w:r>
          </w:p>
        </w:tc>
        <w:tc>
          <w:tcPr>
            <w:tcW w:w="833" w:type="dxa"/>
            <w:tcBorders>
              <w:top w:val="single" w:sz="6" w:space="0" w:color="auto"/>
              <w:bottom w:val="single" w:sz="12" w:space="0" w:color="auto"/>
            </w:tcBorders>
          </w:tcPr>
          <w:p w14:paraId="0F608D8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96 429</w:t>
            </w:r>
          </w:p>
        </w:tc>
        <w:tc>
          <w:tcPr>
            <w:tcW w:w="834" w:type="dxa"/>
            <w:tcBorders>
              <w:top w:val="single" w:sz="6" w:space="0" w:color="auto"/>
              <w:bottom w:val="single" w:sz="12" w:space="0" w:color="auto"/>
            </w:tcBorders>
          </w:tcPr>
          <w:p w14:paraId="06215C5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99 320</w:t>
            </w:r>
          </w:p>
        </w:tc>
      </w:tr>
      <w:tr w:rsidR="005D339F" w14:paraId="196967CB"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391BFDD2" w14:textId="77777777" w:rsidR="005D339F" w:rsidRDefault="005D339F" w:rsidP="008670FF">
            <w:r>
              <w:t>Accumulated surplus/(deficit)</w:t>
            </w:r>
          </w:p>
        </w:tc>
        <w:tc>
          <w:tcPr>
            <w:tcW w:w="833" w:type="dxa"/>
            <w:tcBorders>
              <w:top w:val="single" w:sz="6" w:space="0" w:color="auto"/>
            </w:tcBorders>
          </w:tcPr>
          <w:p w14:paraId="01E543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(37 596)</w:t>
            </w:r>
          </w:p>
        </w:tc>
        <w:tc>
          <w:tcPr>
            <w:tcW w:w="833" w:type="dxa"/>
            <w:tcBorders>
              <w:top w:val="single" w:sz="6" w:space="0" w:color="auto"/>
            </w:tcBorders>
          </w:tcPr>
          <w:p w14:paraId="535384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(38 264)</w:t>
            </w:r>
          </w:p>
        </w:tc>
        <w:tc>
          <w:tcPr>
            <w:tcW w:w="833" w:type="dxa"/>
            <w:tcBorders>
              <w:top w:val="single" w:sz="6" w:space="0" w:color="auto"/>
            </w:tcBorders>
          </w:tcPr>
          <w:p w14:paraId="46116C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(57 755)</w:t>
            </w:r>
          </w:p>
        </w:tc>
        <w:tc>
          <w:tcPr>
            <w:tcW w:w="833" w:type="dxa"/>
            <w:tcBorders>
              <w:top w:val="single" w:sz="6" w:space="0" w:color="auto"/>
            </w:tcBorders>
          </w:tcPr>
          <w:p w14:paraId="258A685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(58 866)</w:t>
            </w:r>
          </w:p>
        </w:tc>
        <w:tc>
          <w:tcPr>
            <w:tcW w:w="834" w:type="dxa"/>
            <w:tcBorders>
              <w:top w:val="single" w:sz="6" w:space="0" w:color="auto"/>
            </w:tcBorders>
          </w:tcPr>
          <w:p w14:paraId="49D2072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(60 073)</w:t>
            </w:r>
          </w:p>
        </w:tc>
      </w:tr>
      <w:tr w:rsidR="005D339F" w14:paraId="1071C8F0"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7BBF9D8D" w14:textId="77777777" w:rsidR="005D339F" w:rsidRDefault="005D339F" w:rsidP="008670FF">
            <w:r>
              <w:t>Reserves</w:t>
            </w:r>
          </w:p>
        </w:tc>
        <w:tc>
          <w:tcPr>
            <w:tcW w:w="833" w:type="dxa"/>
            <w:tcBorders>
              <w:bottom w:val="single" w:sz="6" w:space="0" w:color="auto"/>
            </w:tcBorders>
          </w:tcPr>
          <w:p w14:paraId="010C1D0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124 608</w:t>
            </w:r>
          </w:p>
        </w:tc>
        <w:tc>
          <w:tcPr>
            <w:tcW w:w="833" w:type="dxa"/>
            <w:tcBorders>
              <w:bottom w:val="single" w:sz="6" w:space="0" w:color="auto"/>
            </w:tcBorders>
          </w:tcPr>
          <w:p w14:paraId="48C1E06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126 340</w:t>
            </w:r>
          </w:p>
        </w:tc>
        <w:tc>
          <w:tcPr>
            <w:tcW w:w="833" w:type="dxa"/>
            <w:tcBorders>
              <w:bottom w:val="single" w:sz="6" w:space="0" w:color="auto"/>
            </w:tcBorders>
          </w:tcPr>
          <w:p w14:paraId="50CB4B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151 039</w:t>
            </w:r>
          </w:p>
        </w:tc>
        <w:tc>
          <w:tcPr>
            <w:tcW w:w="833" w:type="dxa"/>
            <w:tcBorders>
              <w:bottom w:val="single" w:sz="6" w:space="0" w:color="auto"/>
            </w:tcBorders>
          </w:tcPr>
          <w:p w14:paraId="220A2E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155 295</w:t>
            </w:r>
          </w:p>
        </w:tc>
        <w:tc>
          <w:tcPr>
            <w:tcW w:w="834" w:type="dxa"/>
            <w:tcBorders>
              <w:bottom w:val="single" w:sz="6" w:space="0" w:color="auto"/>
            </w:tcBorders>
          </w:tcPr>
          <w:p w14:paraId="7BB601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159 393</w:t>
            </w:r>
          </w:p>
        </w:tc>
      </w:tr>
      <w:tr w:rsidR="005D339F" w14:paraId="2146E4A5"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78365043" w14:textId="77777777" w:rsidR="005D339F" w:rsidRDefault="005D339F" w:rsidP="008670FF">
            <w:r>
              <w:rPr>
                <w:b/>
              </w:rPr>
              <w:t>Net worth</w:t>
            </w:r>
          </w:p>
        </w:tc>
        <w:tc>
          <w:tcPr>
            <w:tcW w:w="833" w:type="dxa"/>
            <w:tcBorders>
              <w:top w:val="single" w:sz="6" w:space="0" w:color="auto"/>
              <w:bottom w:val="single" w:sz="12" w:space="0" w:color="auto"/>
            </w:tcBorders>
          </w:tcPr>
          <w:p w14:paraId="56B219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87 012</w:t>
            </w:r>
          </w:p>
        </w:tc>
        <w:tc>
          <w:tcPr>
            <w:tcW w:w="833" w:type="dxa"/>
            <w:tcBorders>
              <w:top w:val="single" w:sz="6" w:space="0" w:color="auto"/>
              <w:bottom w:val="single" w:sz="12" w:space="0" w:color="auto"/>
            </w:tcBorders>
          </w:tcPr>
          <w:p w14:paraId="098BBA0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88 076</w:t>
            </w:r>
          </w:p>
        </w:tc>
        <w:tc>
          <w:tcPr>
            <w:tcW w:w="833" w:type="dxa"/>
            <w:tcBorders>
              <w:top w:val="single" w:sz="6" w:space="0" w:color="auto"/>
              <w:bottom w:val="single" w:sz="12" w:space="0" w:color="auto"/>
            </w:tcBorders>
          </w:tcPr>
          <w:p w14:paraId="506B62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93 284</w:t>
            </w:r>
          </w:p>
        </w:tc>
        <w:tc>
          <w:tcPr>
            <w:tcW w:w="833" w:type="dxa"/>
            <w:tcBorders>
              <w:top w:val="single" w:sz="6" w:space="0" w:color="auto"/>
              <w:bottom w:val="single" w:sz="12" w:space="0" w:color="auto"/>
            </w:tcBorders>
          </w:tcPr>
          <w:p w14:paraId="42A219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96 429</w:t>
            </w:r>
          </w:p>
        </w:tc>
        <w:tc>
          <w:tcPr>
            <w:tcW w:w="834" w:type="dxa"/>
            <w:tcBorders>
              <w:top w:val="single" w:sz="6" w:space="0" w:color="auto"/>
              <w:bottom w:val="single" w:sz="12" w:space="0" w:color="auto"/>
            </w:tcBorders>
          </w:tcPr>
          <w:p w14:paraId="5FB797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99 320</w:t>
            </w:r>
          </w:p>
        </w:tc>
      </w:tr>
      <w:tr w:rsidR="005D339F" w14:paraId="47D7C13A"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37BE53A0" w14:textId="77777777" w:rsidR="005D339F" w:rsidRDefault="005D339F" w:rsidP="008670FF"/>
        </w:tc>
        <w:tc>
          <w:tcPr>
            <w:tcW w:w="833" w:type="dxa"/>
            <w:tcBorders>
              <w:top w:val="single" w:sz="6" w:space="0" w:color="auto"/>
            </w:tcBorders>
          </w:tcPr>
          <w:p w14:paraId="1B9AF81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232D6C5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20A13BF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648632B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4" w:type="dxa"/>
            <w:tcBorders>
              <w:top w:val="single" w:sz="6" w:space="0" w:color="auto"/>
            </w:tcBorders>
          </w:tcPr>
          <w:p w14:paraId="0B549B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7B7D7F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3B1CB47F" w14:textId="77777777" w:rsidR="005D339F" w:rsidRDefault="005D339F" w:rsidP="008670FF">
            <w:r>
              <w:rPr>
                <w:b/>
              </w:rPr>
              <w:t>FISCAL AGGREGATES</w:t>
            </w:r>
          </w:p>
        </w:tc>
        <w:tc>
          <w:tcPr>
            <w:tcW w:w="833" w:type="dxa"/>
          </w:tcPr>
          <w:p w14:paraId="574551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1957E5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5C0A2D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3" w:type="dxa"/>
          </w:tcPr>
          <w:p w14:paraId="0D7578E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34" w:type="dxa"/>
          </w:tcPr>
          <w:p w14:paraId="6EAC6B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FC81EB7"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12E455AE" w14:textId="77777777" w:rsidR="005D339F" w:rsidRDefault="005D339F" w:rsidP="008670FF">
            <w:r>
              <w:t>Net financial worth</w:t>
            </w:r>
          </w:p>
        </w:tc>
        <w:tc>
          <w:tcPr>
            <w:tcW w:w="833" w:type="dxa"/>
          </w:tcPr>
          <w:p w14:paraId="5CB7A3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(48 160)</w:t>
            </w:r>
          </w:p>
        </w:tc>
        <w:tc>
          <w:tcPr>
            <w:tcW w:w="833" w:type="dxa"/>
          </w:tcPr>
          <w:p w14:paraId="0C16433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(48 872)</w:t>
            </w:r>
          </w:p>
        </w:tc>
        <w:tc>
          <w:tcPr>
            <w:tcW w:w="833" w:type="dxa"/>
          </w:tcPr>
          <w:p w14:paraId="4D1D0D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(52 752)</w:t>
            </w:r>
          </w:p>
        </w:tc>
        <w:tc>
          <w:tcPr>
            <w:tcW w:w="833" w:type="dxa"/>
          </w:tcPr>
          <w:p w14:paraId="6EA107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(55 867)</w:t>
            </w:r>
          </w:p>
        </w:tc>
        <w:tc>
          <w:tcPr>
            <w:tcW w:w="834" w:type="dxa"/>
          </w:tcPr>
          <w:p w14:paraId="32B11D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(58 092)</w:t>
            </w:r>
          </w:p>
        </w:tc>
      </w:tr>
      <w:tr w:rsidR="005D339F" w14:paraId="2BB7A4E6"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B4F208E" w14:textId="77777777" w:rsidR="005D339F" w:rsidRDefault="005D339F" w:rsidP="008670FF">
            <w:r>
              <w:t>Net financial liabilities</w:t>
            </w:r>
          </w:p>
        </w:tc>
        <w:tc>
          <w:tcPr>
            <w:tcW w:w="833" w:type="dxa"/>
          </w:tcPr>
          <w:p w14:paraId="35A0CBC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48 160</w:t>
            </w:r>
          </w:p>
        </w:tc>
        <w:tc>
          <w:tcPr>
            <w:tcW w:w="833" w:type="dxa"/>
          </w:tcPr>
          <w:p w14:paraId="74B5F26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48 872</w:t>
            </w:r>
          </w:p>
        </w:tc>
        <w:tc>
          <w:tcPr>
            <w:tcW w:w="833" w:type="dxa"/>
          </w:tcPr>
          <w:p w14:paraId="0321F9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52 752</w:t>
            </w:r>
          </w:p>
        </w:tc>
        <w:tc>
          <w:tcPr>
            <w:tcW w:w="833" w:type="dxa"/>
          </w:tcPr>
          <w:p w14:paraId="496866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55 867</w:t>
            </w:r>
          </w:p>
        </w:tc>
        <w:tc>
          <w:tcPr>
            <w:tcW w:w="834" w:type="dxa"/>
          </w:tcPr>
          <w:p w14:paraId="453C0C7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58 092</w:t>
            </w:r>
          </w:p>
        </w:tc>
      </w:tr>
      <w:tr w:rsidR="005D339F" w14:paraId="4C14672A"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12" w:space="0" w:color="auto"/>
            </w:tcBorders>
          </w:tcPr>
          <w:p w14:paraId="3F3DD9B5" w14:textId="77777777" w:rsidR="005D339F" w:rsidRDefault="005D339F" w:rsidP="008670FF">
            <w:r>
              <w:t>Net debt</w:t>
            </w:r>
          </w:p>
        </w:tc>
        <w:tc>
          <w:tcPr>
            <w:tcW w:w="833" w:type="dxa"/>
            <w:tcBorders>
              <w:bottom w:val="single" w:sz="12" w:space="0" w:color="auto"/>
            </w:tcBorders>
          </w:tcPr>
          <w:p w14:paraId="42D5B9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27 544</w:t>
            </w:r>
          </w:p>
        </w:tc>
        <w:tc>
          <w:tcPr>
            <w:tcW w:w="833" w:type="dxa"/>
            <w:tcBorders>
              <w:bottom w:val="single" w:sz="12" w:space="0" w:color="auto"/>
            </w:tcBorders>
          </w:tcPr>
          <w:p w14:paraId="1C3BB33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27 365</w:t>
            </w:r>
          </w:p>
        </w:tc>
        <w:tc>
          <w:tcPr>
            <w:tcW w:w="833" w:type="dxa"/>
            <w:tcBorders>
              <w:bottom w:val="single" w:sz="12" w:space="0" w:color="auto"/>
            </w:tcBorders>
          </w:tcPr>
          <w:p w14:paraId="3957BEF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31 195</w:t>
            </w:r>
          </w:p>
        </w:tc>
        <w:tc>
          <w:tcPr>
            <w:tcW w:w="833" w:type="dxa"/>
            <w:tcBorders>
              <w:bottom w:val="single" w:sz="12" w:space="0" w:color="auto"/>
            </w:tcBorders>
          </w:tcPr>
          <w:p w14:paraId="7644FB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34 509</w:t>
            </w:r>
          </w:p>
        </w:tc>
        <w:tc>
          <w:tcPr>
            <w:tcW w:w="834" w:type="dxa"/>
            <w:tcBorders>
              <w:bottom w:val="single" w:sz="12" w:space="0" w:color="auto"/>
            </w:tcBorders>
          </w:tcPr>
          <w:p w14:paraId="4F74BA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36 871</w:t>
            </w:r>
          </w:p>
        </w:tc>
      </w:tr>
    </w:tbl>
    <w:p w14:paraId="45C6896E" w14:textId="77777777" w:rsidR="005D339F" w:rsidRPr="00921F69" w:rsidRDefault="005D339F" w:rsidP="005D339F">
      <w:pPr>
        <w:pStyle w:val="Note"/>
      </w:pPr>
      <w:r w:rsidRPr="00921F69">
        <w:t>Note:</w:t>
      </w:r>
    </w:p>
    <w:p w14:paraId="6C930C43" w14:textId="77777777" w:rsidR="005D339F" w:rsidRDefault="005D339F" w:rsidP="005D339F">
      <w:pPr>
        <w:pStyle w:val="Note"/>
      </w:pPr>
      <w:r w:rsidRPr="00B249F8">
        <w:t>(a)</w:t>
      </w:r>
      <w:r w:rsidRPr="00B249F8">
        <w:tab/>
      </w:r>
      <w:r w:rsidRPr="00921F69">
        <w:t>Balances represent actual opening balances at 1 July 20</w:t>
      </w:r>
      <w:r>
        <w:t>24</w:t>
      </w:r>
      <w:r w:rsidRPr="00921F69">
        <w:t xml:space="preserve"> plus 20</w:t>
      </w:r>
      <w:r>
        <w:t>24</w:t>
      </w:r>
      <w:r w:rsidRPr="00921F69">
        <w:t>-2</w:t>
      </w:r>
      <w:r>
        <w:t>5</w:t>
      </w:r>
      <w:r w:rsidRPr="00921F69">
        <w:t xml:space="preserve"> budgeted movements.</w:t>
      </w:r>
    </w:p>
    <w:p w14:paraId="7A8D6309" w14:textId="77777777" w:rsidR="005D339F" w:rsidRDefault="005D339F">
      <w:pPr>
        <w:keepLines w:val="0"/>
        <w:rPr>
          <w:rFonts w:asciiTheme="majorHAnsi" w:hAnsiTheme="majorHAnsi" w:cstheme="minorBidi"/>
          <w:b/>
          <w:iCs/>
          <w:sz w:val="20"/>
          <w:szCs w:val="18"/>
        </w:rPr>
      </w:pPr>
      <w:r>
        <w:br w:type="page"/>
      </w:r>
    </w:p>
    <w:p w14:paraId="604A553B" w14:textId="7468FBB6" w:rsidR="005D339F" w:rsidRPr="0016592B" w:rsidRDefault="005D339F" w:rsidP="005D339F">
      <w:pPr>
        <w:pStyle w:val="TableHeading"/>
      </w:pPr>
      <w:r w:rsidRPr="00921F69">
        <w:t>Table 5.3</w:t>
      </w:r>
      <w:r w:rsidRPr="00921F69">
        <w:tab/>
        <w:t xml:space="preserve">Public non-financial corporations sector cash flow statement </w:t>
      </w:r>
      <w:r>
        <w:br/>
      </w:r>
      <w:r w:rsidRPr="00921F69">
        <w:t>for the 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NFC_CF|MergedHeadingRow:1|LastRow:42"/>
      </w:tblPr>
      <w:tblGrid>
        <w:gridCol w:w="3740"/>
        <w:gridCol w:w="794"/>
        <w:gridCol w:w="794"/>
        <w:gridCol w:w="794"/>
        <w:gridCol w:w="794"/>
        <w:gridCol w:w="794"/>
      </w:tblGrid>
      <w:tr w:rsidR="005D339F" w14:paraId="030A7293"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EB4B20B" w14:textId="77777777" w:rsidR="005D339F" w:rsidRDefault="005D339F" w:rsidP="008670FF">
            <w:pPr>
              <w:keepNext/>
            </w:pPr>
          </w:p>
        </w:tc>
        <w:tc>
          <w:tcPr>
            <w:tcW w:w="794" w:type="dxa"/>
          </w:tcPr>
          <w:p w14:paraId="151F224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66727579"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50119CF1"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EBE984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00E5982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653089A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2DA2E8C" w14:textId="77777777" w:rsidR="005D339F" w:rsidRDefault="005D339F" w:rsidP="008670FF">
            <w:r>
              <w:rPr>
                <w:b/>
              </w:rPr>
              <w:t>Cash flows from operating activities</w:t>
            </w:r>
          </w:p>
        </w:tc>
        <w:tc>
          <w:tcPr>
            <w:tcW w:w="794" w:type="dxa"/>
          </w:tcPr>
          <w:p w14:paraId="473878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C691F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7EE9C0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7E3C7A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86E29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C085FC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21EE2D5" w14:textId="77777777" w:rsidR="005D339F" w:rsidRDefault="005D339F" w:rsidP="008670FF">
            <w:r>
              <w:rPr>
                <w:b/>
              </w:rPr>
              <w:t>Receipts</w:t>
            </w:r>
          </w:p>
        </w:tc>
        <w:tc>
          <w:tcPr>
            <w:tcW w:w="794" w:type="dxa"/>
          </w:tcPr>
          <w:p w14:paraId="45F0BA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F2438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BA7D1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02A93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C6A7B4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2342F2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505C32" w14:textId="77777777" w:rsidR="005D339F" w:rsidRDefault="005D339F" w:rsidP="008670FF">
            <w:r>
              <w:t>Grants</w:t>
            </w:r>
          </w:p>
        </w:tc>
        <w:tc>
          <w:tcPr>
            <w:tcW w:w="794" w:type="dxa"/>
          </w:tcPr>
          <w:p w14:paraId="2DEDB5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2 358</w:t>
            </w:r>
          </w:p>
        </w:tc>
        <w:tc>
          <w:tcPr>
            <w:tcW w:w="794" w:type="dxa"/>
          </w:tcPr>
          <w:p w14:paraId="1354A54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2 623</w:t>
            </w:r>
          </w:p>
        </w:tc>
        <w:tc>
          <w:tcPr>
            <w:tcW w:w="794" w:type="dxa"/>
          </w:tcPr>
          <w:p w14:paraId="315485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2 158</w:t>
            </w:r>
          </w:p>
        </w:tc>
        <w:tc>
          <w:tcPr>
            <w:tcW w:w="794" w:type="dxa"/>
          </w:tcPr>
          <w:p w14:paraId="12A4C01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1 956</w:t>
            </w:r>
          </w:p>
        </w:tc>
        <w:tc>
          <w:tcPr>
            <w:tcW w:w="794" w:type="dxa"/>
          </w:tcPr>
          <w:p w14:paraId="5569AD8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1 938</w:t>
            </w:r>
          </w:p>
        </w:tc>
      </w:tr>
      <w:tr w:rsidR="005D339F" w14:paraId="3916E53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7029E3A" w14:textId="77777777" w:rsidR="005D339F" w:rsidRDefault="005D339F" w:rsidP="008670FF">
            <w:r>
              <w:t>Sales of goods and services</w:t>
            </w:r>
            <w:r>
              <w:rPr>
                <w:vertAlign w:val="superscript"/>
              </w:rPr>
              <w:t xml:space="preserve"> (a)</w:t>
            </w:r>
          </w:p>
        </w:tc>
        <w:tc>
          <w:tcPr>
            <w:tcW w:w="794" w:type="dxa"/>
          </w:tcPr>
          <w:p w14:paraId="7A7CD87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8 471</w:t>
            </w:r>
          </w:p>
        </w:tc>
        <w:tc>
          <w:tcPr>
            <w:tcW w:w="794" w:type="dxa"/>
          </w:tcPr>
          <w:p w14:paraId="2289D67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8 593</w:t>
            </w:r>
          </w:p>
        </w:tc>
        <w:tc>
          <w:tcPr>
            <w:tcW w:w="794" w:type="dxa"/>
          </w:tcPr>
          <w:p w14:paraId="1CF5E0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9 091</w:t>
            </w:r>
          </w:p>
        </w:tc>
        <w:tc>
          <w:tcPr>
            <w:tcW w:w="794" w:type="dxa"/>
          </w:tcPr>
          <w:p w14:paraId="1FB0D6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9 483</w:t>
            </w:r>
          </w:p>
        </w:tc>
        <w:tc>
          <w:tcPr>
            <w:tcW w:w="794" w:type="dxa"/>
          </w:tcPr>
          <w:p w14:paraId="5E1079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9 764</w:t>
            </w:r>
          </w:p>
        </w:tc>
      </w:tr>
      <w:tr w:rsidR="005D339F" w14:paraId="256B6A8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E642CA6" w14:textId="77777777" w:rsidR="005D339F" w:rsidRDefault="005D339F" w:rsidP="008670FF">
            <w:r>
              <w:t>Interest received</w:t>
            </w:r>
          </w:p>
        </w:tc>
        <w:tc>
          <w:tcPr>
            <w:tcW w:w="794" w:type="dxa"/>
          </w:tcPr>
          <w:p w14:paraId="2411A2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w:t>
            </w:r>
          </w:p>
        </w:tc>
        <w:tc>
          <w:tcPr>
            <w:tcW w:w="794" w:type="dxa"/>
          </w:tcPr>
          <w:p w14:paraId="53973C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99</w:t>
            </w:r>
          </w:p>
        </w:tc>
        <w:tc>
          <w:tcPr>
            <w:tcW w:w="794" w:type="dxa"/>
          </w:tcPr>
          <w:p w14:paraId="6C06EB76" w14:textId="25D8CB5A" w:rsidR="005D339F" w:rsidRDefault="00845960" w:rsidP="008670FF">
            <w:pPr>
              <w:cnfStyle w:val="000000000000" w:firstRow="0" w:lastRow="0" w:firstColumn="0" w:lastColumn="0" w:oddVBand="0" w:evenVBand="0" w:oddHBand="0" w:evenHBand="0" w:firstRowFirstColumn="0" w:firstRowLastColumn="0" w:lastRowFirstColumn="0" w:lastRowLastColumn="0"/>
            </w:pPr>
            <w:r>
              <w:t>41</w:t>
            </w:r>
          </w:p>
        </w:tc>
        <w:tc>
          <w:tcPr>
            <w:tcW w:w="794" w:type="dxa"/>
          </w:tcPr>
          <w:p w14:paraId="6083ED66" w14:textId="08FE06ED" w:rsidR="005D339F" w:rsidRDefault="00320117" w:rsidP="008670FF">
            <w:pPr>
              <w:cnfStyle w:val="000000000000" w:firstRow="0" w:lastRow="0" w:firstColumn="0" w:lastColumn="0" w:oddVBand="0" w:evenVBand="0" w:oddHBand="0" w:evenHBand="0" w:firstRowFirstColumn="0" w:firstRowLastColumn="0" w:lastRowFirstColumn="0" w:lastRowLastColumn="0"/>
            </w:pPr>
            <w:r>
              <w:t>42</w:t>
            </w:r>
          </w:p>
        </w:tc>
        <w:tc>
          <w:tcPr>
            <w:tcW w:w="794" w:type="dxa"/>
          </w:tcPr>
          <w:p w14:paraId="403752AC" w14:textId="145C73AA" w:rsidR="005D339F" w:rsidRDefault="00741E74" w:rsidP="008670FF">
            <w:pPr>
              <w:cnfStyle w:val="000000000000" w:firstRow="0" w:lastRow="0" w:firstColumn="0" w:lastColumn="0" w:oddVBand="0" w:evenVBand="0" w:oddHBand="0" w:evenHBand="0" w:firstRowFirstColumn="0" w:firstRowLastColumn="0" w:lastRowFirstColumn="0" w:lastRowLastColumn="0"/>
            </w:pPr>
            <w:r>
              <w:t>50</w:t>
            </w:r>
          </w:p>
        </w:tc>
      </w:tr>
      <w:tr w:rsidR="005D339F" w14:paraId="673E89F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4E36370" w14:textId="77777777" w:rsidR="005D339F" w:rsidRDefault="005D339F" w:rsidP="008670FF">
            <w:r>
              <w:t>Dividend receipts</w:t>
            </w:r>
          </w:p>
        </w:tc>
        <w:tc>
          <w:tcPr>
            <w:tcW w:w="794" w:type="dxa"/>
          </w:tcPr>
          <w:p w14:paraId="426A8C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w:t>
            </w:r>
          </w:p>
        </w:tc>
        <w:tc>
          <w:tcPr>
            <w:tcW w:w="794" w:type="dxa"/>
          </w:tcPr>
          <w:p w14:paraId="0CA517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w:t>
            </w:r>
          </w:p>
        </w:tc>
        <w:tc>
          <w:tcPr>
            <w:tcW w:w="794" w:type="dxa"/>
          </w:tcPr>
          <w:p w14:paraId="349007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147F20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20</w:t>
            </w:r>
          </w:p>
        </w:tc>
        <w:tc>
          <w:tcPr>
            <w:tcW w:w="794" w:type="dxa"/>
          </w:tcPr>
          <w:p w14:paraId="6C111A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w:t>
            </w:r>
          </w:p>
        </w:tc>
      </w:tr>
      <w:tr w:rsidR="005D339F" w14:paraId="00F9572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5405C17" w14:textId="77777777" w:rsidR="005D339F" w:rsidRDefault="005D339F" w:rsidP="008670FF">
            <w:r>
              <w:t>Other receipts</w:t>
            </w:r>
          </w:p>
        </w:tc>
        <w:tc>
          <w:tcPr>
            <w:tcW w:w="794" w:type="dxa"/>
            <w:tcBorders>
              <w:bottom w:val="single" w:sz="6" w:space="0" w:color="auto"/>
            </w:tcBorders>
          </w:tcPr>
          <w:p w14:paraId="7119CC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235</w:t>
            </w:r>
          </w:p>
        </w:tc>
        <w:tc>
          <w:tcPr>
            <w:tcW w:w="794" w:type="dxa"/>
            <w:tcBorders>
              <w:bottom w:val="single" w:sz="6" w:space="0" w:color="auto"/>
            </w:tcBorders>
          </w:tcPr>
          <w:p w14:paraId="05C724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405</w:t>
            </w:r>
          </w:p>
        </w:tc>
        <w:tc>
          <w:tcPr>
            <w:tcW w:w="794" w:type="dxa"/>
            <w:tcBorders>
              <w:bottom w:val="single" w:sz="6" w:space="0" w:color="auto"/>
            </w:tcBorders>
          </w:tcPr>
          <w:p w14:paraId="43DB2E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429</w:t>
            </w:r>
          </w:p>
        </w:tc>
        <w:tc>
          <w:tcPr>
            <w:tcW w:w="794" w:type="dxa"/>
            <w:tcBorders>
              <w:bottom w:val="single" w:sz="6" w:space="0" w:color="auto"/>
            </w:tcBorders>
          </w:tcPr>
          <w:p w14:paraId="4A96AB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467</w:t>
            </w:r>
          </w:p>
        </w:tc>
        <w:tc>
          <w:tcPr>
            <w:tcW w:w="794" w:type="dxa"/>
            <w:tcBorders>
              <w:bottom w:val="single" w:sz="6" w:space="0" w:color="auto"/>
            </w:tcBorders>
          </w:tcPr>
          <w:p w14:paraId="113A346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491</w:t>
            </w:r>
          </w:p>
        </w:tc>
      </w:tr>
      <w:tr w:rsidR="005D339F" w14:paraId="6A5468A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890E65A" w14:textId="77777777" w:rsidR="005D339F" w:rsidRDefault="005D339F" w:rsidP="008670FF">
            <w:r>
              <w:rPr>
                <w:b/>
              </w:rPr>
              <w:t>Total receipts</w:t>
            </w:r>
          </w:p>
        </w:tc>
        <w:tc>
          <w:tcPr>
            <w:tcW w:w="794" w:type="dxa"/>
            <w:tcBorders>
              <w:top w:val="single" w:sz="6" w:space="0" w:color="auto"/>
            </w:tcBorders>
          </w:tcPr>
          <w:p w14:paraId="69E208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11 114</w:t>
            </w:r>
          </w:p>
        </w:tc>
        <w:tc>
          <w:tcPr>
            <w:tcW w:w="794" w:type="dxa"/>
            <w:tcBorders>
              <w:top w:val="single" w:sz="6" w:space="0" w:color="auto"/>
            </w:tcBorders>
          </w:tcPr>
          <w:p w14:paraId="1F6FDA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11 741</w:t>
            </w:r>
          </w:p>
        </w:tc>
        <w:tc>
          <w:tcPr>
            <w:tcW w:w="794" w:type="dxa"/>
            <w:tcBorders>
              <w:top w:val="single" w:sz="6" w:space="0" w:color="auto"/>
            </w:tcBorders>
          </w:tcPr>
          <w:p w14:paraId="2128C2EF" w14:textId="39CDF1C3"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11 7</w:t>
            </w:r>
            <w:r w:rsidR="00085871">
              <w:rPr>
                <w:b/>
              </w:rPr>
              <w:t>39</w:t>
            </w:r>
          </w:p>
        </w:tc>
        <w:tc>
          <w:tcPr>
            <w:tcW w:w="794" w:type="dxa"/>
            <w:tcBorders>
              <w:top w:val="single" w:sz="6" w:space="0" w:color="auto"/>
            </w:tcBorders>
          </w:tcPr>
          <w:p w14:paraId="33CB1EF8" w14:textId="7389F59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11 9</w:t>
            </w:r>
            <w:r w:rsidR="00085871">
              <w:rPr>
                <w:b/>
              </w:rPr>
              <w:t>6</w:t>
            </w:r>
            <w:r w:rsidR="00922F82">
              <w:rPr>
                <w:b/>
              </w:rPr>
              <w:t>7</w:t>
            </w:r>
          </w:p>
        </w:tc>
        <w:tc>
          <w:tcPr>
            <w:tcW w:w="794" w:type="dxa"/>
            <w:tcBorders>
              <w:top w:val="single" w:sz="6" w:space="0" w:color="auto"/>
            </w:tcBorders>
          </w:tcPr>
          <w:p w14:paraId="126FE943" w14:textId="0E9F8A16"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12 2</w:t>
            </w:r>
            <w:r w:rsidR="00E207D6">
              <w:rPr>
                <w:b/>
              </w:rPr>
              <w:t>6</w:t>
            </w:r>
            <w:r w:rsidR="00CD7F69">
              <w:rPr>
                <w:b/>
              </w:rPr>
              <w:t>4</w:t>
            </w:r>
          </w:p>
        </w:tc>
      </w:tr>
      <w:tr w:rsidR="005D339F" w14:paraId="5DA1778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33FF383" w14:textId="77777777" w:rsidR="005D339F" w:rsidRDefault="005D339F" w:rsidP="008670FF">
            <w:r>
              <w:rPr>
                <w:b/>
              </w:rPr>
              <w:t>Payments</w:t>
            </w:r>
          </w:p>
        </w:tc>
        <w:tc>
          <w:tcPr>
            <w:tcW w:w="794" w:type="dxa"/>
          </w:tcPr>
          <w:p w14:paraId="076DB3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689E1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29CB1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0434F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1420A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7DFED8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674461A" w14:textId="77777777" w:rsidR="005D339F" w:rsidRDefault="005D339F" w:rsidP="008670FF">
            <w:r>
              <w:t>Payments for employees</w:t>
            </w:r>
          </w:p>
        </w:tc>
        <w:tc>
          <w:tcPr>
            <w:tcW w:w="794" w:type="dxa"/>
          </w:tcPr>
          <w:p w14:paraId="05B2054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(1 847)</w:t>
            </w:r>
          </w:p>
        </w:tc>
        <w:tc>
          <w:tcPr>
            <w:tcW w:w="794" w:type="dxa"/>
          </w:tcPr>
          <w:p w14:paraId="198120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(1 972)</w:t>
            </w:r>
          </w:p>
        </w:tc>
        <w:tc>
          <w:tcPr>
            <w:tcW w:w="794" w:type="dxa"/>
          </w:tcPr>
          <w:p w14:paraId="09BF1E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(1 891)</w:t>
            </w:r>
          </w:p>
        </w:tc>
        <w:tc>
          <w:tcPr>
            <w:tcW w:w="794" w:type="dxa"/>
          </w:tcPr>
          <w:p w14:paraId="0404D9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(1 932)</w:t>
            </w:r>
          </w:p>
        </w:tc>
        <w:tc>
          <w:tcPr>
            <w:tcW w:w="794" w:type="dxa"/>
          </w:tcPr>
          <w:p w14:paraId="492267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(1 992)</w:t>
            </w:r>
          </w:p>
        </w:tc>
      </w:tr>
      <w:tr w:rsidR="005D339F" w14:paraId="6D3E661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4A8F1E4" w14:textId="77777777" w:rsidR="005D339F" w:rsidRDefault="005D339F" w:rsidP="008670FF">
            <w:r>
              <w:t>Superannuation</w:t>
            </w:r>
          </w:p>
        </w:tc>
        <w:tc>
          <w:tcPr>
            <w:tcW w:w="794" w:type="dxa"/>
          </w:tcPr>
          <w:p w14:paraId="1054B6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(207)</w:t>
            </w:r>
          </w:p>
        </w:tc>
        <w:tc>
          <w:tcPr>
            <w:tcW w:w="794" w:type="dxa"/>
          </w:tcPr>
          <w:p w14:paraId="1CE87F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(220)</w:t>
            </w:r>
          </w:p>
        </w:tc>
        <w:tc>
          <w:tcPr>
            <w:tcW w:w="794" w:type="dxa"/>
          </w:tcPr>
          <w:p w14:paraId="1E6E033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(244)</w:t>
            </w:r>
          </w:p>
        </w:tc>
        <w:tc>
          <w:tcPr>
            <w:tcW w:w="794" w:type="dxa"/>
          </w:tcPr>
          <w:p w14:paraId="7D7D534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(250)</w:t>
            </w:r>
          </w:p>
        </w:tc>
        <w:tc>
          <w:tcPr>
            <w:tcW w:w="794" w:type="dxa"/>
          </w:tcPr>
          <w:p w14:paraId="4BF0BA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(258)</w:t>
            </w:r>
          </w:p>
        </w:tc>
      </w:tr>
      <w:tr w:rsidR="005D339F" w14:paraId="70C8BE7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DE04399" w14:textId="77777777" w:rsidR="005D339F" w:rsidRDefault="005D339F" w:rsidP="008670FF">
            <w:r>
              <w:t>Interest paid</w:t>
            </w:r>
          </w:p>
        </w:tc>
        <w:tc>
          <w:tcPr>
            <w:tcW w:w="794" w:type="dxa"/>
          </w:tcPr>
          <w:p w14:paraId="6F8E0F2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(1 039)</w:t>
            </w:r>
          </w:p>
        </w:tc>
        <w:tc>
          <w:tcPr>
            <w:tcW w:w="794" w:type="dxa"/>
          </w:tcPr>
          <w:p w14:paraId="37E781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(1 015)</w:t>
            </w:r>
          </w:p>
        </w:tc>
        <w:tc>
          <w:tcPr>
            <w:tcW w:w="794" w:type="dxa"/>
          </w:tcPr>
          <w:p w14:paraId="4757CA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(1 186)</w:t>
            </w:r>
          </w:p>
        </w:tc>
        <w:tc>
          <w:tcPr>
            <w:tcW w:w="794" w:type="dxa"/>
          </w:tcPr>
          <w:p w14:paraId="0DF20A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(1 320)</w:t>
            </w:r>
          </w:p>
        </w:tc>
        <w:tc>
          <w:tcPr>
            <w:tcW w:w="794" w:type="dxa"/>
          </w:tcPr>
          <w:p w14:paraId="1979CD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(1 444)</w:t>
            </w:r>
          </w:p>
        </w:tc>
      </w:tr>
      <w:tr w:rsidR="005D339F" w14:paraId="4B8AD95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0405005" w14:textId="77777777" w:rsidR="005D339F" w:rsidRDefault="005D339F" w:rsidP="008670FF">
            <w:r>
              <w:t>Grants and subsidies</w:t>
            </w:r>
          </w:p>
        </w:tc>
        <w:tc>
          <w:tcPr>
            <w:tcW w:w="794" w:type="dxa"/>
          </w:tcPr>
          <w:p w14:paraId="1E4AB9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(281)</w:t>
            </w:r>
          </w:p>
        </w:tc>
        <w:tc>
          <w:tcPr>
            <w:tcW w:w="794" w:type="dxa"/>
          </w:tcPr>
          <w:p w14:paraId="33C847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(202)</w:t>
            </w:r>
          </w:p>
        </w:tc>
        <w:tc>
          <w:tcPr>
            <w:tcW w:w="794" w:type="dxa"/>
          </w:tcPr>
          <w:p w14:paraId="2576222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(289)</w:t>
            </w:r>
          </w:p>
        </w:tc>
        <w:tc>
          <w:tcPr>
            <w:tcW w:w="794" w:type="dxa"/>
          </w:tcPr>
          <w:p w14:paraId="400977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(196)</w:t>
            </w:r>
          </w:p>
        </w:tc>
        <w:tc>
          <w:tcPr>
            <w:tcW w:w="794" w:type="dxa"/>
          </w:tcPr>
          <w:p w14:paraId="4641208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(196)</w:t>
            </w:r>
          </w:p>
        </w:tc>
      </w:tr>
      <w:tr w:rsidR="005D339F" w14:paraId="155D38C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C03B04" w14:textId="77777777" w:rsidR="005D339F" w:rsidRDefault="005D339F" w:rsidP="008670FF">
            <w:r>
              <w:t>Goods and services</w:t>
            </w:r>
            <w:r>
              <w:rPr>
                <w:vertAlign w:val="superscript"/>
              </w:rPr>
              <w:t xml:space="preserve"> (a)</w:t>
            </w:r>
          </w:p>
        </w:tc>
        <w:tc>
          <w:tcPr>
            <w:tcW w:w="794" w:type="dxa"/>
          </w:tcPr>
          <w:p w14:paraId="71A4D7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(5 687)</w:t>
            </w:r>
          </w:p>
        </w:tc>
        <w:tc>
          <w:tcPr>
            <w:tcW w:w="794" w:type="dxa"/>
          </w:tcPr>
          <w:p w14:paraId="5BEF1B6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(5 858)</w:t>
            </w:r>
          </w:p>
        </w:tc>
        <w:tc>
          <w:tcPr>
            <w:tcW w:w="794" w:type="dxa"/>
          </w:tcPr>
          <w:p w14:paraId="7EFB7278" w14:textId="07FF6083" w:rsidR="005D339F" w:rsidRDefault="005D339F" w:rsidP="008670FF">
            <w:pPr>
              <w:cnfStyle w:val="000000000000" w:firstRow="0" w:lastRow="0" w:firstColumn="0" w:lastColumn="0" w:oddVBand="0" w:evenVBand="0" w:oddHBand="0" w:evenHBand="0" w:firstRowFirstColumn="0" w:firstRowLastColumn="0" w:lastRowFirstColumn="0" w:lastRowLastColumn="0"/>
            </w:pPr>
            <w:r>
              <w:t>(5 7</w:t>
            </w:r>
            <w:r w:rsidR="00805878">
              <w:t>4</w:t>
            </w:r>
            <w:r w:rsidR="00053ADE">
              <w:t>4</w:t>
            </w:r>
            <w:r>
              <w:t>)</w:t>
            </w:r>
          </w:p>
        </w:tc>
        <w:tc>
          <w:tcPr>
            <w:tcW w:w="794" w:type="dxa"/>
          </w:tcPr>
          <w:p w14:paraId="0F6351F2" w14:textId="367AC012" w:rsidR="005D339F" w:rsidRDefault="005D339F" w:rsidP="008670FF">
            <w:pPr>
              <w:cnfStyle w:val="000000000000" w:firstRow="0" w:lastRow="0" w:firstColumn="0" w:lastColumn="0" w:oddVBand="0" w:evenVBand="0" w:oddHBand="0" w:evenHBand="0" w:firstRowFirstColumn="0" w:firstRowLastColumn="0" w:lastRowFirstColumn="0" w:lastRowLastColumn="0"/>
            </w:pPr>
            <w:r>
              <w:t>(5 9</w:t>
            </w:r>
            <w:r w:rsidR="00D1545A">
              <w:t>3</w:t>
            </w:r>
            <w:r w:rsidR="00053ADE">
              <w:t>0</w:t>
            </w:r>
            <w:r>
              <w:t>)</w:t>
            </w:r>
          </w:p>
        </w:tc>
        <w:tc>
          <w:tcPr>
            <w:tcW w:w="794" w:type="dxa"/>
          </w:tcPr>
          <w:p w14:paraId="704B5733" w14:textId="1E273634" w:rsidR="005D339F" w:rsidRDefault="005D339F" w:rsidP="008670FF">
            <w:pPr>
              <w:cnfStyle w:val="000000000000" w:firstRow="0" w:lastRow="0" w:firstColumn="0" w:lastColumn="0" w:oddVBand="0" w:evenVBand="0" w:oddHBand="0" w:evenHBand="0" w:firstRowFirstColumn="0" w:firstRowLastColumn="0" w:lastRowFirstColumn="0" w:lastRowLastColumn="0"/>
            </w:pPr>
            <w:r>
              <w:t>(5 9</w:t>
            </w:r>
            <w:r w:rsidR="002D7FC4">
              <w:t>93</w:t>
            </w:r>
            <w:r>
              <w:t>)</w:t>
            </w:r>
          </w:p>
        </w:tc>
      </w:tr>
      <w:tr w:rsidR="005D339F" w14:paraId="6338CB3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45766C9" w14:textId="77777777" w:rsidR="005D339F" w:rsidRDefault="005D339F" w:rsidP="008670FF">
            <w:r>
              <w:t>Other payments</w:t>
            </w:r>
          </w:p>
        </w:tc>
        <w:tc>
          <w:tcPr>
            <w:tcW w:w="794" w:type="dxa"/>
            <w:tcBorders>
              <w:bottom w:val="single" w:sz="6" w:space="0" w:color="auto"/>
            </w:tcBorders>
          </w:tcPr>
          <w:p w14:paraId="180EED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(436)</w:t>
            </w:r>
          </w:p>
        </w:tc>
        <w:tc>
          <w:tcPr>
            <w:tcW w:w="794" w:type="dxa"/>
            <w:tcBorders>
              <w:bottom w:val="single" w:sz="6" w:space="0" w:color="auto"/>
            </w:tcBorders>
          </w:tcPr>
          <w:p w14:paraId="0FBE432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(446)</w:t>
            </w:r>
          </w:p>
        </w:tc>
        <w:tc>
          <w:tcPr>
            <w:tcW w:w="794" w:type="dxa"/>
            <w:tcBorders>
              <w:bottom w:val="single" w:sz="6" w:space="0" w:color="auto"/>
            </w:tcBorders>
          </w:tcPr>
          <w:p w14:paraId="1123F6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(489)</w:t>
            </w:r>
          </w:p>
        </w:tc>
        <w:tc>
          <w:tcPr>
            <w:tcW w:w="794" w:type="dxa"/>
            <w:tcBorders>
              <w:bottom w:val="single" w:sz="6" w:space="0" w:color="auto"/>
            </w:tcBorders>
          </w:tcPr>
          <w:p w14:paraId="2BB2A9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(479)</w:t>
            </w:r>
          </w:p>
        </w:tc>
        <w:tc>
          <w:tcPr>
            <w:tcW w:w="794" w:type="dxa"/>
            <w:tcBorders>
              <w:bottom w:val="single" w:sz="6" w:space="0" w:color="auto"/>
            </w:tcBorders>
          </w:tcPr>
          <w:p w14:paraId="001FE8F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(460)</w:t>
            </w:r>
          </w:p>
        </w:tc>
      </w:tr>
      <w:tr w:rsidR="005D339F" w14:paraId="7C11DD2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4D87FAF" w14:textId="77777777" w:rsidR="005D339F" w:rsidRDefault="005D339F" w:rsidP="008670FF">
            <w:r>
              <w:rPr>
                <w:b/>
              </w:rPr>
              <w:t>Total payments</w:t>
            </w:r>
          </w:p>
        </w:tc>
        <w:tc>
          <w:tcPr>
            <w:tcW w:w="794" w:type="dxa"/>
            <w:tcBorders>
              <w:top w:val="single" w:sz="6" w:space="0" w:color="auto"/>
              <w:bottom w:val="single" w:sz="6" w:space="0" w:color="auto"/>
            </w:tcBorders>
          </w:tcPr>
          <w:p w14:paraId="50A70C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(9 498)</w:t>
            </w:r>
          </w:p>
        </w:tc>
        <w:tc>
          <w:tcPr>
            <w:tcW w:w="794" w:type="dxa"/>
            <w:tcBorders>
              <w:top w:val="single" w:sz="6" w:space="0" w:color="auto"/>
              <w:bottom w:val="single" w:sz="6" w:space="0" w:color="auto"/>
            </w:tcBorders>
          </w:tcPr>
          <w:p w14:paraId="33A11A1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(9 713)</w:t>
            </w:r>
          </w:p>
        </w:tc>
        <w:tc>
          <w:tcPr>
            <w:tcW w:w="794" w:type="dxa"/>
            <w:tcBorders>
              <w:top w:val="single" w:sz="6" w:space="0" w:color="auto"/>
              <w:bottom w:val="single" w:sz="6" w:space="0" w:color="auto"/>
            </w:tcBorders>
          </w:tcPr>
          <w:p w14:paraId="46728CE4" w14:textId="61571D30"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(9 8</w:t>
            </w:r>
            <w:r w:rsidR="00805878">
              <w:rPr>
                <w:b/>
              </w:rPr>
              <w:t>43</w:t>
            </w:r>
            <w:r>
              <w:rPr>
                <w:b/>
              </w:rPr>
              <w:t>)</w:t>
            </w:r>
          </w:p>
        </w:tc>
        <w:tc>
          <w:tcPr>
            <w:tcW w:w="794" w:type="dxa"/>
            <w:tcBorders>
              <w:top w:val="single" w:sz="6" w:space="0" w:color="auto"/>
              <w:bottom w:val="single" w:sz="6" w:space="0" w:color="auto"/>
            </w:tcBorders>
          </w:tcPr>
          <w:p w14:paraId="3393EAEF" w14:textId="5053C57A"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 xml:space="preserve">(10 </w:t>
            </w:r>
            <w:r w:rsidR="002D7FC4">
              <w:rPr>
                <w:b/>
              </w:rPr>
              <w:t>10</w:t>
            </w:r>
            <w:r w:rsidR="00797DC3">
              <w:rPr>
                <w:b/>
              </w:rPr>
              <w:t>7</w:t>
            </w:r>
            <w:r>
              <w:rPr>
                <w:b/>
              </w:rPr>
              <w:t>)</w:t>
            </w:r>
          </w:p>
        </w:tc>
        <w:tc>
          <w:tcPr>
            <w:tcW w:w="794" w:type="dxa"/>
            <w:tcBorders>
              <w:top w:val="single" w:sz="6" w:space="0" w:color="auto"/>
              <w:bottom w:val="single" w:sz="6" w:space="0" w:color="auto"/>
            </w:tcBorders>
          </w:tcPr>
          <w:p w14:paraId="4CA8A013" w14:textId="38CBABAB"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(10 3</w:t>
            </w:r>
            <w:r w:rsidR="006B37F2">
              <w:rPr>
                <w:b/>
              </w:rPr>
              <w:t>42</w:t>
            </w:r>
            <w:r>
              <w:rPr>
                <w:b/>
              </w:rPr>
              <w:t>)</w:t>
            </w:r>
          </w:p>
        </w:tc>
      </w:tr>
      <w:tr w:rsidR="005D339F" w14:paraId="5E58403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45E22B8" w14:textId="77777777" w:rsidR="005D339F" w:rsidRDefault="005D339F" w:rsidP="008670FF">
            <w:r>
              <w:rPr>
                <w:b/>
              </w:rPr>
              <w:t>Net cash flows from operating activities</w:t>
            </w:r>
          </w:p>
        </w:tc>
        <w:tc>
          <w:tcPr>
            <w:tcW w:w="794" w:type="dxa"/>
            <w:tcBorders>
              <w:top w:val="single" w:sz="6" w:space="0" w:color="auto"/>
            </w:tcBorders>
          </w:tcPr>
          <w:p w14:paraId="3A66C8E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1 617</w:t>
            </w:r>
          </w:p>
        </w:tc>
        <w:tc>
          <w:tcPr>
            <w:tcW w:w="794" w:type="dxa"/>
            <w:tcBorders>
              <w:top w:val="single" w:sz="6" w:space="0" w:color="auto"/>
            </w:tcBorders>
          </w:tcPr>
          <w:p w14:paraId="143735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2 028</w:t>
            </w:r>
          </w:p>
        </w:tc>
        <w:tc>
          <w:tcPr>
            <w:tcW w:w="794" w:type="dxa"/>
            <w:tcBorders>
              <w:top w:val="single" w:sz="6" w:space="0" w:color="auto"/>
            </w:tcBorders>
          </w:tcPr>
          <w:p w14:paraId="250727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1 896</w:t>
            </w:r>
          </w:p>
        </w:tc>
        <w:tc>
          <w:tcPr>
            <w:tcW w:w="794" w:type="dxa"/>
            <w:tcBorders>
              <w:top w:val="single" w:sz="6" w:space="0" w:color="auto"/>
            </w:tcBorders>
          </w:tcPr>
          <w:p w14:paraId="1E963B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1 860</w:t>
            </w:r>
          </w:p>
        </w:tc>
        <w:tc>
          <w:tcPr>
            <w:tcW w:w="794" w:type="dxa"/>
            <w:tcBorders>
              <w:top w:val="single" w:sz="6" w:space="0" w:color="auto"/>
            </w:tcBorders>
          </w:tcPr>
          <w:p w14:paraId="046629A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1 922</w:t>
            </w:r>
          </w:p>
        </w:tc>
      </w:tr>
      <w:tr w:rsidR="005D339F" w14:paraId="5B0E334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AA423F7" w14:textId="77777777" w:rsidR="005D339F" w:rsidRDefault="005D339F" w:rsidP="008670FF">
            <w:r>
              <w:rPr>
                <w:b/>
              </w:rPr>
              <w:t>Cash flows from investing activities</w:t>
            </w:r>
          </w:p>
        </w:tc>
        <w:tc>
          <w:tcPr>
            <w:tcW w:w="794" w:type="dxa"/>
          </w:tcPr>
          <w:p w14:paraId="0604BE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F0B4E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FD1F6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4DC27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CECFF6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80F89D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AD1511A" w14:textId="77777777" w:rsidR="005D339F" w:rsidRDefault="005D339F" w:rsidP="008670FF">
            <w:r>
              <w:rPr>
                <w:b/>
              </w:rPr>
              <w:t>Cash flows from investments in non</w:t>
            </w:r>
            <w:r>
              <w:rPr>
                <w:b/>
              </w:rPr>
              <w:noBreakHyphen/>
              <w:t>financial assets</w:t>
            </w:r>
          </w:p>
        </w:tc>
        <w:tc>
          <w:tcPr>
            <w:tcW w:w="794" w:type="dxa"/>
          </w:tcPr>
          <w:p w14:paraId="5B2142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5FCB8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B2D3CE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1878C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83303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1D07883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72882D4" w14:textId="77777777" w:rsidR="005D339F" w:rsidRDefault="005D339F" w:rsidP="008670FF">
            <w:r>
              <w:t>Purchases of non</w:t>
            </w:r>
            <w:r>
              <w:noBreakHyphen/>
              <w:t>financial assets</w:t>
            </w:r>
          </w:p>
        </w:tc>
        <w:tc>
          <w:tcPr>
            <w:tcW w:w="794" w:type="dxa"/>
          </w:tcPr>
          <w:p w14:paraId="682FEAE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(8 142)</w:t>
            </w:r>
          </w:p>
        </w:tc>
        <w:tc>
          <w:tcPr>
            <w:tcW w:w="794" w:type="dxa"/>
          </w:tcPr>
          <w:p w14:paraId="1153DC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(9 225)</w:t>
            </w:r>
          </w:p>
        </w:tc>
        <w:tc>
          <w:tcPr>
            <w:tcW w:w="794" w:type="dxa"/>
          </w:tcPr>
          <w:p w14:paraId="592E2F7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(7 532)</w:t>
            </w:r>
          </w:p>
        </w:tc>
        <w:tc>
          <w:tcPr>
            <w:tcW w:w="794" w:type="dxa"/>
          </w:tcPr>
          <w:p w14:paraId="5BE010B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(7 120)</w:t>
            </w:r>
          </w:p>
        </w:tc>
        <w:tc>
          <w:tcPr>
            <w:tcW w:w="794" w:type="dxa"/>
          </w:tcPr>
          <w:p w14:paraId="3DEF366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(5 679)</w:t>
            </w:r>
          </w:p>
        </w:tc>
      </w:tr>
      <w:tr w:rsidR="005D339F" w14:paraId="5F6B326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5010ADB" w14:textId="77777777" w:rsidR="005D339F" w:rsidRDefault="005D339F" w:rsidP="008670FF">
            <w:r>
              <w:t>Sales of non</w:t>
            </w:r>
            <w:r>
              <w:noBreakHyphen/>
              <w:t>financial assets</w:t>
            </w:r>
          </w:p>
        </w:tc>
        <w:tc>
          <w:tcPr>
            <w:tcW w:w="794" w:type="dxa"/>
            <w:tcBorders>
              <w:bottom w:val="single" w:sz="6" w:space="0" w:color="auto"/>
            </w:tcBorders>
          </w:tcPr>
          <w:p w14:paraId="540A56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218</w:t>
            </w:r>
          </w:p>
        </w:tc>
        <w:tc>
          <w:tcPr>
            <w:tcW w:w="794" w:type="dxa"/>
            <w:tcBorders>
              <w:bottom w:val="single" w:sz="6" w:space="0" w:color="auto"/>
            </w:tcBorders>
          </w:tcPr>
          <w:p w14:paraId="2BB243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225</w:t>
            </w:r>
          </w:p>
        </w:tc>
        <w:tc>
          <w:tcPr>
            <w:tcW w:w="794" w:type="dxa"/>
            <w:tcBorders>
              <w:bottom w:val="single" w:sz="6" w:space="0" w:color="auto"/>
            </w:tcBorders>
          </w:tcPr>
          <w:p w14:paraId="70D1BE2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223</w:t>
            </w:r>
          </w:p>
        </w:tc>
        <w:tc>
          <w:tcPr>
            <w:tcW w:w="794" w:type="dxa"/>
            <w:tcBorders>
              <w:bottom w:val="single" w:sz="6" w:space="0" w:color="auto"/>
            </w:tcBorders>
          </w:tcPr>
          <w:p w14:paraId="3979E8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185</w:t>
            </w:r>
          </w:p>
        </w:tc>
        <w:tc>
          <w:tcPr>
            <w:tcW w:w="794" w:type="dxa"/>
            <w:tcBorders>
              <w:bottom w:val="single" w:sz="6" w:space="0" w:color="auto"/>
            </w:tcBorders>
          </w:tcPr>
          <w:p w14:paraId="14CB899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619</w:t>
            </w:r>
          </w:p>
        </w:tc>
      </w:tr>
      <w:tr w:rsidR="005D339F" w14:paraId="08F0872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E78DE73" w14:textId="77777777" w:rsidR="005D339F" w:rsidRDefault="005D339F" w:rsidP="008670FF">
            <w:r>
              <w:rPr>
                <w:b/>
              </w:rPr>
              <w:t>Net cash flows from investments in non</w:t>
            </w:r>
            <w:r>
              <w:rPr>
                <w:b/>
              </w:rPr>
              <w:noBreakHyphen/>
              <w:t>financial assets</w:t>
            </w:r>
          </w:p>
        </w:tc>
        <w:tc>
          <w:tcPr>
            <w:tcW w:w="794" w:type="dxa"/>
            <w:tcBorders>
              <w:top w:val="single" w:sz="6" w:space="0" w:color="auto"/>
            </w:tcBorders>
          </w:tcPr>
          <w:p w14:paraId="6DFABD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(7 924)</w:t>
            </w:r>
          </w:p>
        </w:tc>
        <w:tc>
          <w:tcPr>
            <w:tcW w:w="794" w:type="dxa"/>
            <w:tcBorders>
              <w:top w:val="single" w:sz="6" w:space="0" w:color="auto"/>
            </w:tcBorders>
          </w:tcPr>
          <w:p w14:paraId="47444A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(8 999)</w:t>
            </w:r>
          </w:p>
        </w:tc>
        <w:tc>
          <w:tcPr>
            <w:tcW w:w="794" w:type="dxa"/>
            <w:tcBorders>
              <w:top w:val="single" w:sz="6" w:space="0" w:color="auto"/>
            </w:tcBorders>
          </w:tcPr>
          <w:p w14:paraId="21F7D9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(7 308)</w:t>
            </w:r>
          </w:p>
        </w:tc>
        <w:tc>
          <w:tcPr>
            <w:tcW w:w="794" w:type="dxa"/>
            <w:tcBorders>
              <w:top w:val="single" w:sz="6" w:space="0" w:color="auto"/>
            </w:tcBorders>
          </w:tcPr>
          <w:p w14:paraId="3C570A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(6 935)</w:t>
            </w:r>
          </w:p>
        </w:tc>
        <w:tc>
          <w:tcPr>
            <w:tcW w:w="794" w:type="dxa"/>
            <w:tcBorders>
              <w:top w:val="single" w:sz="6" w:space="0" w:color="auto"/>
            </w:tcBorders>
          </w:tcPr>
          <w:p w14:paraId="723F7E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(5 060)</w:t>
            </w:r>
          </w:p>
        </w:tc>
      </w:tr>
      <w:tr w:rsidR="005D339F" w14:paraId="7D79A492"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0E7D55E9" w14:textId="77777777" w:rsidR="005D339F" w:rsidRDefault="005D339F" w:rsidP="008670FF">
            <w:r>
              <w:t>Net cash flows from investments in financial assets for policy purposes</w:t>
            </w:r>
          </w:p>
        </w:tc>
        <w:tc>
          <w:tcPr>
            <w:tcW w:w="794" w:type="dxa"/>
            <w:tcBorders>
              <w:bottom w:val="single" w:sz="6" w:space="0" w:color="auto"/>
            </w:tcBorders>
          </w:tcPr>
          <w:p w14:paraId="7955795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(542)</w:t>
            </w:r>
          </w:p>
        </w:tc>
        <w:tc>
          <w:tcPr>
            <w:tcW w:w="794" w:type="dxa"/>
            <w:tcBorders>
              <w:bottom w:val="single" w:sz="6" w:space="0" w:color="auto"/>
            </w:tcBorders>
          </w:tcPr>
          <w:p w14:paraId="5F1D43E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(143)</w:t>
            </w:r>
          </w:p>
        </w:tc>
        <w:tc>
          <w:tcPr>
            <w:tcW w:w="794" w:type="dxa"/>
            <w:tcBorders>
              <w:bottom w:val="single" w:sz="6" w:space="0" w:color="auto"/>
            </w:tcBorders>
          </w:tcPr>
          <w:p w14:paraId="00C265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(34)</w:t>
            </w:r>
          </w:p>
        </w:tc>
        <w:tc>
          <w:tcPr>
            <w:tcW w:w="794" w:type="dxa"/>
            <w:tcBorders>
              <w:bottom w:val="single" w:sz="6" w:space="0" w:color="auto"/>
            </w:tcBorders>
          </w:tcPr>
          <w:p w14:paraId="3CC4AF7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08C32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w:t>
            </w:r>
          </w:p>
        </w:tc>
      </w:tr>
      <w:tr w:rsidR="005D339F" w14:paraId="343814B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EAB79F6" w14:textId="77777777" w:rsidR="005D339F" w:rsidRDefault="005D339F" w:rsidP="008670FF">
            <w:r>
              <w:rPr>
                <w:b/>
              </w:rPr>
              <w:t>Subtotal</w:t>
            </w:r>
          </w:p>
        </w:tc>
        <w:tc>
          <w:tcPr>
            <w:tcW w:w="794" w:type="dxa"/>
            <w:tcBorders>
              <w:top w:val="single" w:sz="6" w:space="0" w:color="auto"/>
            </w:tcBorders>
          </w:tcPr>
          <w:p w14:paraId="5372B53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(8 466)</w:t>
            </w:r>
          </w:p>
        </w:tc>
        <w:tc>
          <w:tcPr>
            <w:tcW w:w="794" w:type="dxa"/>
            <w:tcBorders>
              <w:top w:val="single" w:sz="6" w:space="0" w:color="auto"/>
            </w:tcBorders>
          </w:tcPr>
          <w:p w14:paraId="729E2F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(9 142)</w:t>
            </w:r>
          </w:p>
        </w:tc>
        <w:tc>
          <w:tcPr>
            <w:tcW w:w="794" w:type="dxa"/>
            <w:tcBorders>
              <w:top w:val="single" w:sz="6" w:space="0" w:color="auto"/>
            </w:tcBorders>
          </w:tcPr>
          <w:p w14:paraId="398D865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(7 343)</w:t>
            </w:r>
          </w:p>
        </w:tc>
        <w:tc>
          <w:tcPr>
            <w:tcW w:w="794" w:type="dxa"/>
            <w:tcBorders>
              <w:top w:val="single" w:sz="6" w:space="0" w:color="auto"/>
            </w:tcBorders>
          </w:tcPr>
          <w:p w14:paraId="0568990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(6 935)</w:t>
            </w:r>
          </w:p>
        </w:tc>
        <w:tc>
          <w:tcPr>
            <w:tcW w:w="794" w:type="dxa"/>
            <w:tcBorders>
              <w:top w:val="single" w:sz="6" w:space="0" w:color="auto"/>
            </w:tcBorders>
          </w:tcPr>
          <w:p w14:paraId="18C40D1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(5 061)</w:t>
            </w:r>
          </w:p>
        </w:tc>
      </w:tr>
      <w:tr w:rsidR="005D339F" w14:paraId="4DF5F9D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6804C28" w14:textId="77777777" w:rsidR="005D339F" w:rsidRDefault="005D339F" w:rsidP="008670FF">
            <w:r>
              <w:t>Net cash flows from investment in financial assets for liquidity management purposes</w:t>
            </w:r>
          </w:p>
        </w:tc>
        <w:tc>
          <w:tcPr>
            <w:tcW w:w="794" w:type="dxa"/>
            <w:tcBorders>
              <w:bottom w:val="single" w:sz="6" w:space="0" w:color="auto"/>
            </w:tcBorders>
          </w:tcPr>
          <w:p w14:paraId="62F68E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27D4C4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44</w:t>
            </w:r>
          </w:p>
        </w:tc>
        <w:tc>
          <w:tcPr>
            <w:tcW w:w="794" w:type="dxa"/>
            <w:tcBorders>
              <w:bottom w:val="single" w:sz="6" w:space="0" w:color="auto"/>
            </w:tcBorders>
          </w:tcPr>
          <w:p w14:paraId="287F7B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(33)</w:t>
            </w:r>
          </w:p>
        </w:tc>
        <w:tc>
          <w:tcPr>
            <w:tcW w:w="794" w:type="dxa"/>
            <w:tcBorders>
              <w:bottom w:val="single" w:sz="6" w:space="0" w:color="auto"/>
            </w:tcBorders>
          </w:tcPr>
          <w:p w14:paraId="3DBBA13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622559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w:t>
            </w:r>
          </w:p>
        </w:tc>
      </w:tr>
      <w:tr w:rsidR="005D339F" w14:paraId="07420B8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07E4C33" w14:textId="77777777" w:rsidR="005D339F" w:rsidRDefault="005D339F" w:rsidP="008670FF">
            <w:r>
              <w:rPr>
                <w:b/>
              </w:rPr>
              <w:t>Net cash flows from investing activities</w:t>
            </w:r>
          </w:p>
        </w:tc>
        <w:tc>
          <w:tcPr>
            <w:tcW w:w="794" w:type="dxa"/>
            <w:tcBorders>
              <w:top w:val="single" w:sz="6" w:space="0" w:color="auto"/>
            </w:tcBorders>
          </w:tcPr>
          <w:p w14:paraId="383E28F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(8 471)</w:t>
            </w:r>
          </w:p>
        </w:tc>
        <w:tc>
          <w:tcPr>
            <w:tcW w:w="794" w:type="dxa"/>
            <w:tcBorders>
              <w:top w:val="single" w:sz="6" w:space="0" w:color="auto"/>
            </w:tcBorders>
          </w:tcPr>
          <w:p w14:paraId="43B6E0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(9 098)</w:t>
            </w:r>
          </w:p>
        </w:tc>
        <w:tc>
          <w:tcPr>
            <w:tcW w:w="794" w:type="dxa"/>
            <w:tcBorders>
              <w:top w:val="single" w:sz="6" w:space="0" w:color="auto"/>
            </w:tcBorders>
          </w:tcPr>
          <w:p w14:paraId="59D90F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(7 376)</w:t>
            </w:r>
          </w:p>
        </w:tc>
        <w:tc>
          <w:tcPr>
            <w:tcW w:w="794" w:type="dxa"/>
            <w:tcBorders>
              <w:top w:val="single" w:sz="6" w:space="0" w:color="auto"/>
            </w:tcBorders>
          </w:tcPr>
          <w:p w14:paraId="77251A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(6 964)</w:t>
            </w:r>
          </w:p>
        </w:tc>
        <w:tc>
          <w:tcPr>
            <w:tcW w:w="794" w:type="dxa"/>
            <w:tcBorders>
              <w:top w:val="single" w:sz="6" w:space="0" w:color="auto"/>
            </w:tcBorders>
          </w:tcPr>
          <w:p w14:paraId="658054C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(5 058)</w:t>
            </w:r>
          </w:p>
        </w:tc>
      </w:tr>
      <w:tr w:rsidR="005D339F" w14:paraId="7E82B64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BC0DF5C" w14:textId="77777777" w:rsidR="005D339F" w:rsidRDefault="005D339F" w:rsidP="008670FF">
            <w:r>
              <w:rPr>
                <w:b/>
              </w:rPr>
              <w:t>Cash flows from financing activities</w:t>
            </w:r>
          </w:p>
        </w:tc>
        <w:tc>
          <w:tcPr>
            <w:tcW w:w="794" w:type="dxa"/>
          </w:tcPr>
          <w:p w14:paraId="014591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4E90DF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BC990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EC7C60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103EC0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2AE425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798F8DF" w14:textId="77777777" w:rsidR="005D339F" w:rsidRDefault="005D339F" w:rsidP="008670FF">
            <w:r>
              <w:t>Advances received (net)</w:t>
            </w:r>
          </w:p>
        </w:tc>
        <w:tc>
          <w:tcPr>
            <w:tcW w:w="794" w:type="dxa"/>
          </w:tcPr>
          <w:p w14:paraId="42906C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99</w:t>
            </w:r>
          </w:p>
        </w:tc>
        <w:tc>
          <w:tcPr>
            <w:tcW w:w="794" w:type="dxa"/>
          </w:tcPr>
          <w:p w14:paraId="39A84D8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99</w:t>
            </w:r>
          </w:p>
        </w:tc>
        <w:tc>
          <w:tcPr>
            <w:tcW w:w="794" w:type="dxa"/>
          </w:tcPr>
          <w:p w14:paraId="08B2F6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94</w:t>
            </w:r>
          </w:p>
        </w:tc>
        <w:tc>
          <w:tcPr>
            <w:tcW w:w="794" w:type="dxa"/>
          </w:tcPr>
          <w:p w14:paraId="54B030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95</w:t>
            </w:r>
          </w:p>
        </w:tc>
        <w:tc>
          <w:tcPr>
            <w:tcW w:w="794" w:type="dxa"/>
          </w:tcPr>
          <w:p w14:paraId="064A7D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99</w:t>
            </w:r>
          </w:p>
        </w:tc>
      </w:tr>
      <w:tr w:rsidR="005D339F" w14:paraId="7043997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2349D30" w14:textId="77777777" w:rsidR="005D339F" w:rsidRDefault="005D339F" w:rsidP="008670FF">
            <w:r>
              <w:t>Net borrowings</w:t>
            </w:r>
          </w:p>
        </w:tc>
        <w:tc>
          <w:tcPr>
            <w:tcW w:w="794" w:type="dxa"/>
          </w:tcPr>
          <w:p w14:paraId="577F05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2 105</w:t>
            </w:r>
          </w:p>
        </w:tc>
        <w:tc>
          <w:tcPr>
            <w:tcW w:w="794" w:type="dxa"/>
          </w:tcPr>
          <w:p w14:paraId="3EFAD3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2 321</w:t>
            </w:r>
          </w:p>
        </w:tc>
        <w:tc>
          <w:tcPr>
            <w:tcW w:w="794" w:type="dxa"/>
          </w:tcPr>
          <w:p w14:paraId="378A29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2 115</w:t>
            </w:r>
          </w:p>
        </w:tc>
        <w:tc>
          <w:tcPr>
            <w:tcW w:w="794" w:type="dxa"/>
          </w:tcPr>
          <w:p w14:paraId="4A6670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2 502</w:t>
            </w:r>
          </w:p>
        </w:tc>
        <w:tc>
          <w:tcPr>
            <w:tcW w:w="794" w:type="dxa"/>
          </w:tcPr>
          <w:p w14:paraId="56F42B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2 077</w:t>
            </w:r>
          </w:p>
        </w:tc>
      </w:tr>
      <w:tr w:rsidR="005D339F" w14:paraId="010B7E1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C629449" w14:textId="77777777" w:rsidR="005D339F" w:rsidRDefault="005D339F" w:rsidP="008670FF">
            <w:r>
              <w:t>Deposits received (net)</w:t>
            </w:r>
          </w:p>
        </w:tc>
        <w:tc>
          <w:tcPr>
            <w:tcW w:w="794" w:type="dxa"/>
          </w:tcPr>
          <w:p w14:paraId="1CDFA7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w:t>
            </w:r>
          </w:p>
        </w:tc>
        <w:tc>
          <w:tcPr>
            <w:tcW w:w="794" w:type="dxa"/>
          </w:tcPr>
          <w:p w14:paraId="4B30C5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2913EE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7C9F31D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024736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w:t>
            </w:r>
          </w:p>
        </w:tc>
      </w:tr>
      <w:tr w:rsidR="005D339F" w14:paraId="6B800DD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0F06616" w14:textId="77777777" w:rsidR="005D339F" w:rsidRDefault="005D339F" w:rsidP="008670FF">
            <w:r>
              <w:t>Other financing (net)</w:t>
            </w:r>
          </w:p>
        </w:tc>
        <w:tc>
          <w:tcPr>
            <w:tcW w:w="794" w:type="dxa"/>
            <w:tcBorders>
              <w:bottom w:val="single" w:sz="6" w:space="0" w:color="auto"/>
            </w:tcBorders>
          </w:tcPr>
          <w:p w14:paraId="118939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3 466</w:t>
            </w:r>
          </w:p>
        </w:tc>
        <w:tc>
          <w:tcPr>
            <w:tcW w:w="794" w:type="dxa"/>
            <w:tcBorders>
              <w:bottom w:val="single" w:sz="6" w:space="0" w:color="auto"/>
            </w:tcBorders>
          </w:tcPr>
          <w:p w14:paraId="587EE0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3 919</w:t>
            </w:r>
          </w:p>
        </w:tc>
        <w:tc>
          <w:tcPr>
            <w:tcW w:w="794" w:type="dxa"/>
            <w:tcBorders>
              <w:bottom w:val="single" w:sz="6" w:space="0" w:color="auto"/>
            </w:tcBorders>
          </w:tcPr>
          <w:p w14:paraId="1666D48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2 931</w:t>
            </w:r>
          </w:p>
        </w:tc>
        <w:tc>
          <w:tcPr>
            <w:tcW w:w="794" w:type="dxa"/>
            <w:tcBorders>
              <w:bottom w:val="single" w:sz="6" w:space="0" w:color="auto"/>
            </w:tcBorders>
          </w:tcPr>
          <w:p w14:paraId="01F390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2 409</w:t>
            </w:r>
          </w:p>
        </w:tc>
        <w:tc>
          <w:tcPr>
            <w:tcW w:w="794" w:type="dxa"/>
            <w:tcBorders>
              <w:bottom w:val="single" w:sz="6" w:space="0" w:color="auto"/>
            </w:tcBorders>
          </w:tcPr>
          <w:p w14:paraId="77ED73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1 063</w:t>
            </w:r>
          </w:p>
        </w:tc>
      </w:tr>
      <w:tr w:rsidR="005D339F" w14:paraId="60540E4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2AA09D0C" w14:textId="77777777" w:rsidR="005D339F" w:rsidRDefault="005D339F" w:rsidP="008670FF">
            <w:r>
              <w:rPr>
                <w:b/>
              </w:rPr>
              <w:t>Net cash flows from financing activities</w:t>
            </w:r>
          </w:p>
        </w:tc>
        <w:tc>
          <w:tcPr>
            <w:tcW w:w="794" w:type="dxa"/>
            <w:tcBorders>
              <w:top w:val="single" w:sz="6" w:space="0" w:color="auto"/>
              <w:bottom w:val="single" w:sz="6" w:space="0" w:color="auto"/>
            </w:tcBorders>
          </w:tcPr>
          <w:p w14:paraId="6EB58D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5 661</w:t>
            </w:r>
          </w:p>
        </w:tc>
        <w:tc>
          <w:tcPr>
            <w:tcW w:w="794" w:type="dxa"/>
            <w:tcBorders>
              <w:top w:val="single" w:sz="6" w:space="0" w:color="auto"/>
              <w:bottom w:val="single" w:sz="6" w:space="0" w:color="auto"/>
            </w:tcBorders>
          </w:tcPr>
          <w:p w14:paraId="45F044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6 327</w:t>
            </w:r>
          </w:p>
        </w:tc>
        <w:tc>
          <w:tcPr>
            <w:tcW w:w="794" w:type="dxa"/>
            <w:tcBorders>
              <w:top w:val="single" w:sz="6" w:space="0" w:color="auto"/>
              <w:bottom w:val="single" w:sz="6" w:space="0" w:color="auto"/>
            </w:tcBorders>
          </w:tcPr>
          <w:p w14:paraId="2D7424E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5 131</w:t>
            </w:r>
          </w:p>
        </w:tc>
        <w:tc>
          <w:tcPr>
            <w:tcW w:w="794" w:type="dxa"/>
            <w:tcBorders>
              <w:top w:val="single" w:sz="6" w:space="0" w:color="auto"/>
              <w:bottom w:val="single" w:sz="6" w:space="0" w:color="auto"/>
            </w:tcBorders>
          </w:tcPr>
          <w:p w14:paraId="5BB962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4 995</w:t>
            </w:r>
          </w:p>
        </w:tc>
        <w:tc>
          <w:tcPr>
            <w:tcW w:w="794" w:type="dxa"/>
            <w:tcBorders>
              <w:top w:val="single" w:sz="6" w:space="0" w:color="auto"/>
              <w:bottom w:val="single" w:sz="6" w:space="0" w:color="auto"/>
            </w:tcBorders>
          </w:tcPr>
          <w:p w14:paraId="72130F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3 238</w:t>
            </w:r>
          </w:p>
        </w:tc>
      </w:tr>
      <w:tr w:rsidR="005D339F" w14:paraId="36C7277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3B4FC89" w14:textId="32B9DC23" w:rsidR="005D339F" w:rsidRDefault="005D339F" w:rsidP="008670FF">
            <w:r>
              <w:rPr>
                <w:b/>
              </w:rPr>
              <w:t xml:space="preserve">Net increase/(decrease) in cash and </w:t>
            </w:r>
            <w:r w:rsidR="00061638">
              <w:rPr>
                <w:b/>
              </w:rPr>
              <w:br/>
            </w:r>
            <w:r>
              <w:rPr>
                <w:b/>
              </w:rPr>
              <w:t>cash equivalents</w:t>
            </w:r>
          </w:p>
        </w:tc>
        <w:tc>
          <w:tcPr>
            <w:tcW w:w="794" w:type="dxa"/>
            <w:tcBorders>
              <w:top w:val="single" w:sz="6" w:space="0" w:color="auto"/>
            </w:tcBorders>
          </w:tcPr>
          <w:p w14:paraId="2148CA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(1 193)</w:t>
            </w:r>
          </w:p>
        </w:tc>
        <w:tc>
          <w:tcPr>
            <w:tcW w:w="794" w:type="dxa"/>
            <w:tcBorders>
              <w:top w:val="single" w:sz="6" w:space="0" w:color="auto"/>
            </w:tcBorders>
          </w:tcPr>
          <w:p w14:paraId="008C28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(743)</w:t>
            </w:r>
          </w:p>
        </w:tc>
        <w:tc>
          <w:tcPr>
            <w:tcW w:w="794" w:type="dxa"/>
            <w:tcBorders>
              <w:top w:val="single" w:sz="6" w:space="0" w:color="auto"/>
            </w:tcBorders>
          </w:tcPr>
          <w:p w14:paraId="1BE749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(349)</w:t>
            </w:r>
          </w:p>
        </w:tc>
        <w:tc>
          <w:tcPr>
            <w:tcW w:w="794" w:type="dxa"/>
            <w:tcBorders>
              <w:top w:val="single" w:sz="6" w:space="0" w:color="auto"/>
            </w:tcBorders>
          </w:tcPr>
          <w:p w14:paraId="1300D08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(109)</w:t>
            </w:r>
          </w:p>
        </w:tc>
        <w:tc>
          <w:tcPr>
            <w:tcW w:w="794" w:type="dxa"/>
            <w:tcBorders>
              <w:top w:val="single" w:sz="6" w:space="0" w:color="auto"/>
            </w:tcBorders>
          </w:tcPr>
          <w:p w14:paraId="214D8A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103</w:t>
            </w:r>
          </w:p>
        </w:tc>
      </w:tr>
      <w:tr w:rsidR="005D339F" w14:paraId="3AC8DC8D"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1417242" w14:textId="77777777" w:rsidR="005D339F" w:rsidRDefault="005D339F" w:rsidP="008670FF">
            <w:r>
              <w:t>Cash and cash equivalents at beginning of reporting period</w:t>
            </w:r>
            <w:r>
              <w:rPr>
                <w:vertAlign w:val="superscript"/>
              </w:rPr>
              <w:t xml:space="preserve"> (b)(c)</w:t>
            </w:r>
          </w:p>
        </w:tc>
        <w:tc>
          <w:tcPr>
            <w:tcW w:w="794" w:type="dxa"/>
            <w:tcBorders>
              <w:bottom w:val="single" w:sz="6" w:space="0" w:color="auto"/>
            </w:tcBorders>
          </w:tcPr>
          <w:p w14:paraId="16C919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2 251</w:t>
            </w:r>
          </w:p>
        </w:tc>
        <w:tc>
          <w:tcPr>
            <w:tcW w:w="794" w:type="dxa"/>
            <w:tcBorders>
              <w:bottom w:val="single" w:sz="6" w:space="0" w:color="auto"/>
            </w:tcBorders>
          </w:tcPr>
          <w:p w14:paraId="3BDE878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2 251</w:t>
            </w:r>
          </w:p>
        </w:tc>
        <w:tc>
          <w:tcPr>
            <w:tcW w:w="794" w:type="dxa"/>
            <w:tcBorders>
              <w:bottom w:val="single" w:sz="6" w:space="0" w:color="auto"/>
            </w:tcBorders>
          </w:tcPr>
          <w:p w14:paraId="630348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1 508</w:t>
            </w:r>
          </w:p>
        </w:tc>
        <w:tc>
          <w:tcPr>
            <w:tcW w:w="794" w:type="dxa"/>
            <w:tcBorders>
              <w:bottom w:val="single" w:sz="6" w:space="0" w:color="auto"/>
            </w:tcBorders>
          </w:tcPr>
          <w:p w14:paraId="0FF0D38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1 158</w:t>
            </w:r>
          </w:p>
        </w:tc>
        <w:tc>
          <w:tcPr>
            <w:tcW w:w="794" w:type="dxa"/>
            <w:tcBorders>
              <w:bottom w:val="single" w:sz="6" w:space="0" w:color="auto"/>
            </w:tcBorders>
          </w:tcPr>
          <w:p w14:paraId="24F0891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1 049</w:t>
            </w:r>
          </w:p>
        </w:tc>
      </w:tr>
      <w:tr w:rsidR="005D339F" w14:paraId="48D745C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6C1DDD8" w14:textId="77777777" w:rsidR="005D339F" w:rsidRDefault="005D339F" w:rsidP="008670FF">
            <w:r>
              <w:rPr>
                <w:b/>
              </w:rPr>
              <w:t>Cash and cash equivalents at end of reporting period</w:t>
            </w:r>
            <w:r>
              <w:rPr>
                <w:b/>
                <w:vertAlign w:val="superscript"/>
              </w:rPr>
              <w:t xml:space="preserve"> (b)(c)</w:t>
            </w:r>
          </w:p>
        </w:tc>
        <w:tc>
          <w:tcPr>
            <w:tcW w:w="794" w:type="dxa"/>
            <w:tcBorders>
              <w:top w:val="single" w:sz="6" w:space="0" w:color="auto"/>
              <w:bottom w:val="single" w:sz="6" w:space="0" w:color="auto"/>
            </w:tcBorders>
          </w:tcPr>
          <w:p w14:paraId="166892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1 058</w:t>
            </w:r>
          </w:p>
        </w:tc>
        <w:tc>
          <w:tcPr>
            <w:tcW w:w="794" w:type="dxa"/>
            <w:tcBorders>
              <w:top w:val="single" w:sz="6" w:space="0" w:color="auto"/>
              <w:bottom w:val="single" w:sz="6" w:space="0" w:color="auto"/>
            </w:tcBorders>
          </w:tcPr>
          <w:p w14:paraId="44C4E7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1 508</w:t>
            </w:r>
          </w:p>
        </w:tc>
        <w:tc>
          <w:tcPr>
            <w:tcW w:w="794" w:type="dxa"/>
            <w:tcBorders>
              <w:top w:val="single" w:sz="6" w:space="0" w:color="auto"/>
              <w:bottom w:val="single" w:sz="6" w:space="0" w:color="auto"/>
            </w:tcBorders>
          </w:tcPr>
          <w:p w14:paraId="5100B5F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1 158</w:t>
            </w:r>
          </w:p>
        </w:tc>
        <w:tc>
          <w:tcPr>
            <w:tcW w:w="794" w:type="dxa"/>
            <w:tcBorders>
              <w:top w:val="single" w:sz="6" w:space="0" w:color="auto"/>
              <w:bottom w:val="single" w:sz="6" w:space="0" w:color="auto"/>
            </w:tcBorders>
          </w:tcPr>
          <w:p w14:paraId="2351E86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1 049</w:t>
            </w:r>
          </w:p>
        </w:tc>
        <w:tc>
          <w:tcPr>
            <w:tcW w:w="794" w:type="dxa"/>
            <w:tcBorders>
              <w:top w:val="single" w:sz="6" w:space="0" w:color="auto"/>
              <w:bottom w:val="single" w:sz="6" w:space="0" w:color="auto"/>
            </w:tcBorders>
          </w:tcPr>
          <w:p w14:paraId="184C79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1 152</w:t>
            </w:r>
          </w:p>
        </w:tc>
      </w:tr>
    </w:tbl>
    <w:p w14:paraId="059DFC2E" w14:textId="77777777" w:rsidR="005D339F" w:rsidRPr="0016592B" w:rsidRDefault="005D339F" w:rsidP="005D339F">
      <w:pPr>
        <w:pStyle w:val="TableHeading"/>
      </w:pPr>
      <w:r w:rsidRPr="00921F69">
        <w:t>Table 5.3</w:t>
      </w:r>
      <w:r w:rsidRPr="00921F69">
        <w:tab/>
        <w:t xml:space="preserve">Public non-financial corporations sector cash flow statement </w:t>
      </w:r>
      <w:r>
        <w:br/>
      </w:r>
      <w:r w:rsidRPr="00921F69">
        <w:t>for the financial year ended 30 June</w:t>
      </w:r>
      <w:r>
        <w:t xml:space="preserve"> </w:t>
      </w:r>
      <w:r w:rsidRPr="00174DB6">
        <w:rPr>
          <w:i/>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NFC_CF|MergedHeadingRow:1|FirstRow:46"/>
      </w:tblPr>
      <w:tblGrid>
        <w:gridCol w:w="3740"/>
        <w:gridCol w:w="794"/>
        <w:gridCol w:w="794"/>
        <w:gridCol w:w="794"/>
        <w:gridCol w:w="794"/>
        <w:gridCol w:w="794"/>
      </w:tblGrid>
      <w:tr w:rsidR="005D339F" w14:paraId="327C022D"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18E02C5B" w14:textId="77777777" w:rsidR="005D339F" w:rsidRDefault="005D339F" w:rsidP="008670FF">
            <w:pPr>
              <w:keepNext/>
            </w:pPr>
          </w:p>
        </w:tc>
        <w:tc>
          <w:tcPr>
            <w:tcW w:w="794" w:type="dxa"/>
          </w:tcPr>
          <w:p w14:paraId="6B126903"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3C537CA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69E196C9"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0E629CDA"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78280606"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6B86F32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A6C44B3" w14:textId="77777777" w:rsidR="005D339F" w:rsidRDefault="005D339F" w:rsidP="008670FF">
            <w:r>
              <w:rPr>
                <w:b/>
              </w:rPr>
              <w:t>FISCAL AGGREGATES</w:t>
            </w:r>
          </w:p>
        </w:tc>
        <w:tc>
          <w:tcPr>
            <w:tcW w:w="794" w:type="dxa"/>
          </w:tcPr>
          <w:p w14:paraId="0694646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5DC10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667F20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BD497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4B8404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3D3A53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32A2530" w14:textId="77777777" w:rsidR="005D339F" w:rsidRDefault="005D339F" w:rsidP="008670FF">
            <w:r>
              <w:t>Net cash flows from operating activities</w:t>
            </w:r>
          </w:p>
        </w:tc>
        <w:tc>
          <w:tcPr>
            <w:tcW w:w="794" w:type="dxa"/>
          </w:tcPr>
          <w:p w14:paraId="72E161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1 617</w:t>
            </w:r>
          </w:p>
        </w:tc>
        <w:tc>
          <w:tcPr>
            <w:tcW w:w="794" w:type="dxa"/>
          </w:tcPr>
          <w:p w14:paraId="4B5330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2 028</w:t>
            </w:r>
          </w:p>
        </w:tc>
        <w:tc>
          <w:tcPr>
            <w:tcW w:w="794" w:type="dxa"/>
          </w:tcPr>
          <w:p w14:paraId="5179FB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1 896</w:t>
            </w:r>
          </w:p>
        </w:tc>
        <w:tc>
          <w:tcPr>
            <w:tcW w:w="794" w:type="dxa"/>
          </w:tcPr>
          <w:p w14:paraId="4FB4D6E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1 860</w:t>
            </w:r>
          </w:p>
        </w:tc>
        <w:tc>
          <w:tcPr>
            <w:tcW w:w="794" w:type="dxa"/>
          </w:tcPr>
          <w:p w14:paraId="67A5EF2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1 922</w:t>
            </w:r>
          </w:p>
        </w:tc>
      </w:tr>
      <w:tr w:rsidR="005D339F" w14:paraId="22840B4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97551B2" w14:textId="77777777" w:rsidR="005D339F" w:rsidRDefault="005D339F" w:rsidP="008670FF">
            <w:r>
              <w:t>Dividends paid</w:t>
            </w:r>
          </w:p>
        </w:tc>
        <w:tc>
          <w:tcPr>
            <w:tcW w:w="794" w:type="dxa"/>
          </w:tcPr>
          <w:p w14:paraId="34CBEE0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(157)</w:t>
            </w:r>
          </w:p>
        </w:tc>
        <w:tc>
          <w:tcPr>
            <w:tcW w:w="794" w:type="dxa"/>
          </w:tcPr>
          <w:p w14:paraId="0E7796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(157)</w:t>
            </w:r>
          </w:p>
        </w:tc>
        <w:tc>
          <w:tcPr>
            <w:tcW w:w="794" w:type="dxa"/>
          </w:tcPr>
          <w:p w14:paraId="1CE7C8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(186)</w:t>
            </w:r>
          </w:p>
        </w:tc>
        <w:tc>
          <w:tcPr>
            <w:tcW w:w="794" w:type="dxa"/>
          </w:tcPr>
          <w:p w14:paraId="02F5E65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(188)</w:t>
            </w:r>
          </w:p>
        </w:tc>
        <w:tc>
          <w:tcPr>
            <w:tcW w:w="794" w:type="dxa"/>
          </w:tcPr>
          <w:p w14:paraId="2E9198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(192)</w:t>
            </w:r>
          </w:p>
        </w:tc>
      </w:tr>
      <w:tr w:rsidR="005D339F" w14:paraId="0BA8A90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EB0EB92" w14:textId="77777777" w:rsidR="005D339F" w:rsidRDefault="005D339F" w:rsidP="008670FF">
            <w:r>
              <w:t>Net cash flows from investments in non</w:t>
            </w:r>
            <w:r>
              <w:noBreakHyphen/>
              <w:t>financial assets</w:t>
            </w:r>
          </w:p>
        </w:tc>
        <w:tc>
          <w:tcPr>
            <w:tcW w:w="794" w:type="dxa"/>
            <w:tcBorders>
              <w:bottom w:val="single" w:sz="6" w:space="0" w:color="auto"/>
            </w:tcBorders>
          </w:tcPr>
          <w:p w14:paraId="244A1E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(7 924)</w:t>
            </w:r>
          </w:p>
        </w:tc>
        <w:tc>
          <w:tcPr>
            <w:tcW w:w="794" w:type="dxa"/>
            <w:tcBorders>
              <w:bottom w:val="single" w:sz="6" w:space="0" w:color="auto"/>
            </w:tcBorders>
          </w:tcPr>
          <w:p w14:paraId="4A9035B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(8 999)</w:t>
            </w:r>
          </w:p>
        </w:tc>
        <w:tc>
          <w:tcPr>
            <w:tcW w:w="794" w:type="dxa"/>
            <w:tcBorders>
              <w:bottom w:val="single" w:sz="6" w:space="0" w:color="auto"/>
            </w:tcBorders>
          </w:tcPr>
          <w:p w14:paraId="196AB23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(7 308)</w:t>
            </w:r>
          </w:p>
        </w:tc>
        <w:tc>
          <w:tcPr>
            <w:tcW w:w="794" w:type="dxa"/>
            <w:tcBorders>
              <w:bottom w:val="single" w:sz="6" w:space="0" w:color="auto"/>
            </w:tcBorders>
          </w:tcPr>
          <w:p w14:paraId="2D43829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(6 935)</w:t>
            </w:r>
          </w:p>
        </w:tc>
        <w:tc>
          <w:tcPr>
            <w:tcW w:w="794" w:type="dxa"/>
            <w:tcBorders>
              <w:bottom w:val="single" w:sz="6" w:space="0" w:color="auto"/>
            </w:tcBorders>
          </w:tcPr>
          <w:p w14:paraId="11F5541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(5 060)</w:t>
            </w:r>
          </w:p>
        </w:tc>
      </w:tr>
      <w:tr w:rsidR="005D339F" w14:paraId="3E2886F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069A991" w14:textId="77777777" w:rsidR="005D339F" w:rsidRDefault="005D339F" w:rsidP="008670FF">
            <w:r>
              <w:rPr>
                <w:b/>
              </w:rPr>
              <w:t>Cash surplus/(deficit)</w:t>
            </w:r>
          </w:p>
        </w:tc>
        <w:tc>
          <w:tcPr>
            <w:tcW w:w="794" w:type="dxa"/>
            <w:tcBorders>
              <w:top w:val="single" w:sz="6" w:space="0" w:color="auto"/>
              <w:bottom w:val="single" w:sz="12" w:space="0" w:color="auto"/>
            </w:tcBorders>
          </w:tcPr>
          <w:p w14:paraId="509AFD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(6 464)</w:t>
            </w:r>
          </w:p>
        </w:tc>
        <w:tc>
          <w:tcPr>
            <w:tcW w:w="794" w:type="dxa"/>
            <w:tcBorders>
              <w:top w:val="single" w:sz="6" w:space="0" w:color="auto"/>
              <w:bottom w:val="single" w:sz="12" w:space="0" w:color="auto"/>
            </w:tcBorders>
          </w:tcPr>
          <w:p w14:paraId="650407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(7 128)</w:t>
            </w:r>
          </w:p>
        </w:tc>
        <w:tc>
          <w:tcPr>
            <w:tcW w:w="794" w:type="dxa"/>
            <w:tcBorders>
              <w:top w:val="single" w:sz="6" w:space="0" w:color="auto"/>
              <w:bottom w:val="single" w:sz="12" w:space="0" w:color="auto"/>
            </w:tcBorders>
          </w:tcPr>
          <w:p w14:paraId="669C136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(5 599)</w:t>
            </w:r>
          </w:p>
        </w:tc>
        <w:tc>
          <w:tcPr>
            <w:tcW w:w="794" w:type="dxa"/>
            <w:tcBorders>
              <w:top w:val="single" w:sz="6" w:space="0" w:color="auto"/>
              <w:bottom w:val="single" w:sz="12" w:space="0" w:color="auto"/>
            </w:tcBorders>
          </w:tcPr>
          <w:p w14:paraId="0CA0C6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(5 263)</w:t>
            </w:r>
          </w:p>
        </w:tc>
        <w:tc>
          <w:tcPr>
            <w:tcW w:w="794" w:type="dxa"/>
            <w:tcBorders>
              <w:top w:val="single" w:sz="6" w:space="0" w:color="auto"/>
              <w:bottom w:val="single" w:sz="12" w:space="0" w:color="auto"/>
            </w:tcBorders>
          </w:tcPr>
          <w:p w14:paraId="0EED3C2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(3 329)</w:t>
            </w:r>
          </w:p>
        </w:tc>
      </w:tr>
    </w:tbl>
    <w:p w14:paraId="33CEAEC9" w14:textId="77777777" w:rsidR="005D339F" w:rsidRPr="00921F69" w:rsidRDefault="005D339F" w:rsidP="005D339F">
      <w:pPr>
        <w:pStyle w:val="Note"/>
      </w:pPr>
      <w:r w:rsidRPr="00921F69">
        <w:t>Notes:</w:t>
      </w:r>
    </w:p>
    <w:p w14:paraId="1B1434EE" w14:textId="77777777" w:rsidR="005D339F" w:rsidRPr="00271558" w:rsidRDefault="005D339F" w:rsidP="005D339F">
      <w:pPr>
        <w:pStyle w:val="Note"/>
      </w:pPr>
      <w:r w:rsidRPr="00271558">
        <w:t>(a)</w:t>
      </w:r>
      <w:r w:rsidRPr="00271558">
        <w:tab/>
      </w:r>
      <w:r w:rsidRPr="004168A6">
        <w:t>Sales of goods and services and payments for goods and services are inclusive of goods and services tax</w:t>
      </w:r>
      <w:r w:rsidRPr="00271558">
        <w:t>.</w:t>
      </w:r>
    </w:p>
    <w:p w14:paraId="713F551E" w14:textId="364A6F84" w:rsidR="005D339F" w:rsidRPr="00271558" w:rsidRDefault="005D339F" w:rsidP="005D339F">
      <w:pPr>
        <w:pStyle w:val="Note"/>
      </w:pPr>
      <w:r w:rsidRPr="00271558">
        <w:t>(b)</w:t>
      </w:r>
      <w:r w:rsidRPr="00271558">
        <w:tab/>
      </w:r>
      <w:r w:rsidRPr="00024C27">
        <w:t>202</w:t>
      </w:r>
      <w:r>
        <w:t>4</w:t>
      </w:r>
      <w:r w:rsidRPr="00024C27">
        <w:t>-2</w:t>
      </w:r>
      <w:r>
        <w:t>5</w:t>
      </w:r>
      <w:r w:rsidRPr="00024C27">
        <w:t xml:space="preserve"> </w:t>
      </w:r>
      <w:r w:rsidR="00B7055D">
        <w:rPr>
          <w:iCs/>
        </w:rPr>
        <w:t>b</w:t>
      </w:r>
      <w:r w:rsidRPr="00024C27">
        <w:rPr>
          <w:iCs/>
        </w:rPr>
        <w:t>udget</w:t>
      </w:r>
      <w:r w:rsidRPr="00271558">
        <w:t xml:space="preserve"> figures have been restated to represent actual opening balances at 1 July 202</w:t>
      </w:r>
      <w:r>
        <w:t>4</w:t>
      </w:r>
      <w:r w:rsidRPr="00271558">
        <w:t>.</w:t>
      </w:r>
    </w:p>
    <w:p w14:paraId="25B144C1" w14:textId="77777777" w:rsidR="005D339F" w:rsidRPr="00271558" w:rsidRDefault="005D339F" w:rsidP="005D339F">
      <w:pPr>
        <w:pStyle w:val="Note"/>
      </w:pPr>
      <w:r w:rsidRPr="00271558">
        <w:t>(c)</w:t>
      </w:r>
      <w:r w:rsidRPr="00271558">
        <w:tab/>
        <w:t>Cash and cash equivalents at the end of the reporting period does not equal cash and deposits on the balance sheet. This is due to overdrafts being included in the cash flow statement balances.</w:t>
      </w:r>
    </w:p>
    <w:p w14:paraId="1CA76679" w14:textId="77777777" w:rsidR="005D339F" w:rsidRPr="00271558" w:rsidRDefault="005D339F" w:rsidP="005D339F"/>
    <w:p w14:paraId="5D12F8F0" w14:textId="77777777" w:rsidR="005D339F" w:rsidRDefault="005D339F" w:rsidP="005D339F">
      <w:pPr>
        <w:keepLines w:val="0"/>
        <w:rPr>
          <w:rFonts w:asciiTheme="majorHAnsi" w:hAnsiTheme="majorHAnsi"/>
          <w:b/>
          <w:iCs/>
          <w:sz w:val="20"/>
          <w:szCs w:val="18"/>
        </w:rPr>
      </w:pPr>
      <w:r>
        <w:br w:type="page"/>
      </w:r>
    </w:p>
    <w:p w14:paraId="3BE4E5E1" w14:textId="77777777" w:rsidR="005D339F" w:rsidRDefault="005D339F" w:rsidP="005D339F">
      <w:pPr>
        <w:pStyle w:val="TableHeading"/>
      </w:pPr>
      <w:r w:rsidRPr="00921F69">
        <w:t>Table 5.4</w:t>
      </w:r>
      <w:r w:rsidRPr="00921F69">
        <w:tab/>
        <w:t xml:space="preserve">Public non-financial corporations sector statement of changes in equity </w:t>
      </w:r>
      <w:r w:rsidRPr="00921F69">
        <w:br/>
        <w:t>for the financial year ended 30 June</w:t>
      </w:r>
      <w:r>
        <w:t xml:space="preserve"> </w:t>
      </w:r>
      <w:r w:rsidRPr="007D4405">
        <w:rPr>
          <w:vertAlign w:val="superscript"/>
        </w:rPr>
        <w:t>(a)</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SOCIE.xlsx|Table:Manual_PNFC_SOCIE"/>
      </w:tblPr>
      <w:tblGrid>
        <w:gridCol w:w="2977"/>
        <w:gridCol w:w="495"/>
        <w:gridCol w:w="658"/>
        <w:gridCol w:w="952"/>
        <w:gridCol w:w="1231"/>
        <w:gridCol w:w="686"/>
        <w:gridCol w:w="711"/>
      </w:tblGrid>
      <w:tr w:rsidR="00024787" w:rsidRPr="00024787" w14:paraId="398E1536" w14:textId="77777777" w:rsidTr="00024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5753C8A5" w14:textId="77777777" w:rsidR="005D339F" w:rsidRPr="00024787" w:rsidRDefault="005D339F" w:rsidP="00024787">
            <w:pPr>
              <w:keepNext/>
              <w:spacing w:before="0"/>
              <w:rPr>
                <w:sz w:val="15"/>
                <w:szCs w:val="15"/>
              </w:rPr>
            </w:pPr>
          </w:p>
        </w:tc>
        <w:tc>
          <w:tcPr>
            <w:tcW w:w="1153" w:type="dxa"/>
            <w:gridSpan w:val="2"/>
          </w:tcPr>
          <w:p w14:paraId="44454EF6" w14:textId="77777777" w:rsidR="005D339F" w:rsidRPr="00024787" w:rsidRDefault="005D339F" w:rsidP="00024787">
            <w:pPr>
              <w:keepNext/>
              <w:spacing w:before="0"/>
              <w:cnfStyle w:val="100000000000" w:firstRow="1" w:lastRow="0" w:firstColumn="0" w:lastColumn="0" w:oddVBand="0" w:evenVBand="0" w:oddHBand="0" w:evenHBand="0" w:firstRowFirstColumn="0" w:firstRowLastColumn="0" w:lastRowFirstColumn="0" w:lastRowLastColumn="0"/>
              <w:rPr>
                <w:sz w:val="15"/>
                <w:szCs w:val="15"/>
              </w:rPr>
            </w:pPr>
            <w:r w:rsidRPr="00024787">
              <w:rPr>
                <w:sz w:val="15"/>
                <w:szCs w:val="15"/>
              </w:rPr>
              <w:t>Accumulated surplus/(deficit)</w:t>
            </w:r>
          </w:p>
        </w:tc>
        <w:tc>
          <w:tcPr>
            <w:tcW w:w="952" w:type="dxa"/>
          </w:tcPr>
          <w:p w14:paraId="31F31839" w14:textId="6B592F3A" w:rsidR="005D339F" w:rsidRPr="00024787" w:rsidRDefault="005D339F" w:rsidP="00024787">
            <w:pPr>
              <w:keepNext/>
              <w:spacing w:before="0"/>
              <w:cnfStyle w:val="100000000000" w:firstRow="1" w:lastRow="0" w:firstColumn="0" w:lastColumn="0" w:oddVBand="0" w:evenVBand="0" w:oddHBand="0" w:evenHBand="0" w:firstRowFirstColumn="0" w:firstRowLastColumn="0" w:lastRowFirstColumn="0" w:lastRowLastColumn="0"/>
              <w:rPr>
                <w:sz w:val="15"/>
                <w:szCs w:val="15"/>
              </w:rPr>
            </w:pPr>
            <w:r w:rsidRPr="00024787">
              <w:rPr>
                <w:sz w:val="15"/>
                <w:szCs w:val="15"/>
              </w:rPr>
              <w:t>Contributions</w:t>
            </w:r>
            <w:r w:rsidR="007A20D4" w:rsidRPr="00024787">
              <w:rPr>
                <w:sz w:val="15"/>
                <w:szCs w:val="15"/>
              </w:rPr>
              <w:t xml:space="preserve"> </w:t>
            </w:r>
            <w:r w:rsidRPr="00024787">
              <w:rPr>
                <w:sz w:val="15"/>
                <w:szCs w:val="15"/>
              </w:rPr>
              <w:t>by owners</w:t>
            </w:r>
          </w:p>
        </w:tc>
        <w:tc>
          <w:tcPr>
            <w:tcW w:w="1231" w:type="dxa"/>
          </w:tcPr>
          <w:p w14:paraId="55F508EA" w14:textId="77777777" w:rsidR="005D339F" w:rsidRPr="00024787" w:rsidRDefault="005D339F" w:rsidP="00024787">
            <w:pPr>
              <w:keepNext/>
              <w:spacing w:before="0"/>
              <w:cnfStyle w:val="100000000000" w:firstRow="1" w:lastRow="0" w:firstColumn="0" w:lastColumn="0" w:oddVBand="0" w:evenVBand="0" w:oddHBand="0" w:evenHBand="0" w:firstRowFirstColumn="0" w:firstRowLastColumn="0" w:lastRowFirstColumn="0" w:lastRowLastColumn="0"/>
              <w:rPr>
                <w:sz w:val="15"/>
                <w:szCs w:val="15"/>
              </w:rPr>
            </w:pPr>
            <w:r w:rsidRPr="00024787">
              <w:rPr>
                <w:sz w:val="15"/>
                <w:szCs w:val="15"/>
              </w:rPr>
              <w:t>Non</w:t>
            </w:r>
            <w:r w:rsidRPr="00024787">
              <w:rPr>
                <w:sz w:val="15"/>
                <w:szCs w:val="15"/>
              </w:rPr>
              <w:noBreakHyphen/>
              <w:t>financial assets revaluation surplus</w:t>
            </w:r>
          </w:p>
        </w:tc>
        <w:tc>
          <w:tcPr>
            <w:tcW w:w="686" w:type="dxa"/>
          </w:tcPr>
          <w:p w14:paraId="3463DA6A" w14:textId="77777777" w:rsidR="005D339F" w:rsidRPr="00024787" w:rsidRDefault="005D339F" w:rsidP="00024787">
            <w:pPr>
              <w:keepNext/>
              <w:spacing w:before="0"/>
              <w:cnfStyle w:val="100000000000" w:firstRow="1" w:lastRow="0" w:firstColumn="0" w:lastColumn="0" w:oddVBand="0" w:evenVBand="0" w:oddHBand="0" w:evenHBand="0" w:firstRowFirstColumn="0" w:firstRowLastColumn="0" w:lastRowFirstColumn="0" w:lastRowLastColumn="0"/>
              <w:rPr>
                <w:sz w:val="15"/>
                <w:szCs w:val="15"/>
              </w:rPr>
            </w:pPr>
            <w:r w:rsidRPr="00024787">
              <w:rPr>
                <w:sz w:val="15"/>
                <w:szCs w:val="15"/>
              </w:rPr>
              <w:t>Other reserves</w:t>
            </w:r>
          </w:p>
        </w:tc>
        <w:tc>
          <w:tcPr>
            <w:tcW w:w="711" w:type="dxa"/>
          </w:tcPr>
          <w:p w14:paraId="75BEF370" w14:textId="77777777" w:rsidR="005D339F" w:rsidRPr="00024787" w:rsidRDefault="005D339F" w:rsidP="00024787">
            <w:pPr>
              <w:keepNext/>
              <w:spacing w:before="0"/>
              <w:cnfStyle w:val="100000000000" w:firstRow="1" w:lastRow="0" w:firstColumn="0" w:lastColumn="0" w:oddVBand="0" w:evenVBand="0" w:oddHBand="0" w:evenHBand="0" w:firstRowFirstColumn="0" w:firstRowLastColumn="0" w:lastRowFirstColumn="0" w:lastRowLastColumn="0"/>
              <w:rPr>
                <w:sz w:val="15"/>
                <w:szCs w:val="15"/>
              </w:rPr>
            </w:pPr>
            <w:r w:rsidRPr="00024787">
              <w:rPr>
                <w:sz w:val="15"/>
                <w:szCs w:val="15"/>
              </w:rPr>
              <w:t>Total</w:t>
            </w:r>
          </w:p>
        </w:tc>
      </w:tr>
      <w:tr w:rsidR="005D339F" w:rsidRPr="00024787" w14:paraId="2A73C542"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1AD08678" w14:textId="77777777" w:rsidR="005D339F" w:rsidRPr="00024787" w:rsidRDefault="005D339F" w:rsidP="00024787">
            <w:pPr>
              <w:spacing w:before="0"/>
              <w:rPr>
                <w:sz w:val="15"/>
                <w:szCs w:val="15"/>
              </w:rPr>
            </w:pPr>
            <w:r w:rsidRPr="00024787">
              <w:rPr>
                <w:b/>
                <w:sz w:val="15"/>
                <w:szCs w:val="15"/>
              </w:rPr>
              <w:t>2024</w:t>
            </w:r>
            <w:r w:rsidRPr="00024787">
              <w:rPr>
                <w:b/>
                <w:sz w:val="15"/>
                <w:szCs w:val="15"/>
              </w:rPr>
              <w:noBreakHyphen/>
              <w:t>25 budget</w:t>
            </w:r>
            <w:r w:rsidRPr="00024787">
              <w:rPr>
                <w:b/>
                <w:sz w:val="15"/>
                <w:szCs w:val="15"/>
                <w:vertAlign w:val="superscript"/>
              </w:rPr>
              <w:t xml:space="preserve"> (b)</w:t>
            </w:r>
          </w:p>
        </w:tc>
        <w:tc>
          <w:tcPr>
            <w:tcW w:w="658" w:type="dxa"/>
          </w:tcPr>
          <w:p w14:paraId="4CC378D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952" w:type="dxa"/>
          </w:tcPr>
          <w:p w14:paraId="0200BD3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1231" w:type="dxa"/>
          </w:tcPr>
          <w:p w14:paraId="71685F7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686" w:type="dxa"/>
          </w:tcPr>
          <w:p w14:paraId="4C22582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711" w:type="dxa"/>
          </w:tcPr>
          <w:p w14:paraId="5C9DBD4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r>
      <w:tr w:rsidR="005D339F" w:rsidRPr="00024787" w14:paraId="59EF54E7"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366334BE" w14:textId="77777777" w:rsidR="005D339F" w:rsidRPr="00024787" w:rsidRDefault="005D339F" w:rsidP="00024787">
            <w:pPr>
              <w:spacing w:before="0"/>
              <w:rPr>
                <w:sz w:val="15"/>
                <w:szCs w:val="15"/>
              </w:rPr>
            </w:pPr>
            <w:r w:rsidRPr="00024787">
              <w:rPr>
                <w:sz w:val="15"/>
                <w:szCs w:val="15"/>
              </w:rPr>
              <w:t>Balance at 1 July 2024</w:t>
            </w:r>
          </w:p>
        </w:tc>
        <w:tc>
          <w:tcPr>
            <w:tcW w:w="658" w:type="dxa"/>
          </w:tcPr>
          <w:p w14:paraId="16EB269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(33 520)</w:t>
            </w:r>
          </w:p>
        </w:tc>
        <w:tc>
          <w:tcPr>
            <w:tcW w:w="952" w:type="dxa"/>
          </w:tcPr>
          <w:p w14:paraId="5634CA0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82 246</w:t>
            </w:r>
          </w:p>
        </w:tc>
        <w:tc>
          <w:tcPr>
            <w:tcW w:w="1231" w:type="dxa"/>
          </w:tcPr>
          <w:p w14:paraId="4237071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33 475</w:t>
            </w:r>
          </w:p>
        </w:tc>
        <w:tc>
          <w:tcPr>
            <w:tcW w:w="686" w:type="dxa"/>
          </w:tcPr>
          <w:p w14:paraId="5418F9E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843</w:t>
            </w:r>
          </w:p>
        </w:tc>
        <w:tc>
          <w:tcPr>
            <w:tcW w:w="711" w:type="dxa"/>
          </w:tcPr>
          <w:p w14:paraId="5D38750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83 045</w:t>
            </w:r>
          </w:p>
        </w:tc>
      </w:tr>
      <w:tr w:rsidR="005D339F" w:rsidRPr="00024787" w14:paraId="15C79693"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4D99124F" w14:textId="77777777" w:rsidR="005D339F" w:rsidRPr="00024787" w:rsidRDefault="005D339F" w:rsidP="00024787">
            <w:pPr>
              <w:spacing w:before="0"/>
              <w:rPr>
                <w:sz w:val="15"/>
                <w:szCs w:val="15"/>
              </w:rPr>
            </w:pPr>
            <w:r w:rsidRPr="00024787">
              <w:rPr>
                <w:sz w:val="15"/>
                <w:szCs w:val="15"/>
              </w:rPr>
              <w:t>Opening balance adjustment</w:t>
            </w:r>
            <w:r w:rsidRPr="00024787">
              <w:rPr>
                <w:sz w:val="15"/>
                <w:szCs w:val="15"/>
                <w:vertAlign w:val="superscript"/>
              </w:rPr>
              <w:t xml:space="preserve"> (c)(d)</w:t>
            </w:r>
          </w:p>
        </w:tc>
        <w:tc>
          <w:tcPr>
            <w:tcW w:w="658" w:type="dxa"/>
          </w:tcPr>
          <w:p w14:paraId="04604C3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7</w:t>
            </w:r>
          </w:p>
        </w:tc>
        <w:tc>
          <w:tcPr>
            <w:tcW w:w="952" w:type="dxa"/>
          </w:tcPr>
          <w:p w14:paraId="7D58F34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214</w:t>
            </w:r>
          </w:p>
        </w:tc>
        <w:tc>
          <w:tcPr>
            <w:tcW w:w="1231" w:type="dxa"/>
          </w:tcPr>
          <w:p w14:paraId="587A036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(211)</w:t>
            </w:r>
          </w:p>
        </w:tc>
        <w:tc>
          <w:tcPr>
            <w:tcW w:w="686" w:type="dxa"/>
          </w:tcPr>
          <w:p w14:paraId="5BE2203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0CFB0A5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10</w:t>
            </w:r>
          </w:p>
        </w:tc>
      </w:tr>
      <w:tr w:rsidR="005D339F" w:rsidRPr="00024787" w14:paraId="405BDEE7"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24E85461" w14:textId="77777777" w:rsidR="005D339F" w:rsidRPr="00024787" w:rsidRDefault="005D339F" w:rsidP="00024787">
            <w:pPr>
              <w:spacing w:before="0"/>
              <w:rPr>
                <w:sz w:val="15"/>
                <w:szCs w:val="15"/>
              </w:rPr>
            </w:pPr>
            <w:r w:rsidRPr="00024787">
              <w:rPr>
                <w:b/>
                <w:sz w:val="15"/>
                <w:szCs w:val="15"/>
              </w:rPr>
              <w:t>Restated balance at 1 July 2024</w:t>
            </w:r>
          </w:p>
        </w:tc>
        <w:tc>
          <w:tcPr>
            <w:tcW w:w="658" w:type="dxa"/>
          </w:tcPr>
          <w:p w14:paraId="7FF9D1F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(33 512)</w:t>
            </w:r>
          </w:p>
        </w:tc>
        <w:tc>
          <w:tcPr>
            <w:tcW w:w="952" w:type="dxa"/>
          </w:tcPr>
          <w:p w14:paraId="2DF8206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82 460</w:t>
            </w:r>
          </w:p>
        </w:tc>
        <w:tc>
          <w:tcPr>
            <w:tcW w:w="1231" w:type="dxa"/>
          </w:tcPr>
          <w:p w14:paraId="23001A6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33 264</w:t>
            </w:r>
          </w:p>
        </w:tc>
        <w:tc>
          <w:tcPr>
            <w:tcW w:w="686" w:type="dxa"/>
          </w:tcPr>
          <w:p w14:paraId="560205C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843</w:t>
            </w:r>
          </w:p>
        </w:tc>
        <w:tc>
          <w:tcPr>
            <w:tcW w:w="711" w:type="dxa"/>
          </w:tcPr>
          <w:p w14:paraId="26A5C3F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83 055</w:t>
            </w:r>
          </w:p>
        </w:tc>
      </w:tr>
      <w:tr w:rsidR="005D339F" w:rsidRPr="00024787" w14:paraId="42C7B0F0"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1F832DA5" w14:textId="77777777" w:rsidR="005D339F" w:rsidRPr="00024787" w:rsidRDefault="005D339F" w:rsidP="00024787">
            <w:pPr>
              <w:spacing w:before="0"/>
              <w:rPr>
                <w:sz w:val="15"/>
                <w:szCs w:val="15"/>
              </w:rPr>
            </w:pPr>
            <w:r w:rsidRPr="00024787">
              <w:rPr>
                <w:sz w:val="15"/>
                <w:szCs w:val="15"/>
              </w:rPr>
              <w:t>Net result for the year</w:t>
            </w:r>
          </w:p>
        </w:tc>
        <w:tc>
          <w:tcPr>
            <w:tcW w:w="658" w:type="dxa"/>
          </w:tcPr>
          <w:p w14:paraId="067AD1B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(3 912)</w:t>
            </w:r>
          </w:p>
        </w:tc>
        <w:tc>
          <w:tcPr>
            <w:tcW w:w="952" w:type="dxa"/>
          </w:tcPr>
          <w:p w14:paraId="30CCD50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3D14CB6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61CB024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442461C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(3 912)</w:t>
            </w:r>
          </w:p>
        </w:tc>
      </w:tr>
      <w:tr w:rsidR="005D339F" w:rsidRPr="00024787" w14:paraId="14DF5D45"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01DBB006" w14:textId="77777777" w:rsidR="005D339F" w:rsidRPr="00024787" w:rsidRDefault="005D339F" w:rsidP="00024787">
            <w:pPr>
              <w:spacing w:before="0"/>
              <w:rPr>
                <w:sz w:val="15"/>
                <w:szCs w:val="15"/>
              </w:rPr>
            </w:pPr>
            <w:r w:rsidRPr="00024787">
              <w:rPr>
                <w:sz w:val="15"/>
                <w:szCs w:val="15"/>
              </w:rPr>
              <w:t>Other comprehensive income for the year</w:t>
            </w:r>
          </w:p>
        </w:tc>
        <w:tc>
          <w:tcPr>
            <w:tcW w:w="658" w:type="dxa"/>
          </w:tcPr>
          <w:p w14:paraId="63FC789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(16)</w:t>
            </w:r>
          </w:p>
        </w:tc>
        <w:tc>
          <w:tcPr>
            <w:tcW w:w="952" w:type="dxa"/>
          </w:tcPr>
          <w:p w14:paraId="67AA613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0E5F71B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62</w:t>
            </w:r>
          </w:p>
        </w:tc>
        <w:tc>
          <w:tcPr>
            <w:tcW w:w="686" w:type="dxa"/>
          </w:tcPr>
          <w:p w14:paraId="7E9A35F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14</w:t>
            </w:r>
          </w:p>
        </w:tc>
        <w:tc>
          <w:tcPr>
            <w:tcW w:w="711" w:type="dxa"/>
          </w:tcPr>
          <w:p w14:paraId="7D14752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60</w:t>
            </w:r>
          </w:p>
        </w:tc>
      </w:tr>
      <w:tr w:rsidR="005D339F" w:rsidRPr="00024787" w14:paraId="1D9AB35B"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5809DC88" w14:textId="77777777" w:rsidR="005D339F" w:rsidRPr="00024787" w:rsidRDefault="005D339F" w:rsidP="00024787">
            <w:pPr>
              <w:spacing w:before="0"/>
              <w:rPr>
                <w:sz w:val="15"/>
                <w:szCs w:val="15"/>
              </w:rPr>
            </w:pPr>
            <w:r w:rsidRPr="00024787">
              <w:rPr>
                <w:sz w:val="15"/>
                <w:szCs w:val="15"/>
              </w:rPr>
              <w:t>Dividends paid</w:t>
            </w:r>
          </w:p>
        </w:tc>
        <w:tc>
          <w:tcPr>
            <w:tcW w:w="658" w:type="dxa"/>
          </w:tcPr>
          <w:p w14:paraId="0D5E3DA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(157)</w:t>
            </w:r>
          </w:p>
        </w:tc>
        <w:tc>
          <w:tcPr>
            <w:tcW w:w="952" w:type="dxa"/>
          </w:tcPr>
          <w:p w14:paraId="736FE6E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26F98DA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4EBBE47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19383D7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(157)</w:t>
            </w:r>
          </w:p>
        </w:tc>
      </w:tr>
      <w:tr w:rsidR="00024787" w:rsidRPr="00024787" w14:paraId="52C2F0DC"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bottom w:val="single" w:sz="6" w:space="0" w:color="auto"/>
            </w:tcBorders>
          </w:tcPr>
          <w:p w14:paraId="52DF7B94" w14:textId="77777777" w:rsidR="005D339F" w:rsidRPr="00024787" w:rsidRDefault="005D339F" w:rsidP="00024787">
            <w:pPr>
              <w:spacing w:before="0"/>
              <w:rPr>
                <w:sz w:val="15"/>
                <w:szCs w:val="15"/>
              </w:rPr>
            </w:pPr>
            <w:r w:rsidRPr="00024787">
              <w:rPr>
                <w:sz w:val="15"/>
                <w:szCs w:val="15"/>
              </w:rPr>
              <w:t>Transactions with owners in their capacity as owners</w:t>
            </w:r>
          </w:p>
        </w:tc>
        <w:tc>
          <w:tcPr>
            <w:tcW w:w="658" w:type="dxa"/>
            <w:tcBorders>
              <w:bottom w:val="single" w:sz="6" w:space="0" w:color="auto"/>
            </w:tcBorders>
          </w:tcPr>
          <w:p w14:paraId="6294CE9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952" w:type="dxa"/>
            <w:tcBorders>
              <w:bottom w:val="single" w:sz="6" w:space="0" w:color="auto"/>
            </w:tcBorders>
          </w:tcPr>
          <w:p w14:paraId="01C6009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7 965</w:t>
            </w:r>
          </w:p>
        </w:tc>
        <w:tc>
          <w:tcPr>
            <w:tcW w:w="1231" w:type="dxa"/>
            <w:tcBorders>
              <w:bottom w:val="single" w:sz="6" w:space="0" w:color="auto"/>
            </w:tcBorders>
          </w:tcPr>
          <w:p w14:paraId="2411B89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Borders>
              <w:bottom w:val="single" w:sz="6" w:space="0" w:color="auto"/>
            </w:tcBorders>
          </w:tcPr>
          <w:p w14:paraId="56E3258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Borders>
              <w:bottom w:val="single" w:sz="6" w:space="0" w:color="auto"/>
            </w:tcBorders>
          </w:tcPr>
          <w:p w14:paraId="63230D5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7 965</w:t>
            </w:r>
          </w:p>
        </w:tc>
      </w:tr>
      <w:tr w:rsidR="00024787" w:rsidRPr="00024787" w14:paraId="0A0A56DB"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bottom w:val="single" w:sz="6" w:space="0" w:color="auto"/>
            </w:tcBorders>
          </w:tcPr>
          <w:p w14:paraId="1B9EFB3F" w14:textId="77777777" w:rsidR="005D339F" w:rsidRPr="00024787" w:rsidRDefault="005D339F" w:rsidP="00024787">
            <w:pPr>
              <w:spacing w:before="0"/>
              <w:rPr>
                <w:sz w:val="15"/>
                <w:szCs w:val="15"/>
              </w:rPr>
            </w:pPr>
            <w:r w:rsidRPr="00024787">
              <w:rPr>
                <w:b/>
                <w:sz w:val="15"/>
                <w:szCs w:val="15"/>
              </w:rPr>
              <w:t>Total equity as at 30 June 2025</w:t>
            </w:r>
          </w:p>
        </w:tc>
        <w:tc>
          <w:tcPr>
            <w:tcW w:w="658" w:type="dxa"/>
            <w:tcBorders>
              <w:top w:val="single" w:sz="6" w:space="0" w:color="auto"/>
              <w:bottom w:val="single" w:sz="6" w:space="0" w:color="auto"/>
            </w:tcBorders>
          </w:tcPr>
          <w:p w14:paraId="3D1952C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(37 596)</w:t>
            </w:r>
          </w:p>
        </w:tc>
        <w:tc>
          <w:tcPr>
            <w:tcW w:w="952" w:type="dxa"/>
            <w:tcBorders>
              <w:top w:val="single" w:sz="6" w:space="0" w:color="auto"/>
              <w:bottom w:val="single" w:sz="6" w:space="0" w:color="auto"/>
            </w:tcBorders>
          </w:tcPr>
          <w:p w14:paraId="0F88E97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90 426</w:t>
            </w:r>
          </w:p>
        </w:tc>
        <w:tc>
          <w:tcPr>
            <w:tcW w:w="1231" w:type="dxa"/>
            <w:tcBorders>
              <w:top w:val="single" w:sz="6" w:space="0" w:color="auto"/>
              <w:bottom w:val="single" w:sz="6" w:space="0" w:color="auto"/>
            </w:tcBorders>
          </w:tcPr>
          <w:p w14:paraId="12725AC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33 326</w:t>
            </w:r>
          </w:p>
        </w:tc>
        <w:tc>
          <w:tcPr>
            <w:tcW w:w="686" w:type="dxa"/>
            <w:tcBorders>
              <w:top w:val="single" w:sz="6" w:space="0" w:color="auto"/>
              <w:bottom w:val="single" w:sz="6" w:space="0" w:color="auto"/>
            </w:tcBorders>
          </w:tcPr>
          <w:p w14:paraId="481102C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857</w:t>
            </w:r>
          </w:p>
        </w:tc>
        <w:tc>
          <w:tcPr>
            <w:tcW w:w="711" w:type="dxa"/>
            <w:tcBorders>
              <w:top w:val="single" w:sz="6" w:space="0" w:color="auto"/>
              <w:bottom w:val="single" w:sz="6" w:space="0" w:color="auto"/>
            </w:tcBorders>
          </w:tcPr>
          <w:p w14:paraId="4FA50DA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87 012</w:t>
            </w:r>
          </w:p>
        </w:tc>
      </w:tr>
      <w:tr w:rsidR="00024787" w:rsidRPr="00024787" w14:paraId="25D4D3C1"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tcBorders>
          </w:tcPr>
          <w:p w14:paraId="49B2BB17" w14:textId="77777777" w:rsidR="005D339F" w:rsidRPr="00024787" w:rsidRDefault="005D339F" w:rsidP="00024787">
            <w:pPr>
              <w:spacing w:before="0"/>
              <w:rPr>
                <w:sz w:val="15"/>
                <w:szCs w:val="15"/>
              </w:rPr>
            </w:pPr>
            <w:r w:rsidRPr="00024787">
              <w:rPr>
                <w:b/>
                <w:sz w:val="15"/>
                <w:szCs w:val="15"/>
              </w:rPr>
              <w:t>2024</w:t>
            </w:r>
            <w:r w:rsidRPr="00024787">
              <w:rPr>
                <w:b/>
                <w:sz w:val="15"/>
                <w:szCs w:val="15"/>
              </w:rPr>
              <w:noBreakHyphen/>
              <w:t>25 revised</w:t>
            </w:r>
          </w:p>
        </w:tc>
        <w:tc>
          <w:tcPr>
            <w:tcW w:w="658" w:type="dxa"/>
            <w:tcBorders>
              <w:top w:val="single" w:sz="6" w:space="0" w:color="auto"/>
            </w:tcBorders>
          </w:tcPr>
          <w:p w14:paraId="68C04FA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952" w:type="dxa"/>
            <w:tcBorders>
              <w:top w:val="single" w:sz="6" w:space="0" w:color="auto"/>
            </w:tcBorders>
          </w:tcPr>
          <w:p w14:paraId="34BC7B8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1231" w:type="dxa"/>
            <w:tcBorders>
              <w:top w:val="single" w:sz="6" w:space="0" w:color="auto"/>
            </w:tcBorders>
          </w:tcPr>
          <w:p w14:paraId="3DDBDD4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686" w:type="dxa"/>
            <w:tcBorders>
              <w:top w:val="single" w:sz="6" w:space="0" w:color="auto"/>
            </w:tcBorders>
          </w:tcPr>
          <w:p w14:paraId="36C4FAE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711" w:type="dxa"/>
            <w:tcBorders>
              <w:top w:val="single" w:sz="6" w:space="0" w:color="auto"/>
            </w:tcBorders>
          </w:tcPr>
          <w:p w14:paraId="3DDB6C4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r>
      <w:tr w:rsidR="005D339F" w:rsidRPr="00024787" w14:paraId="2285DD23"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70CC5A4B" w14:textId="77777777" w:rsidR="005D339F" w:rsidRPr="00024787" w:rsidRDefault="005D339F" w:rsidP="00024787">
            <w:pPr>
              <w:spacing w:before="0"/>
              <w:rPr>
                <w:sz w:val="15"/>
                <w:szCs w:val="15"/>
              </w:rPr>
            </w:pPr>
            <w:r w:rsidRPr="00024787">
              <w:rPr>
                <w:sz w:val="15"/>
                <w:szCs w:val="15"/>
              </w:rPr>
              <w:t>Balance at 1 July 2024</w:t>
            </w:r>
          </w:p>
        </w:tc>
        <w:tc>
          <w:tcPr>
            <w:tcW w:w="658" w:type="dxa"/>
          </w:tcPr>
          <w:p w14:paraId="6AB0DE8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(33 520)</w:t>
            </w:r>
          </w:p>
        </w:tc>
        <w:tc>
          <w:tcPr>
            <w:tcW w:w="952" w:type="dxa"/>
          </w:tcPr>
          <w:p w14:paraId="1E553DC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82 246</w:t>
            </w:r>
          </w:p>
        </w:tc>
        <w:tc>
          <w:tcPr>
            <w:tcW w:w="1231" w:type="dxa"/>
          </w:tcPr>
          <w:p w14:paraId="472ED9B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33 475</w:t>
            </w:r>
          </w:p>
        </w:tc>
        <w:tc>
          <w:tcPr>
            <w:tcW w:w="686" w:type="dxa"/>
          </w:tcPr>
          <w:p w14:paraId="6B645CE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843</w:t>
            </w:r>
          </w:p>
        </w:tc>
        <w:tc>
          <w:tcPr>
            <w:tcW w:w="711" w:type="dxa"/>
          </w:tcPr>
          <w:p w14:paraId="044D3F6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83 045</w:t>
            </w:r>
          </w:p>
        </w:tc>
      </w:tr>
      <w:tr w:rsidR="005D339F" w:rsidRPr="00024787" w14:paraId="28F0DE06"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04813A38" w14:textId="77777777" w:rsidR="005D339F" w:rsidRPr="00024787" w:rsidRDefault="005D339F" w:rsidP="00024787">
            <w:pPr>
              <w:spacing w:before="0"/>
              <w:rPr>
                <w:sz w:val="15"/>
                <w:szCs w:val="15"/>
              </w:rPr>
            </w:pPr>
            <w:r w:rsidRPr="00024787">
              <w:rPr>
                <w:sz w:val="15"/>
                <w:szCs w:val="15"/>
              </w:rPr>
              <w:t>Opening balance adjustment</w:t>
            </w:r>
            <w:r w:rsidRPr="00024787">
              <w:rPr>
                <w:sz w:val="15"/>
                <w:szCs w:val="15"/>
                <w:vertAlign w:val="superscript"/>
              </w:rPr>
              <w:t xml:space="preserve"> (c)(d)</w:t>
            </w:r>
          </w:p>
        </w:tc>
        <w:tc>
          <w:tcPr>
            <w:tcW w:w="658" w:type="dxa"/>
          </w:tcPr>
          <w:p w14:paraId="6CA33A2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7</w:t>
            </w:r>
          </w:p>
        </w:tc>
        <w:tc>
          <w:tcPr>
            <w:tcW w:w="952" w:type="dxa"/>
          </w:tcPr>
          <w:p w14:paraId="4CFAD2C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214</w:t>
            </w:r>
          </w:p>
        </w:tc>
        <w:tc>
          <w:tcPr>
            <w:tcW w:w="1231" w:type="dxa"/>
          </w:tcPr>
          <w:p w14:paraId="4D7498E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(211)</w:t>
            </w:r>
          </w:p>
        </w:tc>
        <w:tc>
          <w:tcPr>
            <w:tcW w:w="686" w:type="dxa"/>
          </w:tcPr>
          <w:p w14:paraId="0D1B68E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6F94579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10</w:t>
            </w:r>
          </w:p>
        </w:tc>
      </w:tr>
      <w:tr w:rsidR="005D339F" w:rsidRPr="00024787" w14:paraId="1BEA0125"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3B825F6D" w14:textId="77777777" w:rsidR="005D339F" w:rsidRPr="00024787" w:rsidRDefault="005D339F" w:rsidP="00024787">
            <w:pPr>
              <w:spacing w:before="0"/>
              <w:rPr>
                <w:sz w:val="15"/>
                <w:szCs w:val="15"/>
              </w:rPr>
            </w:pPr>
            <w:r w:rsidRPr="00024787">
              <w:rPr>
                <w:b/>
                <w:sz w:val="15"/>
                <w:szCs w:val="15"/>
              </w:rPr>
              <w:t>Restated balance at 1 July 2024</w:t>
            </w:r>
          </w:p>
        </w:tc>
        <w:tc>
          <w:tcPr>
            <w:tcW w:w="658" w:type="dxa"/>
          </w:tcPr>
          <w:p w14:paraId="1393AAD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(33 512)</w:t>
            </w:r>
          </w:p>
        </w:tc>
        <w:tc>
          <w:tcPr>
            <w:tcW w:w="952" w:type="dxa"/>
          </w:tcPr>
          <w:p w14:paraId="230EF16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82 460</w:t>
            </w:r>
          </w:p>
        </w:tc>
        <w:tc>
          <w:tcPr>
            <w:tcW w:w="1231" w:type="dxa"/>
          </w:tcPr>
          <w:p w14:paraId="0F508FD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33 264</w:t>
            </w:r>
          </w:p>
        </w:tc>
        <w:tc>
          <w:tcPr>
            <w:tcW w:w="686" w:type="dxa"/>
          </w:tcPr>
          <w:p w14:paraId="20AB934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843</w:t>
            </w:r>
          </w:p>
        </w:tc>
        <w:tc>
          <w:tcPr>
            <w:tcW w:w="711" w:type="dxa"/>
          </w:tcPr>
          <w:p w14:paraId="713F13D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83 055</w:t>
            </w:r>
          </w:p>
        </w:tc>
      </w:tr>
      <w:tr w:rsidR="005D339F" w:rsidRPr="00024787" w14:paraId="18DBC647"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7B3AA5A8" w14:textId="77777777" w:rsidR="005D339F" w:rsidRPr="00024787" w:rsidRDefault="005D339F" w:rsidP="00024787">
            <w:pPr>
              <w:spacing w:before="0"/>
              <w:rPr>
                <w:sz w:val="15"/>
                <w:szCs w:val="15"/>
              </w:rPr>
            </w:pPr>
            <w:r w:rsidRPr="00024787">
              <w:rPr>
                <w:sz w:val="15"/>
                <w:szCs w:val="15"/>
              </w:rPr>
              <w:t>Net result for the year</w:t>
            </w:r>
          </w:p>
        </w:tc>
        <w:tc>
          <w:tcPr>
            <w:tcW w:w="658" w:type="dxa"/>
          </w:tcPr>
          <w:p w14:paraId="13F2073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(4 599)</w:t>
            </w:r>
          </w:p>
        </w:tc>
        <w:tc>
          <w:tcPr>
            <w:tcW w:w="952" w:type="dxa"/>
          </w:tcPr>
          <w:p w14:paraId="470C3D2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3B93998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2876848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65C6DB6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(4 599)</w:t>
            </w:r>
          </w:p>
        </w:tc>
      </w:tr>
      <w:tr w:rsidR="005D339F" w:rsidRPr="00024787" w14:paraId="10034248"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42524CB0" w14:textId="77777777" w:rsidR="005D339F" w:rsidRPr="00024787" w:rsidRDefault="005D339F" w:rsidP="00024787">
            <w:pPr>
              <w:spacing w:before="0"/>
              <w:rPr>
                <w:sz w:val="15"/>
                <w:szCs w:val="15"/>
              </w:rPr>
            </w:pPr>
            <w:r w:rsidRPr="00024787">
              <w:rPr>
                <w:sz w:val="15"/>
                <w:szCs w:val="15"/>
              </w:rPr>
              <w:t>Other comprehensive income for the year</w:t>
            </w:r>
          </w:p>
        </w:tc>
        <w:tc>
          <w:tcPr>
            <w:tcW w:w="658" w:type="dxa"/>
          </w:tcPr>
          <w:p w14:paraId="6A54CCE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w:t>
            </w:r>
          </w:p>
        </w:tc>
        <w:tc>
          <w:tcPr>
            <w:tcW w:w="952" w:type="dxa"/>
          </w:tcPr>
          <w:p w14:paraId="5246D43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0248820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w:t>
            </w:r>
          </w:p>
        </w:tc>
        <w:tc>
          <w:tcPr>
            <w:tcW w:w="686" w:type="dxa"/>
          </w:tcPr>
          <w:p w14:paraId="32B0E89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w:t>
            </w:r>
          </w:p>
        </w:tc>
        <w:tc>
          <w:tcPr>
            <w:tcW w:w="711" w:type="dxa"/>
          </w:tcPr>
          <w:p w14:paraId="47D6A1A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w:t>
            </w:r>
          </w:p>
        </w:tc>
      </w:tr>
      <w:tr w:rsidR="005D339F" w:rsidRPr="00024787" w14:paraId="42B1A5D0"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68127EC0" w14:textId="77777777" w:rsidR="005D339F" w:rsidRPr="00024787" w:rsidRDefault="005D339F" w:rsidP="00024787">
            <w:pPr>
              <w:spacing w:before="0"/>
              <w:rPr>
                <w:sz w:val="15"/>
                <w:szCs w:val="15"/>
              </w:rPr>
            </w:pPr>
            <w:r w:rsidRPr="00024787">
              <w:rPr>
                <w:sz w:val="15"/>
                <w:szCs w:val="15"/>
              </w:rPr>
              <w:t>Dividends paid</w:t>
            </w:r>
          </w:p>
        </w:tc>
        <w:tc>
          <w:tcPr>
            <w:tcW w:w="658" w:type="dxa"/>
          </w:tcPr>
          <w:p w14:paraId="2895673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(157)</w:t>
            </w:r>
          </w:p>
        </w:tc>
        <w:tc>
          <w:tcPr>
            <w:tcW w:w="952" w:type="dxa"/>
          </w:tcPr>
          <w:p w14:paraId="06A660B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37D7E50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707A140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165E821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(157)</w:t>
            </w:r>
          </w:p>
        </w:tc>
      </w:tr>
      <w:tr w:rsidR="00024787" w:rsidRPr="00024787" w14:paraId="71C0AB0E"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bottom w:val="single" w:sz="6" w:space="0" w:color="auto"/>
            </w:tcBorders>
          </w:tcPr>
          <w:p w14:paraId="34330743" w14:textId="77777777" w:rsidR="005D339F" w:rsidRPr="00024787" w:rsidRDefault="005D339F" w:rsidP="00024787">
            <w:pPr>
              <w:spacing w:before="0"/>
              <w:rPr>
                <w:sz w:val="15"/>
                <w:szCs w:val="15"/>
              </w:rPr>
            </w:pPr>
            <w:r w:rsidRPr="00024787">
              <w:rPr>
                <w:sz w:val="15"/>
                <w:szCs w:val="15"/>
              </w:rPr>
              <w:t>Transactions with owners in their capacity as owners</w:t>
            </w:r>
          </w:p>
        </w:tc>
        <w:tc>
          <w:tcPr>
            <w:tcW w:w="658" w:type="dxa"/>
            <w:tcBorders>
              <w:bottom w:val="single" w:sz="6" w:space="0" w:color="auto"/>
            </w:tcBorders>
          </w:tcPr>
          <w:p w14:paraId="24AA61F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952" w:type="dxa"/>
            <w:tcBorders>
              <w:bottom w:val="single" w:sz="6" w:space="0" w:color="auto"/>
            </w:tcBorders>
          </w:tcPr>
          <w:p w14:paraId="377E202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9 770</w:t>
            </w:r>
          </w:p>
        </w:tc>
        <w:tc>
          <w:tcPr>
            <w:tcW w:w="1231" w:type="dxa"/>
            <w:tcBorders>
              <w:bottom w:val="single" w:sz="6" w:space="0" w:color="auto"/>
            </w:tcBorders>
          </w:tcPr>
          <w:p w14:paraId="7CA4013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Borders>
              <w:bottom w:val="single" w:sz="6" w:space="0" w:color="auto"/>
            </w:tcBorders>
          </w:tcPr>
          <w:p w14:paraId="3AD033D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Borders>
              <w:bottom w:val="single" w:sz="6" w:space="0" w:color="auto"/>
            </w:tcBorders>
          </w:tcPr>
          <w:p w14:paraId="6060844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9 770</w:t>
            </w:r>
          </w:p>
        </w:tc>
      </w:tr>
      <w:tr w:rsidR="00024787" w:rsidRPr="00024787" w14:paraId="4B4409AF"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bottom w:val="single" w:sz="6" w:space="0" w:color="auto"/>
            </w:tcBorders>
          </w:tcPr>
          <w:p w14:paraId="076F288F" w14:textId="77777777" w:rsidR="005D339F" w:rsidRPr="00024787" w:rsidRDefault="005D339F" w:rsidP="00024787">
            <w:pPr>
              <w:spacing w:before="0"/>
              <w:rPr>
                <w:sz w:val="15"/>
                <w:szCs w:val="15"/>
              </w:rPr>
            </w:pPr>
            <w:r w:rsidRPr="00024787">
              <w:rPr>
                <w:b/>
                <w:sz w:val="15"/>
                <w:szCs w:val="15"/>
              </w:rPr>
              <w:t>Total equity as at 30 June 2025</w:t>
            </w:r>
          </w:p>
        </w:tc>
        <w:tc>
          <w:tcPr>
            <w:tcW w:w="658" w:type="dxa"/>
            <w:tcBorders>
              <w:top w:val="single" w:sz="6" w:space="0" w:color="auto"/>
              <w:bottom w:val="single" w:sz="6" w:space="0" w:color="auto"/>
            </w:tcBorders>
          </w:tcPr>
          <w:p w14:paraId="4E739BC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(38 264)</w:t>
            </w:r>
          </w:p>
        </w:tc>
        <w:tc>
          <w:tcPr>
            <w:tcW w:w="952" w:type="dxa"/>
            <w:tcBorders>
              <w:top w:val="single" w:sz="6" w:space="0" w:color="auto"/>
              <w:bottom w:val="single" w:sz="6" w:space="0" w:color="auto"/>
            </w:tcBorders>
          </w:tcPr>
          <w:p w14:paraId="442C63C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92 230</w:t>
            </w:r>
          </w:p>
        </w:tc>
        <w:tc>
          <w:tcPr>
            <w:tcW w:w="1231" w:type="dxa"/>
            <w:tcBorders>
              <w:top w:val="single" w:sz="6" w:space="0" w:color="auto"/>
              <w:bottom w:val="single" w:sz="6" w:space="0" w:color="auto"/>
            </w:tcBorders>
          </w:tcPr>
          <w:p w14:paraId="75FDC45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33 272</w:t>
            </w:r>
          </w:p>
        </w:tc>
        <w:tc>
          <w:tcPr>
            <w:tcW w:w="686" w:type="dxa"/>
            <w:tcBorders>
              <w:top w:val="single" w:sz="6" w:space="0" w:color="auto"/>
              <w:bottom w:val="single" w:sz="6" w:space="0" w:color="auto"/>
            </w:tcBorders>
          </w:tcPr>
          <w:p w14:paraId="2362ADD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838</w:t>
            </w:r>
          </w:p>
        </w:tc>
        <w:tc>
          <w:tcPr>
            <w:tcW w:w="711" w:type="dxa"/>
            <w:tcBorders>
              <w:top w:val="single" w:sz="6" w:space="0" w:color="auto"/>
              <w:bottom w:val="single" w:sz="6" w:space="0" w:color="auto"/>
            </w:tcBorders>
          </w:tcPr>
          <w:p w14:paraId="1BB35EA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88 076</w:t>
            </w:r>
          </w:p>
        </w:tc>
      </w:tr>
      <w:tr w:rsidR="00024787" w:rsidRPr="00024787" w14:paraId="7D3F5115"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tcBorders>
          </w:tcPr>
          <w:p w14:paraId="0C345B90" w14:textId="77777777" w:rsidR="005D339F" w:rsidRPr="00024787" w:rsidRDefault="005D339F" w:rsidP="00024787">
            <w:pPr>
              <w:spacing w:before="0"/>
              <w:rPr>
                <w:sz w:val="15"/>
                <w:szCs w:val="15"/>
              </w:rPr>
            </w:pPr>
            <w:r w:rsidRPr="00024787">
              <w:rPr>
                <w:b/>
                <w:sz w:val="15"/>
                <w:szCs w:val="15"/>
              </w:rPr>
              <w:t>2025</w:t>
            </w:r>
            <w:r w:rsidRPr="00024787">
              <w:rPr>
                <w:b/>
                <w:sz w:val="15"/>
                <w:szCs w:val="15"/>
              </w:rPr>
              <w:noBreakHyphen/>
              <w:t>26 estimate</w:t>
            </w:r>
          </w:p>
        </w:tc>
        <w:tc>
          <w:tcPr>
            <w:tcW w:w="658" w:type="dxa"/>
            <w:tcBorders>
              <w:top w:val="single" w:sz="6" w:space="0" w:color="auto"/>
            </w:tcBorders>
          </w:tcPr>
          <w:p w14:paraId="4FA966B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952" w:type="dxa"/>
            <w:tcBorders>
              <w:top w:val="single" w:sz="6" w:space="0" w:color="auto"/>
            </w:tcBorders>
          </w:tcPr>
          <w:p w14:paraId="30D7998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1231" w:type="dxa"/>
            <w:tcBorders>
              <w:top w:val="single" w:sz="6" w:space="0" w:color="auto"/>
            </w:tcBorders>
          </w:tcPr>
          <w:p w14:paraId="5A28EE2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686" w:type="dxa"/>
            <w:tcBorders>
              <w:top w:val="single" w:sz="6" w:space="0" w:color="auto"/>
            </w:tcBorders>
          </w:tcPr>
          <w:p w14:paraId="6F4678B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711" w:type="dxa"/>
            <w:tcBorders>
              <w:top w:val="single" w:sz="6" w:space="0" w:color="auto"/>
            </w:tcBorders>
          </w:tcPr>
          <w:p w14:paraId="7D92A13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r>
      <w:tr w:rsidR="005D339F" w:rsidRPr="00024787" w14:paraId="76D0803A"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011682F3" w14:textId="77777777" w:rsidR="005D339F" w:rsidRPr="00024787" w:rsidRDefault="005D339F" w:rsidP="00024787">
            <w:pPr>
              <w:spacing w:before="0"/>
              <w:rPr>
                <w:sz w:val="15"/>
                <w:szCs w:val="15"/>
              </w:rPr>
            </w:pPr>
            <w:r w:rsidRPr="00024787">
              <w:rPr>
                <w:sz w:val="15"/>
                <w:szCs w:val="15"/>
              </w:rPr>
              <w:t>Balance at 1 July 2025</w:t>
            </w:r>
          </w:p>
        </w:tc>
        <w:tc>
          <w:tcPr>
            <w:tcW w:w="658" w:type="dxa"/>
          </w:tcPr>
          <w:p w14:paraId="57AA628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(38 264)</w:t>
            </w:r>
          </w:p>
        </w:tc>
        <w:tc>
          <w:tcPr>
            <w:tcW w:w="952" w:type="dxa"/>
          </w:tcPr>
          <w:p w14:paraId="3E93462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92 230</w:t>
            </w:r>
          </w:p>
        </w:tc>
        <w:tc>
          <w:tcPr>
            <w:tcW w:w="1231" w:type="dxa"/>
          </w:tcPr>
          <w:p w14:paraId="32F78C2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33 272</w:t>
            </w:r>
          </w:p>
        </w:tc>
        <w:tc>
          <w:tcPr>
            <w:tcW w:w="686" w:type="dxa"/>
          </w:tcPr>
          <w:p w14:paraId="5DC7A3C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838</w:t>
            </w:r>
          </w:p>
        </w:tc>
        <w:tc>
          <w:tcPr>
            <w:tcW w:w="711" w:type="dxa"/>
          </w:tcPr>
          <w:p w14:paraId="4EE308A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88 076</w:t>
            </w:r>
          </w:p>
        </w:tc>
      </w:tr>
      <w:tr w:rsidR="005D339F" w:rsidRPr="00024787" w14:paraId="3C12F539"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37D437CB" w14:textId="77777777" w:rsidR="005D339F" w:rsidRPr="00024787" w:rsidRDefault="005D339F" w:rsidP="00024787">
            <w:pPr>
              <w:spacing w:before="0"/>
              <w:rPr>
                <w:sz w:val="15"/>
                <w:szCs w:val="15"/>
              </w:rPr>
            </w:pPr>
            <w:r w:rsidRPr="00024787">
              <w:rPr>
                <w:sz w:val="15"/>
                <w:szCs w:val="15"/>
              </w:rPr>
              <w:t>Net result for the year</w:t>
            </w:r>
          </w:p>
        </w:tc>
        <w:tc>
          <w:tcPr>
            <w:tcW w:w="658" w:type="dxa"/>
          </w:tcPr>
          <w:p w14:paraId="636D310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(19 292)</w:t>
            </w:r>
          </w:p>
        </w:tc>
        <w:tc>
          <w:tcPr>
            <w:tcW w:w="952" w:type="dxa"/>
          </w:tcPr>
          <w:p w14:paraId="6EFDA71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13FEF76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3765846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4C96464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(19 292)</w:t>
            </w:r>
          </w:p>
        </w:tc>
      </w:tr>
      <w:tr w:rsidR="005D339F" w:rsidRPr="00024787" w14:paraId="690AF5DA"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3E5666F8" w14:textId="77777777" w:rsidR="005D339F" w:rsidRPr="00024787" w:rsidRDefault="005D339F" w:rsidP="00024787">
            <w:pPr>
              <w:spacing w:before="0"/>
              <w:rPr>
                <w:sz w:val="15"/>
                <w:szCs w:val="15"/>
              </w:rPr>
            </w:pPr>
            <w:r w:rsidRPr="00024787">
              <w:rPr>
                <w:sz w:val="15"/>
                <w:szCs w:val="15"/>
              </w:rPr>
              <w:t>Other comprehensive income for the year</w:t>
            </w:r>
          </w:p>
        </w:tc>
        <w:tc>
          <w:tcPr>
            <w:tcW w:w="658" w:type="dxa"/>
          </w:tcPr>
          <w:p w14:paraId="13B91B1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(12)</w:t>
            </w:r>
          </w:p>
        </w:tc>
        <w:tc>
          <w:tcPr>
            <w:tcW w:w="952" w:type="dxa"/>
          </w:tcPr>
          <w:p w14:paraId="3F507FB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0E408B3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638</w:t>
            </w:r>
          </w:p>
        </w:tc>
        <w:tc>
          <w:tcPr>
            <w:tcW w:w="686" w:type="dxa"/>
          </w:tcPr>
          <w:p w14:paraId="5D28860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7</w:t>
            </w:r>
          </w:p>
        </w:tc>
        <w:tc>
          <w:tcPr>
            <w:tcW w:w="711" w:type="dxa"/>
          </w:tcPr>
          <w:p w14:paraId="76A9BED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633</w:t>
            </w:r>
          </w:p>
        </w:tc>
      </w:tr>
      <w:tr w:rsidR="005D339F" w:rsidRPr="00024787" w14:paraId="36607A3F"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64868B6D" w14:textId="77777777" w:rsidR="005D339F" w:rsidRPr="00024787" w:rsidRDefault="005D339F" w:rsidP="00024787">
            <w:pPr>
              <w:spacing w:before="0"/>
              <w:rPr>
                <w:sz w:val="15"/>
                <w:szCs w:val="15"/>
              </w:rPr>
            </w:pPr>
            <w:r w:rsidRPr="00024787">
              <w:rPr>
                <w:sz w:val="15"/>
                <w:szCs w:val="15"/>
              </w:rPr>
              <w:t>Dividends paid</w:t>
            </w:r>
          </w:p>
        </w:tc>
        <w:tc>
          <w:tcPr>
            <w:tcW w:w="658" w:type="dxa"/>
          </w:tcPr>
          <w:p w14:paraId="189FCFA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(186)</w:t>
            </w:r>
          </w:p>
        </w:tc>
        <w:tc>
          <w:tcPr>
            <w:tcW w:w="952" w:type="dxa"/>
          </w:tcPr>
          <w:p w14:paraId="45ED371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3866706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4CF1ED9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7835789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(186)</w:t>
            </w:r>
          </w:p>
        </w:tc>
      </w:tr>
      <w:tr w:rsidR="00024787" w:rsidRPr="00024787" w14:paraId="5ED7BBAC"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bottom w:val="single" w:sz="6" w:space="0" w:color="auto"/>
            </w:tcBorders>
          </w:tcPr>
          <w:p w14:paraId="2E3E95AF" w14:textId="77777777" w:rsidR="005D339F" w:rsidRPr="00024787" w:rsidRDefault="005D339F" w:rsidP="00024787">
            <w:pPr>
              <w:spacing w:before="0"/>
              <w:rPr>
                <w:sz w:val="15"/>
                <w:szCs w:val="15"/>
              </w:rPr>
            </w:pPr>
            <w:r w:rsidRPr="00024787">
              <w:rPr>
                <w:sz w:val="15"/>
                <w:szCs w:val="15"/>
              </w:rPr>
              <w:t>Transactions with owners in their capacity as owners</w:t>
            </w:r>
          </w:p>
        </w:tc>
        <w:tc>
          <w:tcPr>
            <w:tcW w:w="658" w:type="dxa"/>
            <w:tcBorders>
              <w:bottom w:val="single" w:sz="6" w:space="0" w:color="auto"/>
            </w:tcBorders>
          </w:tcPr>
          <w:p w14:paraId="3201296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952" w:type="dxa"/>
            <w:tcBorders>
              <w:bottom w:val="single" w:sz="6" w:space="0" w:color="auto"/>
            </w:tcBorders>
          </w:tcPr>
          <w:p w14:paraId="719E0B3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24 053</w:t>
            </w:r>
          </w:p>
        </w:tc>
        <w:tc>
          <w:tcPr>
            <w:tcW w:w="1231" w:type="dxa"/>
            <w:tcBorders>
              <w:bottom w:val="single" w:sz="6" w:space="0" w:color="auto"/>
            </w:tcBorders>
          </w:tcPr>
          <w:p w14:paraId="5720282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Borders>
              <w:bottom w:val="single" w:sz="6" w:space="0" w:color="auto"/>
            </w:tcBorders>
          </w:tcPr>
          <w:p w14:paraId="07B2040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Borders>
              <w:bottom w:val="single" w:sz="6" w:space="0" w:color="auto"/>
            </w:tcBorders>
          </w:tcPr>
          <w:p w14:paraId="5350D3B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24 053</w:t>
            </w:r>
          </w:p>
        </w:tc>
      </w:tr>
      <w:tr w:rsidR="00024787" w:rsidRPr="00024787" w14:paraId="4508D9D7"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bottom w:val="single" w:sz="6" w:space="0" w:color="auto"/>
            </w:tcBorders>
          </w:tcPr>
          <w:p w14:paraId="1547904D" w14:textId="77777777" w:rsidR="005D339F" w:rsidRPr="00024787" w:rsidRDefault="005D339F" w:rsidP="00024787">
            <w:pPr>
              <w:spacing w:before="0"/>
              <w:rPr>
                <w:sz w:val="15"/>
                <w:szCs w:val="15"/>
              </w:rPr>
            </w:pPr>
            <w:r w:rsidRPr="00024787">
              <w:rPr>
                <w:b/>
                <w:sz w:val="15"/>
                <w:szCs w:val="15"/>
              </w:rPr>
              <w:t>Total equity as at 30 June 2026</w:t>
            </w:r>
          </w:p>
        </w:tc>
        <w:tc>
          <w:tcPr>
            <w:tcW w:w="658" w:type="dxa"/>
            <w:tcBorders>
              <w:top w:val="single" w:sz="6" w:space="0" w:color="auto"/>
              <w:bottom w:val="single" w:sz="6" w:space="0" w:color="auto"/>
            </w:tcBorders>
          </w:tcPr>
          <w:p w14:paraId="7577932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(57 755)</w:t>
            </w:r>
          </w:p>
        </w:tc>
        <w:tc>
          <w:tcPr>
            <w:tcW w:w="952" w:type="dxa"/>
            <w:tcBorders>
              <w:top w:val="single" w:sz="6" w:space="0" w:color="auto"/>
              <w:bottom w:val="single" w:sz="6" w:space="0" w:color="auto"/>
            </w:tcBorders>
          </w:tcPr>
          <w:p w14:paraId="0754BCA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116 283</w:t>
            </w:r>
          </w:p>
        </w:tc>
        <w:tc>
          <w:tcPr>
            <w:tcW w:w="1231" w:type="dxa"/>
            <w:tcBorders>
              <w:top w:val="single" w:sz="6" w:space="0" w:color="auto"/>
              <w:bottom w:val="single" w:sz="6" w:space="0" w:color="auto"/>
            </w:tcBorders>
          </w:tcPr>
          <w:p w14:paraId="58D4F30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33 910</w:t>
            </w:r>
          </w:p>
        </w:tc>
        <w:tc>
          <w:tcPr>
            <w:tcW w:w="686" w:type="dxa"/>
            <w:tcBorders>
              <w:top w:val="single" w:sz="6" w:space="0" w:color="auto"/>
              <w:bottom w:val="single" w:sz="6" w:space="0" w:color="auto"/>
            </w:tcBorders>
          </w:tcPr>
          <w:p w14:paraId="7C7B65F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845</w:t>
            </w:r>
          </w:p>
        </w:tc>
        <w:tc>
          <w:tcPr>
            <w:tcW w:w="711" w:type="dxa"/>
            <w:tcBorders>
              <w:top w:val="single" w:sz="6" w:space="0" w:color="auto"/>
              <w:bottom w:val="single" w:sz="6" w:space="0" w:color="auto"/>
            </w:tcBorders>
          </w:tcPr>
          <w:p w14:paraId="2504D26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93 284</w:t>
            </w:r>
          </w:p>
        </w:tc>
      </w:tr>
      <w:tr w:rsidR="00024787" w:rsidRPr="00024787" w14:paraId="72F19888"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tcBorders>
          </w:tcPr>
          <w:p w14:paraId="7F99E2D2" w14:textId="77777777" w:rsidR="005D339F" w:rsidRPr="00024787" w:rsidRDefault="005D339F" w:rsidP="00024787">
            <w:pPr>
              <w:spacing w:before="0"/>
              <w:rPr>
                <w:sz w:val="15"/>
                <w:szCs w:val="15"/>
              </w:rPr>
            </w:pPr>
            <w:r w:rsidRPr="00024787">
              <w:rPr>
                <w:b/>
                <w:sz w:val="15"/>
                <w:szCs w:val="15"/>
              </w:rPr>
              <w:t>2026</w:t>
            </w:r>
            <w:r w:rsidRPr="00024787">
              <w:rPr>
                <w:b/>
                <w:sz w:val="15"/>
                <w:szCs w:val="15"/>
              </w:rPr>
              <w:noBreakHyphen/>
              <w:t>27 estimate</w:t>
            </w:r>
          </w:p>
        </w:tc>
        <w:tc>
          <w:tcPr>
            <w:tcW w:w="658" w:type="dxa"/>
            <w:tcBorders>
              <w:top w:val="single" w:sz="6" w:space="0" w:color="auto"/>
            </w:tcBorders>
          </w:tcPr>
          <w:p w14:paraId="4D9F8AB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952" w:type="dxa"/>
            <w:tcBorders>
              <w:top w:val="single" w:sz="6" w:space="0" w:color="auto"/>
            </w:tcBorders>
          </w:tcPr>
          <w:p w14:paraId="7C98CAF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1231" w:type="dxa"/>
            <w:tcBorders>
              <w:top w:val="single" w:sz="6" w:space="0" w:color="auto"/>
            </w:tcBorders>
          </w:tcPr>
          <w:p w14:paraId="0CAF730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686" w:type="dxa"/>
            <w:tcBorders>
              <w:top w:val="single" w:sz="6" w:space="0" w:color="auto"/>
            </w:tcBorders>
          </w:tcPr>
          <w:p w14:paraId="41DD5D0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711" w:type="dxa"/>
            <w:tcBorders>
              <w:top w:val="single" w:sz="6" w:space="0" w:color="auto"/>
            </w:tcBorders>
          </w:tcPr>
          <w:p w14:paraId="64462B2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r>
      <w:tr w:rsidR="005D339F" w:rsidRPr="00024787" w14:paraId="07A8084C"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397589CD" w14:textId="77777777" w:rsidR="005D339F" w:rsidRPr="00024787" w:rsidRDefault="005D339F" w:rsidP="00024787">
            <w:pPr>
              <w:spacing w:before="0"/>
              <w:rPr>
                <w:sz w:val="15"/>
                <w:szCs w:val="15"/>
              </w:rPr>
            </w:pPr>
            <w:r w:rsidRPr="00024787">
              <w:rPr>
                <w:sz w:val="15"/>
                <w:szCs w:val="15"/>
              </w:rPr>
              <w:t>Balance at 1 July 2026</w:t>
            </w:r>
          </w:p>
        </w:tc>
        <w:tc>
          <w:tcPr>
            <w:tcW w:w="658" w:type="dxa"/>
          </w:tcPr>
          <w:p w14:paraId="6D3442A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(57 755)</w:t>
            </w:r>
          </w:p>
        </w:tc>
        <w:tc>
          <w:tcPr>
            <w:tcW w:w="952" w:type="dxa"/>
          </w:tcPr>
          <w:p w14:paraId="08ED0D6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116 283</w:t>
            </w:r>
          </w:p>
        </w:tc>
        <w:tc>
          <w:tcPr>
            <w:tcW w:w="1231" w:type="dxa"/>
          </w:tcPr>
          <w:p w14:paraId="0929010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33 910</w:t>
            </w:r>
          </w:p>
        </w:tc>
        <w:tc>
          <w:tcPr>
            <w:tcW w:w="686" w:type="dxa"/>
          </w:tcPr>
          <w:p w14:paraId="0518B7F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845</w:t>
            </w:r>
          </w:p>
        </w:tc>
        <w:tc>
          <w:tcPr>
            <w:tcW w:w="711" w:type="dxa"/>
          </w:tcPr>
          <w:p w14:paraId="205568F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93 284</w:t>
            </w:r>
          </w:p>
        </w:tc>
      </w:tr>
      <w:tr w:rsidR="005D339F" w:rsidRPr="00024787" w14:paraId="42C97316"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5453132A" w14:textId="77777777" w:rsidR="005D339F" w:rsidRPr="00024787" w:rsidRDefault="005D339F" w:rsidP="00024787">
            <w:pPr>
              <w:spacing w:before="0"/>
              <w:rPr>
                <w:sz w:val="15"/>
                <w:szCs w:val="15"/>
              </w:rPr>
            </w:pPr>
            <w:r w:rsidRPr="00024787">
              <w:rPr>
                <w:sz w:val="15"/>
                <w:szCs w:val="15"/>
              </w:rPr>
              <w:t>Net result for the year</w:t>
            </w:r>
          </w:p>
        </w:tc>
        <w:tc>
          <w:tcPr>
            <w:tcW w:w="658" w:type="dxa"/>
          </w:tcPr>
          <w:p w14:paraId="12131E0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(917)</w:t>
            </w:r>
          </w:p>
        </w:tc>
        <w:tc>
          <w:tcPr>
            <w:tcW w:w="952" w:type="dxa"/>
          </w:tcPr>
          <w:p w14:paraId="0272EDD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0E1B5D6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4AD9E08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2388664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(917)</w:t>
            </w:r>
          </w:p>
        </w:tc>
      </w:tr>
      <w:tr w:rsidR="005D339F" w:rsidRPr="00024787" w14:paraId="32A02F2A"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4550E809" w14:textId="77777777" w:rsidR="005D339F" w:rsidRPr="00024787" w:rsidRDefault="005D339F" w:rsidP="00024787">
            <w:pPr>
              <w:spacing w:before="0"/>
              <w:rPr>
                <w:sz w:val="15"/>
                <w:szCs w:val="15"/>
              </w:rPr>
            </w:pPr>
            <w:r w:rsidRPr="00024787">
              <w:rPr>
                <w:sz w:val="15"/>
                <w:szCs w:val="15"/>
              </w:rPr>
              <w:t>Other comprehensive income for the year</w:t>
            </w:r>
          </w:p>
        </w:tc>
        <w:tc>
          <w:tcPr>
            <w:tcW w:w="658" w:type="dxa"/>
          </w:tcPr>
          <w:p w14:paraId="4BE28154"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(7)</w:t>
            </w:r>
          </w:p>
        </w:tc>
        <w:tc>
          <w:tcPr>
            <w:tcW w:w="952" w:type="dxa"/>
          </w:tcPr>
          <w:p w14:paraId="4B88481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464336C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191</w:t>
            </w:r>
          </w:p>
        </w:tc>
        <w:tc>
          <w:tcPr>
            <w:tcW w:w="686" w:type="dxa"/>
          </w:tcPr>
          <w:p w14:paraId="1B9983F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(5)</w:t>
            </w:r>
          </w:p>
        </w:tc>
        <w:tc>
          <w:tcPr>
            <w:tcW w:w="711" w:type="dxa"/>
          </w:tcPr>
          <w:p w14:paraId="6B68E82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179</w:t>
            </w:r>
          </w:p>
        </w:tc>
      </w:tr>
      <w:tr w:rsidR="005D339F" w:rsidRPr="00024787" w14:paraId="24DB1673"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463E1AE0" w14:textId="77777777" w:rsidR="005D339F" w:rsidRPr="00024787" w:rsidRDefault="005D339F" w:rsidP="00024787">
            <w:pPr>
              <w:spacing w:before="0"/>
              <w:rPr>
                <w:sz w:val="15"/>
                <w:szCs w:val="15"/>
              </w:rPr>
            </w:pPr>
            <w:r w:rsidRPr="00024787">
              <w:rPr>
                <w:sz w:val="15"/>
                <w:szCs w:val="15"/>
              </w:rPr>
              <w:t>Dividends paid</w:t>
            </w:r>
          </w:p>
        </w:tc>
        <w:tc>
          <w:tcPr>
            <w:tcW w:w="658" w:type="dxa"/>
          </w:tcPr>
          <w:p w14:paraId="5799DB3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(188)</w:t>
            </w:r>
          </w:p>
        </w:tc>
        <w:tc>
          <w:tcPr>
            <w:tcW w:w="952" w:type="dxa"/>
          </w:tcPr>
          <w:p w14:paraId="447ABC2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3390AD0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504A103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445C52A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(188)</w:t>
            </w:r>
          </w:p>
        </w:tc>
      </w:tr>
      <w:tr w:rsidR="00024787" w:rsidRPr="00024787" w14:paraId="5B948804"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bottom w:val="single" w:sz="6" w:space="0" w:color="auto"/>
            </w:tcBorders>
          </w:tcPr>
          <w:p w14:paraId="03F90E73" w14:textId="77777777" w:rsidR="005D339F" w:rsidRPr="00024787" w:rsidRDefault="005D339F" w:rsidP="00024787">
            <w:pPr>
              <w:spacing w:before="0"/>
              <w:rPr>
                <w:sz w:val="15"/>
                <w:szCs w:val="15"/>
              </w:rPr>
            </w:pPr>
            <w:r w:rsidRPr="00024787">
              <w:rPr>
                <w:sz w:val="15"/>
                <w:szCs w:val="15"/>
              </w:rPr>
              <w:t>Transactions with owners in their capacity as owners</w:t>
            </w:r>
          </w:p>
        </w:tc>
        <w:tc>
          <w:tcPr>
            <w:tcW w:w="658" w:type="dxa"/>
            <w:tcBorders>
              <w:bottom w:val="single" w:sz="6" w:space="0" w:color="auto"/>
            </w:tcBorders>
          </w:tcPr>
          <w:p w14:paraId="04AC0EF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952" w:type="dxa"/>
            <w:tcBorders>
              <w:bottom w:val="single" w:sz="6" w:space="0" w:color="auto"/>
            </w:tcBorders>
          </w:tcPr>
          <w:p w14:paraId="57C80F7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4 071</w:t>
            </w:r>
          </w:p>
        </w:tc>
        <w:tc>
          <w:tcPr>
            <w:tcW w:w="1231" w:type="dxa"/>
            <w:tcBorders>
              <w:bottom w:val="single" w:sz="6" w:space="0" w:color="auto"/>
            </w:tcBorders>
          </w:tcPr>
          <w:p w14:paraId="31066FB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Borders>
              <w:bottom w:val="single" w:sz="6" w:space="0" w:color="auto"/>
            </w:tcBorders>
          </w:tcPr>
          <w:p w14:paraId="5EF7D83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Borders>
              <w:bottom w:val="single" w:sz="6" w:space="0" w:color="auto"/>
            </w:tcBorders>
          </w:tcPr>
          <w:p w14:paraId="652F1DB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4 071</w:t>
            </w:r>
          </w:p>
        </w:tc>
      </w:tr>
      <w:tr w:rsidR="00024787" w:rsidRPr="00024787" w14:paraId="178E4B44"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bottom w:val="single" w:sz="6" w:space="0" w:color="auto"/>
            </w:tcBorders>
          </w:tcPr>
          <w:p w14:paraId="6C32EFAC" w14:textId="77777777" w:rsidR="005D339F" w:rsidRPr="00024787" w:rsidRDefault="005D339F" w:rsidP="00024787">
            <w:pPr>
              <w:spacing w:before="0"/>
              <w:rPr>
                <w:sz w:val="15"/>
                <w:szCs w:val="15"/>
              </w:rPr>
            </w:pPr>
            <w:r w:rsidRPr="00024787">
              <w:rPr>
                <w:b/>
                <w:sz w:val="15"/>
                <w:szCs w:val="15"/>
              </w:rPr>
              <w:t>Total equity as at 30 June 2027</w:t>
            </w:r>
          </w:p>
        </w:tc>
        <w:tc>
          <w:tcPr>
            <w:tcW w:w="658" w:type="dxa"/>
            <w:tcBorders>
              <w:top w:val="single" w:sz="6" w:space="0" w:color="auto"/>
              <w:bottom w:val="single" w:sz="6" w:space="0" w:color="auto"/>
            </w:tcBorders>
          </w:tcPr>
          <w:p w14:paraId="79217AB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(58 866)</w:t>
            </w:r>
          </w:p>
        </w:tc>
        <w:tc>
          <w:tcPr>
            <w:tcW w:w="952" w:type="dxa"/>
            <w:tcBorders>
              <w:top w:val="single" w:sz="6" w:space="0" w:color="auto"/>
              <w:bottom w:val="single" w:sz="6" w:space="0" w:color="auto"/>
            </w:tcBorders>
          </w:tcPr>
          <w:p w14:paraId="146E9C2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120 354</w:t>
            </w:r>
          </w:p>
        </w:tc>
        <w:tc>
          <w:tcPr>
            <w:tcW w:w="1231" w:type="dxa"/>
            <w:tcBorders>
              <w:top w:val="single" w:sz="6" w:space="0" w:color="auto"/>
              <w:bottom w:val="single" w:sz="6" w:space="0" w:color="auto"/>
            </w:tcBorders>
          </w:tcPr>
          <w:p w14:paraId="726A130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34 101</w:t>
            </w:r>
          </w:p>
        </w:tc>
        <w:tc>
          <w:tcPr>
            <w:tcW w:w="686" w:type="dxa"/>
            <w:tcBorders>
              <w:top w:val="single" w:sz="6" w:space="0" w:color="auto"/>
              <w:bottom w:val="single" w:sz="6" w:space="0" w:color="auto"/>
            </w:tcBorders>
          </w:tcPr>
          <w:p w14:paraId="6A690BF2"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840</w:t>
            </w:r>
          </w:p>
        </w:tc>
        <w:tc>
          <w:tcPr>
            <w:tcW w:w="711" w:type="dxa"/>
            <w:tcBorders>
              <w:top w:val="single" w:sz="6" w:space="0" w:color="auto"/>
              <w:bottom w:val="single" w:sz="6" w:space="0" w:color="auto"/>
            </w:tcBorders>
          </w:tcPr>
          <w:p w14:paraId="5AFC2E6F"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96 429</w:t>
            </w:r>
          </w:p>
        </w:tc>
      </w:tr>
      <w:tr w:rsidR="00024787" w:rsidRPr="00024787" w14:paraId="32988A18"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tcBorders>
          </w:tcPr>
          <w:p w14:paraId="48EA3B9B" w14:textId="77777777" w:rsidR="005D339F" w:rsidRPr="00024787" w:rsidRDefault="005D339F" w:rsidP="00024787">
            <w:pPr>
              <w:spacing w:before="0"/>
              <w:rPr>
                <w:sz w:val="15"/>
                <w:szCs w:val="15"/>
              </w:rPr>
            </w:pPr>
            <w:r w:rsidRPr="00024787">
              <w:rPr>
                <w:b/>
                <w:sz w:val="15"/>
                <w:szCs w:val="15"/>
              </w:rPr>
              <w:t>2027</w:t>
            </w:r>
            <w:r w:rsidRPr="00024787">
              <w:rPr>
                <w:b/>
                <w:sz w:val="15"/>
                <w:szCs w:val="15"/>
              </w:rPr>
              <w:noBreakHyphen/>
              <w:t>28 estimate</w:t>
            </w:r>
          </w:p>
        </w:tc>
        <w:tc>
          <w:tcPr>
            <w:tcW w:w="658" w:type="dxa"/>
            <w:tcBorders>
              <w:top w:val="single" w:sz="6" w:space="0" w:color="auto"/>
            </w:tcBorders>
          </w:tcPr>
          <w:p w14:paraId="5CFD833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952" w:type="dxa"/>
            <w:tcBorders>
              <w:top w:val="single" w:sz="6" w:space="0" w:color="auto"/>
            </w:tcBorders>
          </w:tcPr>
          <w:p w14:paraId="049FFA5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1231" w:type="dxa"/>
            <w:tcBorders>
              <w:top w:val="single" w:sz="6" w:space="0" w:color="auto"/>
            </w:tcBorders>
          </w:tcPr>
          <w:p w14:paraId="0853FD9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686" w:type="dxa"/>
            <w:tcBorders>
              <w:top w:val="single" w:sz="6" w:space="0" w:color="auto"/>
            </w:tcBorders>
          </w:tcPr>
          <w:p w14:paraId="1934CB8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c>
          <w:tcPr>
            <w:tcW w:w="711" w:type="dxa"/>
            <w:tcBorders>
              <w:top w:val="single" w:sz="6" w:space="0" w:color="auto"/>
            </w:tcBorders>
          </w:tcPr>
          <w:p w14:paraId="1971821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p>
        </w:tc>
      </w:tr>
      <w:tr w:rsidR="005D339F" w:rsidRPr="00024787" w14:paraId="6C0BBD82"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20F6771D" w14:textId="77777777" w:rsidR="005D339F" w:rsidRPr="00024787" w:rsidRDefault="005D339F" w:rsidP="00024787">
            <w:pPr>
              <w:spacing w:before="0"/>
              <w:rPr>
                <w:sz w:val="15"/>
                <w:szCs w:val="15"/>
              </w:rPr>
            </w:pPr>
            <w:r w:rsidRPr="00024787">
              <w:rPr>
                <w:sz w:val="15"/>
                <w:szCs w:val="15"/>
              </w:rPr>
              <w:t>Balance at 1 July 2027</w:t>
            </w:r>
          </w:p>
        </w:tc>
        <w:tc>
          <w:tcPr>
            <w:tcW w:w="658" w:type="dxa"/>
          </w:tcPr>
          <w:p w14:paraId="2A44567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(58 866)</w:t>
            </w:r>
          </w:p>
        </w:tc>
        <w:tc>
          <w:tcPr>
            <w:tcW w:w="952" w:type="dxa"/>
          </w:tcPr>
          <w:p w14:paraId="1AB5352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120 354</w:t>
            </w:r>
          </w:p>
        </w:tc>
        <w:tc>
          <w:tcPr>
            <w:tcW w:w="1231" w:type="dxa"/>
          </w:tcPr>
          <w:p w14:paraId="34C3BAB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34 101</w:t>
            </w:r>
          </w:p>
        </w:tc>
        <w:tc>
          <w:tcPr>
            <w:tcW w:w="686" w:type="dxa"/>
          </w:tcPr>
          <w:p w14:paraId="53DE806D"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840</w:t>
            </w:r>
          </w:p>
        </w:tc>
        <w:tc>
          <w:tcPr>
            <w:tcW w:w="711" w:type="dxa"/>
          </w:tcPr>
          <w:p w14:paraId="19F1CB2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96 429</w:t>
            </w:r>
          </w:p>
        </w:tc>
      </w:tr>
      <w:tr w:rsidR="005D339F" w:rsidRPr="00024787" w14:paraId="37AAFDF7"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1972075C" w14:textId="77777777" w:rsidR="005D339F" w:rsidRPr="00024787" w:rsidRDefault="005D339F" w:rsidP="00024787">
            <w:pPr>
              <w:spacing w:before="0"/>
              <w:rPr>
                <w:sz w:val="15"/>
                <w:szCs w:val="15"/>
              </w:rPr>
            </w:pPr>
            <w:r w:rsidRPr="00024787">
              <w:rPr>
                <w:sz w:val="15"/>
                <w:szCs w:val="15"/>
              </w:rPr>
              <w:t>Net result for the year</w:t>
            </w:r>
          </w:p>
        </w:tc>
        <w:tc>
          <w:tcPr>
            <w:tcW w:w="658" w:type="dxa"/>
          </w:tcPr>
          <w:p w14:paraId="469113E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(1 009)</w:t>
            </w:r>
          </w:p>
        </w:tc>
        <w:tc>
          <w:tcPr>
            <w:tcW w:w="952" w:type="dxa"/>
          </w:tcPr>
          <w:p w14:paraId="46B4BF8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1F24BCF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5F72338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3B2FE68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(1 009)</w:t>
            </w:r>
          </w:p>
        </w:tc>
      </w:tr>
      <w:tr w:rsidR="005D339F" w:rsidRPr="00024787" w14:paraId="2D3BC858"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35DDC66C" w14:textId="77777777" w:rsidR="005D339F" w:rsidRPr="00024787" w:rsidRDefault="005D339F" w:rsidP="00024787">
            <w:pPr>
              <w:spacing w:before="0"/>
              <w:rPr>
                <w:sz w:val="15"/>
                <w:szCs w:val="15"/>
              </w:rPr>
            </w:pPr>
            <w:r w:rsidRPr="00024787">
              <w:rPr>
                <w:sz w:val="15"/>
                <w:szCs w:val="15"/>
              </w:rPr>
              <w:t>Other comprehensive income for the year</w:t>
            </w:r>
          </w:p>
        </w:tc>
        <w:tc>
          <w:tcPr>
            <w:tcW w:w="658" w:type="dxa"/>
          </w:tcPr>
          <w:p w14:paraId="1811E0F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(5)</w:t>
            </w:r>
          </w:p>
        </w:tc>
        <w:tc>
          <w:tcPr>
            <w:tcW w:w="952" w:type="dxa"/>
          </w:tcPr>
          <w:p w14:paraId="00F06BBB"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22618C0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41</w:t>
            </w:r>
          </w:p>
        </w:tc>
        <w:tc>
          <w:tcPr>
            <w:tcW w:w="686" w:type="dxa"/>
          </w:tcPr>
          <w:p w14:paraId="13467B29"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(9)</w:t>
            </w:r>
          </w:p>
        </w:tc>
        <w:tc>
          <w:tcPr>
            <w:tcW w:w="711" w:type="dxa"/>
          </w:tcPr>
          <w:p w14:paraId="11EF87D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27</w:t>
            </w:r>
          </w:p>
        </w:tc>
      </w:tr>
      <w:tr w:rsidR="005D339F" w:rsidRPr="00024787" w14:paraId="029A508B"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Pr>
          <w:p w14:paraId="6981A9C0" w14:textId="77777777" w:rsidR="005D339F" w:rsidRPr="00024787" w:rsidRDefault="005D339F" w:rsidP="00024787">
            <w:pPr>
              <w:spacing w:before="0"/>
              <w:rPr>
                <w:sz w:val="15"/>
                <w:szCs w:val="15"/>
              </w:rPr>
            </w:pPr>
            <w:r w:rsidRPr="00024787">
              <w:rPr>
                <w:sz w:val="15"/>
                <w:szCs w:val="15"/>
              </w:rPr>
              <w:t>Dividends paid</w:t>
            </w:r>
          </w:p>
        </w:tc>
        <w:tc>
          <w:tcPr>
            <w:tcW w:w="658" w:type="dxa"/>
          </w:tcPr>
          <w:p w14:paraId="2E5A21C6"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(192)</w:t>
            </w:r>
          </w:p>
        </w:tc>
        <w:tc>
          <w:tcPr>
            <w:tcW w:w="952" w:type="dxa"/>
          </w:tcPr>
          <w:p w14:paraId="52CE843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1231" w:type="dxa"/>
          </w:tcPr>
          <w:p w14:paraId="57B22EC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Pr>
          <w:p w14:paraId="69B98678"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Pr>
          <w:p w14:paraId="0D68A54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(192)</w:t>
            </w:r>
          </w:p>
        </w:tc>
      </w:tr>
      <w:tr w:rsidR="00024787" w:rsidRPr="00024787" w14:paraId="2BCAEF81"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bottom w:val="single" w:sz="6" w:space="0" w:color="auto"/>
            </w:tcBorders>
          </w:tcPr>
          <w:p w14:paraId="7510A89A" w14:textId="77777777" w:rsidR="005D339F" w:rsidRPr="00024787" w:rsidRDefault="005D339F" w:rsidP="00024787">
            <w:pPr>
              <w:spacing w:before="0"/>
              <w:rPr>
                <w:sz w:val="15"/>
                <w:szCs w:val="15"/>
              </w:rPr>
            </w:pPr>
            <w:r w:rsidRPr="00024787">
              <w:rPr>
                <w:sz w:val="15"/>
                <w:szCs w:val="15"/>
              </w:rPr>
              <w:t>Transactions with owners in their capacity as owners</w:t>
            </w:r>
          </w:p>
        </w:tc>
        <w:tc>
          <w:tcPr>
            <w:tcW w:w="658" w:type="dxa"/>
            <w:tcBorders>
              <w:bottom w:val="single" w:sz="6" w:space="0" w:color="auto"/>
            </w:tcBorders>
          </w:tcPr>
          <w:p w14:paraId="1B21206C"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952" w:type="dxa"/>
            <w:tcBorders>
              <w:bottom w:val="single" w:sz="6" w:space="0" w:color="auto"/>
            </w:tcBorders>
          </w:tcPr>
          <w:p w14:paraId="60E59F2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4 066</w:t>
            </w:r>
          </w:p>
        </w:tc>
        <w:tc>
          <w:tcPr>
            <w:tcW w:w="1231" w:type="dxa"/>
            <w:tcBorders>
              <w:bottom w:val="single" w:sz="6" w:space="0" w:color="auto"/>
            </w:tcBorders>
          </w:tcPr>
          <w:p w14:paraId="6418A0A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686" w:type="dxa"/>
            <w:tcBorders>
              <w:bottom w:val="single" w:sz="6" w:space="0" w:color="auto"/>
            </w:tcBorders>
          </w:tcPr>
          <w:p w14:paraId="1FD7BA3A"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w:t>
            </w:r>
          </w:p>
        </w:tc>
        <w:tc>
          <w:tcPr>
            <w:tcW w:w="711" w:type="dxa"/>
            <w:tcBorders>
              <w:bottom w:val="single" w:sz="6" w:space="0" w:color="auto"/>
            </w:tcBorders>
          </w:tcPr>
          <w:p w14:paraId="32100635"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sz w:val="15"/>
                <w:szCs w:val="15"/>
              </w:rPr>
              <w:t>4 066</w:t>
            </w:r>
          </w:p>
        </w:tc>
      </w:tr>
      <w:tr w:rsidR="00024787" w:rsidRPr="00024787" w14:paraId="709E8E37" w14:textId="77777777" w:rsidTr="00024787">
        <w:tc>
          <w:tcPr>
            <w:cnfStyle w:val="001000000000" w:firstRow="0" w:lastRow="0" w:firstColumn="1" w:lastColumn="0" w:oddVBand="0" w:evenVBand="0" w:oddHBand="0" w:evenHBand="0" w:firstRowFirstColumn="0" w:firstRowLastColumn="0" w:lastRowFirstColumn="0" w:lastRowLastColumn="0"/>
            <w:tcW w:w="3472" w:type="dxa"/>
            <w:gridSpan w:val="2"/>
            <w:tcBorders>
              <w:top w:val="single" w:sz="6" w:space="0" w:color="auto"/>
              <w:bottom w:val="single" w:sz="12" w:space="0" w:color="auto"/>
            </w:tcBorders>
          </w:tcPr>
          <w:p w14:paraId="2352EFF2" w14:textId="77777777" w:rsidR="005D339F" w:rsidRPr="00024787" w:rsidRDefault="005D339F" w:rsidP="00024787">
            <w:pPr>
              <w:spacing w:before="0"/>
              <w:rPr>
                <w:sz w:val="15"/>
                <w:szCs w:val="15"/>
              </w:rPr>
            </w:pPr>
            <w:r w:rsidRPr="00024787">
              <w:rPr>
                <w:b/>
                <w:sz w:val="15"/>
                <w:szCs w:val="15"/>
              </w:rPr>
              <w:t>Total equity as at 30 June 2028</w:t>
            </w:r>
          </w:p>
        </w:tc>
        <w:tc>
          <w:tcPr>
            <w:tcW w:w="658" w:type="dxa"/>
            <w:tcBorders>
              <w:top w:val="single" w:sz="6" w:space="0" w:color="auto"/>
              <w:bottom w:val="single" w:sz="12" w:space="0" w:color="auto"/>
            </w:tcBorders>
          </w:tcPr>
          <w:p w14:paraId="3FCBE6B7"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(60 073)</w:t>
            </w:r>
          </w:p>
        </w:tc>
        <w:tc>
          <w:tcPr>
            <w:tcW w:w="952" w:type="dxa"/>
            <w:tcBorders>
              <w:top w:val="single" w:sz="6" w:space="0" w:color="auto"/>
              <w:bottom w:val="single" w:sz="12" w:space="0" w:color="auto"/>
            </w:tcBorders>
          </w:tcPr>
          <w:p w14:paraId="0C5EBF1E"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124 420</w:t>
            </w:r>
          </w:p>
        </w:tc>
        <w:tc>
          <w:tcPr>
            <w:tcW w:w="1231" w:type="dxa"/>
            <w:tcBorders>
              <w:top w:val="single" w:sz="6" w:space="0" w:color="auto"/>
              <w:bottom w:val="single" w:sz="12" w:space="0" w:color="auto"/>
            </w:tcBorders>
          </w:tcPr>
          <w:p w14:paraId="29D6A410"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34 142</w:t>
            </w:r>
          </w:p>
        </w:tc>
        <w:tc>
          <w:tcPr>
            <w:tcW w:w="686" w:type="dxa"/>
            <w:tcBorders>
              <w:top w:val="single" w:sz="6" w:space="0" w:color="auto"/>
              <w:bottom w:val="single" w:sz="12" w:space="0" w:color="auto"/>
            </w:tcBorders>
          </w:tcPr>
          <w:p w14:paraId="2A60BC33"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831</w:t>
            </w:r>
          </w:p>
        </w:tc>
        <w:tc>
          <w:tcPr>
            <w:tcW w:w="711" w:type="dxa"/>
            <w:tcBorders>
              <w:top w:val="single" w:sz="6" w:space="0" w:color="auto"/>
              <w:bottom w:val="single" w:sz="12" w:space="0" w:color="auto"/>
            </w:tcBorders>
          </w:tcPr>
          <w:p w14:paraId="5C20C7D1" w14:textId="77777777" w:rsidR="005D339F" w:rsidRPr="00024787" w:rsidRDefault="005D339F" w:rsidP="00024787">
            <w:pPr>
              <w:spacing w:before="0"/>
              <w:cnfStyle w:val="000000000000" w:firstRow="0" w:lastRow="0" w:firstColumn="0" w:lastColumn="0" w:oddVBand="0" w:evenVBand="0" w:oddHBand="0" w:evenHBand="0" w:firstRowFirstColumn="0" w:firstRowLastColumn="0" w:lastRowFirstColumn="0" w:lastRowLastColumn="0"/>
              <w:rPr>
                <w:sz w:val="15"/>
                <w:szCs w:val="15"/>
              </w:rPr>
            </w:pPr>
            <w:r w:rsidRPr="00024787">
              <w:rPr>
                <w:b/>
                <w:sz w:val="15"/>
                <w:szCs w:val="15"/>
              </w:rPr>
              <w:t>99 320</w:t>
            </w:r>
          </w:p>
        </w:tc>
      </w:tr>
    </w:tbl>
    <w:p w14:paraId="0DC2C666" w14:textId="77777777" w:rsidR="005D339F" w:rsidRPr="00921F69" w:rsidRDefault="005D339F" w:rsidP="00024787">
      <w:pPr>
        <w:pStyle w:val="Note"/>
        <w:spacing w:before="40"/>
      </w:pPr>
      <w:r w:rsidRPr="00921F69">
        <w:t>Note</w:t>
      </w:r>
      <w:r>
        <w:t>s</w:t>
      </w:r>
      <w:r w:rsidRPr="00921F69">
        <w:t>:</w:t>
      </w:r>
    </w:p>
    <w:p w14:paraId="0441F89F" w14:textId="77777777" w:rsidR="005D339F" w:rsidRPr="004D1722" w:rsidRDefault="005D339F" w:rsidP="005D339F">
      <w:pPr>
        <w:pStyle w:val="Note"/>
      </w:pPr>
      <w:r w:rsidRPr="00407A3F">
        <w:t>(a)</w:t>
      </w:r>
      <w:r w:rsidRPr="00407A3F">
        <w:tab/>
        <w:t>A range of savings and efficiency initiatives will be implemented by the public non-financial corporations sector. The impact of these initiatives is reflected over the budget and forward estimates.</w:t>
      </w:r>
    </w:p>
    <w:p w14:paraId="71EB9CC3" w14:textId="77777777" w:rsidR="005D339F" w:rsidRDefault="005D339F" w:rsidP="005D339F">
      <w:pPr>
        <w:pStyle w:val="Note"/>
      </w:pPr>
      <w:r w:rsidRPr="00921F69">
        <w:t>(</w:t>
      </w:r>
      <w:r>
        <w:t>b</w:t>
      </w:r>
      <w:r w:rsidRPr="00921F69">
        <w:t>)</w:t>
      </w:r>
      <w:r w:rsidRPr="00921F69">
        <w:tab/>
        <w:t>Balances represent actual opening balances at 1 July 20</w:t>
      </w:r>
      <w:r>
        <w:t>24</w:t>
      </w:r>
      <w:r w:rsidRPr="00921F69">
        <w:t xml:space="preserve"> plus 20</w:t>
      </w:r>
      <w:r>
        <w:t>24</w:t>
      </w:r>
      <w:r w:rsidRPr="00921F69">
        <w:t>-2</w:t>
      </w:r>
      <w:r>
        <w:t>5</w:t>
      </w:r>
      <w:r w:rsidRPr="00921F69">
        <w:t xml:space="preserve"> budgeted movements.</w:t>
      </w:r>
    </w:p>
    <w:p w14:paraId="76E9DD19" w14:textId="77777777" w:rsidR="005D339F" w:rsidRDefault="005D339F" w:rsidP="005D339F">
      <w:pPr>
        <w:pStyle w:val="Note"/>
      </w:pPr>
      <w:r>
        <w:t>(c)</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F94B5E">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04D3F675" w14:textId="77777777" w:rsidR="005D339F" w:rsidRDefault="005D339F" w:rsidP="005D339F">
      <w:pPr>
        <w:pStyle w:val="Note"/>
      </w:pPr>
      <w:r>
        <w:t>(d)</w:t>
      </w:r>
      <w:r>
        <w:tab/>
      </w:r>
      <w:r w:rsidRPr="00AE0220">
        <w:t>VicForests ceased operations on 30 June 2024 and the</w:t>
      </w:r>
      <w:r>
        <w:t xml:space="preserve"> residual assets and liabilities together with</w:t>
      </w:r>
      <w:r w:rsidRPr="00AE0220">
        <w:t xml:space="preserve"> residual responsibilities for native forest management </w:t>
      </w:r>
      <w:r>
        <w:t>were</w:t>
      </w:r>
      <w:r w:rsidRPr="00AE0220">
        <w:t xml:space="preserve"> transferred to the Department of Energy, Environment and Climate Action following proclamation of the </w:t>
      </w:r>
      <w:r w:rsidRPr="00257F61">
        <w:rPr>
          <w:i w:val="0"/>
        </w:rPr>
        <w:t>Sustainable Forests (Timber) Repeal Act 2024</w:t>
      </w:r>
      <w:r w:rsidRPr="00AE0220">
        <w:t>, effective from 1 July 2024. This has resulted in the 1</w:t>
      </w:r>
      <w:r>
        <w:t> </w:t>
      </w:r>
      <w:r w:rsidRPr="00AE0220">
        <w:t>July 2024 opening balance not equalling the 30 June closing balance</w:t>
      </w:r>
      <w:r>
        <w:t>.</w:t>
      </w:r>
    </w:p>
    <w:p w14:paraId="52A2890C" w14:textId="77777777" w:rsidR="005D339F" w:rsidRPr="00F94BA5" w:rsidRDefault="005D339F" w:rsidP="005D339F"/>
    <w:p w14:paraId="40706115" w14:textId="77777777" w:rsidR="005D339F" w:rsidRPr="0063276E" w:rsidRDefault="005D339F" w:rsidP="005D339F">
      <w:pPr>
        <w:pStyle w:val="TableHeading"/>
      </w:pPr>
      <w:r w:rsidRPr="00921F69">
        <w:t>Table 5.5</w:t>
      </w:r>
      <w:r w:rsidRPr="00921F69">
        <w:tab/>
        <w:t xml:space="preserve">Net acquisition of non-financial assets – </w:t>
      </w:r>
      <w:r>
        <w:t xml:space="preserve"> </w:t>
      </w:r>
      <w:r>
        <w:br/>
      </w:r>
      <w:r w:rsidRPr="00921F69">
        <w:t>Public non-financial corporations sector</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NFC_NFA|MergedHeadingRow:1"/>
      </w:tblPr>
      <w:tblGrid>
        <w:gridCol w:w="3740"/>
        <w:gridCol w:w="794"/>
        <w:gridCol w:w="794"/>
        <w:gridCol w:w="794"/>
        <w:gridCol w:w="794"/>
        <w:gridCol w:w="794"/>
      </w:tblGrid>
      <w:tr w:rsidR="005D339F" w14:paraId="037984F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24946A9" w14:textId="77777777" w:rsidR="005D339F" w:rsidRDefault="005D339F" w:rsidP="008670FF">
            <w:pPr>
              <w:keepNext/>
            </w:pPr>
          </w:p>
        </w:tc>
        <w:tc>
          <w:tcPr>
            <w:tcW w:w="794" w:type="dxa"/>
          </w:tcPr>
          <w:p w14:paraId="402887A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6DE9E038"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404BC58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35E55EDA"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3B749B60"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5A49BB3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7EF08CA" w14:textId="0EC6F684" w:rsidR="005D339F" w:rsidRDefault="005D339F" w:rsidP="008670FF">
            <w:r>
              <w:t>Purchases of non</w:t>
            </w:r>
            <w:r>
              <w:noBreakHyphen/>
              <w:t xml:space="preserve">financial assets </w:t>
            </w:r>
            <w:r w:rsidR="008327BC">
              <w:br/>
            </w:r>
            <w:r>
              <w:t>(including change in inventories)</w:t>
            </w:r>
          </w:p>
        </w:tc>
        <w:tc>
          <w:tcPr>
            <w:tcW w:w="794" w:type="dxa"/>
          </w:tcPr>
          <w:p w14:paraId="583120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8 141</w:t>
            </w:r>
          </w:p>
        </w:tc>
        <w:tc>
          <w:tcPr>
            <w:tcW w:w="794" w:type="dxa"/>
          </w:tcPr>
          <w:p w14:paraId="6FB4BBE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9 224</w:t>
            </w:r>
          </w:p>
        </w:tc>
        <w:tc>
          <w:tcPr>
            <w:tcW w:w="794" w:type="dxa"/>
          </w:tcPr>
          <w:p w14:paraId="039A48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7 532</w:t>
            </w:r>
          </w:p>
        </w:tc>
        <w:tc>
          <w:tcPr>
            <w:tcW w:w="794" w:type="dxa"/>
          </w:tcPr>
          <w:p w14:paraId="50EB2BE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7 120</w:t>
            </w:r>
          </w:p>
        </w:tc>
        <w:tc>
          <w:tcPr>
            <w:tcW w:w="794" w:type="dxa"/>
          </w:tcPr>
          <w:p w14:paraId="6900AF1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5 679</w:t>
            </w:r>
          </w:p>
        </w:tc>
      </w:tr>
      <w:tr w:rsidR="005D339F" w14:paraId="59C2194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9A090E9" w14:textId="77777777" w:rsidR="005D339F" w:rsidRDefault="005D339F" w:rsidP="008670FF">
            <w:r>
              <w:t>Less: Sales of non</w:t>
            </w:r>
            <w:r>
              <w:noBreakHyphen/>
              <w:t>financial assets</w:t>
            </w:r>
          </w:p>
        </w:tc>
        <w:tc>
          <w:tcPr>
            <w:tcW w:w="794" w:type="dxa"/>
          </w:tcPr>
          <w:p w14:paraId="7FE429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(218)</w:t>
            </w:r>
          </w:p>
        </w:tc>
        <w:tc>
          <w:tcPr>
            <w:tcW w:w="794" w:type="dxa"/>
          </w:tcPr>
          <w:p w14:paraId="6F1D46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(225)</w:t>
            </w:r>
          </w:p>
        </w:tc>
        <w:tc>
          <w:tcPr>
            <w:tcW w:w="794" w:type="dxa"/>
          </w:tcPr>
          <w:p w14:paraId="511CD3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(223)</w:t>
            </w:r>
          </w:p>
        </w:tc>
        <w:tc>
          <w:tcPr>
            <w:tcW w:w="794" w:type="dxa"/>
          </w:tcPr>
          <w:p w14:paraId="59E6DB4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(185)</w:t>
            </w:r>
          </w:p>
        </w:tc>
        <w:tc>
          <w:tcPr>
            <w:tcW w:w="794" w:type="dxa"/>
          </w:tcPr>
          <w:p w14:paraId="087709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(619)</w:t>
            </w:r>
          </w:p>
        </w:tc>
      </w:tr>
      <w:tr w:rsidR="005D339F" w14:paraId="30772FC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651C41E" w14:textId="77777777" w:rsidR="005D339F" w:rsidRDefault="005D339F" w:rsidP="008670FF">
            <w:r>
              <w:t>Less: Depreciation and amortisation</w:t>
            </w:r>
          </w:p>
        </w:tc>
        <w:tc>
          <w:tcPr>
            <w:tcW w:w="794" w:type="dxa"/>
          </w:tcPr>
          <w:p w14:paraId="09DD734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(2 121)</w:t>
            </w:r>
          </w:p>
        </w:tc>
        <w:tc>
          <w:tcPr>
            <w:tcW w:w="794" w:type="dxa"/>
          </w:tcPr>
          <w:p w14:paraId="0F9BAC4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(2 194)</w:t>
            </w:r>
          </w:p>
        </w:tc>
        <w:tc>
          <w:tcPr>
            <w:tcW w:w="794" w:type="dxa"/>
          </w:tcPr>
          <w:p w14:paraId="622DF37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(2 279)</w:t>
            </w:r>
          </w:p>
        </w:tc>
        <w:tc>
          <w:tcPr>
            <w:tcW w:w="794" w:type="dxa"/>
          </w:tcPr>
          <w:p w14:paraId="17E11E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(2 361)</w:t>
            </w:r>
          </w:p>
        </w:tc>
        <w:tc>
          <w:tcPr>
            <w:tcW w:w="794" w:type="dxa"/>
          </w:tcPr>
          <w:p w14:paraId="3256368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(2 307)</w:t>
            </w:r>
          </w:p>
        </w:tc>
      </w:tr>
      <w:tr w:rsidR="005D339F" w14:paraId="623FEEF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771222F" w14:textId="77777777" w:rsidR="005D339F" w:rsidRDefault="005D339F" w:rsidP="008670FF">
            <w:r>
              <w:t>Plus: Other movements in non</w:t>
            </w:r>
            <w:r>
              <w:noBreakHyphen/>
              <w:t>financial assets</w:t>
            </w:r>
            <w:r>
              <w:rPr>
                <w:vertAlign w:val="superscript"/>
              </w:rPr>
              <w:t xml:space="preserve"> (a)(b)(c)</w:t>
            </w:r>
          </w:p>
        </w:tc>
        <w:tc>
          <w:tcPr>
            <w:tcW w:w="794" w:type="dxa"/>
            <w:tcBorders>
              <w:bottom w:val="single" w:sz="6" w:space="0" w:color="auto"/>
            </w:tcBorders>
          </w:tcPr>
          <w:p w14:paraId="7A3962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5 915</w:t>
            </w:r>
          </w:p>
        </w:tc>
        <w:tc>
          <w:tcPr>
            <w:tcW w:w="794" w:type="dxa"/>
            <w:tcBorders>
              <w:bottom w:val="single" w:sz="6" w:space="0" w:color="auto"/>
            </w:tcBorders>
          </w:tcPr>
          <w:p w14:paraId="06738C0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7 294</w:t>
            </w:r>
          </w:p>
        </w:tc>
        <w:tc>
          <w:tcPr>
            <w:tcW w:w="794" w:type="dxa"/>
            <w:tcBorders>
              <w:bottom w:val="single" w:sz="6" w:space="0" w:color="auto"/>
            </w:tcBorders>
          </w:tcPr>
          <w:p w14:paraId="19CFB3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22 617</w:t>
            </w:r>
          </w:p>
        </w:tc>
        <w:tc>
          <w:tcPr>
            <w:tcW w:w="794" w:type="dxa"/>
            <w:tcBorders>
              <w:bottom w:val="single" w:sz="6" w:space="0" w:color="auto"/>
            </w:tcBorders>
          </w:tcPr>
          <w:p w14:paraId="5022152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2 503</w:t>
            </w:r>
          </w:p>
        </w:tc>
        <w:tc>
          <w:tcPr>
            <w:tcW w:w="794" w:type="dxa"/>
            <w:tcBorders>
              <w:bottom w:val="single" w:sz="6" w:space="0" w:color="auto"/>
            </w:tcBorders>
          </w:tcPr>
          <w:p w14:paraId="4691CB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3 489</w:t>
            </w:r>
          </w:p>
        </w:tc>
      </w:tr>
      <w:tr w:rsidR="005D339F" w14:paraId="006F81C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9BF2CE8" w14:textId="77777777" w:rsidR="005D339F" w:rsidRDefault="005D339F" w:rsidP="008670FF">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462A9C7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11 717</w:t>
            </w:r>
          </w:p>
        </w:tc>
        <w:tc>
          <w:tcPr>
            <w:tcW w:w="794" w:type="dxa"/>
            <w:tcBorders>
              <w:top w:val="single" w:sz="6" w:space="0" w:color="auto"/>
              <w:bottom w:val="single" w:sz="12" w:space="0" w:color="auto"/>
            </w:tcBorders>
          </w:tcPr>
          <w:p w14:paraId="6BC084E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14 099</w:t>
            </w:r>
          </w:p>
        </w:tc>
        <w:tc>
          <w:tcPr>
            <w:tcW w:w="794" w:type="dxa"/>
            <w:tcBorders>
              <w:top w:val="single" w:sz="6" w:space="0" w:color="auto"/>
              <w:bottom w:val="single" w:sz="12" w:space="0" w:color="auto"/>
            </w:tcBorders>
          </w:tcPr>
          <w:p w14:paraId="53B844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27 647</w:t>
            </w:r>
          </w:p>
        </w:tc>
        <w:tc>
          <w:tcPr>
            <w:tcW w:w="794" w:type="dxa"/>
            <w:tcBorders>
              <w:top w:val="single" w:sz="6" w:space="0" w:color="auto"/>
              <w:bottom w:val="single" w:sz="12" w:space="0" w:color="auto"/>
            </w:tcBorders>
          </w:tcPr>
          <w:p w14:paraId="5F352C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7 077</w:t>
            </w:r>
          </w:p>
        </w:tc>
        <w:tc>
          <w:tcPr>
            <w:tcW w:w="794" w:type="dxa"/>
            <w:tcBorders>
              <w:top w:val="single" w:sz="6" w:space="0" w:color="auto"/>
              <w:bottom w:val="single" w:sz="12" w:space="0" w:color="auto"/>
            </w:tcBorders>
          </w:tcPr>
          <w:p w14:paraId="15F8AF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6 242</w:t>
            </w:r>
          </w:p>
        </w:tc>
      </w:tr>
    </w:tbl>
    <w:p w14:paraId="50D38A0F" w14:textId="77777777" w:rsidR="005D339F" w:rsidRDefault="005D339F" w:rsidP="005D339F">
      <w:pPr>
        <w:pStyle w:val="Note"/>
      </w:pPr>
      <w:r>
        <w:t>Notes:</w:t>
      </w:r>
    </w:p>
    <w:p w14:paraId="5E645391" w14:textId="77777777" w:rsidR="005D339F" w:rsidRDefault="005D339F" w:rsidP="005D339F">
      <w:pPr>
        <w:pStyle w:val="Note"/>
      </w:pPr>
      <w:r>
        <w:t>(a)</w:t>
      </w:r>
      <w:r>
        <w:tab/>
        <w:t>The other movements in non-financial assets primarily include fixed asset transfers from the general government sector to the public non</w:t>
      </w:r>
      <w:r>
        <w:noBreakHyphen/>
        <w:t xml:space="preserve">financial corporations sector </w:t>
      </w:r>
      <w:r w:rsidRPr="00021BFF">
        <w:t xml:space="preserve">and recognising service concession arrangements </w:t>
      </w:r>
      <w:r>
        <w:t xml:space="preserve">arising </w:t>
      </w:r>
      <w:r w:rsidRPr="00021BFF">
        <w:t>from public private partnerships.</w:t>
      </w:r>
    </w:p>
    <w:p w14:paraId="49E6B91E" w14:textId="77777777" w:rsidR="005D339F" w:rsidRDefault="005D339F" w:rsidP="005D339F">
      <w:pPr>
        <w:pStyle w:val="Note"/>
      </w:pPr>
      <w:r w:rsidRPr="00CB1089">
        <w:t>(b)</w:t>
      </w:r>
      <w:r w:rsidRPr="00CB1089">
        <w:tab/>
      </w:r>
      <w:r w:rsidRPr="005E2D67">
        <w:t>The public private partnerships across the budget and forward estimates relates to the Homes Victoria Ground Lease Model Project</w:t>
      </w:r>
      <w:r>
        <w:t> </w:t>
      </w:r>
      <w:r w:rsidRPr="005E2D67">
        <w:t>2</w:t>
      </w:r>
      <w:r>
        <w:t xml:space="preserve"> and </w:t>
      </w:r>
      <w:r w:rsidRPr="005E2D67">
        <w:t>the North East Link – Primary Package (Tunnels).</w:t>
      </w:r>
    </w:p>
    <w:p w14:paraId="33588CC4" w14:textId="77777777" w:rsidR="005D339F" w:rsidRPr="00380F51" w:rsidRDefault="005D339F" w:rsidP="005D339F">
      <w:pPr>
        <w:pStyle w:val="Note"/>
      </w:pPr>
      <w:r w:rsidRPr="00380F51">
        <w:t>(</w:t>
      </w:r>
      <w:r>
        <w:t>c</w:t>
      </w:r>
      <w:r w:rsidRPr="00380F51">
        <w:t>)</w:t>
      </w:r>
      <w:r w:rsidRPr="00380F51">
        <w:tab/>
      </w:r>
      <w:r>
        <w:t xml:space="preserve">The movement in 2025-26 primarily reflects the transfer of the Metro Tunnel assets from the </w:t>
      </w:r>
      <w:r w:rsidRPr="00974BE0">
        <w:t xml:space="preserve">Department of Transport and Planning in the </w:t>
      </w:r>
      <w:r>
        <w:t xml:space="preserve">general government sector to </w:t>
      </w:r>
      <w:r w:rsidRPr="00974BE0">
        <w:t>VicTrack in the public non-financial corporations sector</w:t>
      </w:r>
      <w:r>
        <w:t xml:space="preserve"> upon its completion.</w:t>
      </w:r>
    </w:p>
    <w:p w14:paraId="671CFF03" w14:textId="77777777" w:rsidR="005D339F" w:rsidRDefault="005D339F" w:rsidP="005D339F">
      <w:pPr>
        <w:pStyle w:val="Note"/>
      </w:pPr>
    </w:p>
    <w:p w14:paraId="2752B7B8" w14:textId="77777777" w:rsidR="00024787" w:rsidRDefault="00024787">
      <w:pPr>
        <w:keepLines w:val="0"/>
        <w:rPr>
          <w:rFonts w:asciiTheme="majorHAnsi" w:hAnsiTheme="majorHAnsi" w:cstheme="minorBidi"/>
          <w:b/>
          <w:iCs/>
          <w:sz w:val="20"/>
          <w:szCs w:val="18"/>
        </w:rPr>
      </w:pPr>
      <w:r>
        <w:br w:type="page"/>
      </w:r>
    </w:p>
    <w:p w14:paraId="5E6FFEB0" w14:textId="24428771" w:rsidR="005D339F" w:rsidRPr="0063276E" w:rsidRDefault="005D339F" w:rsidP="005D339F">
      <w:pPr>
        <w:pStyle w:val="TableHeading"/>
      </w:pPr>
      <w:r w:rsidRPr="00921F69">
        <w:t>Table 5.6</w:t>
      </w:r>
      <w:r w:rsidRPr="00921F69">
        <w:tab/>
        <w:t xml:space="preserve">Non-financial public sector comprehensive operating statement </w:t>
      </w:r>
      <w:r w:rsidRPr="00921F69">
        <w:br/>
        <w:t>for the 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NFPS_OS|MergedHeadingRow:1"/>
      </w:tblPr>
      <w:tblGrid>
        <w:gridCol w:w="3836"/>
        <w:gridCol w:w="698"/>
        <w:gridCol w:w="794"/>
        <w:gridCol w:w="794"/>
        <w:gridCol w:w="794"/>
        <w:gridCol w:w="794"/>
      </w:tblGrid>
      <w:tr w:rsidR="005D339F" w:rsidRPr="00024787" w14:paraId="7C395FC7"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6" w:type="dxa"/>
          </w:tcPr>
          <w:p w14:paraId="098A95A9" w14:textId="77777777" w:rsidR="005D339F" w:rsidRPr="00024787" w:rsidRDefault="005D339F" w:rsidP="00024787">
            <w:pPr>
              <w:keepNext/>
              <w:spacing w:after="0"/>
              <w:rPr>
                <w:sz w:val="16"/>
                <w:szCs w:val="16"/>
              </w:rPr>
            </w:pPr>
          </w:p>
        </w:tc>
        <w:tc>
          <w:tcPr>
            <w:tcW w:w="698" w:type="dxa"/>
          </w:tcPr>
          <w:p w14:paraId="249C2134"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2024</w:t>
            </w:r>
            <w:r w:rsidRPr="00024787">
              <w:rPr>
                <w:sz w:val="16"/>
                <w:szCs w:val="16"/>
              </w:rPr>
              <w:noBreakHyphen/>
              <w:t>25</w:t>
            </w:r>
            <w:r w:rsidRPr="00024787">
              <w:rPr>
                <w:sz w:val="16"/>
                <w:szCs w:val="16"/>
              </w:rPr>
              <w:br/>
              <w:t>budget</w:t>
            </w:r>
          </w:p>
        </w:tc>
        <w:tc>
          <w:tcPr>
            <w:tcW w:w="794" w:type="dxa"/>
          </w:tcPr>
          <w:p w14:paraId="14B29332"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2024</w:t>
            </w:r>
            <w:r w:rsidRPr="00024787">
              <w:rPr>
                <w:sz w:val="16"/>
                <w:szCs w:val="16"/>
              </w:rPr>
              <w:noBreakHyphen/>
              <w:t>25</w:t>
            </w:r>
            <w:r w:rsidRPr="00024787">
              <w:rPr>
                <w:sz w:val="16"/>
                <w:szCs w:val="16"/>
              </w:rPr>
              <w:br/>
              <w:t>revised</w:t>
            </w:r>
          </w:p>
        </w:tc>
        <w:tc>
          <w:tcPr>
            <w:tcW w:w="794" w:type="dxa"/>
          </w:tcPr>
          <w:p w14:paraId="21C5ADB2"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2025</w:t>
            </w:r>
            <w:r w:rsidRPr="00024787">
              <w:rPr>
                <w:sz w:val="16"/>
                <w:szCs w:val="16"/>
              </w:rPr>
              <w:noBreakHyphen/>
              <w:t>26</w:t>
            </w:r>
            <w:r w:rsidRPr="00024787">
              <w:rPr>
                <w:sz w:val="16"/>
                <w:szCs w:val="16"/>
              </w:rPr>
              <w:br/>
              <w:t>estimate</w:t>
            </w:r>
          </w:p>
        </w:tc>
        <w:tc>
          <w:tcPr>
            <w:tcW w:w="794" w:type="dxa"/>
          </w:tcPr>
          <w:p w14:paraId="37A558E9"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2026</w:t>
            </w:r>
            <w:r w:rsidRPr="00024787">
              <w:rPr>
                <w:sz w:val="16"/>
                <w:szCs w:val="16"/>
              </w:rPr>
              <w:noBreakHyphen/>
              <w:t>27</w:t>
            </w:r>
            <w:r w:rsidRPr="00024787">
              <w:rPr>
                <w:sz w:val="16"/>
                <w:szCs w:val="16"/>
              </w:rPr>
              <w:br/>
              <w:t>estimate</w:t>
            </w:r>
          </w:p>
        </w:tc>
        <w:tc>
          <w:tcPr>
            <w:tcW w:w="794" w:type="dxa"/>
          </w:tcPr>
          <w:p w14:paraId="5D50B4EA"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2027</w:t>
            </w:r>
            <w:r w:rsidRPr="00024787">
              <w:rPr>
                <w:sz w:val="16"/>
                <w:szCs w:val="16"/>
              </w:rPr>
              <w:noBreakHyphen/>
              <w:t>28</w:t>
            </w:r>
            <w:r w:rsidRPr="00024787">
              <w:rPr>
                <w:sz w:val="16"/>
                <w:szCs w:val="16"/>
              </w:rPr>
              <w:br/>
              <w:t>estimate</w:t>
            </w:r>
          </w:p>
        </w:tc>
      </w:tr>
      <w:tr w:rsidR="005D339F" w:rsidRPr="00024787" w14:paraId="2B4F44D4"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401C4F47" w14:textId="77777777" w:rsidR="005D339F" w:rsidRPr="00024787" w:rsidRDefault="005D339F" w:rsidP="00024787">
            <w:pPr>
              <w:spacing w:after="0"/>
              <w:rPr>
                <w:sz w:val="16"/>
                <w:szCs w:val="16"/>
              </w:rPr>
            </w:pPr>
            <w:r w:rsidRPr="00024787">
              <w:rPr>
                <w:b/>
                <w:sz w:val="16"/>
                <w:szCs w:val="16"/>
              </w:rPr>
              <w:t>Revenue and income from transactions</w:t>
            </w:r>
          </w:p>
        </w:tc>
        <w:tc>
          <w:tcPr>
            <w:tcW w:w="698" w:type="dxa"/>
          </w:tcPr>
          <w:p w14:paraId="191A258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B1F1BA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3751E4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F1660C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88AAE5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0FBB8C3D"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1B105135" w14:textId="77777777" w:rsidR="005D339F" w:rsidRPr="00024787" w:rsidRDefault="005D339F" w:rsidP="00024787">
            <w:pPr>
              <w:spacing w:after="0"/>
              <w:rPr>
                <w:sz w:val="16"/>
                <w:szCs w:val="16"/>
              </w:rPr>
            </w:pPr>
            <w:r w:rsidRPr="00024787">
              <w:rPr>
                <w:sz w:val="16"/>
                <w:szCs w:val="16"/>
              </w:rPr>
              <w:t>Taxation</w:t>
            </w:r>
          </w:p>
        </w:tc>
        <w:tc>
          <w:tcPr>
            <w:tcW w:w="698" w:type="dxa"/>
          </w:tcPr>
          <w:p w14:paraId="5C08301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38 447</w:t>
            </w:r>
          </w:p>
        </w:tc>
        <w:tc>
          <w:tcPr>
            <w:tcW w:w="794" w:type="dxa"/>
          </w:tcPr>
          <w:p w14:paraId="4129303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38 605</w:t>
            </w:r>
          </w:p>
        </w:tc>
        <w:tc>
          <w:tcPr>
            <w:tcW w:w="794" w:type="dxa"/>
          </w:tcPr>
          <w:p w14:paraId="642C0D6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40 984</w:t>
            </w:r>
          </w:p>
        </w:tc>
        <w:tc>
          <w:tcPr>
            <w:tcW w:w="794" w:type="dxa"/>
          </w:tcPr>
          <w:p w14:paraId="090B8E6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43 173</w:t>
            </w:r>
          </w:p>
        </w:tc>
        <w:tc>
          <w:tcPr>
            <w:tcW w:w="794" w:type="dxa"/>
          </w:tcPr>
          <w:p w14:paraId="1B61BDD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45 156</w:t>
            </w:r>
          </w:p>
        </w:tc>
      </w:tr>
      <w:tr w:rsidR="005D339F" w:rsidRPr="00024787" w14:paraId="7C01A9F5"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28FFB210" w14:textId="77777777" w:rsidR="005D339F" w:rsidRPr="00024787" w:rsidRDefault="005D339F" w:rsidP="00024787">
            <w:pPr>
              <w:spacing w:after="0"/>
              <w:rPr>
                <w:sz w:val="16"/>
                <w:szCs w:val="16"/>
              </w:rPr>
            </w:pPr>
            <w:r w:rsidRPr="00024787">
              <w:rPr>
                <w:sz w:val="16"/>
                <w:szCs w:val="16"/>
              </w:rPr>
              <w:t>Interest income</w:t>
            </w:r>
          </w:p>
        </w:tc>
        <w:tc>
          <w:tcPr>
            <w:tcW w:w="698" w:type="dxa"/>
          </w:tcPr>
          <w:p w14:paraId="745EE89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803</w:t>
            </w:r>
          </w:p>
        </w:tc>
        <w:tc>
          <w:tcPr>
            <w:tcW w:w="794" w:type="dxa"/>
          </w:tcPr>
          <w:p w14:paraId="780E3F2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919</w:t>
            </w:r>
          </w:p>
        </w:tc>
        <w:tc>
          <w:tcPr>
            <w:tcW w:w="794" w:type="dxa"/>
          </w:tcPr>
          <w:p w14:paraId="5599818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598</w:t>
            </w:r>
          </w:p>
        </w:tc>
        <w:tc>
          <w:tcPr>
            <w:tcW w:w="794" w:type="dxa"/>
          </w:tcPr>
          <w:p w14:paraId="7D0AE11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608</w:t>
            </w:r>
          </w:p>
        </w:tc>
        <w:tc>
          <w:tcPr>
            <w:tcW w:w="794" w:type="dxa"/>
          </w:tcPr>
          <w:p w14:paraId="256A59B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625</w:t>
            </w:r>
          </w:p>
        </w:tc>
      </w:tr>
      <w:tr w:rsidR="005D339F" w:rsidRPr="00024787" w14:paraId="22E39532"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66E21755" w14:textId="77777777" w:rsidR="005D339F" w:rsidRPr="00024787" w:rsidRDefault="005D339F" w:rsidP="00024787">
            <w:pPr>
              <w:spacing w:after="0"/>
              <w:rPr>
                <w:sz w:val="16"/>
                <w:szCs w:val="16"/>
              </w:rPr>
            </w:pPr>
            <w:r w:rsidRPr="00024787">
              <w:rPr>
                <w:sz w:val="16"/>
                <w:szCs w:val="16"/>
              </w:rPr>
              <w:t>Dividends, income tax equivalent and rate equivalent income</w:t>
            </w:r>
          </w:p>
        </w:tc>
        <w:tc>
          <w:tcPr>
            <w:tcW w:w="698" w:type="dxa"/>
          </w:tcPr>
          <w:p w14:paraId="0AA6177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670</w:t>
            </w:r>
          </w:p>
        </w:tc>
        <w:tc>
          <w:tcPr>
            <w:tcW w:w="794" w:type="dxa"/>
          </w:tcPr>
          <w:p w14:paraId="20DFB05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773</w:t>
            </w:r>
          </w:p>
        </w:tc>
        <w:tc>
          <w:tcPr>
            <w:tcW w:w="794" w:type="dxa"/>
          </w:tcPr>
          <w:p w14:paraId="407CA73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760</w:t>
            </w:r>
          </w:p>
        </w:tc>
        <w:tc>
          <w:tcPr>
            <w:tcW w:w="794" w:type="dxa"/>
          </w:tcPr>
          <w:p w14:paraId="09289A6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834</w:t>
            </w:r>
          </w:p>
        </w:tc>
        <w:tc>
          <w:tcPr>
            <w:tcW w:w="794" w:type="dxa"/>
          </w:tcPr>
          <w:p w14:paraId="75B7AFE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904</w:t>
            </w:r>
          </w:p>
        </w:tc>
      </w:tr>
      <w:tr w:rsidR="005D339F" w:rsidRPr="00024787" w14:paraId="740D9947"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0FDF7137" w14:textId="77777777" w:rsidR="005D339F" w:rsidRPr="00024787" w:rsidRDefault="005D339F" w:rsidP="00024787">
            <w:pPr>
              <w:spacing w:after="0"/>
              <w:rPr>
                <w:sz w:val="16"/>
                <w:szCs w:val="16"/>
              </w:rPr>
            </w:pPr>
            <w:r w:rsidRPr="00024787">
              <w:rPr>
                <w:sz w:val="16"/>
                <w:szCs w:val="16"/>
              </w:rPr>
              <w:t>Sales of goods and services</w:t>
            </w:r>
          </w:p>
        </w:tc>
        <w:tc>
          <w:tcPr>
            <w:tcW w:w="698" w:type="dxa"/>
          </w:tcPr>
          <w:p w14:paraId="0A06FA7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14 393</w:t>
            </w:r>
          </w:p>
        </w:tc>
        <w:tc>
          <w:tcPr>
            <w:tcW w:w="794" w:type="dxa"/>
          </w:tcPr>
          <w:p w14:paraId="48C4470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14 772</w:t>
            </w:r>
          </w:p>
        </w:tc>
        <w:tc>
          <w:tcPr>
            <w:tcW w:w="794" w:type="dxa"/>
          </w:tcPr>
          <w:p w14:paraId="2CE5CB8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15 321</w:t>
            </w:r>
          </w:p>
        </w:tc>
        <w:tc>
          <w:tcPr>
            <w:tcW w:w="794" w:type="dxa"/>
          </w:tcPr>
          <w:p w14:paraId="06BE012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15 724</w:t>
            </w:r>
          </w:p>
        </w:tc>
        <w:tc>
          <w:tcPr>
            <w:tcW w:w="794" w:type="dxa"/>
          </w:tcPr>
          <w:p w14:paraId="423E88A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16 038</w:t>
            </w:r>
          </w:p>
        </w:tc>
      </w:tr>
      <w:tr w:rsidR="005D339F" w:rsidRPr="00024787" w14:paraId="1F69692D"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48BE297C" w14:textId="77777777" w:rsidR="005D339F" w:rsidRPr="00024787" w:rsidRDefault="005D339F" w:rsidP="00024787">
            <w:pPr>
              <w:spacing w:after="0"/>
              <w:rPr>
                <w:sz w:val="16"/>
                <w:szCs w:val="16"/>
              </w:rPr>
            </w:pPr>
            <w:r w:rsidRPr="00024787">
              <w:rPr>
                <w:sz w:val="16"/>
                <w:szCs w:val="16"/>
              </w:rPr>
              <w:t>Grants</w:t>
            </w:r>
          </w:p>
        </w:tc>
        <w:tc>
          <w:tcPr>
            <w:tcW w:w="698" w:type="dxa"/>
          </w:tcPr>
          <w:p w14:paraId="424A5B1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44 846</w:t>
            </w:r>
          </w:p>
        </w:tc>
        <w:tc>
          <w:tcPr>
            <w:tcW w:w="794" w:type="dxa"/>
          </w:tcPr>
          <w:p w14:paraId="3994F0B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45 620</w:t>
            </w:r>
          </w:p>
        </w:tc>
        <w:tc>
          <w:tcPr>
            <w:tcW w:w="794" w:type="dxa"/>
          </w:tcPr>
          <w:p w14:paraId="21E3B69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49 181</w:t>
            </w:r>
          </w:p>
        </w:tc>
        <w:tc>
          <w:tcPr>
            <w:tcW w:w="794" w:type="dxa"/>
          </w:tcPr>
          <w:p w14:paraId="37E14A8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49 876</w:t>
            </w:r>
          </w:p>
        </w:tc>
        <w:tc>
          <w:tcPr>
            <w:tcW w:w="794" w:type="dxa"/>
          </w:tcPr>
          <w:p w14:paraId="58F3E37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51 339</w:t>
            </w:r>
          </w:p>
        </w:tc>
      </w:tr>
      <w:tr w:rsidR="005D339F" w:rsidRPr="00024787" w14:paraId="6D06F7BD"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29F4B83E" w14:textId="77777777" w:rsidR="005D339F" w:rsidRPr="00024787" w:rsidRDefault="005D339F" w:rsidP="00024787">
            <w:pPr>
              <w:spacing w:after="0"/>
              <w:rPr>
                <w:sz w:val="16"/>
                <w:szCs w:val="16"/>
              </w:rPr>
            </w:pPr>
            <w:r w:rsidRPr="00024787">
              <w:rPr>
                <w:sz w:val="16"/>
                <w:szCs w:val="16"/>
              </w:rPr>
              <w:t>Other revenue and income</w:t>
            </w:r>
          </w:p>
        </w:tc>
        <w:tc>
          <w:tcPr>
            <w:tcW w:w="698" w:type="dxa"/>
            <w:tcBorders>
              <w:bottom w:val="single" w:sz="6" w:space="0" w:color="auto"/>
            </w:tcBorders>
          </w:tcPr>
          <w:p w14:paraId="2C4CF4A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3 883</w:t>
            </w:r>
          </w:p>
        </w:tc>
        <w:tc>
          <w:tcPr>
            <w:tcW w:w="794" w:type="dxa"/>
            <w:tcBorders>
              <w:bottom w:val="single" w:sz="6" w:space="0" w:color="auto"/>
            </w:tcBorders>
          </w:tcPr>
          <w:p w14:paraId="1F523AC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4 430</w:t>
            </w:r>
          </w:p>
        </w:tc>
        <w:tc>
          <w:tcPr>
            <w:tcW w:w="794" w:type="dxa"/>
            <w:tcBorders>
              <w:bottom w:val="single" w:sz="6" w:space="0" w:color="auto"/>
            </w:tcBorders>
          </w:tcPr>
          <w:p w14:paraId="30A5C02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4 045</w:t>
            </w:r>
          </w:p>
        </w:tc>
        <w:tc>
          <w:tcPr>
            <w:tcW w:w="794" w:type="dxa"/>
            <w:tcBorders>
              <w:bottom w:val="single" w:sz="6" w:space="0" w:color="auto"/>
            </w:tcBorders>
          </w:tcPr>
          <w:p w14:paraId="61C98C8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4 610</w:t>
            </w:r>
          </w:p>
        </w:tc>
        <w:tc>
          <w:tcPr>
            <w:tcW w:w="794" w:type="dxa"/>
            <w:tcBorders>
              <w:bottom w:val="single" w:sz="6" w:space="0" w:color="auto"/>
            </w:tcBorders>
          </w:tcPr>
          <w:p w14:paraId="0C211A9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4 384</w:t>
            </w:r>
          </w:p>
        </w:tc>
      </w:tr>
      <w:tr w:rsidR="005D339F" w:rsidRPr="00024787" w14:paraId="77C5DFA6"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3F5AED6B" w14:textId="77777777" w:rsidR="005D339F" w:rsidRPr="00024787" w:rsidRDefault="005D339F" w:rsidP="00024787">
            <w:pPr>
              <w:spacing w:after="0"/>
              <w:rPr>
                <w:sz w:val="16"/>
                <w:szCs w:val="16"/>
              </w:rPr>
            </w:pPr>
            <w:r w:rsidRPr="00024787">
              <w:rPr>
                <w:b/>
                <w:sz w:val="16"/>
                <w:szCs w:val="16"/>
              </w:rPr>
              <w:t>Total revenue and income from transactions</w:t>
            </w:r>
          </w:p>
        </w:tc>
        <w:tc>
          <w:tcPr>
            <w:tcW w:w="698" w:type="dxa"/>
            <w:tcBorders>
              <w:top w:val="single" w:sz="6" w:space="0" w:color="auto"/>
            </w:tcBorders>
          </w:tcPr>
          <w:p w14:paraId="1E53011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103 042</w:t>
            </w:r>
          </w:p>
        </w:tc>
        <w:tc>
          <w:tcPr>
            <w:tcW w:w="794" w:type="dxa"/>
            <w:tcBorders>
              <w:top w:val="single" w:sz="6" w:space="0" w:color="auto"/>
            </w:tcBorders>
          </w:tcPr>
          <w:p w14:paraId="715E3D7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105 119</w:t>
            </w:r>
          </w:p>
        </w:tc>
        <w:tc>
          <w:tcPr>
            <w:tcW w:w="794" w:type="dxa"/>
            <w:tcBorders>
              <w:top w:val="single" w:sz="6" w:space="0" w:color="auto"/>
            </w:tcBorders>
          </w:tcPr>
          <w:p w14:paraId="476954E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110 889</w:t>
            </w:r>
          </w:p>
        </w:tc>
        <w:tc>
          <w:tcPr>
            <w:tcW w:w="794" w:type="dxa"/>
            <w:tcBorders>
              <w:top w:val="single" w:sz="6" w:space="0" w:color="auto"/>
            </w:tcBorders>
          </w:tcPr>
          <w:p w14:paraId="2EEAE4D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114 824</w:t>
            </w:r>
          </w:p>
        </w:tc>
        <w:tc>
          <w:tcPr>
            <w:tcW w:w="794" w:type="dxa"/>
            <w:tcBorders>
              <w:top w:val="single" w:sz="6" w:space="0" w:color="auto"/>
            </w:tcBorders>
          </w:tcPr>
          <w:p w14:paraId="04597AB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118 447</w:t>
            </w:r>
          </w:p>
        </w:tc>
      </w:tr>
      <w:tr w:rsidR="005D339F" w:rsidRPr="00024787" w14:paraId="2BDF661C"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7D21D857" w14:textId="77777777" w:rsidR="005D339F" w:rsidRPr="00024787" w:rsidRDefault="005D339F" w:rsidP="00024787">
            <w:pPr>
              <w:spacing w:after="0"/>
              <w:rPr>
                <w:sz w:val="16"/>
                <w:szCs w:val="16"/>
              </w:rPr>
            </w:pPr>
            <w:r w:rsidRPr="00024787">
              <w:rPr>
                <w:b/>
                <w:sz w:val="16"/>
                <w:szCs w:val="16"/>
              </w:rPr>
              <w:t>Expenses from transactions</w:t>
            </w:r>
          </w:p>
        </w:tc>
        <w:tc>
          <w:tcPr>
            <w:tcW w:w="698" w:type="dxa"/>
          </w:tcPr>
          <w:p w14:paraId="1675775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336F460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4EDF429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60A0A2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2A341A3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32C4F34C"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345D12BE" w14:textId="77777777" w:rsidR="005D339F" w:rsidRPr="00024787" w:rsidRDefault="005D339F" w:rsidP="00024787">
            <w:pPr>
              <w:spacing w:after="0"/>
              <w:rPr>
                <w:sz w:val="16"/>
                <w:szCs w:val="16"/>
              </w:rPr>
            </w:pPr>
            <w:r w:rsidRPr="00024787">
              <w:rPr>
                <w:sz w:val="16"/>
                <w:szCs w:val="16"/>
              </w:rPr>
              <w:t>Employee expenses</w:t>
            </w:r>
          </w:p>
        </w:tc>
        <w:tc>
          <w:tcPr>
            <w:tcW w:w="698" w:type="dxa"/>
          </w:tcPr>
          <w:p w14:paraId="71A4E34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38 282</w:t>
            </w:r>
          </w:p>
        </w:tc>
        <w:tc>
          <w:tcPr>
            <w:tcW w:w="794" w:type="dxa"/>
          </w:tcPr>
          <w:p w14:paraId="5DB110D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39 378</w:t>
            </w:r>
          </w:p>
        </w:tc>
        <w:tc>
          <w:tcPr>
            <w:tcW w:w="794" w:type="dxa"/>
          </w:tcPr>
          <w:p w14:paraId="6CDFB1F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40 221</w:t>
            </w:r>
          </w:p>
        </w:tc>
        <w:tc>
          <w:tcPr>
            <w:tcW w:w="794" w:type="dxa"/>
          </w:tcPr>
          <w:p w14:paraId="5CBC255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41 876</w:t>
            </w:r>
          </w:p>
        </w:tc>
        <w:tc>
          <w:tcPr>
            <w:tcW w:w="794" w:type="dxa"/>
          </w:tcPr>
          <w:p w14:paraId="38F1E40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43 121</w:t>
            </w:r>
          </w:p>
        </w:tc>
      </w:tr>
      <w:tr w:rsidR="005D339F" w:rsidRPr="00024787" w14:paraId="5DFAF4C2"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48B68AE4" w14:textId="77777777" w:rsidR="005D339F" w:rsidRPr="00024787" w:rsidRDefault="005D339F" w:rsidP="00024787">
            <w:pPr>
              <w:spacing w:after="0"/>
              <w:rPr>
                <w:sz w:val="16"/>
                <w:szCs w:val="16"/>
              </w:rPr>
            </w:pPr>
            <w:r w:rsidRPr="00024787">
              <w:rPr>
                <w:sz w:val="16"/>
                <w:szCs w:val="16"/>
              </w:rPr>
              <w:t>Net superannuation interest expense</w:t>
            </w:r>
          </w:p>
        </w:tc>
        <w:tc>
          <w:tcPr>
            <w:tcW w:w="698" w:type="dxa"/>
          </w:tcPr>
          <w:p w14:paraId="1DFB365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778</w:t>
            </w:r>
          </w:p>
        </w:tc>
        <w:tc>
          <w:tcPr>
            <w:tcW w:w="794" w:type="dxa"/>
          </w:tcPr>
          <w:p w14:paraId="496004C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788</w:t>
            </w:r>
          </w:p>
        </w:tc>
        <w:tc>
          <w:tcPr>
            <w:tcW w:w="794" w:type="dxa"/>
          </w:tcPr>
          <w:p w14:paraId="03A39B4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791</w:t>
            </w:r>
          </w:p>
        </w:tc>
        <w:tc>
          <w:tcPr>
            <w:tcW w:w="794" w:type="dxa"/>
          </w:tcPr>
          <w:p w14:paraId="36890F5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800</w:t>
            </w:r>
          </w:p>
        </w:tc>
        <w:tc>
          <w:tcPr>
            <w:tcW w:w="794" w:type="dxa"/>
          </w:tcPr>
          <w:p w14:paraId="431D816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789</w:t>
            </w:r>
          </w:p>
        </w:tc>
      </w:tr>
      <w:tr w:rsidR="005D339F" w:rsidRPr="00024787" w14:paraId="0FA90623"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7F8C9F39" w14:textId="77777777" w:rsidR="005D339F" w:rsidRPr="00024787" w:rsidRDefault="005D339F" w:rsidP="00024787">
            <w:pPr>
              <w:spacing w:after="0"/>
              <w:rPr>
                <w:sz w:val="16"/>
                <w:szCs w:val="16"/>
              </w:rPr>
            </w:pPr>
            <w:r w:rsidRPr="00024787">
              <w:rPr>
                <w:sz w:val="16"/>
                <w:szCs w:val="16"/>
              </w:rPr>
              <w:t>Other superannuation</w:t>
            </w:r>
          </w:p>
        </w:tc>
        <w:tc>
          <w:tcPr>
            <w:tcW w:w="698" w:type="dxa"/>
          </w:tcPr>
          <w:p w14:paraId="50C54B5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4 076</w:t>
            </w:r>
          </w:p>
        </w:tc>
        <w:tc>
          <w:tcPr>
            <w:tcW w:w="794" w:type="dxa"/>
          </w:tcPr>
          <w:p w14:paraId="3BE8F9C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4 311</w:t>
            </w:r>
          </w:p>
        </w:tc>
        <w:tc>
          <w:tcPr>
            <w:tcW w:w="794" w:type="dxa"/>
          </w:tcPr>
          <w:p w14:paraId="73C38D6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4 365</w:t>
            </w:r>
          </w:p>
        </w:tc>
        <w:tc>
          <w:tcPr>
            <w:tcW w:w="794" w:type="dxa"/>
          </w:tcPr>
          <w:p w14:paraId="30148C2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4 490</w:t>
            </w:r>
          </w:p>
        </w:tc>
        <w:tc>
          <w:tcPr>
            <w:tcW w:w="794" w:type="dxa"/>
          </w:tcPr>
          <w:p w14:paraId="1F515EA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4 662</w:t>
            </w:r>
          </w:p>
        </w:tc>
      </w:tr>
      <w:tr w:rsidR="005D339F" w:rsidRPr="00024787" w14:paraId="67817374"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625D1B8B" w14:textId="77777777" w:rsidR="005D339F" w:rsidRPr="00024787" w:rsidRDefault="005D339F" w:rsidP="00024787">
            <w:pPr>
              <w:spacing w:after="0"/>
              <w:rPr>
                <w:sz w:val="16"/>
                <w:szCs w:val="16"/>
              </w:rPr>
            </w:pPr>
            <w:r w:rsidRPr="00024787">
              <w:rPr>
                <w:sz w:val="16"/>
                <w:szCs w:val="16"/>
              </w:rPr>
              <w:t>Depreciation</w:t>
            </w:r>
          </w:p>
        </w:tc>
        <w:tc>
          <w:tcPr>
            <w:tcW w:w="698" w:type="dxa"/>
          </w:tcPr>
          <w:p w14:paraId="28F6917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8 700</w:t>
            </w:r>
          </w:p>
        </w:tc>
        <w:tc>
          <w:tcPr>
            <w:tcW w:w="794" w:type="dxa"/>
          </w:tcPr>
          <w:p w14:paraId="16385B2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8 887</w:t>
            </w:r>
          </w:p>
        </w:tc>
        <w:tc>
          <w:tcPr>
            <w:tcW w:w="794" w:type="dxa"/>
          </w:tcPr>
          <w:p w14:paraId="0B0CB7F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9 546</w:t>
            </w:r>
          </w:p>
        </w:tc>
        <w:tc>
          <w:tcPr>
            <w:tcW w:w="794" w:type="dxa"/>
          </w:tcPr>
          <w:p w14:paraId="01FB24D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9 940</w:t>
            </w:r>
          </w:p>
        </w:tc>
        <w:tc>
          <w:tcPr>
            <w:tcW w:w="794" w:type="dxa"/>
          </w:tcPr>
          <w:p w14:paraId="1AC08A2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10 125</w:t>
            </w:r>
          </w:p>
        </w:tc>
      </w:tr>
      <w:tr w:rsidR="005D339F" w:rsidRPr="00024787" w14:paraId="54AADF22"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6C372632" w14:textId="77777777" w:rsidR="005D339F" w:rsidRPr="00024787" w:rsidRDefault="005D339F" w:rsidP="00024787">
            <w:pPr>
              <w:spacing w:after="0"/>
              <w:rPr>
                <w:sz w:val="16"/>
                <w:szCs w:val="16"/>
              </w:rPr>
            </w:pPr>
            <w:r w:rsidRPr="00024787">
              <w:rPr>
                <w:sz w:val="16"/>
                <w:szCs w:val="16"/>
              </w:rPr>
              <w:t>Interest expense</w:t>
            </w:r>
          </w:p>
        </w:tc>
        <w:tc>
          <w:tcPr>
            <w:tcW w:w="698" w:type="dxa"/>
          </w:tcPr>
          <w:p w14:paraId="1AC12C1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7 171</w:t>
            </w:r>
          </w:p>
        </w:tc>
        <w:tc>
          <w:tcPr>
            <w:tcW w:w="794" w:type="dxa"/>
          </w:tcPr>
          <w:p w14:paraId="7FC49B8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7 169</w:t>
            </w:r>
          </w:p>
        </w:tc>
        <w:tc>
          <w:tcPr>
            <w:tcW w:w="794" w:type="dxa"/>
          </w:tcPr>
          <w:p w14:paraId="3490A1C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8 252</w:t>
            </w:r>
          </w:p>
        </w:tc>
        <w:tc>
          <w:tcPr>
            <w:tcW w:w="794" w:type="dxa"/>
          </w:tcPr>
          <w:p w14:paraId="2B9C223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9 311</w:t>
            </w:r>
          </w:p>
        </w:tc>
        <w:tc>
          <w:tcPr>
            <w:tcW w:w="794" w:type="dxa"/>
          </w:tcPr>
          <w:p w14:paraId="1FD8A12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10 408</w:t>
            </w:r>
          </w:p>
        </w:tc>
      </w:tr>
      <w:tr w:rsidR="005D339F" w:rsidRPr="00024787" w14:paraId="6336969D"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3A3EFB43" w14:textId="77777777" w:rsidR="005D339F" w:rsidRPr="00024787" w:rsidRDefault="005D339F" w:rsidP="00024787">
            <w:pPr>
              <w:spacing w:after="0"/>
              <w:rPr>
                <w:sz w:val="16"/>
                <w:szCs w:val="16"/>
              </w:rPr>
            </w:pPr>
            <w:r w:rsidRPr="00024787">
              <w:rPr>
                <w:sz w:val="16"/>
                <w:szCs w:val="16"/>
              </w:rPr>
              <w:t>Grant expense</w:t>
            </w:r>
          </w:p>
        </w:tc>
        <w:tc>
          <w:tcPr>
            <w:tcW w:w="698" w:type="dxa"/>
          </w:tcPr>
          <w:p w14:paraId="1D3A000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15 611</w:t>
            </w:r>
          </w:p>
        </w:tc>
        <w:tc>
          <w:tcPr>
            <w:tcW w:w="794" w:type="dxa"/>
          </w:tcPr>
          <w:p w14:paraId="551EBE7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15 368</w:t>
            </w:r>
          </w:p>
        </w:tc>
        <w:tc>
          <w:tcPr>
            <w:tcW w:w="794" w:type="dxa"/>
          </w:tcPr>
          <w:p w14:paraId="177EADF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15 664</w:t>
            </w:r>
          </w:p>
        </w:tc>
        <w:tc>
          <w:tcPr>
            <w:tcW w:w="794" w:type="dxa"/>
          </w:tcPr>
          <w:p w14:paraId="71E5579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15 652</w:t>
            </w:r>
          </w:p>
        </w:tc>
        <w:tc>
          <w:tcPr>
            <w:tcW w:w="794" w:type="dxa"/>
          </w:tcPr>
          <w:p w14:paraId="065E1AC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15 804</w:t>
            </w:r>
          </w:p>
        </w:tc>
      </w:tr>
      <w:tr w:rsidR="005D339F" w:rsidRPr="00024787" w14:paraId="2E23508C"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403D0011" w14:textId="77777777" w:rsidR="005D339F" w:rsidRPr="00024787" w:rsidRDefault="005D339F" w:rsidP="00024787">
            <w:pPr>
              <w:spacing w:after="0"/>
              <w:rPr>
                <w:sz w:val="16"/>
                <w:szCs w:val="16"/>
              </w:rPr>
            </w:pPr>
            <w:r w:rsidRPr="00024787">
              <w:rPr>
                <w:sz w:val="16"/>
                <w:szCs w:val="16"/>
              </w:rPr>
              <w:t>Other operating expenses</w:t>
            </w:r>
          </w:p>
        </w:tc>
        <w:tc>
          <w:tcPr>
            <w:tcW w:w="698" w:type="dxa"/>
          </w:tcPr>
          <w:p w14:paraId="7F386FC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32 026</w:t>
            </w:r>
          </w:p>
        </w:tc>
        <w:tc>
          <w:tcPr>
            <w:tcW w:w="794" w:type="dxa"/>
          </w:tcPr>
          <w:p w14:paraId="3324285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34 132</w:t>
            </w:r>
          </w:p>
        </w:tc>
        <w:tc>
          <w:tcPr>
            <w:tcW w:w="794" w:type="dxa"/>
          </w:tcPr>
          <w:p w14:paraId="0D2B5FC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32 123</w:t>
            </w:r>
          </w:p>
        </w:tc>
        <w:tc>
          <w:tcPr>
            <w:tcW w:w="794" w:type="dxa"/>
          </w:tcPr>
          <w:p w14:paraId="5407140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32 846</w:t>
            </w:r>
          </w:p>
        </w:tc>
        <w:tc>
          <w:tcPr>
            <w:tcW w:w="794" w:type="dxa"/>
          </w:tcPr>
          <w:p w14:paraId="2E9891E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33 396</w:t>
            </w:r>
          </w:p>
        </w:tc>
      </w:tr>
      <w:tr w:rsidR="005D339F" w:rsidRPr="00024787" w14:paraId="425EF8DC"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6" w:space="0" w:color="auto"/>
            </w:tcBorders>
          </w:tcPr>
          <w:p w14:paraId="1BD5D2B8" w14:textId="77777777" w:rsidR="005D339F" w:rsidRPr="00024787" w:rsidRDefault="005D339F" w:rsidP="00024787">
            <w:pPr>
              <w:spacing w:after="0"/>
              <w:rPr>
                <w:sz w:val="16"/>
                <w:szCs w:val="16"/>
              </w:rPr>
            </w:pPr>
            <w:r w:rsidRPr="00024787">
              <w:rPr>
                <w:b/>
                <w:sz w:val="16"/>
                <w:szCs w:val="16"/>
              </w:rPr>
              <w:t>Total expenses from transactions</w:t>
            </w:r>
          </w:p>
        </w:tc>
        <w:tc>
          <w:tcPr>
            <w:tcW w:w="698" w:type="dxa"/>
            <w:tcBorders>
              <w:top w:val="single" w:sz="6" w:space="0" w:color="auto"/>
              <w:bottom w:val="single" w:sz="6" w:space="0" w:color="auto"/>
            </w:tcBorders>
          </w:tcPr>
          <w:p w14:paraId="750197B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106 644</w:t>
            </w:r>
          </w:p>
        </w:tc>
        <w:tc>
          <w:tcPr>
            <w:tcW w:w="794" w:type="dxa"/>
            <w:tcBorders>
              <w:top w:val="single" w:sz="6" w:space="0" w:color="auto"/>
              <w:bottom w:val="single" w:sz="6" w:space="0" w:color="auto"/>
            </w:tcBorders>
          </w:tcPr>
          <w:p w14:paraId="5926FEA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110 034</w:t>
            </w:r>
          </w:p>
        </w:tc>
        <w:tc>
          <w:tcPr>
            <w:tcW w:w="794" w:type="dxa"/>
            <w:tcBorders>
              <w:top w:val="single" w:sz="6" w:space="0" w:color="auto"/>
              <w:bottom w:val="single" w:sz="6" w:space="0" w:color="auto"/>
            </w:tcBorders>
          </w:tcPr>
          <w:p w14:paraId="48045A8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110 962</w:t>
            </w:r>
          </w:p>
        </w:tc>
        <w:tc>
          <w:tcPr>
            <w:tcW w:w="794" w:type="dxa"/>
            <w:tcBorders>
              <w:top w:val="single" w:sz="6" w:space="0" w:color="auto"/>
              <w:bottom w:val="single" w:sz="6" w:space="0" w:color="auto"/>
            </w:tcBorders>
          </w:tcPr>
          <w:p w14:paraId="6A11012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114 915</w:t>
            </w:r>
          </w:p>
        </w:tc>
        <w:tc>
          <w:tcPr>
            <w:tcW w:w="794" w:type="dxa"/>
            <w:tcBorders>
              <w:top w:val="single" w:sz="6" w:space="0" w:color="auto"/>
              <w:bottom w:val="single" w:sz="6" w:space="0" w:color="auto"/>
            </w:tcBorders>
          </w:tcPr>
          <w:p w14:paraId="2965D31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118 304</w:t>
            </w:r>
          </w:p>
        </w:tc>
      </w:tr>
      <w:tr w:rsidR="005D339F" w:rsidRPr="00024787" w14:paraId="6747C66B"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507DE6EA" w14:textId="0D65C02D" w:rsidR="005D339F" w:rsidRPr="00024787" w:rsidRDefault="005D339F" w:rsidP="00024787">
            <w:pPr>
              <w:spacing w:after="0"/>
              <w:rPr>
                <w:sz w:val="16"/>
                <w:szCs w:val="16"/>
              </w:rPr>
            </w:pPr>
            <w:r w:rsidRPr="00024787">
              <w:rPr>
                <w:b/>
                <w:sz w:val="16"/>
                <w:szCs w:val="16"/>
              </w:rPr>
              <w:t xml:space="preserve">Net result from transactions – </w:t>
            </w:r>
            <w:r w:rsidR="00024787" w:rsidRPr="00024787">
              <w:rPr>
                <w:b/>
                <w:sz w:val="16"/>
                <w:szCs w:val="16"/>
              </w:rPr>
              <w:t xml:space="preserve">Net </w:t>
            </w:r>
            <w:r w:rsidRPr="00024787">
              <w:rPr>
                <w:b/>
                <w:sz w:val="16"/>
                <w:szCs w:val="16"/>
              </w:rPr>
              <w:t>operating balance</w:t>
            </w:r>
          </w:p>
        </w:tc>
        <w:tc>
          <w:tcPr>
            <w:tcW w:w="698" w:type="dxa"/>
            <w:tcBorders>
              <w:top w:val="single" w:sz="6" w:space="0" w:color="auto"/>
              <w:bottom w:val="single" w:sz="12" w:space="0" w:color="auto"/>
            </w:tcBorders>
          </w:tcPr>
          <w:p w14:paraId="0910746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(3 602)</w:t>
            </w:r>
          </w:p>
        </w:tc>
        <w:tc>
          <w:tcPr>
            <w:tcW w:w="794" w:type="dxa"/>
            <w:tcBorders>
              <w:top w:val="single" w:sz="6" w:space="0" w:color="auto"/>
              <w:bottom w:val="single" w:sz="12" w:space="0" w:color="auto"/>
            </w:tcBorders>
          </w:tcPr>
          <w:p w14:paraId="574F562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(4 915)</w:t>
            </w:r>
          </w:p>
        </w:tc>
        <w:tc>
          <w:tcPr>
            <w:tcW w:w="794" w:type="dxa"/>
            <w:tcBorders>
              <w:top w:val="single" w:sz="6" w:space="0" w:color="auto"/>
              <w:bottom w:val="single" w:sz="12" w:space="0" w:color="auto"/>
            </w:tcBorders>
          </w:tcPr>
          <w:p w14:paraId="19A83CB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(72)</w:t>
            </w:r>
          </w:p>
        </w:tc>
        <w:tc>
          <w:tcPr>
            <w:tcW w:w="794" w:type="dxa"/>
            <w:tcBorders>
              <w:top w:val="single" w:sz="6" w:space="0" w:color="auto"/>
              <w:bottom w:val="single" w:sz="12" w:space="0" w:color="auto"/>
            </w:tcBorders>
          </w:tcPr>
          <w:p w14:paraId="662DA3E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(91)</w:t>
            </w:r>
          </w:p>
        </w:tc>
        <w:tc>
          <w:tcPr>
            <w:tcW w:w="794" w:type="dxa"/>
            <w:tcBorders>
              <w:top w:val="single" w:sz="6" w:space="0" w:color="auto"/>
              <w:bottom w:val="single" w:sz="12" w:space="0" w:color="auto"/>
            </w:tcBorders>
          </w:tcPr>
          <w:p w14:paraId="7FF4A41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142</w:t>
            </w:r>
          </w:p>
        </w:tc>
      </w:tr>
      <w:tr w:rsidR="005D339F" w:rsidRPr="00024787" w14:paraId="3A09621D"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4793DC66" w14:textId="77777777" w:rsidR="005D339F" w:rsidRPr="00024787" w:rsidRDefault="005D339F" w:rsidP="00024787">
            <w:pPr>
              <w:spacing w:after="0"/>
              <w:rPr>
                <w:sz w:val="16"/>
                <w:szCs w:val="16"/>
              </w:rPr>
            </w:pPr>
            <w:r w:rsidRPr="00024787">
              <w:rPr>
                <w:b/>
                <w:sz w:val="16"/>
                <w:szCs w:val="16"/>
              </w:rPr>
              <w:t>Other economic flows included in net result</w:t>
            </w:r>
          </w:p>
        </w:tc>
        <w:tc>
          <w:tcPr>
            <w:tcW w:w="698" w:type="dxa"/>
            <w:tcBorders>
              <w:top w:val="single" w:sz="6" w:space="0" w:color="auto"/>
            </w:tcBorders>
          </w:tcPr>
          <w:p w14:paraId="0E7B139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22AC50B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47A15EC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14BE2AD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5E7E9AE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0F19D22B"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1505D658" w14:textId="77777777" w:rsidR="005D339F" w:rsidRPr="00024787" w:rsidRDefault="005D339F" w:rsidP="00024787">
            <w:pPr>
              <w:spacing w:after="0"/>
              <w:rPr>
                <w:sz w:val="16"/>
                <w:szCs w:val="16"/>
              </w:rPr>
            </w:pPr>
            <w:r w:rsidRPr="00024787">
              <w:rPr>
                <w:sz w:val="16"/>
                <w:szCs w:val="16"/>
              </w:rPr>
              <w:t>Net gain/(loss) on disposal of non</w:t>
            </w:r>
            <w:r w:rsidRPr="00024787">
              <w:rPr>
                <w:sz w:val="16"/>
                <w:szCs w:val="16"/>
              </w:rPr>
              <w:noBreakHyphen/>
              <w:t>financial assets</w:t>
            </w:r>
          </w:p>
        </w:tc>
        <w:tc>
          <w:tcPr>
            <w:tcW w:w="698" w:type="dxa"/>
          </w:tcPr>
          <w:p w14:paraId="1BFC9F5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63</w:t>
            </w:r>
          </w:p>
        </w:tc>
        <w:tc>
          <w:tcPr>
            <w:tcW w:w="794" w:type="dxa"/>
          </w:tcPr>
          <w:p w14:paraId="4579E7B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62</w:t>
            </w:r>
          </w:p>
        </w:tc>
        <w:tc>
          <w:tcPr>
            <w:tcW w:w="794" w:type="dxa"/>
          </w:tcPr>
          <w:p w14:paraId="70BAE47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67</w:t>
            </w:r>
          </w:p>
        </w:tc>
        <w:tc>
          <w:tcPr>
            <w:tcW w:w="794" w:type="dxa"/>
          </w:tcPr>
          <w:p w14:paraId="4CDAAD2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43</w:t>
            </w:r>
          </w:p>
        </w:tc>
        <w:tc>
          <w:tcPr>
            <w:tcW w:w="794" w:type="dxa"/>
          </w:tcPr>
          <w:p w14:paraId="7C316C6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305</w:t>
            </w:r>
          </w:p>
        </w:tc>
      </w:tr>
      <w:tr w:rsidR="005D339F" w:rsidRPr="00024787" w14:paraId="178BD238"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6CA06833" w14:textId="019F6D72" w:rsidR="005D339F" w:rsidRPr="00024787" w:rsidRDefault="005D339F" w:rsidP="00024787">
            <w:pPr>
              <w:spacing w:after="0"/>
              <w:rPr>
                <w:sz w:val="16"/>
                <w:szCs w:val="16"/>
              </w:rPr>
            </w:pPr>
            <w:r w:rsidRPr="00024787">
              <w:rPr>
                <w:sz w:val="16"/>
                <w:szCs w:val="16"/>
              </w:rPr>
              <w:t xml:space="preserve">Net gain/(loss) on financial assets or liabilities at </w:t>
            </w:r>
            <w:r w:rsidR="008327BC">
              <w:rPr>
                <w:sz w:val="16"/>
                <w:szCs w:val="16"/>
              </w:rPr>
              <w:br/>
            </w:r>
            <w:r w:rsidRPr="00024787">
              <w:rPr>
                <w:sz w:val="16"/>
                <w:szCs w:val="16"/>
              </w:rPr>
              <w:t>fair value</w:t>
            </w:r>
          </w:p>
        </w:tc>
        <w:tc>
          <w:tcPr>
            <w:tcW w:w="698" w:type="dxa"/>
          </w:tcPr>
          <w:p w14:paraId="60CA6FA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80</w:t>
            </w:r>
          </w:p>
        </w:tc>
        <w:tc>
          <w:tcPr>
            <w:tcW w:w="794" w:type="dxa"/>
          </w:tcPr>
          <w:p w14:paraId="512A2EB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238</w:t>
            </w:r>
          </w:p>
        </w:tc>
        <w:tc>
          <w:tcPr>
            <w:tcW w:w="794" w:type="dxa"/>
          </w:tcPr>
          <w:p w14:paraId="5A4EDC2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164</w:t>
            </w:r>
          </w:p>
        </w:tc>
        <w:tc>
          <w:tcPr>
            <w:tcW w:w="794" w:type="dxa"/>
          </w:tcPr>
          <w:p w14:paraId="1E617EF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248</w:t>
            </w:r>
          </w:p>
        </w:tc>
        <w:tc>
          <w:tcPr>
            <w:tcW w:w="794" w:type="dxa"/>
          </w:tcPr>
          <w:p w14:paraId="1D4FC02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267</w:t>
            </w:r>
          </w:p>
        </w:tc>
      </w:tr>
      <w:tr w:rsidR="005D339F" w:rsidRPr="00024787" w14:paraId="1E2E76D6"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6A0C6257" w14:textId="77777777" w:rsidR="005D339F" w:rsidRPr="00024787" w:rsidRDefault="005D339F" w:rsidP="00024787">
            <w:pPr>
              <w:spacing w:after="0"/>
              <w:rPr>
                <w:sz w:val="16"/>
                <w:szCs w:val="16"/>
              </w:rPr>
            </w:pPr>
            <w:r w:rsidRPr="00024787">
              <w:rPr>
                <w:sz w:val="16"/>
                <w:szCs w:val="16"/>
              </w:rPr>
              <w:t>Share of net profit/(loss) from associates/joint venture entities</w:t>
            </w:r>
          </w:p>
        </w:tc>
        <w:tc>
          <w:tcPr>
            <w:tcW w:w="698" w:type="dxa"/>
          </w:tcPr>
          <w:p w14:paraId="7825A60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32</w:t>
            </w:r>
          </w:p>
        </w:tc>
        <w:tc>
          <w:tcPr>
            <w:tcW w:w="794" w:type="dxa"/>
          </w:tcPr>
          <w:p w14:paraId="576049F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(45)</w:t>
            </w:r>
          </w:p>
        </w:tc>
        <w:tc>
          <w:tcPr>
            <w:tcW w:w="794" w:type="dxa"/>
          </w:tcPr>
          <w:p w14:paraId="2403662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(29)</w:t>
            </w:r>
          </w:p>
        </w:tc>
        <w:tc>
          <w:tcPr>
            <w:tcW w:w="794" w:type="dxa"/>
          </w:tcPr>
          <w:p w14:paraId="31718CB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(33)</w:t>
            </w:r>
          </w:p>
        </w:tc>
        <w:tc>
          <w:tcPr>
            <w:tcW w:w="794" w:type="dxa"/>
          </w:tcPr>
          <w:p w14:paraId="6C3090C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(34)</w:t>
            </w:r>
          </w:p>
        </w:tc>
      </w:tr>
      <w:tr w:rsidR="005D339F" w:rsidRPr="00024787" w14:paraId="45EC5ABB"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7791BC17" w14:textId="77777777" w:rsidR="005D339F" w:rsidRPr="00024787" w:rsidRDefault="005D339F" w:rsidP="00024787">
            <w:pPr>
              <w:spacing w:after="0"/>
              <w:rPr>
                <w:sz w:val="16"/>
                <w:szCs w:val="16"/>
              </w:rPr>
            </w:pPr>
            <w:r w:rsidRPr="00024787">
              <w:rPr>
                <w:sz w:val="16"/>
                <w:szCs w:val="16"/>
              </w:rPr>
              <w:t>Other gains/(losses) from other economic flows</w:t>
            </w:r>
          </w:p>
        </w:tc>
        <w:tc>
          <w:tcPr>
            <w:tcW w:w="698" w:type="dxa"/>
            <w:tcBorders>
              <w:bottom w:val="single" w:sz="6" w:space="0" w:color="auto"/>
            </w:tcBorders>
          </w:tcPr>
          <w:p w14:paraId="2CE9C21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(523)</w:t>
            </w:r>
          </w:p>
        </w:tc>
        <w:tc>
          <w:tcPr>
            <w:tcW w:w="794" w:type="dxa"/>
            <w:tcBorders>
              <w:bottom w:val="single" w:sz="6" w:space="0" w:color="auto"/>
            </w:tcBorders>
          </w:tcPr>
          <w:p w14:paraId="1EC75FB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(512)</w:t>
            </w:r>
          </w:p>
        </w:tc>
        <w:tc>
          <w:tcPr>
            <w:tcW w:w="794" w:type="dxa"/>
            <w:tcBorders>
              <w:bottom w:val="single" w:sz="6" w:space="0" w:color="auto"/>
            </w:tcBorders>
          </w:tcPr>
          <w:p w14:paraId="61AEEEC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(460)</w:t>
            </w:r>
          </w:p>
        </w:tc>
        <w:tc>
          <w:tcPr>
            <w:tcW w:w="794" w:type="dxa"/>
            <w:tcBorders>
              <w:bottom w:val="single" w:sz="6" w:space="0" w:color="auto"/>
            </w:tcBorders>
          </w:tcPr>
          <w:p w14:paraId="0F0A39B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(480)</w:t>
            </w:r>
          </w:p>
        </w:tc>
        <w:tc>
          <w:tcPr>
            <w:tcW w:w="794" w:type="dxa"/>
            <w:tcBorders>
              <w:bottom w:val="single" w:sz="6" w:space="0" w:color="auto"/>
            </w:tcBorders>
          </w:tcPr>
          <w:p w14:paraId="1654953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(441)</w:t>
            </w:r>
          </w:p>
        </w:tc>
      </w:tr>
      <w:tr w:rsidR="005D339F" w:rsidRPr="00024787" w14:paraId="4470848E"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6" w:space="0" w:color="auto"/>
            </w:tcBorders>
          </w:tcPr>
          <w:p w14:paraId="1761A149" w14:textId="77777777" w:rsidR="005D339F" w:rsidRPr="00024787" w:rsidRDefault="005D339F" w:rsidP="00024787">
            <w:pPr>
              <w:spacing w:after="0"/>
              <w:rPr>
                <w:sz w:val="16"/>
                <w:szCs w:val="16"/>
              </w:rPr>
            </w:pPr>
            <w:r w:rsidRPr="00024787">
              <w:rPr>
                <w:b/>
                <w:sz w:val="16"/>
                <w:szCs w:val="16"/>
              </w:rPr>
              <w:t>Total other economic flows included in net result</w:t>
            </w:r>
          </w:p>
        </w:tc>
        <w:tc>
          <w:tcPr>
            <w:tcW w:w="698" w:type="dxa"/>
            <w:tcBorders>
              <w:top w:val="single" w:sz="6" w:space="0" w:color="auto"/>
              <w:bottom w:val="single" w:sz="6" w:space="0" w:color="auto"/>
            </w:tcBorders>
          </w:tcPr>
          <w:p w14:paraId="17752FD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(348)</w:t>
            </w:r>
          </w:p>
        </w:tc>
        <w:tc>
          <w:tcPr>
            <w:tcW w:w="794" w:type="dxa"/>
            <w:tcBorders>
              <w:top w:val="single" w:sz="6" w:space="0" w:color="auto"/>
              <w:bottom w:val="single" w:sz="6" w:space="0" w:color="auto"/>
            </w:tcBorders>
          </w:tcPr>
          <w:p w14:paraId="05B8CEB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(257)</w:t>
            </w:r>
          </w:p>
        </w:tc>
        <w:tc>
          <w:tcPr>
            <w:tcW w:w="794" w:type="dxa"/>
            <w:tcBorders>
              <w:top w:val="single" w:sz="6" w:space="0" w:color="auto"/>
              <w:bottom w:val="single" w:sz="6" w:space="0" w:color="auto"/>
            </w:tcBorders>
          </w:tcPr>
          <w:p w14:paraId="1DDE9E7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(258)</w:t>
            </w:r>
          </w:p>
        </w:tc>
        <w:tc>
          <w:tcPr>
            <w:tcW w:w="794" w:type="dxa"/>
            <w:tcBorders>
              <w:top w:val="single" w:sz="6" w:space="0" w:color="auto"/>
              <w:bottom w:val="single" w:sz="6" w:space="0" w:color="auto"/>
            </w:tcBorders>
          </w:tcPr>
          <w:p w14:paraId="007120B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(222)</w:t>
            </w:r>
          </w:p>
        </w:tc>
        <w:tc>
          <w:tcPr>
            <w:tcW w:w="794" w:type="dxa"/>
            <w:tcBorders>
              <w:top w:val="single" w:sz="6" w:space="0" w:color="auto"/>
              <w:bottom w:val="single" w:sz="6" w:space="0" w:color="auto"/>
            </w:tcBorders>
          </w:tcPr>
          <w:p w14:paraId="0F016AF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97</w:t>
            </w:r>
          </w:p>
        </w:tc>
      </w:tr>
      <w:tr w:rsidR="005D339F" w:rsidRPr="00024787" w14:paraId="03E3FD51"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2B9A1B3C" w14:textId="77777777" w:rsidR="005D339F" w:rsidRPr="00024787" w:rsidRDefault="005D339F" w:rsidP="00024787">
            <w:pPr>
              <w:spacing w:after="0"/>
              <w:rPr>
                <w:sz w:val="16"/>
                <w:szCs w:val="16"/>
              </w:rPr>
            </w:pPr>
            <w:r w:rsidRPr="00024787">
              <w:rPr>
                <w:b/>
                <w:sz w:val="16"/>
                <w:szCs w:val="16"/>
              </w:rPr>
              <w:t>Net result</w:t>
            </w:r>
          </w:p>
        </w:tc>
        <w:tc>
          <w:tcPr>
            <w:tcW w:w="698" w:type="dxa"/>
            <w:tcBorders>
              <w:top w:val="single" w:sz="6" w:space="0" w:color="auto"/>
              <w:bottom w:val="single" w:sz="12" w:space="0" w:color="auto"/>
            </w:tcBorders>
          </w:tcPr>
          <w:p w14:paraId="52138E4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(3 949)</w:t>
            </w:r>
          </w:p>
        </w:tc>
        <w:tc>
          <w:tcPr>
            <w:tcW w:w="794" w:type="dxa"/>
            <w:tcBorders>
              <w:top w:val="single" w:sz="6" w:space="0" w:color="auto"/>
              <w:bottom w:val="single" w:sz="12" w:space="0" w:color="auto"/>
            </w:tcBorders>
          </w:tcPr>
          <w:p w14:paraId="534656E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(5 172)</w:t>
            </w:r>
          </w:p>
        </w:tc>
        <w:tc>
          <w:tcPr>
            <w:tcW w:w="794" w:type="dxa"/>
            <w:tcBorders>
              <w:top w:val="single" w:sz="6" w:space="0" w:color="auto"/>
              <w:bottom w:val="single" w:sz="12" w:space="0" w:color="auto"/>
            </w:tcBorders>
          </w:tcPr>
          <w:p w14:paraId="4C814B6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(330)</w:t>
            </w:r>
          </w:p>
        </w:tc>
        <w:tc>
          <w:tcPr>
            <w:tcW w:w="794" w:type="dxa"/>
            <w:tcBorders>
              <w:top w:val="single" w:sz="6" w:space="0" w:color="auto"/>
              <w:bottom w:val="single" w:sz="12" w:space="0" w:color="auto"/>
            </w:tcBorders>
          </w:tcPr>
          <w:p w14:paraId="173602E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(312)</w:t>
            </w:r>
          </w:p>
        </w:tc>
        <w:tc>
          <w:tcPr>
            <w:tcW w:w="794" w:type="dxa"/>
            <w:tcBorders>
              <w:top w:val="single" w:sz="6" w:space="0" w:color="auto"/>
              <w:bottom w:val="single" w:sz="12" w:space="0" w:color="auto"/>
            </w:tcBorders>
          </w:tcPr>
          <w:p w14:paraId="0E1983D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240</w:t>
            </w:r>
          </w:p>
        </w:tc>
      </w:tr>
      <w:tr w:rsidR="005D339F" w:rsidRPr="00024787" w14:paraId="4EB24EAC"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tcBorders>
          </w:tcPr>
          <w:p w14:paraId="5C79CBF7" w14:textId="207846BB" w:rsidR="005D339F" w:rsidRPr="00024787" w:rsidRDefault="005D339F" w:rsidP="00024787">
            <w:pPr>
              <w:spacing w:after="0"/>
              <w:rPr>
                <w:sz w:val="16"/>
                <w:szCs w:val="16"/>
              </w:rPr>
            </w:pPr>
            <w:r w:rsidRPr="00024787">
              <w:rPr>
                <w:b/>
                <w:sz w:val="16"/>
                <w:szCs w:val="16"/>
              </w:rPr>
              <w:t xml:space="preserve">Other economic flows – </w:t>
            </w:r>
            <w:r w:rsidR="00024787" w:rsidRPr="00024787">
              <w:rPr>
                <w:b/>
                <w:sz w:val="16"/>
                <w:szCs w:val="16"/>
              </w:rPr>
              <w:t xml:space="preserve">Other </w:t>
            </w:r>
            <w:r w:rsidRPr="00024787">
              <w:rPr>
                <w:b/>
                <w:sz w:val="16"/>
                <w:szCs w:val="16"/>
              </w:rPr>
              <w:t>comprehensive income</w:t>
            </w:r>
          </w:p>
        </w:tc>
        <w:tc>
          <w:tcPr>
            <w:tcW w:w="698" w:type="dxa"/>
            <w:tcBorders>
              <w:top w:val="single" w:sz="6" w:space="0" w:color="auto"/>
            </w:tcBorders>
          </w:tcPr>
          <w:p w14:paraId="47929DC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5EBB5CA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54DDE3C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5F775DB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015255C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3C5BC000"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2980F4FA" w14:textId="77777777" w:rsidR="005D339F" w:rsidRPr="00024787" w:rsidRDefault="005D339F" w:rsidP="00024787">
            <w:pPr>
              <w:spacing w:after="0"/>
              <w:rPr>
                <w:sz w:val="16"/>
                <w:szCs w:val="16"/>
              </w:rPr>
            </w:pPr>
            <w:r w:rsidRPr="00024787">
              <w:rPr>
                <w:b/>
                <w:sz w:val="16"/>
                <w:szCs w:val="16"/>
              </w:rPr>
              <w:t>Items that will not be reclassified to net result</w:t>
            </w:r>
          </w:p>
        </w:tc>
        <w:tc>
          <w:tcPr>
            <w:tcW w:w="698" w:type="dxa"/>
          </w:tcPr>
          <w:p w14:paraId="5342ED9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49A2953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D4388D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22E597D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5CFEF72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21C60D20"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26E18204" w14:textId="77777777" w:rsidR="005D339F" w:rsidRPr="00024787" w:rsidRDefault="005D339F" w:rsidP="00024787">
            <w:pPr>
              <w:spacing w:after="0"/>
              <w:rPr>
                <w:sz w:val="16"/>
                <w:szCs w:val="16"/>
              </w:rPr>
            </w:pPr>
            <w:r w:rsidRPr="00024787">
              <w:rPr>
                <w:sz w:val="16"/>
                <w:szCs w:val="16"/>
              </w:rPr>
              <w:t>Changes in non</w:t>
            </w:r>
            <w:r w:rsidRPr="00024787">
              <w:rPr>
                <w:sz w:val="16"/>
                <w:szCs w:val="16"/>
              </w:rPr>
              <w:noBreakHyphen/>
              <w:t>financial assets revaluation surplus</w:t>
            </w:r>
          </w:p>
        </w:tc>
        <w:tc>
          <w:tcPr>
            <w:tcW w:w="698" w:type="dxa"/>
          </w:tcPr>
          <w:p w14:paraId="344587E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6 843</w:t>
            </w:r>
          </w:p>
        </w:tc>
        <w:tc>
          <w:tcPr>
            <w:tcW w:w="794" w:type="dxa"/>
          </w:tcPr>
          <w:p w14:paraId="6A7B887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6 753</w:t>
            </w:r>
          </w:p>
        </w:tc>
        <w:tc>
          <w:tcPr>
            <w:tcW w:w="794" w:type="dxa"/>
          </w:tcPr>
          <w:p w14:paraId="202E945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9 569</w:t>
            </w:r>
          </w:p>
        </w:tc>
        <w:tc>
          <w:tcPr>
            <w:tcW w:w="794" w:type="dxa"/>
          </w:tcPr>
          <w:p w14:paraId="35FCE0E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6 070</w:t>
            </w:r>
          </w:p>
        </w:tc>
        <w:tc>
          <w:tcPr>
            <w:tcW w:w="794" w:type="dxa"/>
          </w:tcPr>
          <w:p w14:paraId="414C28C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9 031</w:t>
            </w:r>
          </w:p>
        </w:tc>
      </w:tr>
      <w:tr w:rsidR="005D339F" w:rsidRPr="00024787" w14:paraId="0CCE8D65"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45F2577F" w14:textId="77777777" w:rsidR="005D339F" w:rsidRPr="00024787" w:rsidRDefault="005D339F" w:rsidP="00024787">
            <w:pPr>
              <w:spacing w:after="0"/>
              <w:rPr>
                <w:sz w:val="16"/>
                <w:szCs w:val="16"/>
              </w:rPr>
            </w:pPr>
            <w:r w:rsidRPr="00024787">
              <w:rPr>
                <w:sz w:val="16"/>
                <w:szCs w:val="16"/>
              </w:rPr>
              <w:t>Remeasurement of superannuation defined benefit plans</w:t>
            </w:r>
          </w:p>
        </w:tc>
        <w:tc>
          <w:tcPr>
            <w:tcW w:w="698" w:type="dxa"/>
          </w:tcPr>
          <w:p w14:paraId="7D1378E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725</w:t>
            </w:r>
          </w:p>
        </w:tc>
        <w:tc>
          <w:tcPr>
            <w:tcW w:w="794" w:type="dxa"/>
          </w:tcPr>
          <w:p w14:paraId="6F131B7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(511)</w:t>
            </w:r>
          </w:p>
        </w:tc>
        <w:tc>
          <w:tcPr>
            <w:tcW w:w="794" w:type="dxa"/>
          </w:tcPr>
          <w:p w14:paraId="4B11E91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718</w:t>
            </w:r>
          </w:p>
        </w:tc>
        <w:tc>
          <w:tcPr>
            <w:tcW w:w="794" w:type="dxa"/>
          </w:tcPr>
          <w:p w14:paraId="0927119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702</w:t>
            </w:r>
          </w:p>
        </w:tc>
        <w:tc>
          <w:tcPr>
            <w:tcW w:w="794" w:type="dxa"/>
          </w:tcPr>
          <w:p w14:paraId="3ADB5EB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702</w:t>
            </w:r>
          </w:p>
        </w:tc>
      </w:tr>
      <w:tr w:rsidR="005D339F" w:rsidRPr="00024787" w14:paraId="4F144DD4"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6B132485" w14:textId="77777777" w:rsidR="005D339F" w:rsidRPr="00024787" w:rsidRDefault="005D339F" w:rsidP="00024787">
            <w:pPr>
              <w:spacing w:after="0"/>
              <w:rPr>
                <w:sz w:val="16"/>
                <w:szCs w:val="16"/>
              </w:rPr>
            </w:pPr>
            <w:r w:rsidRPr="00024787">
              <w:rPr>
                <w:sz w:val="16"/>
                <w:szCs w:val="16"/>
              </w:rPr>
              <w:t>Other movements in equity</w:t>
            </w:r>
          </w:p>
        </w:tc>
        <w:tc>
          <w:tcPr>
            <w:tcW w:w="698" w:type="dxa"/>
          </w:tcPr>
          <w:p w14:paraId="586CF16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w:t>
            </w:r>
          </w:p>
        </w:tc>
        <w:tc>
          <w:tcPr>
            <w:tcW w:w="794" w:type="dxa"/>
          </w:tcPr>
          <w:p w14:paraId="6677178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255</w:t>
            </w:r>
          </w:p>
        </w:tc>
        <w:tc>
          <w:tcPr>
            <w:tcW w:w="794" w:type="dxa"/>
          </w:tcPr>
          <w:p w14:paraId="01CF491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w:t>
            </w:r>
          </w:p>
        </w:tc>
        <w:tc>
          <w:tcPr>
            <w:tcW w:w="794" w:type="dxa"/>
          </w:tcPr>
          <w:p w14:paraId="08342BD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w:t>
            </w:r>
          </w:p>
        </w:tc>
        <w:tc>
          <w:tcPr>
            <w:tcW w:w="794" w:type="dxa"/>
          </w:tcPr>
          <w:p w14:paraId="5483605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w:t>
            </w:r>
          </w:p>
        </w:tc>
      </w:tr>
      <w:tr w:rsidR="005D339F" w:rsidRPr="00024787" w14:paraId="11712301"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58FA9335" w14:textId="77777777" w:rsidR="005D339F" w:rsidRPr="00024787" w:rsidRDefault="005D339F" w:rsidP="00024787">
            <w:pPr>
              <w:spacing w:after="0"/>
              <w:rPr>
                <w:sz w:val="16"/>
                <w:szCs w:val="16"/>
              </w:rPr>
            </w:pPr>
            <w:r w:rsidRPr="00024787">
              <w:rPr>
                <w:b/>
                <w:sz w:val="16"/>
                <w:szCs w:val="16"/>
              </w:rPr>
              <w:t>Items that may be reclassified subsequently to net result</w:t>
            </w:r>
          </w:p>
        </w:tc>
        <w:tc>
          <w:tcPr>
            <w:tcW w:w="698" w:type="dxa"/>
          </w:tcPr>
          <w:p w14:paraId="1FEE464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309D19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ABADE4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DEF3C9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DF52AA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2B6C262E"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3C589FE6" w14:textId="77777777" w:rsidR="005D339F" w:rsidRPr="00024787" w:rsidRDefault="005D339F" w:rsidP="00024787">
            <w:pPr>
              <w:spacing w:after="0"/>
              <w:rPr>
                <w:sz w:val="16"/>
                <w:szCs w:val="16"/>
              </w:rPr>
            </w:pPr>
            <w:r w:rsidRPr="00024787">
              <w:rPr>
                <w:sz w:val="16"/>
                <w:szCs w:val="16"/>
              </w:rPr>
              <w:t>Net gain/(loss) on financial assets at fair value</w:t>
            </w:r>
          </w:p>
        </w:tc>
        <w:tc>
          <w:tcPr>
            <w:tcW w:w="698" w:type="dxa"/>
          </w:tcPr>
          <w:p w14:paraId="2EFB1FC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21</w:t>
            </w:r>
          </w:p>
        </w:tc>
        <w:tc>
          <w:tcPr>
            <w:tcW w:w="794" w:type="dxa"/>
          </w:tcPr>
          <w:p w14:paraId="72FF24B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(10)</w:t>
            </w:r>
          </w:p>
        </w:tc>
        <w:tc>
          <w:tcPr>
            <w:tcW w:w="794" w:type="dxa"/>
          </w:tcPr>
          <w:p w14:paraId="4130008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w:t>
            </w:r>
          </w:p>
        </w:tc>
        <w:tc>
          <w:tcPr>
            <w:tcW w:w="794" w:type="dxa"/>
          </w:tcPr>
          <w:p w14:paraId="6992287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w:t>
            </w:r>
          </w:p>
        </w:tc>
        <w:tc>
          <w:tcPr>
            <w:tcW w:w="794" w:type="dxa"/>
          </w:tcPr>
          <w:p w14:paraId="2727581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w:t>
            </w:r>
          </w:p>
        </w:tc>
      </w:tr>
      <w:tr w:rsidR="005D339F" w:rsidRPr="00024787" w14:paraId="76164AF4"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6F017DC9" w14:textId="77777777" w:rsidR="005D339F" w:rsidRPr="00024787" w:rsidRDefault="005D339F" w:rsidP="00024787">
            <w:pPr>
              <w:spacing w:after="0"/>
              <w:rPr>
                <w:sz w:val="16"/>
                <w:szCs w:val="16"/>
              </w:rPr>
            </w:pPr>
            <w:r w:rsidRPr="00024787">
              <w:rPr>
                <w:sz w:val="16"/>
                <w:szCs w:val="16"/>
              </w:rPr>
              <w:t>Net gain/(loss) on equity investments in other sector entities at proportional share of the carrying amount of net assets</w:t>
            </w:r>
          </w:p>
        </w:tc>
        <w:tc>
          <w:tcPr>
            <w:tcW w:w="698" w:type="dxa"/>
            <w:tcBorders>
              <w:bottom w:val="single" w:sz="6" w:space="0" w:color="auto"/>
            </w:tcBorders>
          </w:tcPr>
          <w:p w14:paraId="2743886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(258)</w:t>
            </w:r>
          </w:p>
        </w:tc>
        <w:tc>
          <w:tcPr>
            <w:tcW w:w="794" w:type="dxa"/>
            <w:tcBorders>
              <w:bottom w:val="single" w:sz="6" w:space="0" w:color="auto"/>
            </w:tcBorders>
          </w:tcPr>
          <w:p w14:paraId="64D3843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(3 768)</w:t>
            </w:r>
          </w:p>
        </w:tc>
        <w:tc>
          <w:tcPr>
            <w:tcW w:w="794" w:type="dxa"/>
            <w:tcBorders>
              <w:bottom w:val="single" w:sz="6" w:space="0" w:color="auto"/>
            </w:tcBorders>
          </w:tcPr>
          <w:p w14:paraId="21834A4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(1 057)</w:t>
            </w:r>
          </w:p>
        </w:tc>
        <w:tc>
          <w:tcPr>
            <w:tcW w:w="794" w:type="dxa"/>
            <w:tcBorders>
              <w:bottom w:val="single" w:sz="6" w:space="0" w:color="auto"/>
            </w:tcBorders>
          </w:tcPr>
          <w:p w14:paraId="44C5770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46</w:t>
            </w:r>
          </w:p>
        </w:tc>
        <w:tc>
          <w:tcPr>
            <w:tcW w:w="794" w:type="dxa"/>
            <w:tcBorders>
              <w:bottom w:val="single" w:sz="6" w:space="0" w:color="auto"/>
            </w:tcBorders>
          </w:tcPr>
          <w:p w14:paraId="6673732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114</w:t>
            </w:r>
          </w:p>
        </w:tc>
      </w:tr>
      <w:tr w:rsidR="005D339F" w:rsidRPr="00024787" w14:paraId="0E9D6B1C"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6" w:space="0" w:color="auto"/>
            </w:tcBorders>
          </w:tcPr>
          <w:p w14:paraId="50466907" w14:textId="013058C8" w:rsidR="005D339F" w:rsidRPr="00024787" w:rsidRDefault="005D339F" w:rsidP="00024787">
            <w:pPr>
              <w:spacing w:after="0"/>
              <w:rPr>
                <w:sz w:val="16"/>
                <w:szCs w:val="16"/>
              </w:rPr>
            </w:pPr>
            <w:r w:rsidRPr="00024787">
              <w:rPr>
                <w:b/>
                <w:sz w:val="16"/>
                <w:szCs w:val="16"/>
              </w:rPr>
              <w:t xml:space="preserve">Total other economic flows – </w:t>
            </w:r>
            <w:r w:rsidR="00024787">
              <w:rPr>
                <w:b/>
                <w:sz w:val="16"/>
                <w:szCs w:val="16"/>
              </w:rPr>
              <w:br/>
            </w:r>
            <w:r w:rsidR="00024787" w:rsidRPr="00024787">
              <w:rPr>
                <w:b/>
                <w:sz w:val="16"/>
                <w:szCs w:val="16"/>
              </w:rPr>
              <w:t xml:space="preserve">Other </w:t>
            </w:r>
            <w:r w:rsidRPr="00024787">
              <w:rPr>
                <w:b/>
                <w:sz w:val="16"/>
                <w:szCs w:val="16"/>
              </w:rPr>
              <w:t>comprehensive income</w:t>
            </w:r>
          </w:p>
        </w:tc>
        <w:tc>
          <w:tcPr>
            <w:tcW w:w="698" w:type="dxa"/>
            <w:tcBorders>
              <w:top w:val="single" w:sz="6" w:space="0" w:color="auto"/>
              <w:bottom w:val="single" w:sz="6" w:space="0" w:color="auto"/>
            </w:tcBorders>
          </w:tcPr>
          <w:p w14:paraId="38380B1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7 347</w:t>
            </w:r>
          </w:p>
        </w:tc>
        <w:tc>
          <w:tcPr>
            <w:tcW w:w="794" w:type="dxa"/>
            <w:tcBorders>
              <w:top w:val="single" w:sz="6" w:space="0" w:color="auto"/>
              <w:bottom w:val="single" w:sz="6" w:space="0" w:color="auto"/>
            </w:tcBorders>
          </w:tcPr>
          <w:p w14:paraId="590E00C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2 719</w:t>
            </w:r>
          </w:p>
        </w:tc>
        <w:tc>
          <w:tcPr>
            <w:tcW w:w="794" w:type="dxa"/>
            <w:tcBorders>
              <w:top w:val="single" w:sz="6" w:space="0" w:color="auto"/>
              <w:bottom w:val="single" w:sz="6" w:space="0" w:color="auto"/>
            </w:tcBorders>
          </w:tcPr>
          <w:p w14:paraId="09412F4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9 243</w:t>
            </w:r>
          </w:p>
        </w:tc>
        <w:tc>
          <w:tcPr>
            <w:tcW w:w="794" w:type="dxa"/>
            <w:tcBorders>
              <w:top w:val="single" w:sz="6" w:space="0" w:color="auto"/>
              <w:bottom w:val="single" w:sz="6" w:space="0" w:color="auto"/>
            </w:tcBorders>
          </w:tcPr>
          <w:p w14:paraId="24BEC3B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6 826</w:t>
            </w:r>
          </w:p>
        </w:tc>
        <w:tc>
          <w:tcPr>
            <w:tcW w:w="794" w:type="dxa"/>
            <w:tcBorders>
              <w:top w:val="single" w:sz="6" w:space="0" w:color="auto"/>
              <w:bottom w:val="single" w:sz="6" w:space="0" w:color="auto"/>
            </w:tcBorders>
          </w:tcPr>
          <w:p w14:paraId="4566AA3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9 856</w:t>
            </w:r>
          </w:p>
        </w:tc>
      </w:tr>
      <w:tr w:rsidR="005D339F" w:rsidRPr="00024787" w14:paraId="0A0CEBBC"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4822C433" w14:textId="3A2C063C" w:rsidR="005D339F" w:rsidRPr="00024787" w:rsidRDefault="005D339F" w:rsidP="00024787">
            <w:pPr>
              <w:spacing w:after="0"/>
              <w:rPr>
                <w:sz w:val="16"/>
                <w:szCs w:val="16"/>
              </w:rPr>
            </w:pPr>
            <w:r w:rsidRPr="00024787">
              <w:rPr>
                <w:b/>
                <w:sz w:val="16"/>
                <w:szCs w:val="16"/>
              </w:rPr>
              <w:t xml:space="preserve">Comprehensive result – </w:t>
            </w:r>
            <w:r w:rsidR="00024787" w:rsidRPr="00024787">
              <w:rPr>
                <w:b/>
                <w:sz w:val="16"/>
                <w:szCs w:val="16"/>
              </w:rPr>
              <w:t xml:space="preserve">Total </w:t>
            </w:r>
            <w:r w:rsidRPr="00024787">
              <w:rPr>
                <w:b/>
                <w:sz w:val="16"/>
                <w:szCs w:val="16"/>
              </w:rPr>
              <w:t>change in net worth</w:t>
            </w:r>
          </w:p>
        </w:tc>
        <w:tc>
          <w:tcPr>
            <w:tcW w:w="698" w:type="dxa"/>
            <w:tcBorders>
              <w:top w:val="single" w:sz="6" w:space="0" w:color="auto"/>
              <w:bottom w:val="single" w:sz="12" w:space="0" w:color="auto"/>
            </w:tcBorders>
          </w:tcPr>
          <w:p w14:paraId="78CDA6C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3 398</w:t>
            </w:r>
          </w:p>
        </w:tc>
        <w:tc>
          <w:tcPr>
            <w:tcW w:w="794" w:type="dxa"/>
            <w:tcBorders>
              <w:top w:val="single" w:sz="6" w:space="0" w:color="auto"/>
              <w:bottom w:val="single" w:sz="12" w:space="0" w:color="auto"/>
            </w:tcBorders>
          </w:tcPr>
          <w:p w14:paraId="048305D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(2 453)</w:t>
            </w:r>
          </w:p>
        </w:tc>
        <w:tc>
          <w:tcPr>
            <w:tcW w:w="794" w:type="dxa"/>
            <w:tcBorders>
              <w:top w:val="single" w:sz="6" w:space="0" w:color="auto"/>
              <w:bottom w:val="single" w:sz="12" w:space="0" w:color="auto"/>
            </w:tcBorders>
          </w:tcPr>
          <w:p w14:paraId="3184E1B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8 913</w:t>
            </w:r>
          </w:p>
        </w:tc>
        <w:tc>
          <w:tcPr>
            <w:tcW w:w="794" w:type="dxa"/>
            <w:tcBorders>
              <w:top w:val="single" w:sz="6" w:space="0" w:color="auto"/>
              <w:bottom w:val="single" w:sz="12" w:space="0" w:color="auto"/>
            </w:tcBorders>
          </w:tcPr>
          <w:p w14:paraId="51D377E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6 514</w:t>
            </w:r>
          </w:p>
        </w:tc>
        <w:tc>
          <w:tcPr>
            <w:tcW w:w="794" w:type="dxa"/>
            <w:tcBorders>
              <w:top w:val="single" w:sz="6" w:space="0" w:color="auto"/>
              <w:bottom w:val="single" w:sz="12" w:space="0" w:color="auto"/>
            </w:tcBorders>
          </w:tcPr>
          <w:p w14:paraId="38AAC32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10 096</w:t>
            </w:r>
          </w:p>
        </w:tc>
      </w:tr>
      <w:tr w:rsidR="005D339F" w:rsidRPr="00024787" w14:paraId="3BCD32FA"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2CBC52DB" w14:textId="77777777" w:rsidR="005D339F" w:rsidRPr="00024787" w:rsidRDefault="005D339F" w:rsidP="00024787">
            <w:pPr>
              <w:spacing w:before="120" w:after="0"/>
              <w:rPr>
                <w:sz w:val="16"/>
                <w:szCs w:val="16"/>
              </w:rPr>
            </w:pPr>
            <w:r w:rsidRPr="00024787">
              <w:rPr>
                <w:b/>
                <w:sz w:val="16"/>
                <w:szCs w:val="16"/>
              </w:rPr>
              <w:t>KEY FISCAL AGGREGATES</w:t>
            </w:r>
          </w:p>
        </w:tc>
        <w:tc>
          <w:tcPr>
            <w:tcW w:w="698" w:type="dxa"/>
          </w:tcPr>
          <w:p w14:paraId="4FC360F1" w14:textId="77777777" w:rsidR="005D339F" w:rsidRPr="00024787" w:rsidRDefault="005D339F" w:rsidP="00024787">
            <w:pPr>
              <w:spacing w:before="120"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56ADF09" w14:textId="77777777" w:rsidR="005D339F" w:rsidRPr="00024787" w:rsidRDefault="005D339F" w:rsidP="00024787">
            <w:pPr>
              <w:spacing w:before="120"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3FFB1BCF" w14:textId="77777777" w:rsidR="005D339F" w:rsidRPr="00024787" w:rsidRDefault="005D339F" w:rsidP="00024787">
            <w:pPr>
              <w:spacing w:before="120"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F66AF3D" w14:textId="77777777" w:rsidR="005D339F" w:rsidRPr="00024787" w:rsidRDefault="005D339F" w:rsidP="00024787">
            <w:pPr>
              <w:spacing w:before="120"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415D853C" w14:textId="77777777" w:rsidR="005D339F" w:rsidRPr="00024787" w:rsidRDefault="005D339F" w:rsidP="00024787">
            <w:pPr>
              <w:spacing w:before="120"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7442073D" w14:textId="77777777" w:rsidTr="008670FF">
        <w:tc>
          <w:tcPr>
            <w:cnfStyle w:val="001000000000" w:firstRow="0" w:lastRow="0" w:firstColumn="1" w:lastColumn="0" w:oddVBand="0" w:evenVBand="0" w:oddHBand="0" w:evenHBand="0" w:firstRowFirstColumn="0" w:firstRowLastColumn="0" w:lastRowFirstColumn="0" w:lastRowLastColumn="0"/>
            <w:tcW w:w="3836" w:type="dxa"/>
          </w:tcPr>
          <w:p w14:paraId="4A29750A" w14:textId="77777777" w:rsidR="005D339F" w:rsidRPr="00024787" w:rsidRDefault="005D339F" w:rsidP="00024787">
            <w:pPr>
              <w:spacing w:after="0"/>
              <w:rPr>
                <w:sz w:val="16"/>
                <w:szCs w:val="16"/>
              </w:rPr>
            </w:pPr>
            <w:r w:rsidRPr="00024787">
              <w:rPr>
                <w:b/>
                <w:sz w:val="16"/>
                <w:szCs w:val="16"/>
              </w:rPr>
              <w:t>Net operating balance</w:t>
            </w:r>
          </w:p>
        </w:tc>
        <w:tc>
          <w:tcPr>
            <w:tcW w:w="698" w:type="dxa"/>
          </w:tcPr>
          <w:p w14:paraId="337BE0C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(3 602)</w:t>
            </w:r>
          </w:p>
        </w:tc>
        <w:tc>
          <w:tcPr>
            <w:tcW w:w="794" w:type="dxa"/>
          </w:tcPr>
          <w:p w14:paraId="326A9AC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(4 915)</w:t>
            </w:r>
          </w:p>
        </w:tc>
        <w:tc>
          <w:tcPr>
            <w:tcW w:w="794" w:type="dxa"/>
          </w:tcPr>
          <w:p w14:paraId="3EC029B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(72)</w:t>
            </w:r>
          </w:p>
        </w:tc>
        <w:tc>
          <w:tcPr>
            <w:tcW w:w="794" w:type="dxa"/>
          </w:tcPr>
          <w:p w14:paraId="6D0C58F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(91)</w:t>
            </w:r>
          </w:p>
        </w:tc>
        <w:tc>
          <w:tcPr>
            <w:tcW w:w="794" w:type="dxa"/>
          </w:tcPr>
          <w:p w14:paraId="0DBF057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142</w:t>
            </w:r>
          </w:p>
        </w:tc>
      </w:tr>
      <w:tr w:rsidR="005D339F" w:rsidRPr="00024787" w14:paraId="7CF75E6B"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bottom w:val="single" w:sz="6" w:space="0" w:color="auto"/>
            </w:tcBorders>
          </w:tcPr>
          <w:p w14:paraId="241C9AE9" w14:textId="77777777" w:rsidR="005D339F" w:rsidRPr="00024787" w:rsidRDefault="005D339F" w:rsidP="00024787">
            <w:pPr>
              <w:spacing w:after="0"/>
              <w:rPr>
                <w:sz w:val="16"/>
                <w:szCs w:val="16"/>
              </w:rPr>
            </w:pPr>
            <w:r w:rsidRPr="00024787">
              <w:rPr>
                <w:sz w:val="16"/>
                <w:szCs w:val="16"/>
              </w:rPr>
              <w:t>Less: Net acquisition of non</w:t>
            </w:r>
            <w:r w:rsidRPr="00024787">
              <w:rPr>
                <w:sz w:val="16"/>
                <w:szCs w:val="16"/>
              </w:rPr>
              <w:noBreakHyphen/>
              <w:t>financial assets from transactions</w:t>
            </w:r>
          </w:p>
        </w:tc>
        <w:tc>
          <w:tcPr>
            <w:tcW w:w="698" w:type="dxa"/>
            <w:tcBorders>
              <w:bottom w:val="single" w:sz="6" w:space="0" w:color="auto"/>
            </w:tcBorders>
          </w:tcPr>
          <w:p w14:paraId="786F97E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19 352</w:t>
            </w:r>
          </w:p>
        </w:tc>
        <w:tc>
          <w:tcPr>
            <w:tcW w:w="794" w:type="dxa"/>
            <w:tcBorders>
              <w:bottom w:val="single" w:sz="6" w:space="0" w:color="auto"/>
            </w:tcBorders>
          </w:tcPr>
          <w:p w14:paraId="6C23B97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20 446</w:t>
            </w:r>
          </w:p>
        </w:tc>
        <w:tc>
          <w:tcPr>
            <w:tcW w:w="794" w:type="dxa"/>
            <w:tcBorders>
              <w:bottom w:val="single" w:sz="6" w:space="0" w:color="auto"/>
            </w:tcBorders>
          </w:tcPr>
          <w:p w14:paraId="318F9CF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16 872</w:t>
            </w:r>
          </w:p>
        </w:tc>
        <w:tc>
          <w:tcPr>
            <w:tcW w:w="794" w:type="dxa"/>
            <w:tcBorders>
              <w:bottom w:val="single" w:sz="6" w:space="0" w:color="auto"/>
            </w:tcBorders>
          </w:tcPr>
          <w:p w14:paraId="6D86991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13 269</w:t>
            </w:r>
          </w:p>
        </w:tc>
        <w:tc>
          <w:tcPr>
            <w:tcW w:w="794" w:type="dxa"/>
            <w:tcBorders>
              <w:bottom w:val="single" w:sz="6" w:space="0" w:color="auto"/>
            </w:tcBorders>
          </w:tcPr>
          <w:p w14:paraId="5FACA30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9 375</w:t>
            </w:r>
          </w:p>
        </w:tc>
      </w:tr>
      <w:tr w:rsidR="005D339F" w:rsidRPr="00024787" w14:paraId="5139AB83" w14:textId="77777777" w:rsidTr="008670FF">
        <w:tc>
          <w:tcPr>
            <w:cnfStyle w:val="001000000000" w:firstRow="0" w:lastRow="0" w:firstColumn="1" w:lastColumn="0" w:oddVBand="0" w:evenVBand="0" w:oddHBand="0" w:evenHBand="0" w:firstRowFirstColumn="0" w:firstRowLastColumn="0" w:lastRowFirstColumn="0" w:lastRowLastColumn="0"/>
            <w:tcW w:w="3836" w:type="dxa"/>
            <w:tcBorders>
              <w:top w:val="single" w:sz="6" w:space="0" w:color="auto"/>
              <w:bottom w:val="single" w:sz="12" w:space="0" w:color="auto"/>
            </w:tcBorders>
          </w:tcPr>
          <w:p w14:paraId="38EE1A05" w14:textId="77777777" w:rsidR="005D339F" w:rsidRPr="00024787" w:rsidRDefault="005D339F" w:rsidP="00024787">
            <w:pPr>
              <w:spacing w:after="0"/>
              <w:rPr>
                <w:sz w:val="16"/>
                <w:szCs w:val="16"/>
              </w:rPr>
            </w:pPr>
            <w:r w:rsidRPr="00024787">
              <w:rPr>
                <w:b/>
                <w:sz w:val="16"/>
                <w:szCs w:val="16"/>
              </w:rPr>
              <w:t>Net lending/(borrowing)</w:t>
            </w:r>
          </w:p>
        </w:tc>
        <w:tc>
          <w:tcPr>
            <w:tcW w:w="698" w:type="dxa"/>
            <w:tcBorders>
              <w:top w:val="single" w:sz="6" w:space="0" w:color="auto"/>
              <w:bottom w:val="single" w:sz="12" w:space="0" w:color="auto"/>
            </w:tcBorders>
          </w:tcPr>
          <w:p w14:paraId="2169021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(22 954)</w:t>
            </w:r>
          </w:p>
        </w:tc>
        <w:tc>
          <w:tcPr>
            <w:tcW w:w="794" w:type="dxa"/>
            <w:tcBorders>
              <w:top w:val="single" w:sz="6" w:space="0" w:color="auto"/>
              <w:bottom w:val="single" w:sz="12" w:space="0" w:color="auto"/>
            </w:tcBorders>
          </w:tcPr>
          <w:p w14:paraId="54810E4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(25 360)</w:t>
            </w:r>
          </w:p>
        </w:tc>
        <w:tc>
          <w:tcPr>
            <w:tcW w:w="794" w:type="dxa"/>
            <w:tcBorders>
              <w:top w:val="single" w:sz="6" w:space="0" w:color="auto"/>
              <w:bottom w:val="single" w:sz="12" w:space="0" w:color="auto"/>
            </w:tcBorders>
          </w:tcPr>
          <w:p w14:paraId="760CC9C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(16 945)</w:t>
            </w:r>
          </w:p>
        </w:tc>
        <w:tc>
          <w:tcPr>
            <w:tcW w:w="794" w:type="dxa"/>
            <w:tcBorders>
              <w:top w:val="single" w:sz="6" w:space="0" w:color="auto"/>
              <w:bottom w:val="single" w:sz="12" w:space="0" w:color="auto"/>
            </w:tcBorders>
          </w:tcPr>
          <w:p w14:paraId="63A59BE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(13 359)</w:t>
            </w:r>
          </w:p>
        </w:tc>
        <w:tc>
          <w:tcPr>
            <w:tcW w:w="794" w:type="dxa"/>
            <w:tcBorders>
              <w:top w:val="single" w:sz="6" w:space="0" w:color="auto"/>
              <w:bottom w:val="single" w:sz="12" w:space="0" w:color="auto"/>
            </w:tcBorders>
          </w:tcPr>
          <w:p w14:paraId="635BBB9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(9 232)</w:t>
            </w:r>
          </w:p>
        </w:tc>
      </w:tr>
    </w:tbl>
    <w:p w14:paraId="2C7597E2" w14:textId="77777777" w:rsidR="005D339F" w:rsidRDefault="005D339F" w:rsidP="00024787">
      <w:pPr>
        <w:pStyle w:val="Note"/>
      </w:pPr>
    </w:p>
    <w:p w14:paraId="49E5F2F5" w14:textId="77777777" w:rsidR="005D339F" w:rsidRDefault="005D339F" w:rsidP="005D339F">
      <w:pPr>
        <w:pStyle w:val="TableHeading"/>
      </w:pPr>
      <w:r w:rsidRPr="00921F69">
        <w:t>Table 5.7</w:t>
      </w:r>
      <w:r w:rsidRPr="00921F69">
        <w:tab/>
        <w:t>Non-financial public sector balance sheet as at 30 June</w:t>
      </w:r>
      <w:r w:rsidRPr="00921F69">
        <w:tab/>
        <w:t>($ million)</w:t>
      </w:r>
    </w:p>
    <w:tbl>
      <w:tblPr>
        <w:tblStyle w:val="DTFTableNumeric"/>
        <w:tblW w:w="7852" w:type="dxa"/>
        <w:tblLayout w:type="fixed"/>
        <w:tblLook w:val="06A0" w:firstRow="1" w:lastRow="0" w:firstColumn="1" w:lastColumn="0" w:noHBand="1" w:noVBand="1"/>
        <w:tblDescription w:val="Type:DtfTable|Workbook:https://vicgov.sharepoint.com/sites/VG002735/Budget%20Update/Financial%20Statements/Manual%20reports/Link_BU_BS.xlsx|Table:Manual_NFPS_BS|MergedHeadingRow:1"/>
      </w:tblPr>
      <w:tblGrid>
        <w:gridCol w:w="3544"/>
        <w:gridCol w:w="851"/>
        <w:gridCol w:w="850"/>
        <w:gridCol w:w="851"/>
        <w:gridCol w:w="850"/>
        <w:gridCol w:w="906"/>
      </w:tblGrid>
      <w:tr w:rsidR="005D339F" w14:paraId="6744E439"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5A688DC" w14:textId="77777777" w:rsidR="005D339F" w:rsidRDefault="005D339F" w:rsidP="008670FF">
            <w:pPr>
              <w:keepNext/>
            </w:pPr>
          </w:p>
        </w:tc>
        <w:tc>
          <w:tcPr>
            <w:tcW w:w="851" w:type="dxa"/>
          </w:tcPr>
          <w:p w14:paraId="30DD09F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p>
        </w:tc>
        <w:tc>
          <w:tcPr>
            <w:tcW w:w="850" w:type="dxa"/>
          </w:tcPr>
          <w:p w14:paraId="2AD3D206"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p>
        </w:tc>
        <w:tc>
          <w:tcPr>
            <w:tcW w:w="851" w:type="dxa"/>
          </w:tcPr>
          <w:p w14:paraId="1B2CF7B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p>
        </w:tc>
        <w:tc>
          <w:tcPr>
            <w:tcW w:w="850" w:type="dxa"/>
          </w:tcPr>
          <w:p w14:paraId="2728D30C"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p>
        </w:tc>
        <w:tc>
          <w:tcPr>
            <w:tcW w:w="906" w:type="dxa"/>
          </w:tcPr>
          <w:p w14:paraId="64352E7A"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2028</w:t>
            </w:r>
          </w:p>
        </w:tc>
      </w:tr>
      <w:tr w:rsidR="005D339F" w14:paraId="6BA65063"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8F439BE" w14:textId="77777777" w:rsidR="005D339F" w:rsidRDefault="005D339F" w:rsidP="008670FF">
            <w:pPr>
              <w:keepNext/>
            </w:pPr>
          </w:p>
        </w:tc>
        <w:tc>
          <w:tcPr>
            <w:tcW w:w="851" w:type="dxa"/>
          </w:tcPr>
          <w:p w14:paraId="2C582277"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budget</w:t>
            </w:r>
            <w:r>
              <w:rPr>
                <w:vertAlign w:val="superscript"/>
              </w:rPr>
              <w:t xml:space="preserve"> (a)</w:t>
            </w:r>
          </w:p>
        </w:tc>
        <w:tc>
          <w:tcPr>
            <w:tcW w:w="850" w:type="dxa"/>
          </w:tcPr>
          <w:p w14:paraId="4C2EED0C"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revised</w:t>
            </w:r>
          </w:p>
        </w:tc>
        <w:tc>
          <w:tcPr>
            <w:tcW w:w="851" w:type="dxa"/>
          </w:tcPr>
          <w:p w14:paraId="3F48B994"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c>
          <w:tcPr>
            <w:tcW w:w="850" w:type="dxa"/>
          </w:tcPr>
          <w:p w14:paraId="640442E6"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c>
          <w:tcPr>
            <w:tcW w:w="906" w:type="dxa"/>
          </w:tcPr>
          <w:p w14:paraId="12874D1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r>
      <w:tr w:rsidR="005D339F" w14:paraId="5E340C4B"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6666D3A8" w14:textId="77777777" w:rsidR="005D339F" w:rsidRDefault="005D339F" w:rsidP="008670FF">
            <w:r>
              <w:rPr>
                <w:b/>
              </w:rPr>
              <w:t>Assets</w:t>
            </w:r>
          </w:p>
        </w:tc>
        <w:tc>
          <w:tcPr>
            <w:tcW w:w="851" w:type="dxa"/>
          </w:tcPr>
          <w:p w14:paraId="11D2D13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5FB1D8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1" w:type="dxa"/>
          </w:tcPr>
          <w:p w14:paraId="44D0F0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1EA1B8A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906" w:type="dxa"/>
          </w:tcPr>
          <w:p w14:paraId="3D3610E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FE6B79E"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DC87BEE" w14:textId="77777777" w:rsidR="005D339F" w:rsidRDefault="005D339F" w:rsidP="008670FF">
            <w:r>
              <w:rPr>
                <w:b/>
              </w:rPr>
              <w:t>Financial assets</w:t>
            </w:r>
          </w:p>
        </w:tc>
        <w:tc>
          <w:tcPr>
            <w:tcW w:w="851" w:type="dxa"/>
          </w:tcPr>
          <w:p w14:paraId="5F4715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450CF6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1" w:type="dxa"/>
          </w:tcPr>
          <w:p w14:paraId="1D4FA2F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132B63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906" w:type="dxa"/>
          </w:tcPr>
          <w:p w14:paraId="02897F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EC0DE00"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11F1D25" w14:textId="77777777" w:rsidR="005D339F" w:rsidRDefault="005D339F" w:rsidP="008670FF">
            <w:r>
              <w:t>Cash and deposits</w:t>
            </w:r>
          </w:p>
        </w:tc>
        <w:tc>
          <w:tcPr>
            <w:tcW w:w="851" w:type="dxa"/>
          </w:tcPr>
          <w:p w14:paraId="21ADB8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15 982</w:t>
            </w:r>
          </w:p>
        </w:tc>
        <w:tc>
          <w:tcPr>
            <w:tcW w:w="850" w:type="dxa"/>
          </w:tcPr>
          <w:p w14:paraId="208B2E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12 802</w:t>
            </w:r>
          </w:p>
        </w:tc>
        <w:tc>
          <w:tcPr>
            <w:tcW w:w="851" w:type="dxa"/>
          </w:tcPr>
          <w:p w14:paraId="168AD96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12 967</w:t>
            </w:r>
          </w:p>
        </w:tc>
        <w:tc>
          <w:tcPr>
            <w:tcW w:w="850" w:type="dxa"/>
          </w:tcPr>
          <w:p w14:paraId="67C36D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13 520</w:t>
            </w:r>
          </w:p>
        </w:tc>
        <w:tc>
          <w:tcPr>
            <w:tcW w:w="906" w:type="dxa"/>
          </w:tcPr>
          <w:p w14:paraId="4F4F42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14 378</w:t>
            </w:r>
          </w:p>
        </w:tc>
      </w:tr>
      <w:tr w:rsidR="005D339F" w14:paraId="4C8A1696"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38117174" w14:textId="77777777" w:rsidR="005D339F" w:rsidRDefault="005D339F" w:rsidP="008670FF">
            <w:r>
              <w:t>Advances paid</w:t>
            </w:r>
          </w:p>
        </w:tc>
        <w:tc>
          <w:tcPr>
            <w:tcW w:w="851" w:type="dxa"/>
          </w:tcPr>
          <w:p w14:paraId="103A45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400</w:t>
            </w:r>
          </w:p>
        </w:tc>
        <w:tc>
          <w:tcPr>
            <w:tcW w:w="850" w:type="dxa"/>
          </w:tcPr>
          <w:p w14:paraId="268D3C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386</w:t>
            </w:r>
          </w:p>
        </w:tc>
        <w:tc>
          <w:tcPr>
            <w:tcW w:w="851" w:type="dxa"/>
          </w:tcPr>
          <w:p w14:paraId="135D8BD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366</w:t>
            </w:r>
          </w:p>
        </w:tc>
        <w:tc>
          <w:tcPr>
            <w:tcW w:w="850" w:type="dxa"/>
          </w:tcPr>
          <w:p w14:paraId="06CBA76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368</w:t>
            </w:r>
          </w:p>
        </w:tc>
        <w:tc>
          <w:tcPr>
            <w:tcW w:w="906" w:type="dxa"/>
          </w:tcPr>
          <w:p w14:paraId="4DE1050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378</w:t>
            </w:r>
          </w:p>
        </w:tc>
      </w:tr>
      <w:tr w:rsidR="005D339F" w14:paraId="1980E178"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689151CE" w14:textId="77777777" w:rsidR="005D339F" w:rsidRDefault="005D339F" w:rsidP="008670FF">
            <w:r>
              <w:t>Receivables and contract assets</w:t>
            </w:r>
          </w:p>
        </w:tc>
        <w:tc>
          <w:tcPr>
            <w:tcW w:w="851" w:type="dxa"/>
          </w:tcPr>
          <w:p w14:paraId="29FC39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12 494</w:t>
            </w:r>
          </w:p>
        </w:tc>
        <w:tc>
          <w:tcPr>
            <w:tcW w:w="850" w:type="dxa"/>
          </w:tcPr>
          <w:p w14:paraId="4C350D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11 731</w:t>
            </w:r>
          </w:p>
        </w:tc>
        <w:tc>
          <w:tcPr>
            <w:tcW w:w="851" w:type="dxa"/>
          </w:tcPr>
          <w:p w14:paraId="2A4F0D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12 303</w:t>
            </w:r>
          </w:p>
        </w:tc>
        <w:tc>
          <w:tcPr>
            <w:tcW w:w="850" w:type="dxa"/>
          </w:tcPr>
          <w:p w14:paraId="35D2D58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12 803</w:t>
            </w:r>
          </w:p>
        </w:tc>
        <w:tc>
          <w:tcPr>
            <w:tcW w:w="906" w:type="dxa"/>
          </w:tcPr>
          <w:p w14:paraId="7455C55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13 266</w:t>
            </w:r>
          </w:p>
        </w:tc>
      </w:tr>
      <w:tr w:rsidR="005D339F" w14:paraId="18A4E99D"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0566F12" w14:textId="77777777" w:rsidR="005D339F" w:rsidRDefault="005D339F" w:rsidP="008670FF">
            <w:r>
              <w:t>Investments, loans and placements</w:t>
            </w:r>
          </w:p>
        </w:tc>
        <w:tc>
          <w:tcPr>
            <w:tcW w:w="851" w:type="dxa"/>
          </w:tcPr>
          <w:p w14:paraId="0EEFBB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17 256</w:t>
            </w:r>
          </w:p>
        </w:tc>
        <w:tc>
          <w:tcPr>
            <w:tcW w:w="850" w:type="dxa"/>
          </w:tcPr>
          <w:p w14:paraId="1DE73C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17 685</w:t>
            </w:r>
          </w:p>
        </w:tc>
        <w:tc>
          <w:tcPr>
            <w:tcW w:w="851" w:type="dxa"/>
          </w:tcPr>
          <w:p w14:paraId="4B0DFE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18 886</w:t>
            </w:r>
          </w:p>
        </w:tc>
        <w:tc>
          <w:tcPr>
            <w:tcW w:w="850" w:type="dxa"/>
          </w:tcPr>
          <w:p w14:paraId="72E69D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20 326</w:t>
            </w:r>
          </w:p>
        </w:tc>
        <w:tc>
          <w:tcPr>
            <w:tcW w:w="906" w:type="dxa"/>
          </w:tcPr>
          <w:p w14:paraId="143036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21 878</w:t>
            </w:r>
          </w:p>
        </w:tc>
      </w:tr>
      <w:tr w:rsidR="005D339F" w14:paraId="1026FC93"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9A2E2BD" w14:textId="77777777" w:rsidR="005D339F" w:rsidRDefault="005D339F" w:rsidP="008670FF">
            <w:r>
              <w:t>Investments accounted for using equity method</w:t>
            </w:r>
          </w:p>
        </w:tc>
        <w:tc>
          <w:tcPr>
            <w:tcW w:w="851" w:type="dxa"/>
          </w:tcPr>
          <w:p w14:paraId="48E110B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1 833</w:t>
            </w:r>
          </w:p>
        </w:tc>
        <w:tc>
          <w:tcPr>
            <w:tcW w:w="850" w:type="dxa"/>
          </w:tcPr>
          <w:p w14:paraId="7D4A8B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1 379</w:t>
            </w:r>
          </w:p>
        </w:tc>
        <w:tc>
          <w:tcPr>
            <w:tcW w:w="851" w:type="dxa"/>
          </w:tcPr>
          <w:p w14:paraId="2FC469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1 403</w:t>
            </w:r>
          </w:p>
        </w:tc>
        <w:tc>
          <w:tcPr>
            <w:tcW w:w="850" w:type="dxa"/>
          </w:tcPr>
          <w:p w14:paraId="1D1EAA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1 330</w:t>
            </w:r>
          </w:p>
        </w:tc>
        <w:tc>
          <w:tcPr>
            <w:tcW w:w="906" w:type="dxa"/>
          </w:tcPr>
          <w:p w14:paraId="3C83322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1 255</w:t>
            </w:r>
          </w:p>
        </w:tc>
      </w:tr>
      <w:tr w:rsidR="005D339F" w14:paraId="74818EDF"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42B44C0C" w14:textId="77777777" w:rsidR="005D339F" w:rsidRDefault="005D339F" w:rsidP="008670FF">
            <w:r>
              <w:t>Investments in other sector entities</w:t>
            </w:r>
          </w:p>
        </w:tc>
        <w:tc>
          <w:tcPr>
            <w:tcW w:w="851" w:type="dxa"/>
            <w:tcBorders>
              <w:bottom w:val="single" w:sz="6" w:space="0" w:color="auto"/>
            </w:tcBorders>
          </w:tcPr>
          <w:p w14:paraId="19D64E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14 953</w:t>
            </w:r>
          </w:p>
        </w:tc>
        <w:tc>
          <w:tcPr>
            <w:tcW w:w="850" w:type="dxa"/>
            <w:tcBorders>
              <w:bottom w:val="single" w:sz="6" w:space="0" w:color="auto"/>
            </w:tcBorders>
          </w:tcPr>
          <w:p w14:paraId="4D8DDAF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11 442</w:t>
            </w:r>
          </w:p>
        </w:tc>
        <w:tc>
          <w:tcPr>
            <w:tcW w:w="851" w:type="dxa"/>
            <w:tcBorders>
              <w:bottom w:val="single" w:sz="6" w:space="0" w:color="auto"/>
            </w:tcBorders>
          </w:tcPr>
          <w:p w14:paraId="561703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10 458</w:t>
            </w:r>
          </w:p>
        </w:tc>
        <w:tc>
          <w:tcPr>
            <w:tcW w:w="850" w:type="dxa"/>
            <w:tcBorders>
              <w:bottom w:val="single" w:sz="6" w:space="0" w:color="auto"/>
            </w:tcBorders>
          </w:tcPr>
          <w:p w14:paraId="4C00BF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10 603</w:t>
            </w:r>
          </w:p>
        </w:tc>
        <w:tc>
          <w:tcPr>
            <w:tcW w:w="906" w:type="dxa"/>
            <w:tcBorders>
              <w:bottom w:val="single" w:sz="6" w:space="0" w:color="auto"/>
            </w:tcBorders>
          </w:tcPr>
          <w:p w14:paraId="53CCD7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10 794</w:t>
            </w:r>
          </w:p>
        </w:tc>
      </w:tr>
      <w:tr w:rsidR="005D339F" w14:paraId="01D5A8AA"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2953088F" w14:textId="77777777" w:rsidR="005D339F" w:rsidRDefault="005D339F" w:rsidP="008670FF">
            <w:r>
              <w:rPr>
                <w:b/>
              </w:rPr>
              <w:t>Total financial assets</w:t>
            </w:r>
          </w:p>
        </w:tc>
        <w:tc>
          <w:tcPr>
            <w:tcW w:w="851" w:type="dxa"/>
            <w:tcBorders>
              <w:top w:val="single" w:sz="6" w:space="0" w:color="auto"/>
              <w:bottom w:val="single" w:sz="6" w:space="0" w:color="auto"/>
            </w:tcBorders>
          </w:tcPr>
          <w:p w14:paraId="717C20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62 917</w:t>
            </w:r>
          </w:p>
        </w:tc>
        <w:tc>
          <w:tcPr>
            <w:tcW w:w="850" w:type="dxa"/>
            <w:tcBorders>
              <w:top w:val="single" w:sz="6" w:space="0" w:color="auto"/>
              <w:bottom w:val="single" w:sz="6" w:space="0" w:color="auto"/>
            </w:tcBorders>
          </w:tcPr>
          <w:p w14:paraId="41E685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55 424</w:t>
            </w:r>
          </w:p>
        </w:tc>
        <w:tc>
          <w:tcPr>
            <w:tcW w:w="851" w:type="dxa"/>
            <w:tcBorders>
              <w:top w:val="single" w:sz="6" w:space="0" w:color="auto"/>
              <w:bottom w:val="single" w:sz="6" w:space="0" w:color="auto"/>
            </w:tcBorders>
          </w:tcPr>
          <w:p w14:paraId="439157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56 383</w:t>
            </w:r>
          </w:p>
        </w:tc>
        <w:tc>
          <w:tcPr>
            <w:tcW w:w="850" w:type="dxa"/>
            <w:tcBorders>
              <w:top w:val="single" w:sz="6" w:space="0" w:color="auto"/>
              <w:bottom w:val="single" w:sz="6" w:space="0" w:color="auto"/>
            </w:tcBorders>
          </w:tcPr>
          <w:p w14:paraId="39D42FF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58 950</w:t>
            </w:r>
          </w:p>
        </w:tc>
        <w:tc>
          <w:tcPr>
            <w:tcW w:w="906" w:type="dxa"/>
            <w:tcBorders>
              <w:top w:val="single" w:sz="6" w:space="0" w:color="auto"/>
              <w:bottom w:val="single" w:sz="6" w:space="0" w:color="auto"/>
            </w:tcBorders>
          </w:tcPr>
          <w:p w14:paraId="1C40ED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61 950</w:t>
            </w:r>
          </w:p>
        </w:tc>
      </w:tr>
      <w:tr w:rsidR="005D339F" w14:paraId="67711331"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7CB43288" w14:textId="77777777" w:rsidR="005D339F" w:rsidRDefault="005D339F" w:rsidP="008670FF">
            <w:r>
              <w:rPr>
                <w:b/>
              </w:rPr>
              <w:t>Non</w:t>
            </w:r>
            <w:r>
              <w:rPr>
                <w:b/>
              </w:rPr>
              <w:noBreakHyphen/>
              <w:t>financial assets</w:t>
            </w:r>
          </w:p>
        </w:tc>
        <w:tc>
          <w:tcPr>
            <w:tcW w:w="851" w:type="dxa"/>
            <w:tcBorders>
              <w:top w:val="single" w:sz="6" w:space="0" w:color="auto"/>
            </w:tcBorders>
          </w:tcPr>
          <w:p w14:paraId="2803952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2C7CD8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4C7736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147805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906" w:type="dxa"/>
            <w:tcBorders>
              <w:top w:val="single" w:sz="6" w:space="0" w:color="auto"/>
            </w:tcBorders>
          </w:tcPr>
          <w:p w14:paraId="5B8063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5BC9329"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77FA3D47" w14:textId="77777777" w:rsidR="005D339F" w:rsidRDefault="005D339F" w:rsidP="008670FF">
            <w:r>
              <w:t>Inventories</w:t>
            </w:r>
          </w:p>
        </w:tc>
        <w:tc>
          <w:tcPr>
            <w:tcW w:w="851" w:type="dxa"/>
          </w:tcPr>
          <w:p w14:paraId="560DBE0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1 725</w:t>
            </w:r>
          </w:p>
        </w:tc>
        <w:tc>
          <w:tcPr>
            <w:tcW w:w="850" w:type="dxa"/>
          </w:tcPr>
          <w:p w14:paraId="683F3E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1 852</w:t>
            </w:r>
          </w:p>
        </w:tc>
        <w:tc>
          <w:tcPr>
            <w:tcW w:w="851" w:type="dxa"/>
          </w:tcPr>
          <w:p w14:paraId="5D43E9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1 857</w:t>
            </w:r>
          </w:p>
        </w:tc>
        <w:tc>
          <w:tcPr>
            <w:tcW w:w="850" w:type="dxa"/>
          </w:tcPr>
          <w:p w14:paraId="116E35E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1 988</w:t>
            </w:r>
          </w:p>
        </w:tc>
        <w:tc>
          <w:tcPr>
            <w:tcW w:w="906" w:type="dxa"/>
          </w:tcPr>
          <w:p w14:paraId="4C17524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1 795</w:t>
            </w:r>
          </w:p>
        </w:tc>
      </w:tr>
      <w:tr w:rsidR="005D339F" w14:paraId="2D35EE2F"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1E66612A" w14:textId="77777777" w:rsidR="005D339F" w:rsidRDefault="005D339F" w:rsidP="008670FF">
            <w:r>
              <w:t>Non</w:t>
            </w:r>
            <w:r>
              <w:noBreakHyphen/>
              <w:t>financial assets held for sale</w:t>
            </w:r>
          </w:p>
        </w:tc>
        <w:tc>
          <w:tcPr>
            <w:tcW w:w="851" w:type="dxa"/>
          </w:tcPr>
          <w:p w14:paraId="58AA56D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241</w:t>
            </w:r>
          </w:p>
        </w:tc>
        <w:tc>
          <w:tcPr>
            <w:tcW w:w="850" w:type="dxa"/>
          </w:tcPr>
          <w:p w14:paraId="19D2FE2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241</w:t>
            </w:r>
          </w:p>
        </w:tc>
        <w:tc>
          <w:tcPr>
            <w:tcW w:w="851" w:type="dxa"/>
          </w:tcPr>
          <w:p w14:paraId="4E6CFB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242</w:t>
            </w:r>
          </w:p>
        </w:tc>
        <w:tc>
          <w:tcPr>
            <w:tcW w:w="850" w:type="dxa"/>
          </w:tcPr>
          <w:p w14:paraId="4608AFA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234</w:t>
            </w:r>
          </w:p>
        </w:tc>
        <w:tc>
          <w:tcPr>
            <w:tcW w:w="906" w:type="dxa"/>
          </w:tcPr>
          <w:p w14:paraId="564842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227</w:t>
            </w:r>
          </w:p>
        </w:tc>
      </w:tr>
      <w:tr w:rsidR="005D339F" w14:paraId="1C5FDDD9"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8FF5586" w14:textId="77777777" w:rsidR="005D339F" w:rsidRDefault="005D339F" w:rsidP="008670FF">
            <w:r>
              <w:t>Land, buildings, infrastructure, plant and equipment</w:t>
            </w:r>
          </w:p>
        </w:tc>
        <w:tc>
          <w:tcPr>
            <w:tcW w:w="851" w:type="dxa"/>
          </w:tcPr>
          <w:p w14:paraId="46809D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462 679</w:t>
            </w:r>
          </w:p>
        </w:tc>
        <w:tc>
          <w:tcPr>
            <w:tcW w:w="850" w:type="dxa"/>
          </w:tcPr>
          <w:p w14:paraId="4F39E87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463 248</w:t>
            </w:r>
          </w:p>
        </w:tc>
        <w:tc>
          <w:tcPr>
            <w:tcW w:w="851" w:type="dxa"/>
          </w:tcPr>
          <w:p w14:paraId="7B9843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490 024</w:t>
            </w:r>
          </w:p>
        </w:tc>
        <w:tc>
          <w:tcPr>
            <w:tcW w:w="850" w:type="dxa"/>
          </w:tcPr>
          <w:p w14:paraId="1B651B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509 457</w:t>
            </w:r>
          </w:p>
        </w:tc>
        <w:tc>
          <w:tcPr>
            <w:tcW w:w="906" w:type="dxa"/>
          </w:tcPr>
          <w:p w14:paraId="10D0267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528 486</w:t>
            </w:r>
          </w:p>
        </w:tc>
      </w:tr>
      <w:tr w:rsidR="005D339F" w14:paraId="4E577828"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24CEA008" w14:textId="77777777" w:rsidR="005D339F" w:rsidRDefault="005D339F" w:rsidP="008670FF">
            <w:r>
              <w:t>Other non</w:t>
            </w:r>
            <w:r>
              <w:noBreakHyphen/>
              <w:t>financial assets</w:t>
            </w:r>
          </w:p>
        </w:tc>
        <w:tc>
          <w:tcPr>
            <w:tcW w:w="851" w:type="dxa"/>
            <w:tcBorders>
              <w:bottom w:val="single" w:sz="6" w:space="0" w:color="auto"/>
            </w:tcBorders>
          </w:tcPr>
          <w:p w14:paraId="25DE105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6 996</w:t>
            </w:r>
          </w:p>
        </w:tc>
        <w:tc>
          <w:tcPr>
            <w:tcW w:w="850" w:type="dxa"/>
            <w:tcBorders>
              <w:bottom w:val="single" w:sz="6" w:space="0" w:color="auto"/>
            </w:tcBorders>
          </w:tcPr>
          <w:p w14:paraId="5325FE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7 302</w:t>
            </w:r>
          </w:p>
        </w:tc>
        <w:tc>
          <w:tcPr>
            <w:tcW w:w="851" w:type="dxa"/>
            <w:tcBorders>
              <w:bottom w:val="single" w:sz="6" w:space="0" w:color="auto"/>
            </w:tcBorders>
          </w:tcPr>
          <w:p w14:paraId="7390ED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7 166</w:t>
            </w:r>
          </w:p>
        </w:tc>
        <w:tc>
          <w:tcPr>
            <w:tcW w:w="850" w:type="dxa"/>
            <w:tcBorders>
              <w:bottom w:val="single" w:sz="6" w:space="0" w:color="auto"/>
            </w:tcBorders>
          </w:tcPr>
          <w:p w14:paraId="19EB96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6 938</w:t>
            </w:r>
          </w:p>
        </w:tc>
        <w:tc>
          <w:tcPr>
            <w:tcW w:w="906" w:type="dxa"/>
            <w:tcBorders>
              <w:bottom w:val="single" w:sz="6" w:space="0" w:color="auto"/>
            </w:tcBorders>
          </w:tcPr>
          <w:p w14:paraId="7DF8D6D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6 783</w:t>
            </w:r>
          </w:p>
        </w:tc>
      </w:tr>
      <w:tr w:rsidR="005D339F" w14:paraId="0CB25EA1"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0CA98641" w14:textId="77777777" w:rsidR="005D339F" w:rsidRDefault="005D339F" w:rsidP="008670FF">
            <w:r>
              <w:rPr>
                <w:b/>
              </w:rPr>
              <w:t>Total non</w:t>
            </w:r>
            <w:r>
              <w:rPr>
                <w:b/>
              </w:rPr>
              <w:noBreakHyphen/>
              <w:t>financial assets</w:t>
            </w:r>
          </w:p>
        </w:tc>
        <w:tc>
          <w:tcPr>
            <w:tcW w:w="851" w:type="dxa"/>
            <w:tcBorders>
              <w:top w:val="single" w:sz="6" w:space="0" w:color="auto"/>
              <w:bottom w:val="single" w:sz="6" w:space="0" w:color="auto"/>
            </w:tcBorders>
          </w:tcPr>
          <w:p w14:paraId="5E90186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471 641</w:t>
            </w:r>
          </w:p>
        </w:tc>
        <w:tc>
          <w:tcPr>
            <w:tcW w:w="850" w:type="dxa"/>
            <w:tcBorders>
              <w:top w:val="single" w:sz="6" w:space="0" w:color="auto"/>
              <w:bottom w:val="single" w:sz="6" w:space="0" w:color="auto"/>
            </w:tcBorders>
          </w:tcPr>
          <w:p w14:paraId="5905B2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472 643</w:t>
            </w:r>
          </w:p>
        </w:tc>
        <w:tc>
          <w:tcPr>
            <w:tcW w:w="851" w:type="dxa"/>
            <w:tcBorders>
              <w:top w:val="single" w:sz="6" w:space="0" w:color="auto"/>
              <w:bottom w:val="single" w:sz="6" w:space="0" w:color="auto"/>
            </w:tcBorders>
          </w:tcPr>
          <w:p w14:paraId="4A9F20A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499 289</w:t>
            </w:r>
          </w:p>
        </w:tc>
        <w:tc>
          <w:tcPr>
            <w:tcW w:w="850" w:type="dxa"/>
            <w:tcBorders>
              <w:top w:val="single" w:sz="6" w:space="0" w:color="auto"/>
              <w:bottom w:val="single" w:sz="6" w:space="0" w:color="auto"/>
            </w:tcBorders>
          </w:tcPr>
          <w:p w14:paraId="55B4ED0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518 617</w:t>
            </w:r>
          </w:p>
        </w:tc>
        <w:tc>
          <w:tcPr>
            <w:tcW w:w="906" w:type="dxa"/>
            <w:tcBorders>
              <w:top w:val="single" w:sz="6" w:space="0" w:color="auto"/>
              <w:bottom w:val="single" w:sz="6" w:space="0" w:color="auto"/>
            </w:tcBorders>
          </w:tcPr>
          <w:p w14:paraId="18F511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537 291</w:t>
            </w:r>
          </w:p>
        </w:tc>
      </w:tr>
      <w:tr w:rsidR="005D339F" w14:paraId="5FE0D48C"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31E4F3BF" w14:textId="77777777" w:rsidR="005D339F" w:rsidRDefault="005D339F" w:rsidP="008670FF">
            <w:r>
              <w:rPr>
                <w:b/>
              </w:rPr>
              <w:t>Total assets</w:t>
            </w:r>
          </w:p>
        </w:tc>
        <w:tc>
          <w:tcPr>
            <w:tcW w:w="851" w:type="dxa"/>
            <w:tcBorders>
              <w:top w:val="single" w:sz="6" w:space="0" w:color="auto"/>
            </w:tcBorders>
          </w:tcPr>
          <w:p w14:paraId="3767B52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534 558</w:t>
            </w:r>
          </w:p>
        </w:tc>
        <w:tc>
          <w:tcPr>
            <w:tcW w:w="850" w:type="dxa"/>
            <w:tcBorders>
              <w:top w:val="single" w:sz="6" w:space="0" w:color="auto"/>
            </w:tcBorders>
          </w:tcPr>
          <w:p w14:paraId="209CD5E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528 067</w:t>
            </w:r>
          </w:p>
        </w:tc>
        <w:tc>
          <w:tcPr>
            <w:tcW w:w="851" w:type="dxa"/>
            <w:tcBorders>
              <w:top w:val="single" w:sz="6" w:space="0" w:color="auto"/>
            </w:tcBorders>
          </w:tcPr>
          <w:p w14:paraId="3BC614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555 672</w:t>
            </w:r>
          </w:p>
        </w:tc>
        <w:tc>
          <w:tcPr>
            <w:tcW w:w="850" w:type="dxa"/>
            <w:tcBorders>
              <w:top w:val="single" w:sz="6" w:space="0" w:color="auto"/>
            </w:tcBorders>
          </w:tcPr>
          <w:p w14:paraId="3910EEB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577 567</w:t>
            </w:r>
          </w:p>
        </w:tc>
        <w:tc>
          <w:tcPr>
            <w:tcW w:w="906" w:type="dxa"/>
            <w:tcBorders>
              <w:top w:val="single" w:sz="6" w:space="0" w:color="auto"/>
            </w:tcBorders>
          </w:tcPr>
          <w:p w14:paraId="59A311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599 241</w:t>
            </w:r>
          </w:p>
        </w:tc>
      </w:tr>
      <w:tr w:rsidR="005D339F" w14:paraId="22582E47"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F46D70D" w14:textId="77777777" w:rsidR="005D339F" w:rsidRDefault="005D339F" w:rsidP="008670FF">
            <w:r>
              <w:rPr>
                <w:b/>
              </w:rPr>
              <w:t>Liabilities</w:t>
            </w:r>
          </w:p>
        </w:tc>
        <w:tc>
          <w:tcPr>
            <w:tcW w:w="851" w:type="dxa"/>
          </w:tcPr>
          <w:p w14:paraId="6BB4DF8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14F0BE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1" w:type="dxa"/>
          </w:tcPr>
          <w:p w14:paraId="72D56A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006B9B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906" w:type="dxa"/>
          </w:tcPr>
          <w:p w14:paraId="3B3CB0D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1EFA6C57"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2BF40B66" w14:textId="77777777" w:rsidR="005D339F" w:rsidRDefault="005D339F" w:rsidP="008670FF">
            <w:r>
              <w:t>Deposits held and advances received</w:t>
            </w:r>
          </w:p>
        </w:tc>
        <w:tc>
          <w:tcPr>
            <w:tcW w:w="851" w:type="dxa"/>
          </w:tcPr>
          <w:p w14:paraId="4C6604F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1 765</w:t>
            </w:r>
          </w:p>
        </w:tc>
        <w:tc>
          <w:tcPr>
            <w:tcW w:w="850" w:type="dxa"/>
          </w:tcPr>
          <w:p w14:paraId="00D991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1 713</w:t>
            </w:r>
          </w:p>
        </w:tc>
        <w:tc>
          <w:tcPr>
            <w:tcW w:w="851" w:type="dxa"/>
          </w:tcPr>
          <w:p w14:paraId="35BA90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1 652</w:t>
            </w:r>
          </w:p>
        </w:tc>
        <w:tc>
          <w:tcPr>
            <w:tcW w:w="850" w:type="dxa"/>
          </w:tcPr>
          <w:p w14:paraId="5154DE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1 642</w:t>
            </w:r>
          </w:p>
        </w:tc>
        <w:tc>
          <w:tcPr>
            <w:tcW w:w="906" w:type="dxa"/>
          </w:tcPr>
          <w:p w14:paraId="3FF46C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1 642</w:t>
            </w:r>
          </w:p>
        </w:tc>
      </w:tr>
      <w:tr w:rsidR="005D339F" w14:paraId="7F9D237E"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081AF543" w14:textId="77777777" w:rsidR="005D339F" w:rsidRDefault="005D339F" w:rsidP="008670FF">
            <w:r>
              <w:t>Payables</w:t>
            </w:r>
          </w:p>
        </w:tc>
        <w:tc>
          <w:tcPr>
            <w:tcW w:w="851" w:type="dxa"/>
          </w:tcPr>
          <w:p w14:paraId="0D3FD2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9 015</w:t>
            </w:r>
          </w:p>
        </w:tc>
        <w:tc>
          <w:tcPr>
            <w:tcW w:w="850" w:type="dxa"/>
          </w:tcPr>
          <w:p w14:paraId="648A86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8 378</w:t>
            </w:r>
          </w:p>
        </w:tc>
        <w:tc>
          <w:tcPr>
            <w:tcW w:w="851" w:type="dxa"/>
          </w:tcPr>
          <w:p w14:paraId="316786A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8 449</w:t>
            </w:r>
          </w:p>
        </w:tc>
        <w:tc>
          <w:tcPr>
            <w:tcW w:w="850" w:type="dxa"/>
          </w:tcPr>
          <w:p w14:paraId="6BA6340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8 331</w:t>
            </w:r>
          </w:p>
        </w:tc>
        <w:tc>
          <w:tcPr>
            <w:tcW w:w="906" w:type="dxa"/>
          </w:tcPr>
          <w:p w14:paraId="6226A5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8 312</w:t>
            </w:r>
          </w:p>
        </w:tc>
      </w:tr>
      <w:tr w:rsidR="005D339F" w14:paraId="79F31E13"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A6783EC" w14:textId="77777777" w:rsidR="005D339F" w:rsidRDefault="005D339F" w:rsidP="008670FF">
            <w:r>
              <w:t>Borrowings</w:t>
            </w:r>
          </w:p>
        </w:tc>
        <w:tc>
          <w:tcPr>
            <w:tcW w:w="851" w:type="dxa"/>
          </w:tcPr>
          <w:p w14:paraId="003CC4F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212 267</w:t>
            </w:r>
          </w:p>
        </w:tc>
        <w:tc>
          <w:tcPr>
            <w:tcW w:w="850" w:type="dxa"/>
          </w:tcPr>
          <w:p w14:paraId="365DBFA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210 914</w:t>
            </w:r>
          </w:p>
        </w:tc>
        <w:tc>
          <w:tcPr>
            <w:tcW w:w="851" w:type="dxa"/>
          </w:tcPr>
          <w:p w14:paraId="458D53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229 537</w:t>
            </w:r>
          </w:p>
        </w:tc>
        <w:tc>
          <w:tcPr>
            <w:tcW w:w="850" w:type="dxa"/>
          </w:tcPr>
          <w:p w14:paraId="59C110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245 439</w:t>
            </w:r>
          </w:p>
        </w:tc>
        <w:tc>
          <w:tcPr>
            <w:tcW w:w="906" w:type="dxa"/>
          </w:tcPr>
          <w:p w14:paraId="5EB251A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258 531</w:t>
            </w:r>
          </w:p>
        </w:tc>
      </w:tr>
      <w:tr w:rsidR="005D339F" w14:paraId="38152D06"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7ED5B7C2" w14:textId="77777777" w:rsidR="005D339F" w:rsidRDefault="005D339F" w:rsidP="008670FF">
            <w:r>
              <w:t>Employee benefits</w:t>
            </w:r>
          </w:p>
        </w:tc>
        <w:tc>
          <w:tcPr>
            <w:tcW w:w="851" w:type="dxa"/>
          </w:tcPr>
          <w:p w14:paraId="67F78D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11 708</w:t>
            </w:r>
          </w:p>
        </w:tc>
        <w:tc>
          <w:tcPr>
            <w:tcW w:w="850" w:type="dxa"/>
          </w:tcPr>
          <w:p w14:paraId="1EF1DE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12 069</w:t>
            </w:r>
          </w:p>
        </w:tc>
        <w:tc>
          <w:tcPr>
            <w:tcW w:w="851" w:type="dxa"/>
          </w:tcPr>
          <w:p w14:paraId="3FFAA50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12 439</w:t>
            </w:r>
          </w:p>
        </w:tc>
        <w:tc>
          <w:tcPr>
            <w:tcW w:w="850" w:type="dxa"/>
          </w:tcPr>
          <w:p w14:paraId="0D9978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12 814</w:t>
            </w:r>
          </w:p>
        </w:tc>
        <w:tc>
          <w:tcPr>
            <w:tcW w:w="906" w:type="dxa"/>
          </w:tcPr>
          <w:p w14:paraId="53B73FB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13 197</w:t>
            </w:r>
          </w:p>
        </w:tc>
      </w:tr>
      <w:tr w:rsidR="005D339F" w14:paraId="3993169C"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1F6D0038" w14:textId="77777777" w:rsidR="005D339F" w:rsidRDefault="005D339F" w:rsidP="008670FF">
            <w:r>
              <w:t>Superannuation</w:t>
            </w:r>
          </w:p>
        </w:tc>
        <w:tc>
          <w:tcPr>
            <w:tcW w:w="851" w:type="dxa"/>
          </w:tcPr>
          <w:p w14:paraId="33AE314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18 122</w:t>
            </w:r>
          </w:p>
        </w:tc>
        <w:tc>
          <w:tcPr>
            <w:tcW w:w="850" w:type="dxa"/>
          </w:tcPr>
          <w:p w14:paraId="3CA5F8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19 349</w:t>
            </w:r>
          </w:p>
        </w:tc>
        <w:tc>
          <w:tcPr>
            <w:tcW w:w="851" w:type="dxa"/>
          </w:tcPr>
          <w:p w14:paraId="464DED9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19 644</w:t>
            </w:r>
          </w:p>
        </w:tc>
        <w:tc>
          <w:tcPr>
            <w:tcW w:w="850" w:type="dxa"/>
          </w:tcPr>
          <w:p w14:paraId="36A047A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19 794</w:t>
            </w:r>
          </w:p>
        </w:tc>
        <w:tc>
          <w:tcPr>
            <w:tcW w:w="906" w:type="dxa"/>
          </w:tcPr>
          <w:p w14:paraId="3DE948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18 658</w:t>
            </w:r>
          </w:p>
        </w:tc>
      </w:tr>
      <w:tr w:rsidR="005D339F" w14:paraId="45E66C0C"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5AD73044" w14:textId="77777777" w:rsidR="005D339F" w:rsidRDefault="005D339F" w:rsidP="008670FF">
            <w:r>
              <w:t>Other provisions</w:t>
            </w:r>
          </w:p>
        </w:tc>
        <w:tc>
          <w:tcPr>
            <w:tcW w:w="851" w:type="dxa"/>
          </w:tcPr>
          <w:p w14:paraId="0C63997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3 228</w:t>
            </w:r>
          </w:p>
        </w:tc>
        <w:tc>
          <w:tcPr>
            <w:tcW w:w="850" w:type="dxa"/>
          </w:tcPr>
          <w:p w14:paraId="640422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3 033</w:t>
            </w:r>
          </w:p>
        </w:tc>
        <w:tc>
          <w:tcPr>
            <w:tcW w:w="851" w:type="dxa"/>
          </w:tcPr>
          <w:p w14:paraId="0DB637D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3 067</w:t>
            </w:r>
          </w:p>
        </w:tc>
        <w:tc>
          <w:tcPr>
            <w:tcW w:w="850" w:type="dxa"/>
          </w:tcPr>
          <w:p w14:paraId="22899C0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3 192</w:t>
            </w:r>
          </w:p>
        </w:tc>
        <w:tc>
          <w:tcPr>
            <w:tcW w:w="906" w:type="dxa"/>
          </w:tcPr>
          <w:p w14:paraId="1434BA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3 372</w:t>
            </w:r>
          </w:p>
        </w:tc>
      </w:tr>
      <w:tr w:rsidR="005D339F" w14:paraId="1A86EAE0"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33CBEF9D" w14:textId="77777777" w:rsidR="005D339F" w:rsidRDefault="005D339F" w:rsidP="008670FF">
            <w:r>
              <w:t>Other liabilities</w:t>
            </w:r>
          </w:p>
        </w:tc>
        <w:tc>
          <w:tcPr>
            <w:tcW w:w="851" w:type="dxa"/>
            <w:tcBorders>
              <w:bottom w:val="single" w:sz="6" w:space="0" w:color="auto"/>
            </w:tcBorders>
          </w:tcPr>
          <w:p w14:paraId="31B419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30 852</w:t>
            </w:r>
          </w:p>
        </w:tc>
        <w:tc>
          <w:tcPr>
            <w:tcW w:w="850" w:type="dxa"/>
            <w:tcBorders>
              <w:bottom w:val="single" w:sz="6" w:space="0" w:color="auto"/>
            </w:tcBorders>
          </w:tcPr>
          <w:p w14:paraId="6531D85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30 863</w:t>
            </w:r>
          </w:p>
        </w:tc>
        <w:tc>
          <w:tcPr>
            <w:tcW w:w="851" w:type="dxa"/>
            <w:tcBorders>
              <w:bottom w:val="single" w:sz="6" w:space="0" w:color="auto"/>
            </w:tcBorders>
          </w:tcPr>
          <w:p w14:paraId="444592E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30 221</w:t>
            </w:r>
          </w:p>
        </w:tc>
        <w:tc>
          <w:tcPr>
            <w:tcW w:w="850" w:type="dxa"/>
            <w:tcBorders>
              <w:bottom w:val="single" w:sz="6" w:space="0" w:color="auto"/>
            </w:tcBorders>
          </w:tcPr>
          <w:p w14:paraId="3C2116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29 179</w:t>
            </w:r>
          </w:p>
        </w:tc>
        <w:tc>
          <w:tcPr>
            <w:tcW w:w="906" w:type="dxa"/>
            <w:tcBorders>
              <w:bottom w:val="single" w:sz="6" w:space="0" w:color="auto"/>
            </w:tcBorders>
          </w:tcPr>
          <w:p w14:paraId="5C649A7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28 256</w:t>
            </w:r>
          </w:p>
        </w:tc>
      </w:tr>
      <w:tr w:rsidR="005D339F" w14:paraId="4D004B24"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44ED61D3" w14:textId="77777777" w:rsidR="005D339F" w:rsidRDefault="005D339F" w:rsidP="008670FF">
            <w:r>
              <w:rPr>
                <w:b/>
              </w:rPr>
              <w:t>Total liabilities</w:t>
            </w:r>
          </w:p>
        </w:tc>
        <w:tc>
          <w:tcPr>
            <w:tcW w:w="851" w:type="dxa"/>
            <w:tcBorders>
              <w:top w:val="single" w:sz="6" w:space="0" w:color="auto"/>
              <w:bottom w:val="single" w:sz="6" w:space="0" w:color="auto"/>
            </w:tcBorders>
          </w:tcPr>
          <w:p w14:paraId="61CEBC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286 957</w:t>
            </w:r>
          </w:p>
        </w:tc>
        <w:tc>
          <w:tcPr>
            <w:tcW w:w="850" w:type="dxa"/>
            <w:tcBorders>
              <w:top w:val="single" w:sz="6" w:space="0" w:color="auto"/>
              <w:bottom w:val="single" w:sz="6" w:space="0" w:color="auto"/>
            </w:tcBorders>
          </w:tcPr>
          <w:p w14:paraId="531B08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286 318</w:t>
            </w:r>
          </w:p>
        </w:tc>
        <w:tc>
          <w:tcPr>
            <w:tcW w:w="851" w:type="dxa"/>
            <w:tcBorders>
              <w:top w:val="single" w:sz="6" w:space="0" w:color="auto"/>
              <w:bottom w:val="single" w:sz="6" w:space="0" w:color="auto"/>
            </w:tcBorders>
          </w:tcPr>
          <w:p w14:paraId="4F28B6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305 010</w:t>
            </w:r>
          </w:p>
        </w:tc>
        <w:tc>
          <w:tcPr>
            <w:tcW w:w="850" w:type="dxa"/>
            <w:tcBorders>
              <w:top w:val="single" w:sz="6" w:space="0" w:color="auto"/>
              <w:bottom w:val="single" w:sz="6" w:space="0" w:color="auto"/>
            </w:tcBorders>
          </w:tcPr>
          <w:p w14:paraId="67FBB98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320 391</w:t>
            </w:r>
          </w:p>
        </w:tc>
        <w:tc>
          <w:tcPr>
            <w:tcW w:w="906" w:type="dxa"/>
            <w:tcBorders>
              <w:top w:val="single" w:sz="6" w:space="0" w:color="auto"/>
              <w:bottom w:val="single" w:sz="6" w:space="0" w:color="auto"/>
            </w:tcBorders>
          </w:tcPr>
          <w:p w14:paraId="3F08BB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331 969</w:t>
            </w:r>
          </w:p>
        </w:tc>
      </w:tr>
      <w:tr w:rsidR="005D339F" w14:paraId="2B80E6C5"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1F4F6F9C" w14:textId="77777777" w:rsidR="005D339F" w:rsidRDefault="005D339F" w:rsidP="008670FF">
            <w:r>
              <w:rPr>
                <w:b/>
              </w:rPr>
              <w:t>Net assets</w:t>
            </w:r>
          </w:p>
        </w:tc>
        <w:tc>
          <w:tcPr>
            <w:tcW w:w="851" w:type="dxa"/>
            <w:tcBorders>
              <w:top w:val="single" w:sz="6" w:space="0" w:color="auto"/>
              <w:bottom w:val="single" w:sz="12" w:space="0" w:color="auto"/>
            </w:tcBorders>
          </w:tcPr>
          <w:p w14:paraId="45796AB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247 600</w:t>
            </w:r>
          </w:p>
        </w:tc>
        <w:tc>
          <w:tcPr>
            <w:tcW w:w="850" w:type="dxa"/>
            <w:tcBorders>
              <w:top w:val="single" w:sz="6" w:space="0" w:color="auto"/>
              <w:bottom w:val="single" w:sz="12" w:space="0" w:color="auto"/>
            </w:tcBorders>
          </w:tcPr>
          <w:p w14:paraId="5E00E84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241 749</w:t>
            </w:r>
          </w:p>
        </w:tc>
        <w:tc>
          <w:tcPr>
            <w:tcW w:w="851" w:type="dxa"/>
            <w:tcBorders>
              <w:top w:val="single" w:sz="6" w:space="0" w:color="auto"/>
              <w:bottom w:val="single" w:sz="12" w:space="0" w:color="auto"/>
            </w:tcBorders>
          </w:tcPr>
          <w:p w14:paraId="63DB72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250 662</w:t>
            </w:r>
          </w:p>
        </w:tc>
        <w:tc>
          <w:tcPr>
            <w:tcW w:w="850" w:type="dxa"/>
            <w:tcBorders>
              <w:top w:val="single" w:sz="6" w:space="0" w:color="auto"/>
              <w:bottom w:val="single" w:sz="12" w:space="0" w:color="auto"/>
            </w:tcBorders>
          </w:tcPr>
          <w:p w14:paraId="74C2F9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257 176</w:t>
            </w:r>
          </w:p>
        </w:tc>
        <w:tc>
          <w:tcPr>
            <w:tcW w:w="906" w:type="dxa"/>
            <w:tcBorders>
              <w:top w:val="single" w:sz="6" w:space="0" w:color="auto"/>
              <w:bottom w:val="single" w:sz="12" w:space="0" w:color="auto"/>
            </w:tcBorders>
          </w:tcPr>
          <w:p w14:paraId="76DA30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267 272</w:t>
            </w:r>
          </w:p>
        </w:tc>
      </w:tr>
      <w:tr w:rsidR="005D339F" w14:paraId="6210A08A"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0B21E252" w14:textId="77777777" w:rsidR="005D339F" w:rsidRDefault="005D339F" w:rsidP="008670FF">
            <w:r>
              <w:t>Accumulated surplus/(deficit)</w:t>
            </w:r>
          </w:p>
        </w:tc>
        <w:tc>
          <w:tcPr>
            <w:tcW w:w="851" w:type="dxa"/>
            <w:tcBorders>
              <w:top w:val="single" w:sz="6" w:space="0" w:color="auto"/>
            </w:tcBorders>
          </w:tcPr>
          <w:p w14:paraId="2DF413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62 593</w:t>
            </w:r>
          </w:p>
        </w:tc>
        <w:tc>
          <w:tcPr>
            <w:tcW w:w="850" w:type="dxa"/>
            <w:tcBorders>
              <w:top w:val="single" w:sz="6" w:space="0" w:color="auto"/>
            </w:tcBorders>
          </w:tcPr>
          <w:p w14:paraId="07A083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60 383</w:t>
            </w:r>
          </w:p>
        </w:tc>
        <w:tc>
          <w:tcPr>
            <w:tcW w:w="851" w:type="dxa"/>
            <w:tcBorders>
              <w:top w:val="single" w:sz="6" w:space="0" w:color="auto"/>
            </w:tcBorders>
          </w:tcPr>
          <w:p w14:paraId="33E9C09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61 120</w:t>
            </w:r>
          </w:p>
        </w:tc>
        <w:tc>
          <w:tcPr>
            <w:tcW w:w="850" w:type="dxa"/>
            <w:tcBorders>
              <w:top w:val="single" w:sz="6" w:space="0" w:color="auto"/>
            </w:tcBorders>
          </w:tcPr>
          <w:p w14:paraId="298F75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61 520</w:t>
            </w:r>
          </w:p>
        </w:tc>
        <w:tc>
          <w:tcPr>
            <w:tcW w:w="906" w:type="dxa"/>
            <w:tcBorders>
              <w:top w:val="single" w:sz="6" w:space="0" w:color="auto"/>
            </w:tcBorders>
          </w:tcPr>
          <w:p w14:paraId="7FAE702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62 477</w:t>
            </w:r>
          </w:p>
        </w:tc>
      </w:tr>
      <w:tr w:rsidR="005D339F" w14:paraId="00967E47"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32EBC665" w14:textId="77777777" w:rsidR="005D339F" w:rsidRDefault="005D339F" w:rsidP="008670FF">
            <w:r>
              <w:t>Reserves</w:t>
            </w:r>
          </w:p>
        </w:tc>
        <w:tc>
          <w:tcPr>
            <w:tcW w:w="851" w:type="dxa"/>
            <w:tcBorders>
              <w:bottom w:val="single" w:sz="6" w:space="0" w:color="auto"/>
            </w:tcBorders>
          </w:tcPr>
          <w:p w14:paraId="1A26D8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185 007</w:t>
            </w:r>
          </w:p>
        </w:tc>
        <w:tc>
          <w:tcPr>
            <w:tcW w:w="850" w:type="dxa"/>
            <w:tcBorders>
              <w:bottom w:val="single" w:sz="6" w:space="0" w:color="auto"/>
            </w:tcBorders>
          </w:tcPr>
          <w:p w14:paraId="5F5133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181 366</w:t>
            </w:r>
          </w:p>
        </w:tc>
        <w:tc>
          <w:tcPr>
            <w:tcW w:w="851" w:type="dxa"/>
            <w:tcBorders>
              <w:bottom w:val="single" w:sz="6" w:space="0" w:color="auto"/>
            </w:tcBorders>
          </w:tcPr>
          <w:p w14:paraId="49443D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189 543</w:t>
            </w:r>
          </w:p>
        </w:tc>
        <w:tc>
          <w:tcPr>
            <w:tcW w:w="850" w:type="dxa"/>
            <w:tcBorders>
              <w:bottom w:val="single" w:sz="6" w:space="0" w:color="auto"/>
            </w:tcBorders>
          </w:tcPr>
          <w:p w14:paraId="5A032F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195 656</w:t>
            </w:r>
          </w:p>
        </w:tc>
        <w:tc>
          <w:tcPr>
            <w:tcW w:w="906" w:type="dxa"/>
            <w:tcBorders>
              <w:bottom w:val="single" w:sz="6" w:space="0" w:color="auto"/>
            </w:tcBorders>
          </w:tcPr>
          <w:p w14:paraId="474D6E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204 795</w:t>
            </w:r>
          </w:p>
        </w:tc>
      </w:tr>
      <w:tr w:rsidR="005D339F" w14:paraId="0A44C2A9"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28770A9D" w14:textId="77777777" w:rsidR="005D339F" w:rsidRDefault="005D339F" w:rsidP="008670FF">
            <w:r>
              <w:rPr>
                <w:b/>
              </w:rPr>
              <w:t>Net worth</w:t>
            </w:r>
          </w:p>
        </w:tc>
        <w:tc>
          <w:tcPr>
            <w:tcW w:w="851" w:type="dxa"/>
            <w:tcBorders>
              <w:top w:val="single" w:sz="6" w:space="0" w:color="auto"/>
              <w:bottom w:val="single" w:sz="12" w:space="0" w:color="auto"/>
            </w:tcBorders>
          </w:tcPr>
          <w:p w14:paraId="79DEF1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247 600</w:t>
            </w:r>
          </w:p>
        </w:tc>
        <w:tc>
          <w:tcPr>
            <w:tcW w:w="850" w:type="dxa"/>
            <w:tcBorders>
              <w:top w:val="single" w:sz="6" w:space="0" w:color="auto"/>
              <w:bottom w:val="single" w:sz="12" w:space="0" w:color="auto"/>
            </w:tcBorders>
          </w:tcPr>
          <w:p w14:paraId="78F485C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241 749</w:t>
            </w:r>
          </w:p>
        </w:tc>
        <w:tc>
          <w:tcPr>
            <w:tcW w:w="851" w:type="dxa"/>
            <w:tcBorders>
              <w:top w:val="single" w:sz="6" w:space="0" w:color="auto"/>
              <w:bottom w:val="single" w:sz="12" w:space="0" w:color="auto"/>
            </w:tcBorders>
          </w:tcPr>
          <w:p w14:paraId="57BCEFA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250 662</w:t>
            </w:r>
          </w:p>
        </w:tc>
        <w:tc>
          <w:tcPr>
            <w:tcW w:w="850" w:type="dxa"/>
            <w:tcBorders>
              <w:top w:val="single" w:sz="6" w:space="0" w:color="auto"/>
              <w:bottom w:val="single" w:sz="12" w:space="0" w:color="auto"/>
            </w:tcBorders>
          </w:tcPr>
          <w:p w14:paraId="06426A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257 176</w:t>
            </w:r>
          </w:p>
        </w:tc>
        <w:tc>
          <w:tcPr>
            <w:tcW w:w="906" w:type="dxa"/>
            <w:tcBorders>
              <w:top w:val="single" w:sz="6" w:space="0" w:color="auto"/>
              <w:bottom w:val="single" w:sz="12" w:space="0" w:color="auto"/>
            </w:tcBorders>
          </w:tcPr>
          <w:p w14:paraId="3CF7D21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267 272</w:t>
            </w:r>
          </w:p>
        </w:tc>
      </w:tr>
      <w:tr w:rsidR="005D339F" w14:paraId="6B5F9B26"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0AEC873E" w14:textId="77777777" w:rsidR="005D339F" w:rsidRDefault="005D339F" w:rsidP="008670FF"/>
        </w:tc>
        <w:tc>
          <w:tcPr>
            <w:tcW w:w="851" w:type="dxa"/>
            <w:tcBorders>
              <w:top w:val="single" w:sz="6" w:space="0" w:color="auto"/>
            </w:tcBorders>
          </w:tcPr>
          <w:p w14:paraId="2F0D11B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236C87A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159D993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A0AC01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906" w:type="dxa"/>
            <w:tcBorders>
              <w:top w:val="single" w:sz="6" w:space="0" w:color="auto"/>
            </w:tcBorders>
          </w:tcPr>
          <w:p w14:paraId="69793E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C12784D"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4DCFFB29" w14:textId="77777777" w:rsidR="005D339F" w:rsidRDefault="005D339F" w:rsidP="008670FF">
            <w:r>
              <w:rPr>
                <w:b/>
              </w:rPr>
              <w:t>FISCAL AGGREGATES</w:t>
            </w:r>
          </w:p>
        </w:tc>
        <w:tc>
          <w:tcPr>
            <w:tcW w:w="851" w:type="dxa"/>
          </w:tcPr>
          <w:p w14:paraId="3EE345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2FF06D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1" w:type="dxa"/>
          </w:tcPr>
          <w:p w14:paraId="35B2CA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850" w:type="dxa"/>
          </w:tcPr>
          <w:p w14:paraId="2717A0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906" w:type="dxa"/>
          </w:tcPr>
          <w:p w14:paraId="507ED08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5ED6891"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5B9DF0B9" w14:textId="77777777" w:rsidR="005D339F" w:rsidRDefault="005D339F" w:rsidP="008670FF">
            <w:r>
              <w:t>Net financial worth</w:t>
            </w:r>
          </w:p>
        </w:tc>
        <w:tc>
          <w:tcPr>
            <w:tcW w:w="851" w:type="dxa"/>
          </w:tcPr>
          <w:p w14:paraId="5528BF6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(224 040)</w:t>
            </w:r>
          </w:p>
        </w:tc>
        <w:tc>
          <w:tcPr>
            <w:tcW w:w="850" w:type="dxa"/>
          </w:tcPr>
          <w:p w14:paraId="17429B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(230 894)</w:t>
            </w:r>
          </w:p>
        </w:tc>
        <w:tc>
          <w:tcPr>
            <w:tcW w:w="851" w:type="dxa"/>
          </w:tcPr>
          <w:p w14:paraId="714F48A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(248 626)</w:t>
            </w:r>
          </w:p>
        </w:tc>
        <w:tc>
          <w:tcPr>
            <w:tcW w:w="850" w:type="dxa"/>
          </w:tcPr>
          <w:p w14:paraId="09A310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(261 441)</w:t>
            </w:r>
          </w:p>
        </w:tc>
        <w:tc>
          <w:tcPr>
            <w:tcW w:w="906" w:type="dxa"/>
          </w:tcPr>
          <w:p w14:paraId="4FCC26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(270 019)</w:t>
            </w:r>
          </w:p>
        </w:tc>
      </w:tr>
      <w:tr w:rsidR="005D339F" w14:paraId="5F3746D2" w14:textId="77777777" w:rsidTr="008670FF">
        <w:tc>
          <w:tcPr>
            <w:cnfStyle w:val="001000000000" w:firstRow="0" w:lastRow="0" w:firstColumn="1" w:lastColumn="0" w:oddVBand="0" w:evenVBand="0" w:oddHBand="0" w:evenHBand="0" w:firstRowFirstColumn="0" w:firstRowLastColumn="0" w:lastRowFirstColumn="0" w:lastRowLastColumn="0"/>
            <w:tcW w:w="3544" w:type="dxa"/>
          </w:tcPr>
          <w:p w14:paraId="5FD176BD" w14:textId="77777777" w:rsidR="005D339F" w:rsidRDefault="005D339F" w:rsidP="008670FF">
            <w:r>
              <w:t>Net financial liabilities</w:t>
            </w:r>
          </w:p>
        </w:tc>
        <w:tc>
          <w:tcPr>
            <w:tcW w:w="851" w:type="dxa"/>
          </w:tcPr>
          <w:p w14:paraId="01C518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238 993</w:t>
            </w:r>
          </w:p>
        </w:tc>
        <w:tc>
          <w:tcPr>
            <w:tcW w:w="850" w:type="dxa"/>
          </w:tcPr>
          <w:p w14:paraId="01446A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242 336</w:t>
            </w:r>
          </w:p>
        </w:tc>
        <w:tc>
          <w:tcPr>
            <w:tcW w:w="851" w:type="dxa"/>
          </w:tcPr>
          <w:p w14:paraId="38ACD12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259 085</w:t>
            </w:r>
          </w:p>
        </w:tc>
        <w:tc>
          <w:tcPr>
            <w:tcW w:w="850" w:type="dxa"/>
          </w:tcPr>
          <w:p w14:paraId="58E07C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272 044</w:t>
            </w:r>
          </w:p>
        </w:tc>
        <w:tc>
          <w:tcPr>
            <w:tcW w:w="906" w:type="dxa"/>
          </w:tcPr>
          <w:p w14:paraId="371943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280 814</w:t>
            </w:r>
          </w:p>
        </w:tc>
      </w:tr>
      <w:tr w:rsidR="005D339F" w14:paraId="3164CB52"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12" w:space="0" w:color="auto"/>
            </w:tcBorders>
          </w:tcPr>
          <w:p w14:paraId="66A4D76E" w14:textId="77777777" w:rsidR="005D339F" w:rsidRDefault="005D339F" w:rsidP="008670FF">
            <w:r>
              <w:t>Net debt</w:t>
            </w:r>
          </w:p>
        </w:tc>
        <w:tc>
          <w:tcPr>
            <w:tcW w:w="851" w:type="dxa"/>
            <w:tcBorders>
              <w:bottom w:val="single" w:sz="12" w:space="0" w:color="auto"/>
            </w:tcBorders>
          </w:tcPr>
          <w:p w14:paraId="5CE97B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180 394</w:t>
            </w:r>
          </w:p>
        </w:tc>
        <w:tc>
          <w:tcPr>
            <w:tcW w:w="850" w:type="dxa"/>
            <w:tcBorders>
              <w:bottom w:val="single" w:sz="12" w:space="0" w:color="auto"/>
            </w:tcBorders>
          </w:tcPr>
          <w:p w14:paraId="043167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181 755</w:t>
            </w:r>
          </w:p>
        </w:tc>
        <w:tc>
          <w:tcPr>
            <w:tcW w:w="851" w:type="dxa"/>
            <w:tcBorders>
              <w:bottom w:val="single" w:sz="12" w:space="0" w:color="auto"/>
            </w:tcBorders>
          </w:tcPr>
          <w:p w14:paraId="766733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198 971</w:t>
            </w:r>
          </w:p>
        </w:tc>
        <w:tc>
          <w:tcPr>
            <w:tcW w:w="850" w:type="dxa"/>
            <w:tcBorders>
              <w:bottom w:val="single" w:sz="12" w:space="0" w:color="auto"/>
            </w:tcBorders>
          </w:tcPr>
          <w:p w14:paraId="702814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212 867</w:t>
            </w:r>
          </w:p>
        </w:tc>
        <w:tc>
          <w:tcPr>
            <w:tcW w:w="906" w:type="dxa"/>
            <w:tcBorders>
              <w:bottom w:val="single" w:sz="12" w:space="0" w:color="auto"/>
            </w:tcBorders>
          </w:tcPr>
          <w:p w14:paraId="4CA3579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223 538</w:t>
            </w:r>
          </w:p>
        </w:tc>
      </w:tr>
    </w:tbl>
    <w:p w14:paraId="324765FF" w14:textId="77777777" w:rsidR="005D339F" w:rsidRPr="00921F69" w:rsidRDefault="005D339F" w:rsidP="005D339F">
      <w:pPr>
        <w:pStyle w:val="Note"/>
      </w:pPr>
      <w:r w:rsidRPr="00921F69">
        <w:t>Note:</w:t>
      </w:r>
    </w:p>
    <w:p w14:paraId="7820A7FF" w14:textId="77777777" w:rsidR="005D339F" w:rsidRDefault="005D339F" w:rsidP="005D339F">
      <w:pPr>
        <w:pStyle w:val="Note"/>
      </w:pPr>
      <w:r w:rsidRPr="00B249F8">
        <w:t>(a)</w:t>
      </w:r>
      <w:r w:rsidRPr="00B249F8">
        <w:tab/>
      </w:r>
      <w:r w:rsidRPr="00921F69">
        <w:t>Balances represent actual opening balances at 1 July 20</w:t>
      </w:r>
      <w:r>
        <w:t>24</w:t>
      </w:r>
      <w:r w:rsidRPr="00921F69">
        <w:t xml:space="preserve"> plus 20</w:t>
      </w:r>
      <w:r>
        <w:t>24</w:t>
      </w:r>
      <w:r w:rsidRPr="00921F69">
        <w:t>-2</w:t>
      </w:r>
      <w:r>
        <w:t>5</w:t>
      </w:r>
      <w:r w:rsidRPr="00921F69">
        <w:t xml:space="preserve"> budgeted movements.</w:t>
      </w:r>
    </w:p>
    <w:p w14:paraId="17D9E2F7" w14:textId="427B6912" w:rsidR="005D339F" w:rsidRPr="00024787" w:rsidRDefault="005D339F" w:rsidP="00024787"/>
    <w:p w14:paraId="66805610" w14:textId="77777777" w:rsidR="00024787" w:rsidRDefault="00024787">
      <w:pPr>
        <w:keepLines w:val="0"/>
        <w:rPr>
          <w:rFonts w:asciiTheme="majorHAnsi" w:hAnsiTheme="majorHAnsi" w:cstheme="minorBidi"/>
          <w:b/>
          <w:iCs/>
          <w:sz w:val="20"/>
          <w:szCs w:val="18"/>
        </w:rPr>
      </w:pPr>
      <w:r>
        <w:br w:type="page"/>
      </w:r>
    </w:p>
    <w:p w14:paraId="1CE4E4FD" w14:textId="137ABBB9" w:rsidR="005D339F" w:rsidRPr="00A87208" w:rsidRDefault="005D339F" w:rsidP="005D339F">
      <w:pPr>
        <w:pStyle w:val="TableHeading"/>
      </w:pPr>
      <w:r w:rsidRPr="00921F69">
        <w:t>Table 5.8</w:t>
      </w:r>
      <w:r w:rsidRPr="00921F69">
        <w:tab/>
        <w:t xml:space="preserve">Non-financial public sector cash flow statement for the </w:t>
      </w:r>
      <w:r w:rsidRPr="00921F69">
        <w:br/>
        <w:t>financial year ended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NFPS_CF|MergedHeadingRow:1"/>
      </w:tblPr>
      <w:tblGrid>
        <w:gridCol w:w="3828"/>
        <w:gridCol w:w="92"/>
        <w:gridCol w:w="614"/>
        <w:gridCol w:w="794"/>
        <w:gridCol w:w="794"/>
        <w:gridCol w:w="794"/>
        <w:gridCol w:w="794"/>
      </w:tblGrid>
      <w:tr w:rsidR="005D339F" w:rsidRPr="00024787" w14:paraId="43356F7E" w14:textId="77777777" w:rsidTr="00024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14318DC9" w14:textId="77777777" w:rsidR="005D339F" w:rsidRPr="00024787" w:rsidRDefault="005D339F" w:rsidP="00024787">
            <w:pPr>
              <w:keepNext/>
              <w:spacing w:after="0"/>
              <w:rPr>
                <w:sz w:val="16"/>
                <w:szCs w:val="16"/>
              </w:rPr>
            </w:pPr>
          </w:p>
        </w:tc>
        <w:tc>
          <w:tcPr>
            <w:tcW w:w="706" w:type="dxa"/>
            <w:gridSpan w:val="2"/>
          </w:tcPr>
          <w:p w14:paraId="4C19239F"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2024</w:t>
            </w:r>
            <w:r w:rsidRPr="00024787">
              <w:rPr>
                <w:sz w:val="16"/>
                <w:szCs w:val="16"/>
              </w:rPr>
              <w:noBreakHyphen/>
              <w:t>25</w:t>
            </w:r>
            <w:r w:rsidRPr="00024787">
              <w:rPr>
                <w:sz w:val="16"/>
                <w:szCs w:val="16"/>
              </w:rPr>
              <w:br/>
              <w:t>budget</w:t>
            </w:r>
          </w:p>
        </w:tc>
        <w:tc>
          <w:tcPr>
            <w:tcW w:w="794" w:type="dxa"/>
          </w:tcPr>
          <w:p w14:paraId="7B786F2A"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2024</w:t>
            </w:r>
            <w:r w:rsidRPr="00024787">
              <w:rPr>
                <w:sz w:val="16"/>
                <w:szCs w:val="16"/>
              </w:rPr>
              <w:noBreakHyphen/>
              <w:t>25</w:t>
            </w:r>
            <w:r w:rsidRPr="00024787">
              <w:rPr>
                <w:sz w:val="16"/>
                <w:szCs w:val="16"/>
              </w:rPr>
              <w:br/>
              <w:t>revised</w:t>
            </w:r>
          </w:p>
        </w:tc>
        <w:tc>
          <w:tcPr>
            <w:tcW w:w="794" w:type="dxa"/>
          </w:tcPr>
          <w:p w14:paraId="564D8762"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2025</w:t>
            </w:r>
            <w:r w:rsidRPr="00024787">
              <w:rPr>
                <w:sz w:val="16"/>
                <w:szCs w:val="16"/>
              </w:rPr>
              <w:noBreakHyphen/>
              <w:t>26</w:t>
            </w:r>
            <w:r w:rsidRPr="00024787">
              <w:rPr>
                <w:sz w:val="16"/>
                <w:szCs w:val="16"/>
              </w:rPr>
              <w:br/>
              <w:t>estimate</w:t>
            </w:r>
          </w:p>
        </w:tc>
        <w:tc>
          <w:tcPr>
            <w:tcW w:w="794" w:type="dxa"/>
          </w:tcPr>
          <w:p w14:paraId="774F8E71"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2026</w:t>
            </w:r>
            <w:r w:rsidRPr="00024787">
              <w:rPr>
                <w:sz w:val="16"/>
                <w:szCs w:val="16"/>
              </w:rPr>
              <w:noBreakHyphen/>
              <w:t>27</w:t>
            </w:r>
            <w:r w:rsidRPr="00024787">
              <w:rPr>
                <w:sz w:val="16"/>
                <w:szCs w:val="16"/>
              </w:rPr>
              <w:br/>
              <w:t>estimate</w:t>
            </w:r>
          </w:p>
        </w:tc>
        <w:tc>
          <w:tcPr>
            <w:tcW w:w="794" w:type="dxa"/>
          </w:tcPr>
          <w:p w14:paraId="42188F12" w14:textId="77777777" w:rsidR="005D339F" w:rsidRPr="00024787" w:rsidRDefault="005D339F" w:rsidP="00024787">
            <w:pPr>
              <w:keepNext/>
              <w:spacing w:after="0"/>
              <w:cnfStyle w:val="100000000000" w:firstRow="1" w:lastRow="0" w:firstColumn="0" w:lastColumn="0" w:oddVBand="0" w:evenVBand="0" w:oddHBand="0" w:evenHBand="0" w:firstRowFirstColumn="0" w:firstRowLastColumn="0" w:lastRowFirstColumn="0" w:lastRowLastColumn="0"/>
              <w:rPr>
                <w:sz w:val="16"/>
                <w:szCs w:val="16"/>
              </w:rPr>
            </w:pPr>
            <w:r w:rsidRPr="00024787">
              <w:rPr>
                <w:sz w:val="16"/>
                <w:szCs w:val="16"/>
              </w:rPr>
              <w:t>2027</w:t>
            </w:r>
            <w:r w:rsidRPr="00024787">
              <w:rPr>
                <w:sz w:val="16"/>
                <w:szCs w:val="16"/>
              </w:rPr>
              <w:noBreakHyphen/>
              <w:t>28</w:t>
            </w:r>
            <w:r w:rsidRPr="00024787">
              <w:rPr>
                <w:sz w:val="16"/>
                <w:szCs w:val="16"/>
              </w:rPr>
              <w:br/>
              <w:t>estimate</w:t>
            </w:r>
          </w:p>
        </w:tc>
      </w:tr>
      <w:tr w:rsidR="005D339F" w:rsidRPr="00024787" w14:paraId="76C83308"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74031953" w14:textId="77777777" w:rsidR="005D339F" w:rsidRPr="00024787" w:rsidRDefault="005D339F" w:rsidP="00024787">
            <w:pPr>
              <w:spacing w:after="0"/>
              <w:rPr>
                <w:sz w:val="16"/>
                <w:szCs w:val="16"/>
              </w:rPr>
            </w:pPr>
            <w:r w:rsidRPr="00024787">
              <w:rPr>
                <w:b/>
                <w:sz w:val="16"/>
                <w:szCs w:val="16"/>
              </w:rPr>
              <w:t>Cash flows from operating activities</w:t>
            </w:r>
          </w:p>
        </w:tc>
        <w:tc>
          <w:tcPr>
            <w:tcW w:w="706" w:type="dxa"/>
            <w:gridSpan w:val="2"/>
          </w:tcPr>
          <w:p w14:paraId="35EF7C3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3F7D159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3CB1D98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DF31F8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430D782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55A1EC29"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795AAE31" w14:textId="77777777" w:rsidR="005D339F" w:rsidRPr="00024787" w:rsidRDefault="005D339F" w:rsidP="00024787">
            <w:pPr>
              <w:spacing w:after="0"/>
              <w:rPr>
                <w:sz w:val="16"/>
                <w:szCs w:val="16"/>
              </w:rPr>
            </w:pPr>
            <w:r w:rsidRPr="00024787">
              <w:rPr>
                <w:b/>
                <w:sz w:val="16"/>
                <w:szCs w:val="16"/>
              </w:rPr>
              <w:t>Receipts</w:t>
            </w:r>
          </w:p>
        </w:tc>
        <w:tc>
          <w:tcPr>
            <w:tcW w:w="706" w:type="dxa"/>
            <w:gridSpan w:val="2"/>
          </w:tcPr>
          <w:p w14:paraId="26D98A6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29F945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3F09CDC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62829C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DD7AA0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66822CC3"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3FEDCE37" w14:textId="77777777" w:rsidR="005D339F" w:rsidRPr="00024787" w:rsidRDefault="005D339F" w:rsidP="00024787">
            <w:pPr>
              <w:spacing w:after="0"/>
              <w:rPr>
                <w:sz w:val="16"/>
                <w:szCs w:val="16"/>
              </w:rPr>
            </w:pPr>
            <w:r w:rsidRPr="00024787">
              <w:rPr>
                <w:sz w:val="16"/>
                <w:szCs w:val="16"/>
              </w:rPr>
              <w:t>Taxes received</w:t>
            </w:r>
          </w:p>
        </w:tc>
        <w:tc>
          <w:tcPr>
            <w:tcW w:w="706" w:type="dxa"/>
            <w:gridSpan w:val="2"/>
          </w:tcPr>
          <w:p w14:paraId="210CEE5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37 957</w:t>
            </w:r>
          </w:p>
        </w:tc>
        <w:tc>
          <w:tcPr>
            <w:tcW w:w="794" w:type="dxa"/>
          </w:tcPr>
          <w:p w14:paraId="0820820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38 922</w:t>
            </w:r>
          </w:p>
        </w:tc>
        <w:tc>
          <w:tcPr>
            <w:tcW w:w="794" w:type="dxa"/>
          </w:tcPr>
          <w:p w14:paraId="622A35F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40 479</w:t>
            </w:r>
          </w:p>
        </w:tc>
        <w:tc>
          <w:tcPr>
            <w:tcW w:w="794" w:type="dxa"/>
          </w:tcPr>
          <w:p w14:paraId="0866222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42 687</w:t>
            </w:r>
          </w:p>
        </w:tc>
        <w:tc>
          <w:tcPr>
            <w:tcW w:w="794" w:type="dxa"/>
          </w:tcPr>
          <w:p w14:paraId="5137D8B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44 842</w:t>
            </w:r>
          </w:p>
        </w:tc>
      </w:tr>
      <w:tr w:rsidR="005D339F" w:rsidRPr="00024787" w14:paraId="4791C0C9"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2AFC22D6" w14:textId="77777777" w:rsidR="005D339F" w:rsidRPr="00024787" w:rsidRDefault="005D339F" w:rsidP="00024787">
            <w:pPr>
              <w:spacing w:after="0"/>
              <w:rPr>
                <w:sz w:val="16"/>
                <w:szCs w:val="16"/>
              </w:rPr>
            </w:pPr>
            <w:r w:rsidRPr="00024787">
              <w:rPr>
                <w:sz w:val="16"/>
                <w:szCs w:val="16"/>
              </w:rPr>
              <w:t>Grants</w:t>
            </w:r>
          </w:p>
        </w:tc>
        <w:tc>
          <w:tcPr>
            <w:tcW w:w="706" w:type="dxa"/>
            <w:gridSpan w:val="2"/>
          </w:tcPr>
          <w:p w14:paraId="25D1381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44 845</w:t>
            </w:r>
          </w:p>
        </w:tc>
        <w:tc>
          <w:tcPr>
            <w:tcW w:w="794" w:type="dxa"/>
          </w:tcPr>
          <w:p w14:paraId="6661CE1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45 480</w:t>
            </w:r>
          </w:p>
        </w:tc>
        <w:tc>
          <w:tcPr>
            <w:tcW w:w="794" w:type="dxa"/>
          </w:tcPr>
          <w:p w14:paraId="512BBB8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49 188</w:t>
            </w:r>
          </w:p>
        </w:tc>
        <w:tc>
          <w:tcPr>
            <w:tcW w:w="794" w:type="dxa"/>
          </w:tcPr>
          <w:p w14:paraId="15C69B0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49 876</w:t>
            </w:r>
          </w:p>
        </w:tc>
        <w:tc>
          <w:tcPr>
            <w:tcW w:w="794" w:type="dxa"/>
          </w:tcPr>
          <w:p w14:paraId="7F35A1E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51 339</w:t>
            </w:r>
          </w:p>
        </w:tc>
      </w:tr>
      <w:tr w:rsidR="005D339F" w:rsidRPr="00024787" w14:paraId="4541F53D"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3D9DC825" w14:textId="77777777" w:rsidR="005D339F" w:rsidRPr="00024787" w:rsidRDefault="005D339F" w:rsidP="00024787">
            <w:pPr>
              <w:spacing w:after="0"/>
              <w:rPr>
                <w:sz w:val="16"/>
                <w:szCs w:val="16"/>
              </w:rPr>
            </w:pPr>
            <w:r w:rsidRPr="00024787">
              <w:rPr>
                <w:sz w:val="16"/>
                <w:szCs w:val="16"/>
              </w:rPr>
              <w:t>Sales of goods and services</w:t>
            </w:r>
            <w:r w:rsidRPr="00024787">
              <w:rPr>
                <w:sz w:val="16"/>
                <w:szCs w:val="16"/>
                <w:vertAlign w:val="superscript"/>
              </w:rPr>
              <w:t xml:space="preserve"> (a)</w:t>
            </w:r>
          </w:p>
        </w:tc>
        <w:tc>
          <w:tcPr>
            <w:tcW w:w="706" w:type="dxa"/>
            <w:gridSpan w:val="2"/>
          </w:tcPr>
          <w:p w14:paraId="6914073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15 512</w:t>
            </w:r>
          </w:p>
        </w:tc>
        <w:tc>
          <w:tcPr>
            <w:tcW w:w="794" w:type="dxa"/>
          </w:tcPr>
          <w:p w14:paraId="40657F4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16 010</w:t>
            </w:r>
          </w:p>
        </w:tc>
        <w:tc>
          <w:tcPr>
            <w:tcW w:w="794" w:type="dxa"/>
          </w:tcPr>
          <w:p w14:paraId="10D1A14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16 544</w:t>
            </w:r>
          </w:p>
        </w:tc>
        <w:tc>
          <w:tcPr>
            <w:tcW w:w="794" w:type="dxa"/>
          </w:tcPr>
          <w:p w14:paraId="55245D9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17 017</w:t>
            </w:r>
          </w:p>
        </w:tc>
        <w:tc>
          <w:tcPr>
            <w:tcW w:w="794" w:type="dxa"/>
          </w:tcPr>
          <w:p w14:paraId="6F26F99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17 355</w:t>
            </w:r>
          </w:p>
        </w:tc>
      </w:tr>
      <w:tr w:rsidR="005D339F" w:rsidRPr="00024787" w14:paraId="467A5567"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0E6A07D8" w14:textId="77777777" w:rsidR="005D339F" w:rsidRPr="00024787" w:rsidRDefault="005D339F" w:rsidP="00024787">
            <w:pPr>
              <w:spacing w:after="0"/>
              <w:rPr>
                <w:sz w:val="16"/>
                <w:szCs w:val="16"/>
              </w:rPr>
            </w:pPr>
            <w:r w:rsidRPr="00024787">
              <w:rPr>
                <w:sz w:val="16"/>
                <w:szCs w:val="16"/>
              </w:rPr>
              <w:t>Interest received</w:t>
            </w:r>
          </w:p>
        </w:tc>
        <w:tc>
          <w:tcPr>
            <w:tcW w:w="706" w:type="dxa"/>
            <w:gridSpan w:val="2"/>
          </w:tcPr>
          <w:p w14:paraId="14BBA56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740</w:t>
            </w:r>
          </w:p>
        </w:tc>
        <w:tc>
          <w:tcPr>
            <w:tcW w:w="794" w:type="dxa"/>
          </w:tcPr>
          <w:p w14:paraId="7DC592F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869</w:t>
            </w:r>
          </w:p>
        </w:tc>
        <w:tc>
          <w:tcPr>
            <w:tcW w:w="794" w:type="dxa"/>
          </w:tcPr>
          <w:p w14:paraId="1FA42E8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539</w:t>
            </w:r>
          </w:p>
        </w:tc>
        <w:tc>
          <w:tcPr>
            <w:tcW w:w="794" w:type="dxa"/>
          </w:tcPr>
          <w:p w14:paraId="7899C36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538</w:t>
            </w:r>
          </w:p>
        </w:tc>
        <w:tc>
          <w:tcPr>
            <w:tcW w:w="794" w:type="dxa"/>
          </w:tcPr>
          <w:p w14:paraId="3DE99EB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537</w:t>
            </w:r>
          </w:p>
        </w:tc>
      </w:tr>
      <w:tr w:rsidR="005D339F" w:rsidRPr="00024787" w14:paraId="176C793A"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5E2B2D7A" w14:textId="77777777" w:rsidR="005D339F" w:rsidRPr="00024787" w:rsidRDefault="005D339F" w:rsidP="00024787">
            <w:pPr>
              <w:spacing w:after="0"/>
              <w:rPr>
                <w:sz w:val="16"/>
                <w:szCs w:val="16"/>
              </w:rPr>
            </w:pPr>
            <w:r w:rsidRPr="00024787">
              <w:rPr>
                <w:sz w:val="16"/>
                <w:szCs w:val="16"/>
              </w:rPr>
              <w:t>Dividends, income tax equivalent and rate equivalent receipts</w:t>
            </w:r>
          </w:p>
        </w:tc>
        <w:tc>
          <w:tcPr>
            <w:tcW w:w="706" w:type="dxa"/>
            <w:gridSpan w:val="2"/>
          </w:tcPr>
          <w:p w14:paraId="397C921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697</w:t>
            </w:r>
          </w:p>
        </w:tc>
        <w:tc>
          <w:tcPr>
            <w:tcW w:w="794" w:type="dxa"/>
          </w:tcPr>
          <w:p w14:paraId="7AFD3DF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834</w:t>
            </w:r>
          </w:p>
        </w:tc>
        <w:tc>
          <w:tcPr>
            <w:tcW w:w="794" w:type="dxa"/>
          </w:tcPr>
          <w:p w14:paraId="6040179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791</w:t>
            </w:r>
          </w:p>
        </w:tc>
        <w:tc>
          <w:tcPr>
            <w:tcW w:w="794" w:type="dxa"/>
          </w:tcPr>
          <w:p w14:paraId="15D6898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865</w:t>
            </w:r>
          </w:p>
        </w:tc>
        <w:tc>
          <w:tcPr>
            <w:tcW w:w="794" w:type="dxa"/>
          </w:tcPr>
          <w:p w14:paraId="6266A8F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936</w:t>
            </w:r>
          </w:p>
        </w:tc>
      </w:tr>
      <w:tr w:rsidR="005D339F" w:rsidRPr="00024787" w14:paraId="112C5194"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37735EB8" w14:textId="77777777" w:rsidR="005D339F" w:rsidRPr="00024787" w:rsidRDefault="005D339F" w:rsidP="00024787">
            <w:pPr>
              <w:spacing w:after="0"/>
              <w:rPr>
                <w:sz w:val="16"/>
                <w:szCs w:val="16"/>
              </w:rPr>
            </w:pPr>
            <w:r w:rsidRPr="00024787">
              <w:rPr>
                <w:sz w:val="16"/>
                <w:szCs w:val="16"/>
              </w:rPr>
              <w:t>Other receipts</w:t>
            </w:r>
          </w:p>
        </w:tc>
        <w:tc>
          <w:tcPr>
            <w:tcW w:w="706" w:type="dxa"/>
            <w:gridSpan w:val="2"/>
            <w:tcBorders>
              <w:bottom w:val="single" w:sz="6" w:space="0" w:color="auto"/>
            </w:tcBorders>
          </w:tcPr>
          <w:p w14:paraId="6005789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2 327</w:t>
            </w:r>
          </w:p>
        </w:tc>
        <w:tc>
          <w:tcPr>
            <w:tcW w:w="794" w:type="dxa"/>
            <w:tcBorders>
              <w:bottom w:val="single" w:sz="6" w:space="0" w:color="auto"/>
            </w:tcBorders>
          </w:tcPr>
          <w:p w14:paraId="4CF0C24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2 445</w:t>
            </w:r>
          </w:p>
        </w:tc>
        <w:tc>
          <w:tcPr>
            <w:tcW w:w="794" w:type="dxa"/>
            <w:tcBorders>
              <w:bottom w:val="single" w:sz="6" w:space="0" w:color="auto"/>
            </w:tcBorders>
          </w:tcPr>
          <w:p w14:paraId="4B58F95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2 660</w:t>
            </w:r>
          </w:p>
        </w:tc>
        <w:tc>
          <w:tcPr>
            <w:tcW w:w="794" w:type="dxa"/>
            <w:tcBorders>
              <w:bottom w:val="single" w:sz="6" w:space="0" w:color="auto"/>
            </w:tcBorders>
          </w:tcPr>
          <w:p w14:paraId="2F61CA7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3 057</w:t>
            </w:r>
          </w:p>
        </w:tc>
        <w:tc>
          <w:tcPr>
            <w:tcW w:w="794" w:type="dxa"/>
            <w:tcBorders>
              <w:bottom w:val="single" w:sz="6" w:space="0" w:color="auto"/>
            </w:tcBorders>
          </w:tcPr>
          <w:p w14:paraId="55A0B42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2 803</w:t>
            </w:r>
          </w:p>
        </w:tc>
      </w:tr>
      <w:tr w:rsidR="005D339F" w:rsidRPr="00024787" w14:paraId="4A069B70"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6C425595" w14:textId="77777777" w:rsidR="005D339F" w:rsidRPr="00024787" w:rsidRDefault="005D339F" w:rsidP="00024787">
            <w:pPr>
              <w:spacing w:after="0"/>
              <w:rPr>
                <w:sz w:val="16"/>
                <w:szCs w:val="16"/>
              </w:rPr>
            </w:pPr>
            <w:r w:rsidRPr="00024787">
              <w:rPr>
                <w:b/>
                <w:sz w:val="16"/>
                <w:szCs w:val="16"/>
              </w:rPr>
              <w:t>Total receipts</w:t>
            </w:r>
          </w:p>
        </w:tc>
        <w:tc>
          <w:tcPr>
            <w:tcW w:w="706" w:type="dxa"/>
            <w:gridSpan w:val="2"/>
            <w:tcBorders>
              <w:top w:val="single" w:sz="6" w:space="0" w:color="auto"/>
            </w:tcBorders>
          </w:tcPr>
          <w:p w14:paraId="47DA258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102 078</w:t>
            </w:r>
          </w:p>
        </w:tc>
        <w:tc>
          <w:tcPr>
            <w:tcW w:w="794" w:type="dxa"/>
            <w:tcBorders>
              <w:top w:val="single" w:sz="6" w:space="0" w:color="auto"/>
            </w:tcBorders>
          </w:tcPr>
          <w:p w14:paraId="16DE4AD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104 561</w:t>
            </w:r>
          </w:p>
        </w:tc>
        <w:tc>
          <w:tcPr>
            <w:tcW w:w="794" w:type="dxa"/>
            <w:tcBorders>
              <w:top w:val="single" w:sz="6" w:space="0" w:color="auto"/>
            </w:tcBorders>
          </w:tcPr>
          <w:p w14:paraId="68E9E6A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110 202</w:t>
            </w:r>
          </w:p>
        </w:tc>
        <w:tc>
          <w:tcPr>
            <w:tcW w:w="794" w:type="dxa"/>
            <w:tcBorders>
              <w:top w:val="single" w:sz="6" w:space="0" w:color="auto"/>
            </w:tcBorders>
          </w:tcPr>
          <w:p w14:paraId="7043937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114 040</w:t>
            </w:r>
          </w:p>
        </w:tc>
        <w:tc>
          <w:tcPr>
            <w:tcW w:w="794" w:type="dxa"/>
            <w:tcBorders>
              <w:top w:val="single" w:sz="6" w:space="0" w:color="auto"/>
            </w:tcBorders>
          </w:tcPr>
          <w:p w14:paraId="6B7D893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117 811</w:t>
            </w:r>
          </w:p>
        </w:tc>
      </w:tr>
      <w:tr w:rsidR="005D339F" w:rsidRPr="00024787" w14:paraId="3DFF03EB"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7A85ED07" w14:textId="77777777" w:rsidR="005D339F" w:rsidRPr="00024787" w:rsidRDefault="005D339F" w:rsidP="00024787">
            <w:pPr>
              <w:spacing w:after="0"/>
              <w:rPr>
                <w:sz w:val="16"/>
                <w:szCs w:val="16"/>
              </w:rPr>
            </w:pPr>
            <w:r w:rsidRPr="00024787">
              <w:rPr>
                <w:b/>
                <w:sz w:val="16"/>
                <w:szCs w:val="16"/>
              </w:rPr>
              <w:t>Payments</w:t>
            </w:r>
          </w:p>
        </w:tc>
        <w:tc>
          <w:tcPr>
            <w:tcW w:w="706" w:type="dxa"/>
            <w:gridSpan w:val="2"/>
          </w:tcPr>
          <w:p w14:paraId="7EE3217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A88099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FE45EE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719086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6650F0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2E60FCCC"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7B462FED" w14:textId="77777777" w:rsidR="005D339F" w:rsidRPr="00024787" w:rsidRDefault="005D339F" w:rsidP="00024787">
            <w:pPr>
              <w:spacing w:after="0"/>
              <w:rPr>
                <w:sz w:val="16"/>
                <w:szCs w:val="16"/>
              </w:rPr>
            </w:pPr>
            <w:r w:rsidRPr="00024787">
              <w:rPr>
                <w:sz w:val="16"/>
                <w:szCs w:val="16"/>
              </w:rPr>
              <w:t>Payments for employees</w:t>
            </w:r>
          </w:p>
        </w:tc>
        <w:tc>
          <w:tcPr>
            <w:tcW w:w="706" w:type="dxa"/>
            <w:gridSpan w:val="2"/>
          </w:tcPr>
          <w:p w14:paraId="4EA983F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(38 308)</w:t>
            </w:r>
          </w:p>
        </w:tc>
        <w:tc>
          <w:tcPr>
            <w:tcW w:w="794" w:type="dxa"/>
          </w:tcPr>
          <w:p w14:paraId="5838981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(39 044)</w:t>
            </w:r>
          </w:p>
        </w:tc>
        <w:tc>
          <w:tcPr>
            <w:tcW w:w="794" w:type="dxa"/>
          </w:tcPr>
          <w:p w14:paraId="0E2F596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(39 865)</w:t>
            </w:r>
          </w:p>
        </w:tc>
        <w:tc>
          <w:tcPr>
            <w:tcW w:w="794" w:type="dxa"/>
          </w:tcPr>
          <w:p w14:paraId="4985EDA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(41 515)</w:t>
            </w:r>
          </w:p>
        </w:tc>
        <w:tc>
          <w:tcPr>
            <w:tcW w:w="794" w:type="dxa"/>
          </w:tcPr>
          <w:p w14:paraId="31FC129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(42 753)</w:t>
            </w:r>
          </w:p>
        </w:tc>
      </w:tr>
      <w:tr w:rsidR="005D339F" w:rsidRPr="00024787" w14:paraId="1B5D133F"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59CEF9D2" w14:textId="77777777" w:rsidR="005D339F" w:rsidRPr="00024787" w:rsidRDefault="005D339F" w:rsidP="00024787">
            <w:pPr>
              <w:spacing w:after="0"/>
              <w:rPr>
                <w:sz w:val="16"/>
                <w:szCs w:val="16"/>
              </w:rPr>
            </w:pPr>
            <w:r w:rsidRPr="00024787">
              <w:rPr>
                <w:sz w:val="16"/>
                <w:szCs w:val="16"/>
              </w:rPr>
              <w:t>Superannuation</w:t>
            </w:r>
          </w:p>
        </w:tc>
        <w:tc>
          <w:tcPr>
            <w:tcW w:w="706" w:type="dxa"/>
            <w:gridSpan w:val="2"/>
          </w:tcPr>
          <w:p w14:paraId="7452D3B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(4 233)</w:t>
            </w:r>
          </w:p>
        </w:tc>
        <w:tc>
          <w:tcPr>
            <w:tcW w:w="794" w:type="dxa"/>
          </w:tcPr>
          <w:p w14:paraId="2890F8E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(4 487)</w:t>
            </w:r>
          </w:p>
        </w:tc>
        <w:tc>
          <w:tcPr>
            <w:tcW w:w="794" w:type="dxa"/>
          </w:tcPr>
          <w:p w14:paraId="5CAAC09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(4 143)</w:t>
            </w:r>
          </w:p>
        </w:tc>
        <w:tc>
          <w:tcPr>
            <w:tcW w:w="794" w:type="dxa"/>
          </w:tcPr>
          <w:p w14:paraId="1DAA490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(4 439)</w:t>
            </w:r>
          </w:p>
        </w:tc>
        <w:tc>
          <w:tcPr>
            <w:tcW w:w="794" w:type="dxa"/>
          </w:tcPr>
          <w:p w14:paraId="28C1516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(5 883)</w:t>
            </w:r>
          </w:p>
        </w:tc>
      </w:tr>
      <w:tr w:rsidR="005D339F" w:rsidRPr="00024787" w14:paraId="46C9A443"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5CB81327" w14:textId="77777777" w:rsidR="005D339F" w:rsidRPr="00024787" w:rsidRDefault="005D339F" w:rsidP="00024787">
            <w:pPr>
              <w:spacing w:after="0"/>
              <w:rPr>
                <w:sz w:val="16"/>
                <w:szCs w:val="16"/>
              </w:rPr>
            </w:pPr>
            <w:r w:rsidRPr="00024787">
              <w:rPr>
                <w:sz w:val="16"/>
                <w:szCs w:val="16"/>
              </w:rPr>
              <w:t>Interest paid</w:t>
            </w:r>
          </w:p>
        </w:tc>
        <w:tc>
          <w:tcPr>
            <w:tcW w:w="706" w:type="dxa"/>
            <w:gridSpan w:val="2"/>
          </w:tcPr>
          <w:p w14:paraId="1CC3B30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(6 889)</w:t>
            </w:r>
          </w:p>
        </w:tc>
        <w:tc>
          <w:tcPr>
            <w:tcW w:w="794" w:type="dxa"/>
          </w:tcPr>
          <w:p w14:paraId="1AB7268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(6 880)</w:t>
            </w:r>
          </w:p>
        </w:tc>
        <w:tc>
          <w:tcPr>
            <w:tcW w:w="794" w:type="dxa"/>
          </w:tcPr>
          <w:p w14:paraId="7F4DB18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(8 048)</w:t>
            </w:r>
          </w:p>
        </w:tc>
        <w:tc>
          <w:tcPr>
            <w:tcW w:w="794" w:type="dxa"/>
          </w:tcPr>
          <w:p w14:paraId="629F7EF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(9 251)</w:t>
            </w:r>
          </w:p>
        </w:tc>
        <w:tc>
          <w:tcPr>
            <w:tcW w:w="794" w:type="dxa"/>
          </w:tcPr>
          <w:p w14:paraId="1BD7F47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(10 338)</w:t>
            </w:r>
          </w:p>
        </w:tc>
      </w:tr>
      <w:tr w:rsidR="005D339F" w:rsidRPr="00024787" w14:paraId="7550A648"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40AF78EE" w14:textId="77777777" w:rsidR="005D339F" w:rsidRPr="00024787" w:rsidRDefault="005D339F" w:rsidP="00024787">
            <w:pPr>
              <w:spacing w:after="0"/>
              <w:rPr>
                <w:sz w:val="16"/>
                <w:szCs w:val="16"/>
              </w:rPr>
            </w:pPr>
            <w:r w:rsidRPr="00024787">
              <w:rPr>
                <w:sz w:val="16"/>
                <w:szCs w:val="16"/>
              </w:rPr>
              <w:t>Grants and subsidies</w:t>
            </w:r>
          </w:p>
        </w:tc>
        <w:tc>
          <w:tcPr>
            <w:tcW w:w="706" w:type="dxa"/>
            <w:gridSpan w:val="2"/>
          </w:tcPr>
          <w:p w14:paraId="26BF0D1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(15 442)</w:t>
            </w:r>
          </w:p>
        </w:tc>
        <w:tc>
          <w:tcPr>
            <w:tcW w:w="794" w:type="dxa"/>
          </w:tcPr>
          <w:p w14:paraId="0A6601E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(15 869)</w:t>
            </w:r>
          </w:p>
        </w:tc>
        <w:tc>
          <w:tcPr>
            <w:tcW w:w="794" w:type="dxa"/>
          </w:tcPr>
          <w:p w14:paraId="0663A68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(15 535)</w:t>
            </w:r>
          </w:p>
        </w:tc>
        <w:tc>
          <w:tcPr>
            <w:tcW w:w="794" w:type="dxa"/>
          </w:tcPr>
          <w:p w14:paraId="37F857F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(15 594)</w:t>
            </w:r>
          </w:p>
        </w:tc>
        <w:tc>
          <w:tcPr>
            <w:tcW w:w="794" w:type="dxa"/>
          </w:tcPr>
          <w:p w14:paraId="4D529CA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(15 758)</w:t>
            </w:r>
          </w:p>
        </w:tc>
      </w:tr>
      <w:tr w:rsidR="005D339F" w:rsidRPr="00024787" w14:paraId="5C5D55E9"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3207FC69" w14:textId="77777777" w:rsidR="005D339F" w:rsidRPr="00024787" w:rsidRDefault="005D339F" w:rsidP="00024787">
            <w:pPr>
              <w:spacing w:after="0"/>
              <w:rPr>
                <w:sz w:val="16"/>
                <w:szCs w:val="16"/>
              </w:rPr>
            </w:pPr>
            <w:r w:rsidRPr="00024787">
              <w:rPr>
                <w:sz w:val="16"/>
                <w:szCs w:val="16"/>
              </w:rPr>
              <w:t>Goods and services</w:t>
            </w:r>
            <w:r w:rsidRPr="00024787">
              <w:rPr>
                <w:sz w:val="16"/>
                <w:szCs w:val="16"/>
                <w:vertAlign w:val="superscript"/>
              </w:rPr>
              <w:t xml:space="preserve"> (a)</w:t>
            </w:r>
          </w:p>
        </w:tc>
        <w:tc>
          <w:tcPr>
            <w:tcW w:w="706" w:type="dxa"/>
            <w:gridSpan w:val="2"/>
          </w:tcPr>
          <w:p w14:paraId="776B237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(32 881)</w:t>
            </w:r>
          </w:p>
        </w:tc>
        <w:tc>
          <w:tcPr>
            <w:tcW w:w="794" w:type="dxa"/>
          </w:tcPr>
          <w:p w14:paraId="643D0FA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(34 269)</w:t>
            </w:r>
          </w:p>
        </w:tc>
        <w:tc>
          <w:tcPr>
            <w:tcW w:w="794" w:type="dxa"/>
          </w:tcPr>
          <w:p w14:paraId="158D8DB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(32 420)</w:t>
            </w:r>
          </w:p>
        </w:tc>
        <w:tc>
          <w:tcPr>
            <w:tcW w:w="794" w:type="dxa"/>
          </w:tcPr>
          <w:p w14:paraId="7281C95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(33 366)</w:t>
            </w:r>
          </w:p>
        </w:tc>
        <w:tc>
          <w:tcPr>
            <w:tcW w:w="794" w:type="dxa"/>
          </w:tcPr>
          <w:p w14:paraId="7815189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(33 806)</w:t>
            </w:r>
          </w:p>
        </w:tc>
      </w:tr>
      <w:tr w:rsidR="005D339F" w:rsidRPr="00024787" w14:paraId="5862CE39"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03B5ABA2" w14:textId="77777777" w:rsidR="005D339F" w:rsidRPr="00024787" w:rsidRDefault="005D339F" w:rsidP="00024787">
            <w:pPr>
              <w:spacing w:after="0"/>
              <w:rPr>
                <w:sz w:val="16"/>
                <w:szCs w:val="16"/>
              </w:rPr>
            </w:pPr>
            <w:r w:rsidRPr="00024787">
              <w:rPr>
                <w:sz w:val="16"/>
                <w:szCs w:val="16"/>
              </w:rPr>
              <w:t>Other payments</w:t>
            </w:r>
          </w:p>
        </w:tc>
        <w:tc>
          <w:tcPr>
            <w:tcW w:w="706" w:type="dxa"/>
            <w:gridSpan w:val="2"/>
            <w:tcBorders>
              <w:bottom w:val="single" w:sz="6" w:space="0" w:color="auto"/>
            </w:tcBorders>
          </w:tcPr>
          <w:p w14:paraId="6B860D1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(1 067)</w:t>
            </w:r>
          </w:p>
        </w:tc>
        <w:tc>
          <w:tcPr>
            <w:tcW w:w="794" w:type="dxa"/>
            <w:tcBorders>
              <w:bottom w:val="single" w:sz="6" w:space="0" w:color="auto"/>
            </w:tcBorders>
          </w:tcPr>
          <w:p w14:paraId="10B1F24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(1 733)</w:t>
            </w:r>
          </w:p>
        </w:tc>
        <w:tc>
          <w:tcPr>
            <w:tcW w:w="794" w:type="dxa"/>
            <w:tcBorders>
              <w:bottom w:val="single" w:sz="6" w:space="0" w:color="auto"/>
            </w:tcBorders>
          </w:tcPr>
          <w:p w14:paraId="15A807B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(1 236)</w:t>
            </w:r>
          </w:p>
        </w:tc>
        <w:tc>
          <w:tcPr>
            <w:tcW w:w="794" w:type="dxa"/>
            <w:tcBorders>
              <w:bottom w:val="single" w:sz="6" w:space="0" w:color="auto"/>
            </w:tcBorders>
          </w:tcPr>
          <w:p w14:paraId="6A3D290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(1 067)</w:t>
            </w:r>
          </w:p>
        </w:tc>
        <w:tc>
          <w:tcPr>
            <w:tcW w:w="794" w:type="dxa"/>
            <w:tcBorders>
              <w:bottom w:val="single" w:sz="6" w:space="0" w:color="auto"/>
            </w:tcBorders>
          </w:tcPr>
          <w:p w14:paraId="475D110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(1 117)</w:t>
            </w:r>
          </w:p>
        </w:tc>
      </w:tr>
      <w:tr w:rsidR="005D339F" w:rsidRPr="00024787" w14:paraId="6E878A91"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6" w:space="0" w:color="auto"/>
            </w:tcBorders>
          </w:tcPr>
          <w:p w14:paraId="618E3FA4" w14:textId="77777777" w:rsidR="005D339F" w:rsidRPr="00024787" w:rsidRDefault="005D339F" w:rsidP="00024787">
            <w:pPr>
              <w:spacing w:after="0"/>
              <w:rPr>
                <w:sz w:val="16"/>
                <w:szCs w:val="16"/>
              </w:rPr>
            </w:pPr>
            <w:r w:rsidRPr="00024787">
              <w:rPr>
                <w:b/>
                <w:sz w:val="16"/>
                <w:szCs w:val="16"/>
              </w:rPr>
              <w:t>Total payments</w:t>
            </w:r>
          </w:p>
        </w:tc>
        <w:tc>
          <w:tcPr>
            <w:tcW w:w="706" w:type="dxa"/>
            <w:gridSpan w:val="2"/>
            <w:tcBorders>
              <w:top w:val="single" w:sz="6" w:space="0" w:color="auto"/>
              <w:bottom w:val="single" w:sz="6" w:space="0" w:color="auto"/>
            </w:tcBorders>
          </w:tcPr>
          <w:p w14:paraId="292C55B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(98 820)</w:t>
            </w:r>
          </w:p>
        </w:tc>
        <w:tc>
          <w:tcPr>
            <w:tcW w:w="794" w:type="dxa"/>
            <w:tcBorders>
              <w:top w:val="single" w:sz="6" w:space="0" w:color="auto"/>
              <w:bottom w:val="single" w:sz="6" w:space="0" w:color="auto"/>
            </w:tcBorders>
          </w:tcPr>
          <w:p w14:paraId="24E2015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(102 281)</w:t>
            </w:r>
          </w:p>
        </w:tc>
        <w:tc>
          <w:tcPr>
            <w:tcW w:w="794" w:type="dxa"/>
            <w:tcBorders>
              <w:top w:val="single" w:sz="6" w:space="0" w:color="auto"/>
              <w:bottom w:val="single" w:sz="6" w:space="0" w:color="auto"/>
            </w:tcBorders>
          </w:tcPr>
          <w:p w14:paraId="0D5B0E2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(101 248)</w:t>
            </w:r>
          </w:p>
        </w:tc>
        <w:tc>
          <w:tcPr>
            <w:tcW w:w="794" w:type="dxa"/>
            <w:tcBorders>
              <w:top w:val="single" w:sz="6" w:space="0" w:color="auto"/>
              <w:bottom w:val="single" w:sz="6" w:space="0" w:color="auto"/>
            </w:tcBorders>
          </w:tcPr>
          <w:p w14:paraId="7939A41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(105 232)</w:t>
            </w:r>
          </w:p>
        </w:tc>
        <w:tc>
          <w:tcPr>
            <w:tcW w:w="794" w:type="dxa"/>
            <w:tcBorders>
              <w:top w:val="single" w:sz="6" w:space="0" w:color="auto"/>
              <w:bottom w:val="single" w:sz="6" w:space="0" w:color="auto"/>
            </w:tcBorders>
          </w:tcPr>
          <w:p w14:paraId="3358BE4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(109 656)</w:t>
            </w:r>
          </w:p>
        </w:tc>
      </w:tr>
      <w:tr w:rsidR="005D339F" w:rsidRPr="00024787" w14:paraId="469DD185"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60DBDD67" w14:textId="77777777" w:rsidR="005D339F" w:rsidRPr="00024787" w:rsidRDefault="005D339F" w:rsidP="00024787">
            <w:pPr>
              <w:spacing w:after="0"/>
              <w:rPr>
                <w:sz w:val="16"/>
                <w:szCs w:val="16"/>
              </w:rPr>
            </w:pPr>
            <w:r w:rsidRPr="00024787">
              <w:rPr>
                <w:b/>
                <w:sz w:val="16"/>
                <w:szCs w:val="16"/>
              </w:rPr>
              <w:t>Net cash flows from operating activities</w:t>
            </w:r>
          </w:p>
        </w:tc>
        <w:tc>
          <w:tcPr>
            <w:tcW w:w="706" w:type="dxa"/>
            <w:gridSpan w:val="2"/>
            <w:tcBorders>
              <w:top w:val="single" w:sz="6" w:space="0" w:color="auto"/>
            </w:tcBorders>
          </w:tcPr>
          <w:p w14:paraId="6DC994A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3 258</w:t>
            </w:r>
          </w:p>
        </w:tc>
        <w:tc>
          <w:tcPr>
            <w:tcW w:w="794" w:type="dxa"/>
            <w:tcBorders>
              <w:top w:val="single" w:sz="6" w:space="0" w:color="auto"/>
            </w:tcBorders>
          </w:tcPr>
          <w:p w14:paraId="6958BB8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2 279</w:t>
            </w:r>
          </w:p>
        </w:tc>
        <w:tc>
          <w:tcPr>
            <w:tcW w:w="794" w:type="dxa"/>
            <w:tcBorders>
              <w:top w:val="single" w:sz="6" w:space="0" w:color="auto"/>
            </w:tcBorders>
          </w:tcPr>
          <w:p w14:paraId="0C1E595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8 954</w:t>
            </w:r>
          </w:p>
        </w:tc>
        <w:tc>
          <w:tcPr>
            <w:tcW w:w="794" w:type="dxa"/>
            <w:tcBorders>
              <w:top w:val="single" w:sz="6" w:space="0" w:color="auto"/>
            </w:tcBorders>
          </w:tcPr>
          <w:p w14:paraId="03566D2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8 808</w:t>
            </w:r>
          </w:p>
        </w:tc>
        <w:tc>
          <w:tcPr>
            <w:tcW w:w="794" w:type="dxa"/>
            <w:tcBorders>
              <w:top w:val="single" w:sz="6" w:space="0" w:color="auto"/>
            </w:tcBorders>
          </w:tcPr>
          <w:p w14:paraId="25A5042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8 155</w:t>
            </w:r>
          </w:p>
        </w:tc>
      </w:tr>
      <w:tr w:rsidR="005D339F" w:rsidRPr="00024787" w14:paraId="1DB8168E"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2F7BA45F" w14:textId="77777777" w:rsidR="005D339F" w:rsidRPr="00024787" w:rsidRDefault="005D339F" w:rsidP="00024787">
            <w:pPr>
              <w:spacing w:after="0"/>
              <w:rPr>
                <w:sz w:val="16"/>
                <w:szCs w:val="16"/>
              </w:rPr>
            </w:pPr>
            <w:r w:rsidRPr="00024787">
              <w:rPr>
                <w:b/>
                <w:sz w:val="16"/>
                <w:szCs w:val="16"/>
              </w:rPr>
              <w:t>Cash flows from investing activities</w:t>
            </w:r>
          </w:p>
        </w:tc>
        <w:tc>
          <w:tcPr>
            <w:tcW w:w="706" w:type="dxa"/>
            <w:gridSpan w:val="2"/>
          </w:tcPr>
          <w:p w14:paraId="355DAE2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5EFA9C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3650D7F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5679D9B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BA17FF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2992B9FD"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3A4612EA" w14:textId="77777777" w:rsidR="005D339F" w:rsidRPr="00024787" w:rsidRDefault="005D339F" w:rsidP="00024787">
            <w:pPr>
              <w:spacing w:after="0"/>
              <w:rPr>
                <w:sz w:val="16"/>
                <w:szCs w:val="16"/>
              </w:rPr>
            </w:pPr>
            <w:r w:rsidRPr="00024787">
              <w:rPr>
                <w:b/>
                <w:sz w:val="16"/>
                <w:szCs w:val="16"/>
              </w:rPr>
              <w:t>Cash flows from investments in non</w:t>
            </w:r>
            <w:r w:rsidRPr="00024787">
              <w:rPr>
                <w:b/>
                <w:sz w:val="16"/>
                <w:szCs w:val="16"/>
              </w:rPr>
              <w:noBreakHyphen/>
              <w:t>financial assets</w:t>
            </w:r>
          </w:p>
        </w:tc>
        <w:tc>
          <w:tcPr>
            <w:tcW w:w="706" w:type="dxa"/>
            <w:gridSpan w:val="2"/>
          </w:tcPr>
          <w:p w14:paraId="2D505FD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F7A9EB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E27AED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36C532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DBE536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198E8DCC"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7CF5E663" w14:textId="77777777" w:rsidR="005D339F" w:rsidRPr="00024787" w:rsidRDefault="005D339F" w:rsidP="00024787">
            <w:pPr>
              <w:spacing w:after="0"/>
              <w:rPr>
                <w:sz w:val="16"/>
                <w:szCs w:val="16"/>
              </w:rPr>
            </w:pPr>
            <w:r w:rsidRPr="00024787">
              <w:rPr>
                <w:sz w:val="16"/>
                <w:szCs w:val="16"/>
              </w:rPr>
              <w:t>Purchases of non</w:t>
            </w:r>
            <w:r w:rsidRPr="00024787">
              <w:rPr>
                <w:sz w:val="16"/>
                <w:szCs w:val="16"/>
              </w:rPr>
              <w:noBreakHyphen/>
              <w:t>financial assets</w:t>
            </w:r>
          </w:p>
        </w:tc>
        <w:tc>
          <w:tcPr>
            <w:tcW w:w="706" w:type="dxa"/>
            <w:gridSpan w:val="2"/>
          </w:tcPr>
          <w:p w14:paraId="00946F1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(25 712)</w:t>
            </w:r>
          </w:p>
        </w:tc>
        <w:tc>
          <w:tcPr>
            <w:tcW w:w="794" w:type="dxa"/>
          </w:tcPr>
          <w:p w14:paraId="5977447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(25 534)</w:t>
            </w:r>
          </w:p>
        </w:tc>
        <w:tc>
          <w:tcPr>
            <w:tcW w:w="794" w:type="dxa"/>
          </w:tcPr>
          <w:p w14:paraId="4F8B358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(25 089)</w:t>
            </w:r>
          </w:p>
        </w:tc>
        <w:tc>
          <w:tcPr>
            <w:tcW w:w="794" w:type="dxa"/>
          </w:tcPr>
          <w:p w14:paraId="2A91FB6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(22 591)</w:t>
            </w:r>
          </w:p>
        </w:tc>
        <w:tc>
          <w:tcPr>
            <w:tcW w:w="794" w:type="dxa"/>
          </w:tcPr>
          <w:p w14:paraId="3D66531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(19 347)</w:t>
            </w:r>
          </w:p>
        </w:tc>
      </w:tr>
      <w:tr w:rsidR="005D339F" w:rsidRPr="00024787" w14:paraId="7675ADFD"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0CE288EE" w14:textId="77777777" w:rsidR="005D339F" w:rsidRPr="00024787" w:rsidRDefault="005D339F" w:rsidP="00024787">
            <w:pPr>
              <w:spacing w:after="0"/>
              <w:rPr>
                <w:sz w:val="16"/>
                <w:szCs w:val="16"/>
              </w:rPr>
            </w:pPr>
            <w:r w:rsidRPr="00024787">
              <w:rPr>
                <w:sz w:val="16"/>
                <w:szCs w:val="16"/>
              </w:rPr>
              <w:t>Sales of non</w:t>
            </w:r>
            <w:r w:rsidRPr="00024787">
              <w:rPr>
                <w:sz w:val="16"/>
                <w:szCs w:val="16"/>
              </w:rPr>
              <w:noBreakHyphen/>
              <w:t>financial assets</w:t>
            </w:r>
          </w:p>
        </w:tc>
        <w:tc>
          <w:tcPr>
            <w:tcW w:w="706" w:type="dxa"/>
            <w:gridSpan w:val="2"/>
            <w:tcBorders>
              <w:bottom w:val="single" w:sz="6" w:space="0" w:color="auto"/>
            </w:tcBorders>
          </w:tcPr>
          <w:p w14:paraId="69ABC05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895</w:t>
            </w:r>
          </w:p>
        </w:tc>
        <w:tc>
          <w:tcPr>
            <w:tcW w:w="794" w:type="dxa"/>
            <w:tcBorders>
              <w:bottom w:val="single" w:sz="6" w:space="0" w:color="auto"/>
            </w:tcBorders>
          </w:tcPr>
          <w:p w14:paraId="7CFDC38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845</w:t>
            </w:r>
          </w:p>
        </w:tc>
        <w:tc>
          <w:tcPr>
            <w:tcW w:w="794" w:type="dxa"/>
            <w:tcBorders>
              <w:bottom w:val="single" w:sz="6" w:space="0" w:color="auto"/>
            </w:tcBorders>
          </w:tcPr>
          <w:p w14:paraId="2E44208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1 279</w:t>
            </w:r>
          </w:p>
        </w:tc>
        <w:tc>
          <w:tcPr>
            <w:tcW w:w="794" w:type="dxa"/>
            <w:tcBorders>
              <w:bottom w:val="single" w:sz="6" w:space="0" w:color="auto"/>
            </w:tcBorders>
          </w:tcPr>
          <w:p w14:paraId="06A01A3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890</w:t>
            </w:r>
          </w:p>
        </w:tc>
        <w:tc>
          <w:tcPr>
            <w:tcW w:w="794" w:type="dxa"/>
            <w:tcBorders>
              <w:bottom w:val="single" w:sz="6" w:space="0" w:color="auto"/>
            </w:tcBorders>
          </w:tcPr>
          <w:p w14:paraId="471B1EB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1 156</w:t>
            </w:r>
          </w:p>
        </w:tc>
      </w:tr>
      <w:tr w:rsidR="005D339F" w:rsidRPr="00024787" w14:paraId="01AAE244"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1BA0B182" w14:textId="77777777" w:rsidR="005D339F" w:rsidRPr="00024787" w:rsidRDefault="005D339F" w:rsidP="00024787">
            <w:pPr>
              <w:spacing w:after="0"/>
              <w:rPr>
                <w:sz w:val="16"/>
                <w:szCs w:val="16"/>
              </w:rPr>
            </w:pPr>
            <w:r w:rsidRPr="00024787">
              <w:rPr>
                <w:b/>
                <w:sz w:val="16"/>
                <w:szCs w:val="16"/>
              </w:rPr>
              <w:t>Net cash flows from investments in non</w:t>
            </w:r>
            <w:r w:rsidRPr="00024787">
              <w:rPr>
                <w:b/>
                <w:sz w:val="16"/>
                <w:szCs w:val="16"/>
              </w:rPr>
              <w:noBreakHyphen/>
              <w:t>financial assets</w:t>
            </w:r>
          </w:p>
        </w:tc>
        <w:tc>
          <w:tcPr>
            <w:tcW w:w="706" w:type="dxa"/>
            <w:gridSpan w:val="2"/>
            <w:tcBorders>
              <w:top w:val="single" w:sz="6" w:space="0" w:color="auto"/>
            </w:tcBorders>
          </w:tcPr>
          <w:p w14:paraId="7EC67F9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(24 817)</w:t>
            </w:r>
          </w:p>
        </w:tc>
        <w:tc>
          <w:tcPr>
            <w:tcW w:w="794" w:type="dxa"/>
            <w:tcBorders>
              <w:top w:val="single" w:sz="6" w:space="0" w:color="auto"/>
            </w:tcBorders>
          </w:tcPr>
          <w:p w14:paraId="2019F35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(24 688)</w:t>
            </w:r>
          </w:p>
        </w:tc>
        <w:tc>
          <w:tcPr>
            <w:tcW w:w="794" w:type="dxa"/>
            <w:tcBorders>
              <w:top w:val="single" w:sz="6" w:space="0" w:color="auto"/>
            </w:tcBorders>
          </w:tcPr>
          <w:p w14:paraId="1E9913A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(23 811)</w:t>
            </w:r>
          </w:p>
        </w:tc>
        <w:tc>
          <w:tcPr>
            <w:tcW w:w="794" w:type="dxa"/>
            <w:tcBorders>
              <w:top w:val="single" w:sz="6" w:space="0" w:color="auto"/>
            </w:tcBorders>
          </w:tcPr>
          <w:p w14:paraId="7194506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(21 701)</w:t>
            </w:r>
          </w:p>
        </w:tc>
        <w:tc>
          <w:tcPr>
            <w:tcW w:w="794" w:type="dxa"/>
            <w:tcBorders>
              <w:top w:val="single" w:sz="6" w:space="0" w:color="auto"/>
            </w:tcBorders>
          </w:tcPr>
          <w:p w14:paraId="61DD4B9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(18 191)</w:t>
            </w:r>
          </w:p>
        </w:tc>
      </w:tr>
      <w:tr w:rsidR="005D339F" w:rsidRPr="00024787" w14:paraId="32B49224"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13B6F378" w14:textId="77777777" w:rsidR="005D339F" w:rsidRPr="00024787" w:rsidRDefault="005D339F" w:rsidP="00024787">
            <w:pPr>
              <w:spacing w:after="0"/>
              <w:rPr>
                <w:sz w:val="16"/>
                <w:szCs w:val="16"/>
              </w:rPr>
            </w:pPr>
            <w:r w:rsidRPr="00024787">
              <w:rPr>
                <w:sz w:val="16"/>
                <w:szCs w:val="16"/>
              </w:rPr>
              <w:t>Net cash flows from investments in financial assets for policy purposes</w:t>
            </w:r>
          </w:p>
        </w:tc>
        <w:tc>
          <w:tcPr>
            <w:tcW w:w="706" w:type="dxa"/>
            <w:gridSpan w:val="2"/>
            <w:tcBorders>
              <w:bottom w:val="single" w:sz="6" w:space="0" w:color="auto"/>
            </w:tcBorders>
          </w:tcPr>
          <w:p w14:paraId="6CA6EEE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(531)</w:t>
            </w:r>
          </w:p>
        </w:tc>
        <w:tc>
          <w:tcPr>
            <w:tcW w:w="794" w:type="dxa"/>
            <w:tcBorders>
              <w:bottom w:val="single" w:sz="6" w:space="0" w:color="auto"/>
            </w:tcBorders>
          </w:tcPr>
          <w:p w14:paraId="5B2705A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(156)</w:t>
            </w:r>
          </w:p>
        </w:tc>
        <w:tc>
          <w:tcPr>
            <w:tcW w:w="794" w:type="dxa"/>
            <w:tcBorders>
              <w:bottom w:val="single" w:sz="6" w:space="0" w:color="auto"/>
            </w:tcBorders>
          </w:tcPr>
          <w:p w14:paraId="030FCDE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(130)</w:t>
            </w:r>
          </w:p>
        </w:tc>
        <w:tc>
          <w:tcPr>
            <w:tcW w:w="794" w:type="dxa"/>
            <w:tcBorders>
              <w:bottom w:val="single" w:sz="6" w:space="0" w:color="auto"/>
            </w:tcBorders>
          </w:tcPr>
          <w:p w14:paraId="1059E2C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(86)</w:t>
            </w:r>
          </w:p>
        </w:tc>
        <w:tc>
          <w:tcPr>
            <w:tcW w:w="794" w:type="dxa"/>
            <w:tcBorders>
              <w:bottom w:val="single" w:sz="6" w:space="0" w:color="auto"/>
            </w:tcBorders>
          </w:tcPr>
          <w:p w14:paraId="635E461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(72)</w:t>
            </w:r>
          </w:p>
        </w:tc>
      </w:tr>
      <w:tr w:rsidR="005D339F" w:rsidRPr="00024787" w14:paraId="1A9CB4E6"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54572D1E" w14:textId="77777777" w:rsidR="005D339F" w:rsidRPr="00024787" w:rsidRDefault="005D339F" w:rsidP="00024787">
            <w:pPr>
              <w:spacing w:after="0"/>
              <w:rPr>
                <w:sz w:val="16"/>
                <w:szCs w:val="16"/>
              </w:rPr>
            </w:pPr>
            <w:r w:rsidRPr="00024787">
              <w:rPr>
                <w:b/>
                <w:sz w:val="16"/>
                <w:szCs w:val="16"/>
              </w:rPr>
              <w:t>Subtotal</w:t>
            </w:r>
          </w:p>
        </w:tc>
        <w:tc>
          <w:tcPr>
            <w:tcW w:w="706" w:type="dxa"/>
            <w:gridSpan w:val="2"/>
            <w:tcBorders>
              <w:top w:val="single" w:sz="6" w:space="0" w:color="auto"/>
            </w:tcBorders>
          </w:tcPr>
          <w:p w14:paraId="2F6AC10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(25 348)</w:t>
            </w:r>
          </w:p>
        </w:tc>
        <w:tc>
          <w:tcPr>
            <w:tcW w:w="794" w:type="dxa"/>
            <w:tcBorders>
              <w:top w:val="single" w:sz="6" w:space="0" w:color="auto"/>
            </w:tcBorders>
          </w:tcPr>
          <w:p w14:paraId="2D7BD6F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(24 844)</w:t>
            </w:r>
          </w:p>
        </w:tc>
        <w:tc>
          <w:tcPr>
            <w:tcW w:w="794" w:type="dxa"/>
            <w:tcBorders>
              <w:top w:val="single" w:sz="6" w:space="0" w:color="auto"/>
            </w:tcBorders>
          </w:tcPr>
          <w:p w14:paraId="02F204F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(23 941)</w:t>
            </w:r>
          </w:p>
        </w:tc>
        <w:tc>
          <w:tcPr>
            <w:tcW w:w="794" w:type="dxa"/>
            <w:tcBorders>
              <w:top w:val="single" w:sz="6" w:space="0" w:color="auto"/>
            </w:tcBorders>
          </w:tcPr>
          <w:p w14:paraId="19B545A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(21 787)</w:t>
            </w:r>
          </w:p>
        </w:tc>
        <w:tc>
          <w:tcPr>
            <w:tcW w:w="794" w:type="dxa"/>
            <w:tcBorders>
              <w:top w:val="single" w:sz="6" w:space="0" w:color="auto"/>
            </w:tcBorders>
          </w:tcPr>
          <w:p w14:paraId="5A3E144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(18 263)</w:t>
            </w:r>
          </w:p>
        </w:tc>
      </w:tr>
      <w:tr w:rsidR="005D339F" w:rsidRPr="00024787" w14:paraId="532438C4"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08D48B83" w14:textId="77777777" w:rsidR="005D339F" w:rsidRPr="00024787" w:rsidRDefault="005D339F" w:rsidP="00024787">
            <w:pPr>
              <w:spacing w:after="0"/>
              <w:rPr>
                <w:sz w:val="16"/>
                <w:szCs w:val="16"/>
              </w:rPr>
            </w:pPr>
            <w:r w:rsidRPr="00024787">
              <w:rPr>
                <w:sz w:val="16"/>
                <w:szCs w:val="16"/>
              </w:rPr>
              <w:t>Net cash flows from investment in financial assets for liquidity management purposes</w:t>
            </w:r>
          </w:p>
        </w:tc>
        <w:tc>
          <w:tcPr>
            <w:tcW w:w="706" w:type="dxa"/>
            <w:gridSpan w:val="2"/>
            <w:tcBorders>
              <w:bottom w:val="single" w:sz="6" w:space="0" w:color="auto"/>
            </w:tcBorders>
          </w:tcPr>
          <w:p w14:paraId="5CF8DDA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(1 492)</w:t>
            </w:r>
          </w:p>
        </w:tc>
        <w:tc>
          <w:tcPr>
            <w:tcW w:w="794" w:type="dxa"/>
            <w:tcBorders>
              <w:bottom w:val="single" w:sz="6" w:space="0" w:color="auto"/>
            </w:tcBorders>
          </w:tcPr>
          <w:p w14:paraId="525C514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(1 799)</w:t>
            </w:r>
          </w:p>
        </w:tc>
        <w:tc>
          <w:tcPr>
            <w:tcW w:w="794" w:type="dxa"/>
            <w:tcBorders>
              <w:bottom w:val="single" w:sz="6" w:space="0" w:color="auto"/>
            </w:tcBorders>
          </w:tcPr>
          <w:p w14:paraId="3AA78D3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(984)</w:t>
            </w:r>
          </w:p>
        </w:tc>
        <w:tc>
          <w:tcPr>
            <w:tcW w:w="794" w:type="dxa"/>
            <w:tcBorders>
              <w:bottom w:val="single" w:sz="6" w:space="0" w:color="auto"/>
            </w:tcBorders>
          </w:tcPr>
          <w:p w14:paraId="48E1C1E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(1 271)</w:t>
            </w:r>
          </w:p>
        </w:tc>
        <w:tc>
          <w:tcPr>
            <w:tcW w:w="794" w:type="dxa"/>
            <w:tcBorders>
              <w:bottom w:val="single" w:sz="6" w:space="0" w:color="auto"/>
            </w:tcBorders>
          </w:tcPr>
          <w:p w14:paraId="17D7F6D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(1 220)</w:t>
            </w:r>
          </w:p>
        </w:tc>
      </w:tr>
      <w:tr w:rsidR="005D339F" w:rsidRPr="00024787" w14:paraId="4341C49C"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2FA2A1AD" w14:textId="77777777" w:rsidR="005D339F" w:rsidRPr="00024787" w:rsidRDefault="005D339F" w:rsidP="00024787">
            <w:pPr>
              <w:spacing w:after="0"/>
              <w:rPr>
                <w:sz w:val="16"/>
                <w:szCs w:val="16"/>
              </w:rPr>
            </w:pPr>
            <w:r w:rsidRPr="00024787">
              <w:rPr>
                <w:b/>
                <w:sz w:val="16"/>
                <w:szCs w:val="16"/>
              </w:rPr>
              <w:t>Net cash flows from investing activities</w:t>
            </w:r>
          </w:p>
        </w:tc>
        <w:tc>
          <w:tcPr>
            <w:tcW w:w="706" w:type="dxa"/>
            <w:gridSpan w:val="2"/>
            <w:tcBorders>
              <w:top w:val="single" w:sz="6" w:space="0" w:color="auto"/>
            </w:tcBorders>
          </w:tcPr>
          <w:p w14:paraId="0D2147F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(26 840)</w:t>
            </w:r>
          </w:p>
        </w:tc>
        <w:tc>
          <w:tcPr>
            <w:tcW w:w="794" w:type="dxa"/>
            <w:tcBorders>
              <w:top w:val="single" w:sz="6" w:space="0" w:color="auto"/>
            </w:tcBorders>
          </w:tcPr>
          <w:p w14:paraId="50D2613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(26 644)</w:t>
            </w:r>
          </w:p>
        </w:tc>
        <w:tc>
          <w:tcPr>
            <w:tcW w:w="794" w:type="dxa"/>
            <w:tcBorders>
              <w:top w:val="single" w:sz="6" w:space="0" w:color="auto"/>
            </w:tcBorders>
          </w:tcPr>
          <w:p w14:paraId="31E935D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(24 925)</w:t>
            </w:r>
          </w:p>
        </w:tc>
        <w:tc>
          <w:tcPr>
            <w:tcW w:w="794" w:type="dxa"/>
            <w:tcBorders>
              <w:top w:val="single" w:sz="6" w:space="0" w:color="auto"/>
            </w:tcBorders>
          </w:tcPr>
          <w:p w14:paraId="5AC2E99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(23 058)</w:t>
            </w:r>
          </w:p>
        </w:tc>
        <w:tc>
          <w:tcPr>
            <w:tcW w:w="794" w:type="dxa"/>
            <w:tcBorders>
              <w:top w:val="single" w:sz="6" w:space="0" w:color="auto"/>
            </w:tcBorders>
          </w:tcPr>
          <w:p w14:paraId="0288556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(19 484)</w:t>
            </w:r>
          </w:p>
        </w:tc>
      </w:tr>
      <w:tr w:rsidR="005D339F" w:rsidRPr="00024787" w14:paraId="056ACCA4"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4D206D3D" w14:textId="77777777" w:rsidR="005D339F" w:rsidRPr="00024787" w:rsidRDefault="005D339F" w:rsidP="00024787">
            <w:pPr>
              <w:spacing w:after="0"/>
              <w:rPr>
                <w:sz w:val="16"/>
                <w:szCs w:val="16"/>
              </w:rPr>
            </w:pPr>
            <w:r w:rsidRPr="00024787">
              <w:rPr>
                <w:b/>
                <w:sz w:val="16"/>
                <w:szCs w:val="16"/>
              </w:rPr>
              <w:t>Cash flows from financing activities</w:t>
            </w:r>
          </w:p>
        </w:tc>
        <w:tc>
          <w:tcPr>
            <w:tcW w:w="706" w:type="dxa"/>
            <w:gridSpan w:val="2"/>
          </w:tcPr>
          <w:p w14:paraId="700BA27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96478E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E7E653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1FDFD8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07F2B73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2B733337"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6D396105" w14:textId="77777777" w:rsidR="005D339F" w:rsidRPr="00024787" w:rsidRDefault="005D339F" w:rsidP="00024787">
            <w:pPr>
              <w:spacing w:after="0"/>
              <w:rPr>
                <w:sz w:val="16"/>
                <w:szCs w:val="16"/>
              </w:rPr>
            </w:pPr>
            <w:r w:rsidRPr="00024787">
              <w:rPr>
                <w:sz w:val="16"/>
                <w:szCs w:val="16"/>
              </w:rPr>
              <w:t>Advances received (net)</w:t>
            </w:r>
          </w:p>
        </w:tc>
        <w:tc>
          <w:tcPr>
            <w:tcW w:w="706" w:type="dxa"/>
            <w:gridSpan w:val="2"/>
          </w:tcPr>
          <w:p w14:paraId="4D4BE94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w:t>
            </w:r>
          </w:p>
        </w:tc>
        <w:tc>
          <w:tcPr>
            <w:tcW w:w="794" w:type="dxa"/>
          </w:tcPr>
          <w:p w14:paraId="7440B09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(5)</w:t>
            </w:r>
          </w:p>
        </w:tc>
        <w:tc>
          <w:tcPr>
            <w:tcW w:w="794" w:type="dxa"/>
          </w:tcPr>
          <w:p w14:paraId="70C3775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(60)</w:t>
            </w:r>
          </w:p>
        </w:tc>
        <w:tc>
          <w:tcPr>
            <w:tcW w:w="794" w:type="dxa"/>
          </w:tcPr>
          <w:p w14:paraId="15C6CA7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(11)</w:t>
            </w:r>
          </w:p>
        </w:tc>
        <w:tc>
          <w:tcPr>
            <w:tcW w:w="794" w:type="dxa"/>
          </w:tcPr>
          <w:p w14:paraId="0652A43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(10)</w:t>
            </w:r>
          </w:p>
        </w:tc>
      </w:tr>
      <w:tr w:rsidR="005D339F" w:rsidRPr="00024787" w14:paraId="2C03ABAF"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7D809F44" w14:textId="77777777" w:rsidR="005D339F" w:rsidRPr="00024787" w:rsidRDefault="005D339F" w:rsidP="00024787">
            <w:pPr>
              <w:spacing w:after="0"/>
              <w:rPr>
                <w:sz w:val="16"/>
                <w:szCs w:val="16"/>
              </w:rPr>
            </w:pPr>
            <w:r w:rsidRPr="00024787">
              <w:rPr>
                <w:sz w:val="16"/>
                <w:szCs w:val="16"/>
              </w:rPr>
              <w:t>Net borrowings</w:t>
            </w:r>
          </w:p>
        </w:tc>
        <w:tc>
          <w:tcPr>
            <w:tcW w:w="706" w:type="dxa"/>
            <w:gridSpan w:val="2"/>
          </w:tcPr>
          <w:p w14:paraId="4A6AEF2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22 877</w:t>
            </w:r>
          </w:p>
        </w:tc>
        <w:tc>
          <w:tcPr>
            <w:tcW w:w="794" w:type="dxa"/>
          </w:tcPr>
          <w:p w14:paraId="0366C51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20 601</w:t>
            </w:r>
          </w:p>
        </w:tc>
        <w:tc>
          <w:tcPr>
            <w:tcW w:w="794" w:type="dxa"/>
          </w:tcPr>
          <w:p w14:paraId="18A446E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16 174</w:t>
            </w:r>
          </w:p>
        </w:tc>
        <w:tc>
          <w:tcPr>
            <w:tcW w:w="794" w:type="dxa"/>
          </w:tcPr>
          <w:p w14:paraId="7141825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14 713</w:t>
            </w:r>
          </w:p>
        </w:tc>
        <w:tc>
          <w:tcPr>
            <w:tcW w:w="794" w:type="dxa"/>
          </w:tcPr>
          <w:p w14:paraId="7932C6D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12 068</w:t>
            </w:r>
          </w:p>
        </w:tc>
      </w:tr>
      <w:tr w:rsidR="005D339F" w:rsidRPr="00024787" w14:paraId="2197CE51"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23DE103F" w14:textId="77777777" w:rsidR="005D339F" w:rsidRPr="00024787" w:rsidRDefault="005D339F" w:rsidP="00024787">
            <w:pPr>
              <w:spacing w:after="0"/>
              <w:rPr>
                <w:sz w:val="16"/>
                <w:szCs w:val="16"/>
              </w:rPr>
            </w:pPr>
            <w:r w:rsidRPr="00024787">
              <w:rPr>
                <w:sz w:val="16"/>
                <w:szCs w:val="16"/>
              </w:rPr>
              <w:t>Deposits received (net)</w:t>
            </w:r>
          </w:p>
        </w:tc>
        <w:tc>
          <w:tcPr>
            <w:tcW w:w="706" w:type="dxa"/>
            <w:gridSpan w:val="2"/>
          </w:tcPr>
          <w:p w14:paraId="1922192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(9)</w:t>
            </w:r>
          </w:p>
        </w:tc>
        <w:tc>
          <w:tcPr>
            <w:tcW w:w="794" w:type="dxa"/>
          </w:tcPr>
          <w:p w14:paraId="4C2BC5F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(61)</w:t>
            </w:r>
          </w:p>
        </w:tc>
        <w:tc>
          <w:tcPr>
            <w:tcW w:w="794" w:type="dxa"/>
          </w:tcPr>
          <w:p w14:paraId="46562B3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w:t>
            </w:r>
          </w:p>
        </w:tc>
        <w:tc>
          <w:tcPr>
            <w:tcW w:w="794" w:type="dxa"/>
          </w:tcPr>
          <w:p w14:paraId="72C47CF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w:t>
            </w:r>
          </w:p>
        </w:tc>
        <w:tc>
          <w:tcPr>
            <w:tcW w:w="794" w:type="dxa"/>
          </w:tcPr>
          <w:p w14:paraId="76FB4BC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10</w:t>
            </w:r>
          </w:p>
        </w:tc>
      </w:tr>
      <w:tr w:rsidR="005D339F" w:rsidRPr="00024787" w14:paraId="2DA0A412"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6" w:space="0" w:color="auto"/>
            </w:tcBorders>
          </w:tcPr>
          <w:p w14:paraId="57D2C0FB" w14:textId="77777777" w:rsidR="005D339F" w:rsidRPr="00024787" w:rsidRDefault="005D339F" w:rsidP="00024787">
            <w:pPr>
              <w:spacing w:after="0"/>
              <w:rPr>
                <w:sz w:val="16"/>
                <w:szCs w:val="16"/>
              </w:rPr>
            </w:pPr>
            <w:r w:rsidRPr="00024787">
              <w:rPr>
                <w:b/>
                <w:sz w:val="16"/>
                <w:szCs w:val="16"/>
              </w:rPr>
              <w:t>Net cash flows from financing activities</w:t>
            </w:r>
          </w:p>
        </w:tc>
        <w:tc>
          <w:tcPr>
            <w:tcW w:w="706" w:type="dxa"/>
            <w:gridSpan w:val="2"/>
            <w:tcBorders>
              <w:top w:val="single" w:sz="6" w:space="0" w:color="auto"/>
              <w:bottom w:val="single" w:sz="6" w:space="0" w:color="auto"/>
            </w:tcBorders>
          </w:tcPr>
          <w:p w14:paraId="4B4248E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22 863</w:t>
            </w:r>
          </w:p>
        </w:tc>
        <w:tc>
          <w:tcPr>
            <w:tcW w:w="794" w:type="dxa"/>
            <w:tcBorders>
              <w:top w:val="single" w:sz="6" w:space="0" w:color="auto"/>
              <w:bottom w:val="single" w:sz="6" w:space="0" w:color="auto"/>
            </w:tcBorders>
          </w:tcPr>
          <w:p w14:paraId="48F4B3F1"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20 535</w:t>
            </w:r>
          </w:p>
        </w:tc>
        <w:tc>
          <w:tcPr>
            <w:tcW w:w="794" w:type="dxa"/>
            <w:tcBorders>
              <w:top w:val="single" w:sz="6" w:space="0" w:color="auto"/>
              <w:bottom w:val="single" w:sz="6" w:space="0" w:color="auto"/>
            </w:tcBorders>
          </w:tcPr>
          <w:p w14:paraId="6EA80A7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16 114</w:t>
            </w:r>
          </w:p>
        </w:tc>
        <w:tc>
          <w:tcPr>
            <w:tcW w:w="794" w:type="dxa"/>
            <w:tcBorders>
              <w:top w:val="single" w:sz="6" w:space="0" w:color="auto"/>
              <w:bottom w:val="single" w:sz="6" w:space="0" w:color="auto"/>
            </w:tcBorders>
          </w:tcPr>
          <w:p w14:paraId="3FA5DF2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14 703</w:t>
            </w:r>
          </w:p>
        </w:tc>
        <w:tc>
          <w:tcPr>
            <w:tcW w:w="794" w:type="dxa"/>
            <w:tcBorders>
              <w:top w:val="single" w:sz="6" w:space="0" w:color="auto"/>
              <w:bottom w:val="single" w:sz="6" w:space="0" w:color="auto"/>
            </w:tcBorders>
          </w:tcPr>
          <w:p w14:paraId="596FB5D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12 067</w:t>
            </w:r>
          </w:p>
        </w:tc>
      </w:tr>
      <w:tr w:rsidR="005D339F" w:rsidRPr="00024787" w14:paraId="7D0E4D82"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06C316A4" w14:textId="77777777" w:rsidR="005D339F" w:rsidRPr="00024787" w:rsidRDefault="005D339F" w:rsidP="00024787">
            <w:pPr>
              <w:spacing w:after="0"/>
              <w:rPr>
                <w:sz w:val="16"/>
                <w:szCs w:val="16"/>
              </w:rPr>
            </w:pPr>
            <w:r w:rsidRPr="00024787">
              <w:rPr>
                <w:b/>
                <w:sz w:val="16"/>
                <w:szCs w:val="16"/>
              </w:rPr>
              <w:t>Net increase/(decrease) in cash and cash equivalents</w:t>
            </w:r>
          </w:p>
        </w:tc>
        <w:tc>
          <w:tcPr>
            <w:tcW w:w="706" w:type="dxa"/>
            <w:gridSpan w:val="2"/>
            <w:tcBorders>
              <w:top w:val="single" w:sz="6" w:space="0" w:color="auto"/>
            </w:tcBorders>
          </w:tcPr>
          <w:p w14:paraId="05484BBA"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(719)</w:t>
            </w:r>
          </w:p>
        </w:tc>
        <w:tc>
          <w:tcPr>
            <w:tcW w:w="794" w:type="dxa"/>
            <w:tcBorders>
              <w:top w:val="single" w:sz="6" w:space="0" w:color="auto"/>
            </w:tcBorders>
          </w:tcPr>
          <w:p w14:paraId="418DD03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(3 829)</w:t>
            </w:r>
          </w:p>
        </w:tc>
        <w:tc>
          <w:tcPr>
            <w:tcW w:w="794" w:type="dxa"/>
            <w:tcBorders>
              <w:top w:val="single" w:sz="6" w:space="0" w:color="auto"/>
            </w:tcBorders>
          </w:tcPr>
          <w:p w14:paraId="787AEB2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143</w:t>
            </w:r>
          </w:p>
        </w:tc>
        <w:tc>
          <w:tcPr>
            <w:tcW w:w="794" w:type="dxa"/>
            <w:tcBorders>
              <w:top w:val="single" w:sz="6" w:space="0" w:color="auto"/>
            </w:tcBorders>
          </w:tcPr>
          <w:p w14:paraId="1E9B66E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453</w:t>
            </w:r>
          </w:p>
        </w:tc>
        <w:tc>
          <w:tcPr>
            <w:tcW w:w="794" w:type="dxa"/>
            <w:tcBorders>
              <w:top w:val="single" w:sz="6" w:space="0" w:color="auto"/>
            </w:tcBorders>
          </w:tcPr>
          <w:p w14:paraId="4AC8310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738</w:t>
            </w:r>
          </w:p>
        </w:tc>
      </w:tr>
      <w:tr w:rsidR="005D339F" w:rsidRPr="00024787" w14:paraId="17A4E679"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28C05E40" w14:textId="77777777" w:rsidR="005D339F" w:rsidRPr="00024787" w:rsidRDefault="005D339F" w:rsidP="00024787">
            <w:pPr>
              <w:spacing w:after="0"/>
              <w:rPr>
                <w:sz w:val="16"/>
                <w:szCs w:val="16"/>
              </w:rPr>
            </w:pPr>
            <w:r w:rsidRPr="00024787">
              <w:rPr>
                <w:sz w:val="16"/>
                <w:szCs w:val="16"/>
              </w:rPr>
              <w:t>Cash and cash equivalents at beginning of reporting period</w:t>
            </w:r>
            <w:r w:rsidRPr="00024787">
              <w:rPr>
                <w:sz w:val="16"/>
                <w:szCs w:val="16"/>
                <w:vertAlign w:val="superscript"/>
              </w:rPr>
              <w:t xml:space="preserve"> (b)(c)</w:t>
            </w:r>
          </w:p>
        </w:tc>
        <w:tc>
          <w:tcPr>
            <w:tcW w:w="706" w:type="dxa"/>
            <w:gridSpan w:val="2"/>
            <w:tcBorders>
              <w:bottom w:val="single" w:sz="6" w:space="0" w:color="auto"/>
            </w:tcBorders>
          </w:tcPr>
          <w:p w14:paraId="76EC97F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16 561</w:t>
            </w:r>
          </w:p>
        </w:tc>
        <w:tc>
          <w:tcPr>
            <w:tcW w:w="794" w:type="dxa"/>
            <w:tcBorders>
              <w:bottom w:val="single" w:sz="6" w:space="0" w:color="auto"/>
            </w:tcBorders>
          </w:tcPr>
          <w:p w14:paraId="6D8F9D7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16 561</w:t>
            </w:r>
          </w:p>
        </w:tc>
        <w:tc>
          <w:tcPr>
            <w:tcW w:w="794" w:type="dxa"/>
            <w:tcBorders>
              <w:bottom w:val="single" w:sz="6" w:space="0" w:color="auto"/>
            </w:tcBorders>
          </w:tcPr>
          <w:p w14:paraId="39991FC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12 732</w:t>
            </w:r>
          </w:p>
        </w:tc>
        <w:tc>
          <w:tcPr>
            <w:tcW w:w="794" w:type="dxa"/>
            <w:tcBorders>
              <w:bottom w:val="single" w:sz="6" w:space="0" w:color="auto"/>
            </w:tcBorders>
          </w:tcPr>
          <w:p w14:paraId="4264A94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12 874</w:t>
            </w:r>
          </w:p>
        </w:tc>
        <w:tc>
          <w:tcPr>
            <w:tcW w:w="794" w:type="dxa"/>
            <w:tcBorders>
              <w:bottom w:val="single" w:sz="6" w:space="0" w:color="auto"/>
            </w:tcBorders>
          </w:tcPr>
          <w:p w14:paraId="2ABFB58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13 327</w:t>
            </w:r>
          </w:p>
        </w:tc>
      </w:tr>
      <w:tr w:rsidR="005D339F" w:rsidRPr="00024787" w14:paraId="33BD7D9A" w14:textId="77777777" w:rsidTr="00024787">
        <w:tc>
          <w:tcPr>
            <w:cnfStyle w:val="001000000000" w:firstRow="0" w:lastRow="0" w:firstColumn="1" w:lastColumn="0" w:oddVBand="0" w:evenVBand="0" w:oddHBand="0" w:evenHBand="0" w:firstRowFirstColumn="0" w:firstRowLastColumn="0" w:lastRowFirstColumn="0" w:lastRowLastColumn="0"/>
            <w:tcW w:w="3920" w:type="dxa"/>
            <w:gridSpan w:val="2"/>
            <w:tcBorders>
              <w:top w:val="single" w:sz="6" w:space="0" w:color="auto"/>
              <w:bottom w:val="single" w:sz="6" w:space="0" w:color="auto"/>
            </w:tcBorders>
          </w:tcPr>
          <w:p w14:paraId="2C2A7A4A" w14:textId="77777777" w:rsidR="005D339F" w:rsidRPr="00024787" w:rsidRDefault="005D339F" w:rsidP="00024787">
            <w:pPr>
              <w:spacing w:after="0"/>
              <w:rPr>
                <w:sz w:val="16"/>
                <w:szCs w:val="16"/>
              </w:rPr>
            </w:pPr>
            <w:r w:rsidRPr="00024787">
              <w:rPr>
                <w:b/>
                <w:sz w:val="16"/>
                <w:szCs w:val="16"/>
              </w:rPr>
              <w:t>Cash and cash equivalents at end of reporting period</w:t>
            </w:r>
            <w:r w:rsidRPr="00024787">
              <w:rPr>
                <w:b/>
                <w:sz w:val="16"/>
                <w:szCs w:val="16"/>
                <w:vertAlign w:val="superscript"/>
              </w:rPr>
              <w:t xml:space="preserve"> (b)(c)</w:t>
            </w:r>
          </w:p>
        </w:tc>
        <w:tc>
          <w:tcPr>
            <w:tcW w:w="614" w:type="dxa"/>
            <w:tcBorders>
              <w:top w:val="single" w:sz="6" w:space="0" w:color="auto"/>
              <w:bottom w:val="single" w:sz="6" w:space="0" w:color="auto"/>
            </w:tcBorders>
          </w:tcPr>
          <w:p w14:paraId="74A2238C"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15 842</w:t>
            </w:r>
          </w:p>
        </w:tc>
        <w:tc>
          <w:tcPr>
            <w:tcW w:w="794" w:type="dxa"/>
            <w:tcBorders>
              <w:top w:val="single" w:sz="6" w:space="0" w:color="auto"/>
              <w:bottom w:val="single" w:sz="6" w:space="0" w:color="auto"/>
            </w:tcBorders>
          </w:tcPr>
          <w:p w14:paraId="0B3ABAA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12 732</w:t>
            </w:r>
          </w:p>
        </w:tc>
        <w:tc>
          <w:tcPr>
            <w:tcW w:w="794" w:type="dxa"/>
            <w:tcBorders>
              <w:top w:val="single" w:sz="6" w:space="0" w:color="auto"/>
              <w:bottom w:val="single" w:sz="6" w:space="0" w:color="auto"/>
            </w:tcBorders>
          </w:tcPr>
          <w:p w14:paraId="671872C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12 874</w:t>
            </w:r>
          </w:p>
        </w:tc>
        <w:tc>
          <w:tcPr>
            <w:tcW w:w="794" w:type="dxa"/>
            <w:tcBorders>
              <w:top w:val="single" w:sz="6" w:space="0" w:color="auto"/>
              <w:bottom w:val="single" w:sz="6" w:space="0" w:color="auto"/>
            </w:tcBorders>
          </w:tcPr>
          <w:p w14:paraId="2FF77C9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13 327</w:t>
            </w:r>
          </w:p>
        </w:tc>
        <w:tc>
          <w:tcPr>
            <w:tcW w:w="794" w:type="dxa"/>
            <w:tcBorders>
              <w:top w:val="single" w:sz="6" w:space="0" w:color="auto"/>
              <w:bottom w:val="single" w:sz="6" w:space="0" w:color="auto"/>
            </w:tcBorders>
          </w:tcPr>
          <w:p w14:paraId="4474110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14 065</w:t>
            </w:r>
          </w:p>
        </w:tc>
      </w:tr>
      <w:tr w:rsidR="005D339F" w:rsidRPr="00024787" w14:paraId="041BB92A" w14:textId="77777777" w:rsidTr="00024787">
        <w:trPr>
          <w:trHeight w:hRule="exact" w:val="113"/>
        </w:trPr>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tcBorders>
          </w:tcPr>
          <w:p w14:paraId="07884ACD" w14:textId="77777777" w:rsidR="005D339F" w:rsidRPr="00024787" w:rsidRDefault="005D339F" w:rsidP="00024787">
            <w:pPr>
              <w:spacing w:after="0"/>
              <w:rPr>
                <w:sz w:val="16"/>
                <w:szCs w:val="16"/>
              </w:rPr>
            </w:pPr>
          </w:p>
        </w:tc>
        <w:tc>
          <w:tcPr>
            <w:tcW w:w="706" w:type="dxa"/>
            <w:gridSpan w:val="2"/>
            <w:tcBorders>
              <w:top w:val="single" w:sz="6" w:space="0" w:color="auto"/>
            </w:tcBorders>
          </w:tcPr>
          <w:p w14:paraId="12AA436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28E7E73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639CD51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12A76CC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Borders>
              <w:top w:val="single" w:sz="6" w:space="0" w:color="auto"/>
            </w:tcBorders>
          </w:tcPr>
          <w:p w14:paraId="3C04180F"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4FF5B788"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369B3F33" w14:textId="77777777" w:rsidR="005D339F" w:rsidRPr="00024787" w:rsidRDefault="005D339F" w:rsidP="00024787">
            <w:pPr>
              <w:keepNext/>
              <w:spacing w:after="0"/>
              <w:rPr>
                <w:sz w:val="16"/>
                <w:szCs w:val="16"/>
              </w:rPr>
            </w:pPr>
            <w:r w:rsidRPr="00024787">
              <w:rPr>
                <w:b/>
                <w:sz w:val="16"/>
                <w:szCs w:val="16"/>
              </w:rPr>
              <w:t>FISCAL AGGREGATES</w:t>
            </w:r>
          </w:p>
        </w:tc>
        <w:tc>
          <w:tcPr>
            <w:tcW w:w="706" w:type="dxa"/>
            <w:gridSpan w:val="2"/>
          </w:tcPr>
          <w:p w14:paraId="7CD4512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783B40C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4300D7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1280A675"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c>
          <w:tcPr>
            <w:tcW w:w="794" w:type="dxa"/>
          </w:tcPr>
          <w:p w14:paraId="6C7E9A63"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024787" w14:paraId="7A687CF0" w14:textId="77777777" w:rsidTr="00024787">
        <w:tc>
          <w:tcPr>
            <w:cnfStyle w:val="001000000000" w:firstRow="0" w:lastRow="0" w:firstColumn="1" w:lastColumn="0" w:oddVBand="0" w:evenVBand="0" w:oddHBand="0" w:evenHBand="0" w:firstRowFirstColumn="0" w:firstRowLastColumn="0" w:lastRowFirstColumn="0" w:lastRowLastColumn="0"/>
            <w:tcW w:w="3828" w:type="dxa"/>
          </w:tcPr>
          <w:p w14:paraId="208EC815" w14:textId="77777777" w:rsidR="005D339F" w:rsidRPr="00024787" w:rsidRDefault="005D339F" w:rsidP="00024787">
            <w:pPr>
              <w:spacing w:after="0"/>
              <w:rPr>
                <w:sz w:val="16"/>
                <w:szCs w:val="16"/>
              </w:rPr>
            </w:pPr>
            <w:r w:rsidRPr="00024787">
              <w:rPr>
                <w:sz w:val="16"/>
                <w:szCs w:val="16"/>
              </w:rPr>
              <w:t>Net cash flows from operating activities</w:t>
            </w:r>
          </w:p>
        </w:tc>
        <w:tc>
          <w:tcPr>
            <w:tcW w:w="706" w:type="dxa"/>
            <w:gridSpan w:val="2"/>
          </w:tcPr>
          <w:p w14:paraId="209E81C8"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3 258</w:t>
            </w:r>
          </w:p>
        </w:tc>
        <w:tc>
          <w:tcPr>
            <w:tcW w:w="794" w:type="dxa"/>
          </w:tcPr>
          <w:p w14:paraId="7BE5995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2 279</w:t>
            </w:r>
          </w:p>
        </w:tc>
        <w:tc>
          <w:tcPr>
            <w:tcW w:w="794" w:type="dxa"/>
          </w:tcPr>
          <w:p w14:paraId="32379317"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8 954</w:t>
            </w:r>
          </w:p>
        </w:tc>
        <w:tc>
          <w:tcPr>
            <w:tcW w:w="794" w:type="dxa"/>
          </w:tcPr>
          <w:p w14:paraId="1912AB1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8 808</w:t>
            </w:r>
          </w:p>
        </w:tc>
        <w:tc>
          <w:tcPr>
            <w:tcW w:w="794" w:type="dxa"/>
          </w:tcPr>
          <w:p w14:paraId="7C3AE4C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8 155</w:t>
            </w:r>
          </w:p>
        </w:tc>
      </w:tr>
      <w:tr w:rsidR="005D339F" w:rsidRPr="00024787" w14:paraId="227D403E"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bottom w:val="single" w:sz="6" w:space="0" w:color="auto"/>
            </w:tcBorders>
          </w:tcPr>
          <w:p w14:paraId="158DF5C1" w14:textId="77777777" w:rsidR="005D339F" w:rsidRPr="00024787" w:rsidRDefault="005D339F" w:rsidP="00024787">
            <w:pPr>
              <w:spacing w:after="0"/>
              <w:rPr>
                <w:sz w:val="16"/>
                <w:szCs w:val="16"/>
              </w:rPr>
            </w:pPr>
            <w:r w:rsidRPr="00024787">
              <w:rPr>
                <w:sz w:val="16"/>
                <w:szCs w:val="16"/>
              </w:rPr>
              <w:t>Net cash flows from investments in non</w:t>
            </w:r>
            <w:r w:rsidRPr="00024787">
              <w:rPr>
                <w:sz w:val="16"/>
                <w:szCs w:val="16"/>
              </w:rPr>
              <w:noBreakHyphen/>
              <w:t>financial assets</w:t>
            </w:r>
          </w:p>
        </w:tc>
        <w:tc>
          <w:tcPr>
            <w:tcW w:w="706" w:type="dxa"/>
            <w:gridSpan w:val="2"/>
            <w:tcBorders>
              <w:bottom w:val="single" w:sz="6" w:space="0" w:color="auto"/>
            </w:tcBorders>
          </w:tcPr>
          <w:p w14:paraId="0219BC9E"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(24 817)</w:t>
            </w:r>
          </w:p>
        </w:tc>
        <w:tc>
          <w:tcPr>
            <w:tcW w:w="794" w:type="dxa"/>
            <w:tcBorders>
              <w:bottom w:val="single" w:sz="6" w:space="0" w:color="auto"/>
            </w:tcBorders>
          </w:tcPr>
          <w:p w14:paraId="3065A229"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(24 688)</w:t>
            </w:r>
          </w:p>
        </w:tc>
        <w:tc>
          <w:tcPr>
            <w:tcW w:w="794" w:type="dxa"/>
            <w:tcBorders>
              <w:bottom w:val="single" w:sz="6" w:space="0" w:color="auto"/>
            </w:tcBorders>
          </w:tcPr>
          <w:p w14:paraId="460AD18B"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(23 811)</w:t>
            </w:r>
          </w:p>
        </w:tc>
        <w:tc>
          <w:tcPr>
            <w:tcW w:w="794" w:type="dxa"/>
            <w:tcBorders>
              <w:bottom w:val="single" w:sz="6" w:space="0" w:color="auto"/>
            </w:tcBorders>
          </w:tcPr>
          <w:p w14:paraId="2815996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(21 701)</w:t>
            </w:r>
          </w:p>
        </w:tc>
        <w:tc>
          <w:tcPr>
            <w:tcW w:w="794" w:type="dxa"/>
            <w:tcBorders>
              <w:bottom w:val="single" w:sz="6" w:space="0" w:color="auto"/>
            </w:tcBorders>
          </w:tcPr>
          <w:p w14:paraId="5FAA474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sz w:val="16"/>
                <w:szCs w:val="16"/>
              </w:rPr>
              <w:t>(18 191)</w:t>
            </w:r>
          </w:p>
        </w:tc>
      </w:tr>
      <w:tr w:rsidR="005D339F" w:rsidRPr="00024787" w14:paraId="43C5794F" w14:textId="77777777" w:rsidTr="00024787">
        <w:tc>
          <w:tcPr>
            <w:cnfStyle w:val="001000000000" w:firstRow="0" w:lastRow="0" w:firstColumn="1" w:lastColumn="0" w:oddVBand="0" w:evenVBand="0" w:oddHBand="0" w:evenHBand="0" w:firstRowFirstColumn="0" w:firstRowLastColumn="0" w:lastRowFirstColumn="0" w:lastRowLastColumn="0"/>
            <w:tcW w:w="3828" w:type="dxa"/>
            <w:tcBorders>
              <w:top w:val="single" w:sz="6" w:space="0" w:color="auto"/>
              <w:bottom w:val="single" w:sz="12" w:space="0" w:color="auto"/>
            </w:tcBorders>
          </w:tcPr>
          <w:p w14:paraId="3A164F02" w14:textId="77777777" w:rsidR="005D339F" w:rsidRPr="00024787" w:rsidRDefault="005D339F" w:rsidP="00024787">
            <w:pPr>
              <w:spacing w:after="0"/>
              <w:rPr>
                <w:sz w:val="16"/>
                <w:szCs w:val="16"/>
              </w:rPr>
            </w:pPr>
            <w:r w:rsidRPr="00024787">
              <w:rPr>
                <w:b/>
                <w:sz w:val="16"/>
                <w:szCs w:val="16"/>
              </w:rPr>
              <w:t>Cash surplus/(deficit)</w:t>
            </w:r>
          </w:p>
        </w:tc>
        <w:tc>
          <w:tcPr>
            <w:tcW w:w="706" w:type="dxa"/>
            <w:gridSpan w:val="2"/>
            <w:tcBorders>
              <w:top w:val="single" w:sz="6" w:space="0" w:color="auto"/>
              <w:bottom w:val="single" w:sz="12" w:space="0" w:color="auto"/>
            </w:tcBorders>
          </w:tcPr>
          <w:p w14:paraId="04E1DA52"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(21 559)</w:t>
            </w:r>
          </w:p>
        </w:tc>
        <w:tc>
          <w:tcPr>
            <w:tcW w:w="794" w:type="dxa"/>
            <w:tcBorders>
              <w:top w:val="single" w:sz="6" w:space="0" w:color="auto"/>
              <w:bottom w:val="single" w:sz="12" w:space="0" w:color="auto"/>
            </w:tcBorders>
          </w:tcPr>
          <w:p w14:paraId="6781200D"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(22 409)</w:t>
            </w:r>
          </w:p>
        </w:tc>
        <w:tc>
          <w:tcPr>
            <w:tcW w:w="794" w:type="dxa"/>
            <w:tcBorders>
              <w:top w:val="single" w:sz="6" w:space="0" w:color="auto"/>
              <w:bottom w:val="single" w:sz="12" w:space="0" w:color="auto"/>
            </w:tcBorders>
          </w:tcPr>
          <w:p w14:paraId="5FB78FA0"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(14 857)</w:t>
            </w:r>
          </w:p>
        </w:tc>
        <w:tc>
          <w:tcPr>
            <w:tcW w:w="794" w:type="dxa"/>
            <w:tcBorders>
              <w:top w:val="single" w:sz="6" w:space="0" w:color="auto"/>
              <w:bottom w:val="single" w:sz="12" w:space="0" w:color="auto"/>
            </w:tcBorders>
          </w:tcPr>
          <w:p w14:paraId="200DE576"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(12 893)</w:t>
            </w:r>
          </w:p>
        </w:tc>
        <w:tc>
          <w:tcPr>
            <w:tcW w:w="794" w:type="dxa"/>
            <w:tcBorders>
              <w:top w:val="single" w:sz="6" w:space="0" w:color="auto"/>
              <w:bottom w:val="single" w:sz="12" w:space="0" w:color="auto"/>
            </w:tcBorders>
          </w:tcPr>
          <w:p w14:paraId="5028AEC4" w14:textId="77777777" w:rsidR="005D339F" w:rsidRPr="00024787" w:rsidRDefault="005D339F" w:rsidP="00024787">
            <w:pPr>
              <w:spacing w:after="0"/>
              <w:cnfStyle w:val="000000000000" w:firstRow="0" w:lastRow="0" w:firstColumn="0" w:lastColumn="0" w:oddVBand="0" w:evenVBand="0" w:oddHBand="0" w:evenHBand="0" w:firstRowFirstColumn="0" w:firstRowLastColumn="0" w:lastRowFirstColumn="0" w:lastRowLastColumn="0"/>
              <w:rPr>
                <w:sz w:val="16"/>
                <w:szCs w:val="16"/>
              </w:rPr>
            </w:pPr>
            <w:r w:rsidRPr="00024787">
              <w:rPr>
                <w:b/>
                <w:sz w:val="16"/>
                <w:szCs w:val="16"/>
              </w:rPr>
              <w:t>(10 036)</w:t>
            </w:r>
          </w:p>
        </w:tc>
      </w:tr>
    </w:tbl>
    <w:p w14:paraId="09CB98F4" w14:textId="77777777" w:rsidR="005D339F" w:rsidRPr="00921F69" w:rsidRDefault="005D339F" w:rsidP="005D339F">
      <w:pPr>
        <w:pStyle w:val="Note"/>
      </w:pPr>
      <w:r w:rsidRPr="00921F69">
        <w:t>Notes:</w:t>
      </w:r>
    </w:p>
    <w:p w14:paraId="62B78688" w14:textId="77777777" w:rsidR="005D339F" w:rsidRPr="00921F69" w:rsidRDefault="005D339F" w:rsidP="005D339F">
      <w:pPr>
        <w:pStyle w:val="Note"/>
      </w:pPr>
      <w:r w:rsidRPr="00921F69">
        <w:t>(a)</w:t>
      </w:r>
      <w:r w:rsidRPr="00921F69">
        <w:tab/>
      </w:r>
      <w:r w:rsidRPr="00150902">
        <w:t>Sales of goods and services and payments for goods and services are inclusive of goods and services tax</w:t>
      </w:r>
      <w:r w:rsidRPr="00921F69">
        <w:t>.</w:t>
      </w:r>
    </w:p>
    <w:p w14:paraId="35B0EA98" w14:textId="55EACEDE" w:rsidR="005D339F" w:rsidRPr="00921F69" w:rsidRDefault="005D339F" w:rsidP="005D339F">
      <w:pPr>
        <w:pStyle w:val="Note"/>
      </w:pPr>
      <w:r w:rsidRPr="00921F69">
        <w:t>(b)</w:t>
      </w:r>
      <w:r w:rsidRPr="00921F69">
        <w:tab/>
      </w:r>
      <w:r w:rsidRPr="00B7055D">
        <w:t xml:space="preserve">2024-25 </w:t>
      </w:r>
      <w:r w:rsidR="00B7055D" w:rsidRPr="00B7055D">
        <w:rPr>
          <w:iCs/>
        </w:rPr>
        <w:t>b</w:t>
      </w:r>
      <w:r w:rsidRPr="00B7055D">
        <w:rPr>
          <w:iCs/>
        </w:rPr>
        <w:t>udget</w:t>
      </w:r>
      <w:r w:rsidRPr="00921F69">
        <w:t xml:space="preserve"> figures have been restated to represent actual opening balances at 1 July 20</w:t>
      </w:r>
      <w:r>
        <w:t>24</w:t>
      </w:r>
      <w:r w:rsidRPr="00921F69">
        <w:t>.</w:t>
      </w:r>
    </w:p>
    <w:p w14:paraId="5F24A53B" w14:textId="77777777" w:rsidR="005D339F" w:rsidRPr="009E38F8" w:rsidRDefault="005D339F" w:rsidP="005D339F">
      <w:pPr>
        <w:pStyle w:val="Note"/>
        <w:rPr>
          <w:iCs/>
        </w:rPr>
      </w:pPr>
      <w:r w:rsidRPr="009E38F8">
        <w:rPr>
          <w:iCs/>
        </w:rPr>
        <w:t>(</w:t>
      </w:r>
      <w:r>
        <w:rPr>
          <w:iCs/>
        </w:rPr>
        <w:t>c</w:t>
      </w:r>
      <w:r w:rsidRPr="009E38F8">
        <w:rPr>
          <w:iCs/>
        </w:rPr>
        <w:t>)</w:t>
      </w:r>
      <w:r w:rsidRPr="009E38F8">
        <w:rPr>
          <w:iCs/>
        </w:rPr>
        <w:tab/>
      </w:r>
      <w:r>
        <w:t>Cash and cash equivalents at the end of the reporting period does not equal cash and deposits on the balance sheet. This is due to overdrafts being included in the cash flow statement balances.</w:t>
      </w:r>
    </w:p>
    <w:p w14:paraId="0725A57C" w14:textId="51A8BB2B" w:rsidR="005D339F" w:rsidRDefault="005D339F" w:rsidP="00024787"/>
    <w:p w14:paraId="4A4A38C6" w14:textId="77777777" w:rsidR="005D339F" w:rsidRDefault="005D339F" w:rsidP="005D339F">
      <w:pPr>
        <w:pStyle w:val="TableHeading"/>
      </w:pPr>
      <w:r w:rsidRPr="00921F69">
        <w:t>Table 5.9</w:t>
      </w:r>
      <w:r w:rsidRPr="00921F69">
        <w:tab/>
        <w:t xml:space="preserve">Non-financial public sector statement of changes in equity </w:t>
      </w:r>
      <w:r w:rsidRPr="00921F69">
        <w:br/>
        <w:t>for the financial year ended 30 June</w:t>
      </w:r>
      <w:r w:rsidRPr="00921F69">
        <w:tab/>
        <w:t>($ million)</w:t>
      </w:r>
    </w:p>
    <w:tbl>
      <w:tblPr>
        <w:tblStyle w:val="DTFTableNumeric"/>
        <w:tblW w:w="7676" w:type="dxa"/>
        <w:tblLayout w:type="fixed"/>
        <w:tblLook w:val="06A0" w:firstRow="1" w:lastRow="0" w:firstColumn="1" w:lastColumn="0" w:noHBand="1" w:noVBand="1"/>
        <w:tblDescription w:val="Type:DtfTable|Workbook:https://vicgov.sharepoint.com/sites/VG002735/Budget%20Update/Financial%20Statements/Manual%20reports/Link_BU_SOCIE.xlsx|Table:Manual_NFPS_SOCIE"/>
      </w:tblPr>
      <w:tblGrid>
        <w:gridCol w:w="2590"/>
        <w:gridCol w:w="387"/>
        <w:gridCol w:w="803"/>
        <w:gridCol w:w="1050"/>
        <w:gridCol w:w="1427"/>
        <w:gridCol w:w="714"/>
        <w:gridCol w:w="705"/>
      </w:tblGrid>
      <w:tr w:rsidR="008C1085" w:rsidRPr="008C1085" w14:paraId="242A7E3E" w14:textId="77777777" w:rsidTr="008C10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90" w:type="dxa"/>
          </w:tcPr>
          <w:p w14:paraId="1C70DCA6" w14:textId="77777777" w:rsidR="005D339F" w:rsidRPr="008C1085" w:rsidRDefault="005D339F" w:rsidP="008C1085">
            <w:pPr>
              <w:keepNext/>
              <w:rPr>
                <w:sz w:val="16"/>
                <w:szCs w:val="16"/>
              </w:rPr>
            </w:pPr>
          </w:p>
        </w:tc>
        <w:tc>
          <w:tcPr>
            <w:tcW w:w="1190" w:type="dxa"/>
            <w:gridSpan w:val="2"/>
          </w:tcPr>
          <w:p w14:paraId="30CD822E" w14:textId="77777777" w:rsidR="005D339F" w:rsidRPr="008C1085" w:rsidRDefault="005D339F" w:rsidP="008C1085">
            <w:pPr>
              <w:keepNext/>
              <w:cnfStyle w:val="100000000000" w:firstRow="1" w:lastRow="0" w:firstColumn="0" w:lastColumn="0" w:oddVBand="0" w:evenVBand="0" w:oddHBand="0" w:evenHBand="0" w:firstRowFirstColumn="0" w:firstRowLastColumn="0" w:lastRowFirstColumn="0" w:lastRowLastColumn="0"/>
              <w:rPr>
                <w:sz w:val="16"/>
                <w:szCs w:val="16"/>
              </w:rPr>
            </w:pPr>
            <w:r w:rsidRPr="008C1085">
              <w:rPr>
                <w:sz w:val="16"/>
                <w:szCs w:val="16"/>
              </w:rPr>
              <w:t>Accumulated surplus/(deficit)</w:t>
            </w:r>
          </w:p>
        </w:tc>
        <w:tc>
          <w:tcPr>
            <w:tcW w:w="1050" w:type="dxa"/>
          </w:tcPr>
          <w:p w14:paraId="5707E930" w14:textId="77777777" w:rsidR="005D339F" w:rsidRPr="008C1085" w:rsidRDefault="005D339F" w:rsidP="008C1085">
            <w:pPr>
              <w:keepNext/>
              <w:cnfStyle w:val="100000000000" w:firstRow="1" w:lastRow="0" w:firstColumn="0" w:lastColumn="0" w:oddVBand="0" w:evenVBand="0" w:oddHBand="0" w:evenHBand="0" w:firstRowFirstColumn="0" w:firstRowLastColumn="0" w:lastRowFirstColumn="0" w:lastRowLastColumn="0"/>
              <w:rPr>
                <w:sz w:val="16"/>
                <w:szCs w:val="16"/>
              </w:rPr>
            </w:pPr>
            <w:r w:rsidRPr="008C1085">
              <w:rPr>
                <w:sz w:val="16"/>
                <w:szCs w:val="16"/>
              </w:rPr>
              <w:t>Non</w:t>
            </w:r>
            <w:r w:rsidRPr="008C1085">
              <w:rPr>
                <w:sz w:val="16"/>
                <w:szCs w:val="16"/>
              </w:rPr>
              <w:noBreakHyphen/>
              <w:t>financial assets revaluation surplus</w:t>
            </w:r>
          </w:p>
        </w:tc>
        <w:tc>
          <w:tcPr>
            <w:tcW w:w="1427" w:type="dxa"/>
          </w:tcPr>
          <w:p w14:paraId="6589C568" w14:textId="77777777" w:rsidR="005D339F" w:rsidRPr="008C1085" w:rsidRDefault="005D339F" w:rsidP="008C1085">
            <w:pPr>
              <w:keepNext/>
              <w:cnfStyle w:val="100000000000" w:firstRow="1" w:lastRow="0" w:firstColumn="0" w:lastColumn="0" w:oddVBand="0" w:evenVBand="0" w:oddHBand="0" w:evenHBand="0" w:firstRowFirstColumn="0" w:firstRowLastColumn="0" w:lastRowFirstColumn="0" w:lastRowLastColumn="0"/>
              <w:rPr>
                <w:sz w:val="16"/>
                <w:szCs w:val="16"/>
              </w:rPr>
            </w:pPr>
            <w:r w:rsidRPr="008C1085">
              <w:rPr>
                <w:sz w:val="16"/>
                <w:szCs w:val="16"/>
              </w:rPr>
              <w:t>Investment in other sector entities revaluation surplus</w:t>
            </w:r>
          </w:p>
        </w:tc>
        <w:tc>
          <w:tcPr>
            <w:tcW w:w="714" w:type="dxa"/>
          </w:tcPr>
          <w:p w14:paraId="716700FE" w14:textId="77777777" w:rsidR="005D339F" w:rsidRPr="008C1085" w:rsidRDefault="005D339F" w:rsidP="008C1085">
            <w:pPr>
              <w:keepNext/>
              <w:cnfStyle w:val="100000000000" w:firstRow="1" w:lastRow="0" w:firstColumn="0" w:lastColumn="0" w:oddVBand="0" w:evenVBand="0" w:oddHBand="0" w:evenHBand="0" w:firstRowFirstColumn="0" w:firstRowLastColumn="0" w:lastRowFirstColumn="0" w:lastRowLastColumn="0"/>
              <w:rPr>
                <w:sz w:val="16"/>
                <w:szCs w:val="16"/>
              </w:rPr>
            </w:pPr>
            <w:r w:rsidRPr="008C1085">
              <w:rPr>
                <w:sz w:val="16"/>
                <w:szCs w:val="16"/>
              </w:rPr>
              <w:t>Other reserves</w:t>
            </w:r>
          </w:p>
        </w:tc>
        <w:tc>
          <w:tcPr>
            <w:tcW w:w="705" w:type="dxa"/>
          </w:tcPr>
          <w:p w14:paraId="179E04CA" w14:textId="77777777" w:rsidR="005D339F" w:rsidRPr="008C1085" w:rsidRDefault="005D339F" w:rsidP="008C1085">
            <w:pPr>
              <w:keepNext/>
              <w:cnfStyle w:val="100000000000" w:firstRow="1" w:lastRow="0" w:firstColumn="0" w:lastColumn="0" w:oddVBand="0" w:evenVBand="0" w:oddHBand="0" w:evenHBand="0" w:firstRowFirstColumn="0" w:firstRowLastColumn="0" w:lastRowFirstColumn="0" w:lastRowLastColumn="0"/>
              <w:rPr>
                <w:sz w:val="16"/>
                <w:szCs w:val="16"/>
              </w:rPr>
            </w:pPr>
            <w:r w:rsidRPr="008C1085">
              <w:rPr>
                <w:sz w:val="16"/>
                <w:szCs w:val="16"/>
              </w:rPr>
              <w:t>Total</w:t>
            </w:r>
          </w:p>
        </w:tc>
      </w:tr>
      <w:tr w:rsidR="005D339F" w:rsidRPr="008C1085" w14:paraId="014CFF0A"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0D39E798" w14:textId="77777777" w:rsidR="005D339F" w:rsidRPr="008C1085" w:rsidRDefault="005D339F" w:rsidP="008C1085">
            <w:pPr>
              <w:rPr>
                <w:sz w:val="16"/>
                <w:szCs w:val="16"/>
              </w:rPr>
            </w:pPr>
            <w:r w:rsidRPr="008C1085">
              <w:rPr>
                <w:b/>
                <w:sz w:val="16"/>
                <w:szCs w:val="16"/>
              </w:rPr>
              <w:t>2024</w:t>
            </w:r>
            <w:r w:rsidRPr="008C1085">
              <w:rPr>
                <w:b/>
                <w:sz w:val="16"/>
                <w:szCs w:val="16"/>
              </w:rPr>
              <w:noBreakHyphen/>
              <w:t>25 budget</w:t>
            </w:r>
            <w:r w:rsidRPr="008C1085">
              <w:rPr>
                <w:b/>
                <w:sz w:val="16"/>
                <w:szCs w:val="16"/>
                <w:vertAlign w:val="superscript"/>
              </w:rPr>
              <w:t xml:space="preserve"> (a)</w:t>
            </w:r>
          </w:p>
        </w:tc>
        <w:tc>
          <w:tcPr>
            <w:tcW w:w="803" w:type="dxa"/>
          </w:tcPr>
          <w:p w14:paraId="0176683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050" w:type="dxa"/>
          </w:tcPr>
          <w:p w14:paraId="3689EAF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427" w:type="dxa"/>
          </w:tcPr>
          <w:p w14:paraId="6406DFE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14" w:type="dxa"/>
          </w:tcPr>
          <w:p w14:paraId="76C8FA6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05" w:type="dxa"/>
          </w:tcPr>
          <w:p w14:paraId="173C59C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8C1085" w14:paraId="0AD23E2E"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01E0CAA6" w14:textId="77777777" w:rsidR="005D339F" w:rsidRPr="008C1085" w:rsidRDefault="005D339F" w:rsidP="008C1085">
            <w:pPr>
              <w:rPr>
                <w:sz w:val="16"/>
                <w:szCs w:val="16"/>
              </w:rPr>
            </w:pPr>
            <w:r w:rsidRPr="008C1085">
              <w:rPr>
                <w:sz w:val="16"/>
                <w:szCs w:val="16"/>
              </w:rPr>
              <w:t>Balance at 1 July 2024</w:t>
            </w:r>
          </w:p>
        </w:tc>
        <w:tc>
          <w:tcPr>
            <w:tcW w:w="803" w:type="dxa"/>
          </w:tcPr>
          <w:p w14:paraId="27CAF5A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65 605</w:t>
            </w:r>
          </w:p>
        </w:tc>
        <w:tc>
          <w:tcPr>
            <w:tcW w:w="1050" w:type="dxa"/>
          </w:tcPr>
          <w:p w14:paraId="303E171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161 183</w:t>
            </w:r>
          </w:p>
        </w:tc>
        <w:tc>
          <w:tcPr>
            <w:tcW w:w="1427" w:type="dxa"/>
          </w:tcPr>
          <w:p w14:paraId="5908804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15 040</w:t>
            </w:r>
          </w:p>
        </w:tc>
        <w:tc>
          <w:tcPr>
            <w:tcW w:w="714" w:type="dxa"/>
          </w:tcPr>
          <w:p w14:paraId="362DAE0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2 371</w:t>
            </w:r>
          </w:p>
        </w:tc>
        <w:tc>
          <w:tcPr>
            <w:tcW w:w="705" w:type="dxa"/>
          </w:tcPr>
          <w:p w14:paraId="1179DAF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244 199</w:t>
            </w:r>
          </w:p>
        </w:tc>
      </w:tr>
      <w:tr w:rsidR="005D339F" w:rsidRPr="008C1085" w14:paraId="1B0FB6F1"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3EA81545" w14:textId="77777777" w:rsidR="005D339F" w:rsidRPr="008C1085" w:rsidRDefault="005D339F" w:rsidP="008C1085">
            <w:pPr>
              <w:rPr>
                <w:sz w:val="16"/>
                <w:szCs w:val="16"/>
              </w:rPr>
            </w:pPr>
            <w:r w:rsidRPr="008C1085">
              <w:rPr>
                <w:sz w:val="16"/>
                <w:szCs w:val="16"/>
              </w:rPr>
              <w:t>Opening balance adjustment</w:t>
            </w:r>
            <w:r w:rsidRPr="008C1085">
              <w:rPr>
                <w:sz w:val="16"/>
                <w:szCs w:val="16"/>
                <w:vertAlign w:val="superscript"/>
              </w:rPr>
              <w:t xml:space="preserve"> (b)</w:t>
            </w:r>
          </w:p>
        </w:tc>
        <w:tc>
          <w:tcPr>
            <w:tcW w:w="803" w:type="dxa"/>
          </w:tcPr>
          <w:p w14:paraId="5144D88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215</w:t>
            </w:r>
          </w:p>
        </w:tc>
        <w:tc>
          <w:tcPr>
            <w:tcW w:w="1050" w:type="dxa"/>
          </w:tcPr>
          <w:p w14:paraId="5932779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(211)</w:t>
            </w:r>
          </w:p>
        </w:tc>
        <w:tc>
          <w:tcPr>
            <w:tcW w:w="1427" w:type="dxa"/>
          </w:tcPr>
          <w:p w14:paraId="00220A6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34F626F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62420D9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w:t>
            </w:r>
          </w:p>
        </w:tc>
      </w:tr>
      <w:tr w:rsidR="005D339F" w:rsidRPr="008C1085" w14:paraId="3C44AC0A"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44E9FCAA" w14:textId="77777777" w:rsidR="005D339F" w:rsidRPr="008C1085" w:rsidRDefault="005D339F" w:rsidP="008C1085">
            <w:pPr>
              <w:rPr>
                <w:sz w:val="16"/>
                <w:szCs w:val="16"/>
              </w:rPr>
            </w:pPr>
            <w:r w:rsidRPr="008C1085">
              <w:rPr>
                <w:b/>
                <w:sz w:val="16"/>
                <w:szCs w:val="16"/>
              </w:rPr>
              <w:t>Restated balance at 1 July 2024</w:t>
            </w:r>
          </w:p>
        </w:tc>
        <w:tc>
          <w:tcPr>
            <w:tcW w:w="803" w:type="dxa"/>
          </w:tcPr>
          <w:p w14:paraId="5F8ED9A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65 820</w:t>
            </w:r>
          </w:p>
        </w:tc>
        <w:tc>
          <w:tcPr>
            <w:tcW w:w="1050" w:type="dxa"/>
          </w:tcPr>
          <w:p w14:paraId="0641AC7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160 972</w:t>
            </w:r>
          </w:p>
        </w:tc>
        <w:tc>
          <w:tcPr>
            <w:tcW w:w="1427" w:type="dxa"/>
          </w:tcPr>
          <w:p w14:paraId="208263A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15 040</w:t>
            </w:r>
          </w:p>
        </w:tc>
        <w:tc>
          <w:tcPr>
            <w:tcW w:w="714" w:type="dxa"/>
          </w:tcPr>
          <w:p w14:paraId="4535619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2 371</w:t>
            </w:r>
          </w:p>
        </w:tc>
        <w:tc>
          <w:tcPr>
            <w:tcW w:w="705" w:type="dxa"/>
          </w:tcPr>
          <w:p w14:paraId="2BECF37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244 202</w:t>
            </w:r>
          </w:p>
        </w:tc>
      </w:tr>
      <w:tr w:rsidR="005D339F" w:rsidRPr="008C1085" w14:paraId="4E0E4A99"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3188E1FC" w14:textId="77777777" w:rsidR="005D339F" w:rsidRPr="008C1085" w:rsidRDefault="005D339F" w:rsidP="008C1085">
            <w:pPr>
              <w:rPr>
                <w:sz w:val="16"/>
                <w:szCs w:val="16"/>
              </w:rPr>
            </w:pPr>
            <w:r w:rsidRPr="008C1085">
              <w:rPr>
                <w:sz w:val="16"/>
                <w:szCs w:val="16"/>
              </w:rPr>
              <w:t>Net result for the year</w:t>
            </w:r>
          </w:p>
        </w:tc>
        <w:tc>
          <w:tcPr>
            <w:tcW w:w="803" w:type="dxa"/>
          </w:tcPr>
          <w:p w14:paraId="6B525F0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(3 949)</w:t>
            </w:r>
          </w:p>
        </w:tc>
        <w:tc>
          <w:tcPr>
            <w:tcW w:w="1050" w:type="dxa"/>
          </w:tcPr>
          <w:p w14:paraId="5214919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7A2340D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357AC41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41C2178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(3 949)</w:t>
            </w:r>
          </w:p>
        </w:tc>
      </w:tr>
      <w:tr w:rsidR="005D339F" w:rsidRPr="008C1085" w14:paraId="6950B36D"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1550A946" w14:textId="77777777" w:rsidR="005D339F" w:rsidRPr="008C1085" w:rsidRDefault="005D339F" w:rsidP="008C1085">
            <w:pPr>
              <w:rPr>
                <w:sz w:val="16"/>
                <w:szCs w:val="16"/>
              </w:rPr>
            </w:pPr>
            <w:r w:rsidRPr="008C1085">
              <w:rPr>
                <w:sz w:val="16"/>
                <w:szCs w:val="16"/>
              </w:rPr>
              <w:t>Other comprehensive income for the year</w:t>
            </w:r>
          </w:p>
        </w:tc>
        <w:tc>
          <w:tcPr>
            <w:tcW w:w="803" w:type="dxa"/>
          </w:tcPr>
          <w:p w14:paraId="527AA62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722</w:t>
            </w:r>
          </w:p>
        </w:tc>
        <w:tc>
          <w:tcPr>
            <w:tcW w:w="1050" w:type="dxa"/>
          </w:tcPr>
          <w:p w14:paraId="46457AE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6 843</w:t>
            </w:r>
          </w:p>
        </w:tc>
        <w:tc>
          <w:tcPr>
            <w:tcW w:w="1427" w:type="dxa"/>
          </w:tcPr>
          <w:p w14:paraId="72884A4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(258)</w:t>
            </w:r>
          </w:p>
        </w:tc>
        <w:tc>
          <w:tcPr>
            <w:tcW w:w="714" w:type="dxa"/>
          </w:tcPr>
          <w:p w14:paraId="7197652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39</w:t>
            </w:r>
          </w:p>
        </w:tc>
        <w:tc>
          <w:tcPr>
            <w:tcW w:w="705" w:type="dxa"/>
          </w:tcPr>
          <w:p w14:paraId="580F984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7 347</w:t>
            </w:r>
          </w:p>
        </w:tc>
      </w:tr>
      <w:tr w:rsidR="005D339F" w:rsidRPr="008C1085" w14:paraId="12AF5CAF"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5800572E" w14:textId="77777777" w:rsidR="005D339F" w:rsidRPr="008C1085" w:rsidRDefault="005D339F" w:rsidP="008C1085">
            <w:pPr>
              <w:rPr>
                <w:sz w:val="16"/>
                <w:szCs w:val="16"/>
              </w:rPr>
            </w:pPr>
            <w:r w:rsidRPr="008C1085">
              <w:rPr>
                <w:sz w:val="16"/>
                <w:szCs w:val="16"/>
              </w:rPr>
              <w:t>Transfer to/(from) accumulated surplus</w:t>
            </w:r>
          </w:p>
        </w:tc>
        <w:tc>
          <w:tcPr>
            <w:tcW w:w="803" w:type="dxa"/>
          </w:tcPr>
          <w:p w14:paraId="201D5FD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050" w:type="dxa"/>
          </w:tcPr>
          <w:p w14:paraId="21F2BD0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784AB46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64F7746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0438D0D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r>
      <w:tr w:rsidR="005D339F" w:rsidRPr="008C1085" w14:paraId="4E9AC0F0"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bottom w:val="single" w:sz="6" w:space="0" w:color="auto"/>
            </w:tcBorders>
          </w:tcPr>
          <w:p w14:paraId="6C8363FD" w14:textId="77777777" w:rsidR="005D339F" w:rsidRPr="008C1085" w:rsidRDefault="005D339F" w:rsidP="008C1085">
            <w:pPr>
              <w:rPr>
                <w:sz w:val="16"/>
                <w:szCs w:val="16"/>
              </w:rPr>
            </w:pPr>
            <w:r w:rsidRPr="008C1085">
              <w:rPr>
                <w:b/>
                <w:sz w:val="16"/>
                <w:szCs w:val="16"/>
              </w:rPr>
              <w:t>Total equity as at 30 June 2025</w:t>
            </w:r>
          </w:p>
        </w:tc>
        <w:tc>
          <w:tcPr>
            <w:tcW w:w="803" w:type="dxa"/>
            <w:tcBorders>
              <w:top w:val="single" w:sz="6" w:space="0" w:color="auto"/>
              <w:bottom w:val="single" w:sz="6" w:space="0" w:color="auto"/>
            </w:tcBorders>
          </w:tcPr>
          <w:p w14:paraId="079FC68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62 593</w:t>
            </w:r>
          </w:p>
        </w:tc>
        <w:tc>
          <w:tcPr>
            <w:tcW w:w="1050" w:type="dxa"/>
            <w:tcBorders>
              <w:top w:val="single" w:sz="6" w:space="0" w:color="auto"/>
              <w:bottom w:val="single" w:sz="6" w:space="0" w:color="auto"/>
            </w:tcBorders>
          </w:tcPr>
          <w:p w14:paraId="178F751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167 815</w:t>
            </w:r>
          </w:p>
        </w:tc>
        <w:tc>
          <w:tcPr>
            <w:tcW w:w="1427" w:type="dxa"/>
            <w:tcBorders>
              <w:top w:val="single" w:sz="6" w:space="0" w:color="auto"/>
              <w:bottom w:val="single" w:sz="6" w:space="0" w:color="auto"/>
            </w:tcBorders>
          </w:tcPr>
          <w:p w14:paraId="758CDE7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14 781</w:t>
            </w:r>
          </w:p>
        </w:tc>
        <w:tc>
          <w:tcPr>
            <w:tcW w:w="714" w:type="dxa"/>
            <w:tcBorders>
              <w:top w:val="single" w:sz="6" w:space="0" w:color="auto"/>
              <w:bottom w:val="single" w:sz="6" w:space="0" w:color="auto"/>
            </w:tcBorders>
          </w:tcPr>
          <w:p w14:paraId="383F112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2 410</w:t>
            </w:r>
          </w:p>
        </w:tc>
        <w:tc>
          <w:tcPr>
            <w:tcW w:w="705" w:type="dxa"/>
            <w:tcBorders>
              <w:top w:val="single" w:sz="6" w:space="0" w:color="auto"/>
              <w:bottom w:val="single" w:sz="6" w:space="0" w:color="auto"/>
            </w:tcBorders>
          </w:tcPr>
          <w:p w14:paraId="66831A7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247 600</w:t>
            </w:r>
          </w:p>
        </w:tc>
      </w:tr>
      <w:tr w:rsidR="005D339F" w:rsidRPr="008C1085" w14:paraId="6A9B1DBE"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tcBorders>
          </w:tcPr>
          <w:p w14:paraId="21E88723" w14:textId="77777777" w:rsidR="005D339F" w:rsidRPr="008C1085" w:rsidRDefault="005D339F" w:rsidP="008C1085">
            <w:pPr>
              <w:rPr>
                <w:sz w:val="16"/>
                <w:szCs w:val="16"/>
              </w:rPr>
            </w:pPr>
            <w:r w:rsidRPr="008C1085">
              <w:rPr>
                <w:b/>
                <w:sz w:val="16"/>
                <w:szCs w:val="16"/>
              </w:rPr>
              <w:t>2024</w:t>
            </w:r>
            <w:r w:rsidRPr="008C1085">
              <w:rPr>
                <w:b/>
                <w:sz w:val="16"/>
                <w:szCs w:val="16"/>
              </w:rPr>
              <w:noBreakHyphen/>
              <w:t>25 revised</w:t>
            </w:r>
          </w:p>
        </w:tc>
        <w:tc>
          <w:tcPr>
            <w:tcW w:w="803" w:type="dxa"/>
            <w:tcBorders>
              <w:top w:val="single" w:sz="6" w:space="0" w:color="auto"/>
            </w:tcBorders>
          </w:tcPr>
          <w:p w14:paraId="70951C4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050" w:type="dxa"/>
            <w:tcBorders>
              <w:top w:val="single" w:sz="6" w:space="0" w:color="auto"/>
            </w:tcBorders>
          </w:tcPr>
          <w:p w14:paraId="236AFCC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427" w:type="dxa"/>
            <w:tcBorders>
              <w:top w:val="single" w:sz="6" w:space="0" w:color="auto"/>
            </w:tcBorders>
          </w:tcPr>
          <w:p w14:paraId="5A712E0C"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14" w:type="dxa"/>
            <w:tcBorders>
              <w:top w:val="single" w:sz="6" w:space="0" w:color="auto"/>
            </w:tcBorders>
          </w:tcPr>
          <w:p w14:paraId="4300599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05" w:type="dxa"/>
            <w:tcBorders>
              <w:top w:val="single" w:sz="6" w:space="0" w:color="auto"/>
            </w:tcBorders>
          </w:tcPr>
          <w:p w14:paraId="7F7946B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8C1085" w14:paraId="25E37D74"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5BD0E9A6" w14:textId="77777777" w:rsidR="005D339F" w:rsidRPr="008C1085" w:rsidRDefault="005D339F" w:rsidP="008C1085">
            <w:pPr>
              <w:rPr>
                <w:sz w:val="16"/>
                <w:szCs w:val="16"/>
              </w:rPr>
            </w:pPr>
            <w:r w:rsidRPr="008C1085">
              <w:rPr>
                <w:sz w:val="16"/>
                <w:szCs w:val="16"/>
              </w:rPr>
              <w:t>Balance at 1 July 2024</w:t>
            </w:r>
          </w:p>
        </w:tc>
        <w:tc>
          <w:tcPr>
            <w:tcW w:w="803" w:type="dxa"/>
          </w:tcPr>
          <w:p w14:paraId="78A0672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65 605</w:t>
            </w:r>
          </w:p>
        </w:tc>
        <w:tc>
          <w:tcPr>
            <w:tcW w:w="1050" w:type="dxa"/>
          </w:tcPr>
          <w:p w14:paraId="3CA2724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161 183</w:t>
            </w:r>
          </w:p>
        </w:tc>
        <w:tc>
          <w:tcPr>
            <w:tcW w:w="1427" w:type="dxa"/>
          </w:tcPr>
          <w:p w14:paraId="3F06D44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15 040</w:t>
            </w:r>
          </w:p>
        </w:tc>
        <w:tc>
          <w:tcPr>
            <w:tcW w:w="714" w:type="dxa"/>
          </w:tcPr>
          <w:p w14:paraId="040B64E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2 371</w:t>
            </w:r>
          </w:p>
        </w:tc>
        <w:tc>
          <w:tcPr>
            <w:tcW w:w="705" w:type="dxa"/>
          </w:tcPr>
          <w:p w14:paraId="442A4D4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244 199</w:t>
            </w:r>
          </w:p>
        </w:tc>
      </w:tr>
      <w:tr w:rsidR="005D339F" w:rsidRPr="008C1085" w14:paraId="18C75EB3"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23508AC2" w14:textId="77777777" w:rsidR="005D339F" w:rsidRPr="008C1085" w:rsidRDefault="005D339F" w:rsidP="008C1085">
            <w:pPr>
              <w:rPr>
                <w:sz w:val="16"/>
                <w:szCs w:val="16"/>
              </w:rPr>
            </w:pPr>
            <w:r w:rsidRPr="008C1085">
              <w:rPr>
                <w:sz w:val="16"/>
                <w:szCs w:val="16"/>
              </w:rPr>
              <w:t>Opening balance adjustment</w:t>
            </w:r>
            <w:r w:rsidRPr="008C1085">
              <w:rPr>
                <w:sz w:val="16"/>
                <w:szCs w:val="16"/>
                <w:vertAlign w:val="superscript"/>
              </w:rPr>
              <w:t xml:space="preserve"> (b)</w:t>
            </w:r>
          </w:p>
        </w:tc>
        <w:tc>
          <w:tcPr>
            <w:tcW w:w="803" w:type="dxa"/>
          </w:tcPr>
          <w:p w14:paraId="63E7F01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215</w:t>
            </w:r>
          </w:p>
        </w:tc>
        <w:tc>
          <w:tcPr>
            <w:tcW w:w="1050" w:type="dxa"/>
          </w:tcPr>
          <w:p w14:paraId="53F39F3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(211)</w:t>
            </w:r>
          </w:p>
        </w:tc>
        <w:tc>
          <w:tcPr>
            <w:tcW w:w="1427" w:type="dxa"/>
          </w:tcPr>
          <w:p w14:paraId="442FE58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7C85897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29F78C2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w:t>
            </w:r>
          </w:p>
        </w:tc>
      </w:tr>
      <w:tr w:rsidR="005D339F" w:rsidRPr="008C1085" w14:paraId="1F9E82BE"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3388BFE9" w14:textId="77777777" w:rsidR="005D339F" w:rsidRPr="008C1085" w:rsidRDefault="005D339F" w:rsidP="008C1085">
            <w:pPr>
              <w:rPr>
                <w:sz w:val="16"/>
                <w:szCs w:val="16"/>
              </w:rPr>
            </w:pPr>
            <w:r w:rsidRPr="008C1085">
              <w:rPr>
                <w:b/>
                <w:sz w:val="16"/>
                <w:szCs w:val="16"/>
              </w:rPr>
              <w:t>Restated balance at 1 July 2024</w:t>
            </w:r>
          </w:p>
        </w:tc>
        <w:tc>
          <w:tcPr>
            <w:tcW w:w="803" w:type="dxa"/>
          </w:tcPr>
          <w:p w14:paraId="2037210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65 820</w:t>
            </w:r>
          </w:p>
        </w:tc>
        <w:tc>
          <w:tcPr>
            <w:tcW w:w="1050" w:type="dxa"/>
          </w:tcPr>
          <w:p w14:paraId="7DFB5CD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160 972</w:t>
            </w:r>
          </w:p>
        </w:tc>
        <w:tc>
          <w:tcPr>
            <w:tcW w:w="1427" w:type="dxa"/>
          </w:tcPr>
          <w:p w14:paraId="2F2586A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15 040</w:t>
            </w:r>
          </w:p>
        </w:tc>
        <w:tc>
          <w:tcPr>
            <w:tcW w:w="714" w:type="dxa"/>
          </w:tcPr>
          <w:p w14:paraId="4DAAEFA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2 371</w:t>
            </w:r>
          </w:p>
        </w:tc>
        <w:tc>
          <w:tcPr>
            <w:tcW w:w="705" w:type="dxa"/>
          </w:tcPr>
          <w:p w14:paraId="31B8F51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244 202</w:t>
            </w:r>
          </w:p>
        </w:tc>
      </w:tr>
      <w:tr w:rsidR="005D339F" w:rsidRPr="008C1085" w14:paraId="7CF981B0"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1F0A6647" w14:textId="77777777" w:rsidR="005D339F" w:rsidRPr="008C1085" w:rsidRDefault="005D339F" w:rsidP="008C1085">
            <w:pPr>
              <w:rPr>
                <w:sz w:val="16"/>
                <w:szCs w:val="16"/>
              </w:rPr>
            </w:pPr>
            <w:r w:rsidRPr="008C1085">
              <w:rPr>
                <w:sz w:val="16"/>
                <w:szCs w:val="16"/>
              </w:rPr>
              <w:t>Net result for the year</w:t>
            </w:r>
          </w:p>
        </w:tc>
        <w:tc>
          <w:tcPr>
            <w:tcW w:w="803" w:type="dxa"/>
          </w:tcPr>
          <w:p w14:paraId="6D026E8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(5 172)</w:t>
            </w:r>
          </w:p>
        </w:tc>
        <w:tc>
          <w:tcPr>
            <w:tcW w:w="1050" w:type="dxa"/>
          </w:tcPr>
          <w:p w14:paraId="115849B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03104BA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2332B6D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6B9CE49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(5 172)</w:t>
            </w:r>
          </w:p>
        </w:tc>
      </w:tr>
      <w:tr w:rsidR="005D339F" w:rsidRPr="008C1085" w14:paraId="3FB47575"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0AF13640" w14:textId="77777777" w:rsidR="005D339F" w:rsidRPr="008C1085" w:rsidRDefault="005D339F" w:rsidP="008C1085">
            <w:pPr>
              <w:rPr>
                <w:sz w:val="16"/>
                <w:szCs w:val="16"/>
              </w:rPr>
            </w:pPr>
            <w:r w:rsidRPr="008C1085">
              <w:rPr>
                <w:sz w:val="16"/>
                <w:szCs w:val="16"/>
              </w:rPr>
              <w:t>Other comprehensive income for the year</w:t>
            </w:r>
          </w:p>
        </w:tc>
        <w:tc>
          <w:tcPr>
            <w:tcW w:w="803" w:type="dxa"/>
          </w:tcPr>
          <w:p w14:paraId="62BAEBB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(265)</w:t>
            </w:r>
          </w:p>
        </w:tc>
        <w:tc>
          <w:tcPr>
            <w:tcW w:w="1050" w:type="dxa"/>
          </w:tcPr>
          <w:p w14:paraId="37F1F41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6 753</w:t>
            </w:r>
          </w:p>
        </w:tc>
        <w:tc>
          <w:tcPr>
            <w:tcW w:w="1427" w:type="dxa"/>
          </w:tcPr>
          <w:p w14:paraId="582D248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(3 768)</w:t>
            </w:r>
          </w:p>
        </w:tc>
        <w:tc>
          <w:tcPr>
            <w:tcW w:w="714" w:type="dxa"/>
          </w:tcPr>
          <w:p w14:paraId="56DF9F5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w:t>
            </w:r>
          </w:p>
        </w:tc>
        <w:tc>
          <w:tcPr>
            <w:tcW w:w="705" w:type="dxa"/>
          </w:tcPr>
          <w:p w14:paraId="5BF0CB4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2 719</w:t>
            </w:r>
          </w:p>
        </w:tc>
      </w:tr>
      <w:tr w:rsidR="005D339F" w:rsidRPr="008C1085" w14:paraId="77B98CD8"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090AE897" w14:textId="77777777" w:rsidR="005D339F" w:rsidRPr="008C1085" w:rsidRDefault="005D339F" w:rsidP="008C1085">
            <w:pPr>
              <w:rPr>
                <w:sz w:val="16"/>
                <w:szCs w:val="16"/>
              </w:rPr>
            </w:pPr>
            <w:r w:rsidRPr="008C1085">
              <w:rPr>
                <w:sz w:val="16"/>
                <w:szCs w:val="16"/>
              </w:rPr>
              <w:t>Transfer to/(from) accumulated surplus</w:t>
            </w:r>
          </w:p>
        </w:tc>
        <w:tc>
          <w:tcPr>
            <w:tcW w:w="803" w:type="dxa"/>
          </w:tcPr>
          <w:p w14:paraId="0289AF9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050" w:type="dxa"/>
          </w:tcPr>
          <w:p w14:paraId="7721F95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6D665A8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0AAB4C7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68A0B12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r>
      <w:tr w:rsidR="005D339F" w:rsidRPr="008C1085" w14:paraId="691EA8E9"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bottom w:val="single" w:sz="6" w:space="0" w:color="auto"/>
            </w:tcBorders>
          </w:tcPr>
          <w:p w14:paraId="245D2C96" w14:textId="77777777" w:rsidR="005D339F" w:rsidRPr="008C1085" w:rsidRDefault="005D339F" w:rsidP="008C1085">
            <w:pPr>
              <w:rPr>
                <w:sz w:val="16"/>
                <w:szCs w:val="16"/>
              </w:rPr>
            </w:pPr>
            <w:r w:rsidRPr="008C1085">
              <w:rPr>
                <w:b/>
                <w:sz w:val="16"/>
                <w:szCs w:val="16"/>
              </w:rPr>
              <w:t>Total equity as at 30 June 2025</w:t>
            </w:r>
          </w:p>
        </w:tc>
        <w:tc>
          <w:tcPr>
            <w:tcW w:w="803" w:type="dxa"/>
            <w:tcBorders>
              <w:top w:val="single" w:sz="6" w:space="0" w:color="auto"/>
              <w:bottom w:val="single" w:sz="6" w:space="0" w:color="auto"/>
            </w:tcBorders>
          </w:tcPr>
          <w:p w14:paraId="2584428C"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60 383</w:t>
            </w:r>
          </w:p>
        </w:tc>
        <w:tc>
          <w:tcPr>
            <w:tcW w:w="1050" w:type="dxa"/>
            <w:tcBorders>
              <w:top w:val="single" w:sz="6" w:space="0" w:color="auto"/>
              <w:bottom w:val="single" w:sz="6" w:space="0" w:color="auto"/>
            </w:tcBorders>
          </w:tcPr>
          <w:p w14:paraId="5DF9B65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167 725</w:t>
            </w:r>
          </w:p>
        </w:tc>
        <w:tc>
          <w:tcPr>
            <w:tcW w:w="1427" w:type="dxa"/>
            <w:tcBorders>
              <w:top w:val="single" w:sz="6" w:space="0" w:color="auto"/>
              <w:bottom w:val="single" w:sz="6" w:space="0" w:color="auto"/>
            </w:tcBorders>
          </w:tcPr>
          <w:p w14:paraId="4FD544B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11 271</w:t>
            </w:r>
          </w:p>
        </w:tc>
        <w:tc>
          <w:tcPr>
            <w:tcW w:w="714" w:type="dxa"/>
            <w:tcBorders>
              <w:top w:val="single" w:sz="6" w:space="0" w:color="auto"/>
              <w:bottom w:val="single" w:sz="6" w:space="0" w:color="auto"/>
            </w:tcBorders>
          </w:tcPr>
          <w:p w14:paraId="43BA8FF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2 370</w:t>
            </w:r>
          </w:p>
        </w:tc>
        <w:tc>
          <w:tcPr>
            <w:tcW w:w="705" w:type="dxa"/>
            <w:tcBorders>
              <w:top w:val="single" w:sz="6" w:space="0" w:color="auto"/>
              <w:bottom w:val="single" w:sz="6" w:space="0" w:color="auto"/>
            </w:tcBorders>
          </w:tcPr>
          <w:p w14:paraId="67314B3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241 749</w:t>
            </w:r>
          </w:p>
        </w:tc>
      </w:tr>
      <w:tr w:rsidR="005D339F" w:rsidRPr="008C1085" w14:paraId="272E501D"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tcBorders>
          </w:tcPr>
          <w:p w14:paraId="5842D420" w14:textId="77777777" w:rsidR="005D339F" w:rsidRPr="008C1085" w:rsidRDefault="005D339F" w:rsidP="008C1085">
            <w:pPr>
              <w:rPr>
                <w:sz w:val="16"/>
                <w:szCs w:val="16"/>
              </w:rPr>
            </w:pPr>
            <w:r w:rsidRPr="008C1085">
              <w:rPr>
                <w:b/>
                <w:sz w:val="16"/>
                <w:szCs w:val="16"/>
              </w:rPr>
              <w:t>2025</w:t>
            </w:r>
            <w:r w:rsidRPr="008C1085">
              <w:rPr>
                <w:b/>
                <w:sz w:val="16"/>
                <w:szCs w:val="16"/>
              </w:rPr>
              <w:noBreakHyphen/>
              <w:t>26 estimate</w:t>
            </w:r>
          </w:p>
        </w:tc>
        <w:tc>
          <w:tcPr>
            <w:tcW w:w="803" w:type="dxa"/>
            <w:tcBorders>
              <w:top w:val="single" w:sz="6" w:space="0" w:color="auto"/>
            </w:tcBorders>
          </w:tcPr>
          <w:p w14:paraId="16D0B58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050" w:type="dxa"/>
            <w:tcBorders>
              <w:top w:val="single" w:sz="6" w:space="0" w:color="auto"/>
            </w:tcBorders>
          </w:tcPr>
          <w:p w14:paraId="5FD0D71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427" w:type="dxa"/>
            <w:tcBorders>
              <w:top w:val="single" w:sz="6" w:space="0" w:color="auto"/>
            </w:tcBorders>
          </w:tcPr>
          <w:p w14:paraId="69D80EB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14" w:type="dxa"/>
            <w:tcBorders>
              <w:top w:val="single" w:sz="6" w:space="0" w:color="auto"/>
            </w:tcBorders>
          </w:tcPr>
          <w:p w14:paraId="20B8F39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05" w:type="dxa"/>
            <w:tcBorders>
              <w:top w:val="single" w:sz="6" w:space="0" w:color="auto"/>
            </w:tcBorders>
          </w:tcPr>
          <w:p w14:paraId="7264FC4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8C1085" w14:paraId="573D383F"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36C41DCF" w14:textId="77777777" w:rsidR="005D339F" w:rsidRPr="008C1085" w:rsidRDefault="005D339F" w:rsidP="008C1085">
            <w:pPr>
              <w:rPr>
                <w:sz w:val="16"/>
                <w:szCs w:val="16"/>
              </w:rPr>
            </w:pPr>
            <w:r w:rsidRPr="008C1085">
              <w:rPr>
                <w:sz w:val="16"/>
                <w:szCs w:val="16"/>
              </w:rPr>
              <w:t>Balance at 1 July 2025</w:t>
            </w:r>
          </w:p>
        </w:tc>
        <w:tc>
          <w:tcPr>
            <w:tcW w:w="803" w:type="dxa"/>
          </w:tcPr>
          <w:p w14:paraId="1CB86DA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60 383</w:t>
            </w:r>
          </w:p>
        </w:tc>
        <w:tc>
          <w:tcPr>
            <w:tcW w:w="1050" w:type="dxa"/>
          </w:tcPr>
          <w:p w14:paraId="6A53AF9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167 725</w:t>
            </w:r>
          </w:p>
        </w:tc>
        <w:tc>
          <w:tcPr>
            <w:tcW w:w="1427" w:type="dxa"/>
          </w:tcPr>
          <w:p w14:paraId="2784A48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11 271</w:t>
            </w:r>
          </w:p>
        </w:tc>
        <w:tc>
          <w:tcPr>
            <w:tcW w:w="714" w:type="dxa"/>
          </w:tcPr>
          <w:p w14:paraId="26A8930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2 370</w:t>
            </w:r>
          </w:p>
        </w:tc>
        <w:tc>
          <w:tcPr>
            <w:tcW w:w="705" w:type="dxa"/>
          </w:tcPr>
          <w:p w14:paraId="2C1C5D8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241 749</w:t>
            </w:r>
          </w:p>
        </w:tc>
      </w:tr>
      <w:tr w:rsidR="005D339F" w:rsidRPr="008C1085" w14:paraId="093FC036"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62A39CCE" w14:textId="77777777" w:rsidR="005D339F" w:rsidRPr="008C1085" w:rsidRDefault="005D339F" w:rsidP="008C1085">
            <w:pPr>
              <w:rPr>
                <w:sz w:val="16"/>
                <w:szCs w:val="16"/>
              </w:rPr>
            </w:pPr>
            <w:r w:rsidRPr="008C1085">
              <w:rPr>
                <w:sz w:val="16"/>
                <w:szCs w:val="16"/>
              </w:rPr>
              <w:t>Net result for the year</w:t>
            </w:r>
          </w:p>
        </w:tc>
        <w:tc>
          <w:tcPr>
            <w:tcW w:w="803" w:type="dxa"/>
          </w:tcPr>
          <w:p w14:paraId="39C3757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(330)</w:t>
            </w:r>
          </w:p>
        </w:tc>
        <w:tc>
          <w:tcPr>
            <w:tcW w:w="1050" w:type="dxa"/>
          </w:tcPr>
          <w:p w14:paraId="1A7DF58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6D41F93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1702886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57378D9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(330)</w:t>
            </w:r>
          </w:p>
        </w:tc>
      </w:tr>
      <w:tr w:rsidR="005D339F" w:rsidRPr="008C1085" w14:paraId="16D7A72B"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6DBD8FBC" w14:textId="77777777" w:rsidR="005D339F" w:rsidRPr="008C1085" w:rsidRDefault="005D339F" w:rsidP="008C1085">
            <w:pPr>
              <w:rPr>
                <w:sz w:val="16"/>
                <w:szCs w:val="16"/>
              </w:rPr>
            </w:pPr>
            <w:r w:rsidRPr="008C1085">
              <w:rPr>
                <w:sz w:val="16"/>
                <w:szCs w:val="16"/>
              </w:rPr>
              <w:t>Other comprehensive income for the year</w:t>
            </w:r>
          </w:p>
        </w:tc>
        <w:tc>
          <w:tcPr>
            <w:tcW w:w="803" w:type="dxa"/>
          </w:tcPr>
          <w:p w14:paraId="1C40216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721</w:t>
            </w:r>
          </w:p>
        </w:tc>
        <w:tc>
          <w:tcPr>
            <w:tcW w:w="1050" w:type="dxa"/>
          </w:tcPr>
          <w:p w14:paraId="634D1FF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9 569</w:t>
            </w:r>
          </w:p>
        </w:tc>
        <w:tc>
          <w:tcPr>
            <w:tcW w:w="1427" w:type="dxa"/>
          </w:tcPr>
          <w:p w14:paraId="20CF1FA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(1 057)</w:t>
            </w:r>
          </w:p>
        </w:tc>
        <w:tc>
          <w:tcPr>
            <w:tcW w:w="714" w:type="dxa"/>
          </w:tcPr>
          <w:p w14:paraId="44FDAE2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10</w:t>
            </w:r>
          </w:p>
        </w:tc>
        <w:tc>
          <w:tcPr>
            <w:tcW w:w="705" w:type="dxa"/>
          </w:tcPr>
          <w:p w14:paraId="530F8E6C"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9 243</w:t>
            </w:r>
          </w:p>
        </w:tc>
      </w:tr>
      <w:tr w:rsidR="005D339F" w:rsidRPr="008C1085" w14:paraId="02D40AAA"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6A34DF9B" w14:textId="77777777" w:rsidR="005D339F" w:rsidRPr="008C1085" w:rsidRDefault="005D339F" w:rsidP="008C1085">
            <w:pPr>
              <w:rPr>
                <w:sz w:val="16"/>
                <w:szCs w:val="16"/>
              </w:rPr>
            </w:pPr>
            <w:r w:rsidRPr="008C1085">
              <w:rPr>
                <w:sz w:val="16"/>
                <w:szCs w:val="16"/>
              </w:rPr>
              <w:t>Transfer to/(from) accumulated surplus</w:t>
            </w:r>
          </w:p>
        </w:tc>
        <w:tc>
          <w:tcPr>
            <w:tcW w:w="803" w:type="dxa"/>
          </w:tcPr>
          <w:p w14:paraId="097325F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345</w:t>
            </w:r>
          </w:p>
        </w:tc>
        <w:tc>
          <w:tcPr>
            <w:tcW w:w="1050" w:type="dxa"/>
          </w:tcPr>
          <w:p w14:paraId="218504D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(345)</w:t>
            </w:r>
          </w:p>
        </w:tc>
        <w:tc>
          <w:tcPr>
            <w:tcW w:w="1427" w:type="dxa"/>
          </w:tcPr>
          <w:p w14:paraId="0718AE1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58DA677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4DC111C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r>
      <w:tr w:rsidR="005D339F" w:rsidRPr="008C1085" w14:paraId="28F4A9B1"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bottom w:val="single" w:sz="6" w:space="0" w:color="auto"/>
            </w:tcBorders>
          </w:tcPr>
          <w:p w14:paraId="1BA9C98B" w14:textId="77777777" w:rsidR="005D339F" w:rsidRPr="008C1085" w:rsidRDefault="005D339F" w:rsidP="008C1085">
            <w:pPr>
              <w:rPr>
                <w:sz w:val="16"/>
                <w:szCs w:val="16"/>
              </w:rPr>
            </w:pPr>
            <w:r w:rsidRPr="008C1085">
              <w:rPr>
                <w:b/>
                <w:sz w:val="16"/>
                <w:szCs w:val="16"/>
              </w:rPr>
              <w:t>Total equity as at 30 June 2026</w:t>
            </w:r>
          </w:p>
        </w:tc>
        <w:tc>
          <w:tcPr>
            <w:tcW w:w="803" w:type="dxa"/>
            <w:tcBorders>
              <w:top w:val="single" w:sz="6" w:space="0" w:color="auto"/>
              <w:bottom w:val="single" w:sz="6" w:space="0" w:color="auto"/>
            </w:tcBorders>
          </w:tcPr>
          <w:p w14:paraId="5BA58C4C"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61 120</w:t>
            </w:r>
          </w:p>
        </w:tc>
        <w:tc>
          <w:tcPr>
            <w:tcW w:w="1050" w:type="dxa"/>
            <w:tcBorders>
              <w:top w:val="single" w:sz="6" w:space="0" w:color="auto"/>
              <w:bottom w:val="single" w:sz="6" w:space="0" w:color="auto"/>
            </w:tcBorders>
          </w:tcPr>
          <w:p w14:paraId="7904364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176 948</w:t>
            </w:r>
          </w:p>
        </w:tc>
        <w:tc>
          <w:tcPr>
            <w:tcW w:w="1427" w:type="dxa"/>
            <w:tcBorders>
              <w:top w:val="single" w:sz="6" w:space="0" w:color="auto"/>
              <w:bottom w:val="single" w:sz="6" w:space="0" w:color="auto"/>
            </w:tcBorders>
          </w:tcPr>
          <w:p w14:paraId="31A3D0A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10 214</w:t>
            </w:r>
          </w:p>
        </w:tc>
        <w:tc>
          <w:tcPr>
            <w:tcW w:w="714" w:type="dxa"/>
            <w:tcBorders>
              <w:top w:val="single" w:sz="6" w:space="0" w:color="auto"/>
              <w:bottom w:val="single" w:sz="6" w:space="0" w:color="auto"/>
            </w:tcBorders>
          </w:tcPr>
          <w:p w14:paraId="7488AF2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2 380</w:t>
            </w:r>
          </w:p>
        </w:tc>
        <w:tc>
          <w:tcPr>
            <w:tcW w:w="705" w:type="dxa"/>
            <w:tcBorders>
              <w:top w:val="single" w:sz="6" w:space="0" w:color="auto"/>
              <w:bottom w:val="single" w:sz="6" w:space="0" w:color="auto"/>
            </w:tcBorders>
          </w:tcPr>
          <w:p w14:paraId="3AB410C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250 662</w:t>
            </w:r>
          </w:p>
        </w:tc>
      </w:tr>
      <w:tr w:rsidR="005D339F" w:rsidRPr="008C1085" w14:paraId="708D4B2E"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tcBorders>
          </w:tcPr>
          <w:p w14:paraId="4D1EA765" w14:textId="77777777" w:rsidR="005D339F" w:rsidRPr="008C1085" w:rsidRDefault="005D339F" w:rsidP="008C1085">
            <w:pPr>
              <w:rPr>
                <w:sz w:val="16"/>
                <w:szCs w:val="16"/>
              </w:rPr>
            </w:pPr>
            <w:r w:rsidRPr="008C1085">
              <w:rPr>
                <w:b/>
                <w:sz w:val="16"/>
                <w:szCs w:val="16"/>
              </w:rPr>
              <w:t>2026</w:t>
            </w:r>
            <w:r w:rsidRPr="008C1085">
              <w:rPr>
                <w:b/>
                <w:sz w:val="16"/>
                <w:szCs w:val="16"/>
              </w:rPr>
              <w:noBreakHyphen/>
              <w:t>27 estimate</w:t>
            </w:r>
          </w:p>
        </w:tc>
        <w:tc>
          <w:tcPr>
            <w:tcW w:w="803" w:type="dxa"/>
            <w:tcBorders>
              <w:top w:val="single" w:sz="6" w:space="0" w:color="auto"/>
            </w:tcBorders>
          </w:tcPr>
          <w:p w14:paraId="2C089B1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050" w:type="dxa"/>
            <w:tcBorders>
              <w:top w:val="single" w:sz="6" w:space="0" w:color="auto"/>
            </w:tcBorders>
          </w:tcPr>
          <w:p w14:paraId="6132B38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427" w:type="dxa"/>
            <w:tcBorders>
              <w:top w:val="single" w:sz="6" w:space="0" w:color="auto"/>
            </w:tcBorders>
          </w:tcPr>
          <w:p w14:paraId="711ED4C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14" w:type="dxa"/>
            <w:tcBorders>
              <w:top w:val="single" w:sz="6" w:space="0" w:color="auto"/>
            </w:tcBorders>
          </w:tcPr>
          <w:p w14:paraId="46D6BF9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05" w:type="dxa"/>
            <w:tcBorders>
              <w:top w:val="single" w:sz="6" w:space="0" w:color="auto"/>
            </w:tcBorders>
          </w:tcPr>
          <w:p w14:paraId="378125A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8C1085" w14:paraId="5D6B398F"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778A1EAA" w14:textId="77777777" w:rsidR="005D339F" w:rsidRPr="008C1085" w:rsidRDefault="005D339F" w:rsidP="008C1085">
            <w:pPr>
              <w:rPr>
                <w:sz w:val="16"/>
                <w:szCs w:val="16"/>
              </w:rPr>
            </w:pPr>
            <w:r w:rsidRPr="008C1085">
              <w:rPr>
                <w:sz w:val="16"/>
                <w:szCs w:val="16"/>
              </w:rPr>
              <w:t>Balance at 1 July 2026</w:t>
            </w:r>
          </w:p>
        </w:tc>
        <w:tc>
          <w:tcPr>
            <w:tcW w:w="803" w:type="dxa"/>
          </w:tcPr>
          <w:p w14:paraId="08C762D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61 120</w:t>
            </w:r>
          </w:p>
        </w:tc>
        <w:tc>
          <w:tcPr>
            <w:tcW w:w="1050" w:type="dxa"/>
          </w:tcPr>
          <w:p w14:paraId="64266D3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176 948</w:t>
            </w:r>
          </w:p>
        </w:tc>
        <w:tc>
          <w:tcPr>
            <w:tcW w:w="1427" w:type="dxa"/>
          </w:tcPr>
          <w:p w14:paraId="31381AB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10 214</w:t>
            </w:r>
          </w:p>
        </w:tc>
        <w:tc>
          <w:tcPr>
            <w:tcW w:w="714" w:type="dxa"/>
          </w:tcPr>
          <w:p w14:paraId="50669D0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2 380</w:t>
            </w:r>
          </w:p>
        </w:tc>
        <w:tc>
          <w:tcPr>
            <w:tcW w:w="705" w:type="dxa"/>
          </w:tcPr>
          <w:p w14:paraId="0BA1E8C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250 662</w:t>
            </w:r>
          </w:p>
        </w:tc>
      </w:tr>
      <w:tr w:rsidR="005D339F" w:rsidRPr="008C1085" w14:paraId="474A9709"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758C100B" w14:textId="77777777" w:rsidR="005D339F" w:rsidRPr="008C1085" w:rsidRDefault="005D339F" w:rsidP="008C1085">
            <w:pPr>
              <w:rPr>
                <w:sz w:val="16"/>
                <w:szCs w:val="16"/>
              </w:rPr>
            </w:pPr>
            <w:r w:rsidRPr="008C1085">
              <w:rPr>
                <w:sz w:val="16"/>
                <w:szCs w:val="16"/>
              </w:rPr>
              <w:t>Net result for the year</w:t>
            </w:r>
          </w:p>
        </w:tc>
        <w:tc>
          <w:tcPr>
            <w:tcW w:w="803" w:type="dxa"/>
          </w:tcPr>
          <w:p w14:paraId="195061D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(312)</w:t>
            </w:r>
          </w:p>
        </w:tc>
        <w:tc>
          <w:tcPr>
            <w:tcW w:w="1050" w:type="dxa"/>
          </w:tcPr>
          <w:p w14:paraId="3BC5777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21845F87"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6E51955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4ADACF2C"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(312)</w:t>
            </w:r>
          </w:p>
        </w:tc>
      </w:tr>
      <w:tr w:rsidR="005D339F" w:rsidRPr="008C1085" w14:paraId="7D2885DC"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13911C20" w14:textId="77777777" w:rsidR="005D339F" w:rsidRPr="008C1085" w:rsidRDefault="005D339F" w:rsidP="008C1085">
            <w:pPr>
              <w:rPr>
                <w:sz w:val="16"/>
                <w:szCs w:val="16"/>
              </w:rPr>
            </w:pPr>
            <w:r w:rsidRPr="008C1085">
              <w:rPr>
                <w:sz w:val="16"/>
                <w:szCs w:val="16"/>
              </w:rPr>
              <w:t>Other comprehensive income for the year</w:t>
            </w:r>
          </w:p>
        </w:tc>
        <w:tc>
          <w:tcPr>
            <w:tcW w:w="803" w:type="dxa"/>
          </w:tcPr>
          <w:p w14:paraId="40F0A1A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713</w:t>
            </w:r>
          </w:p>
        </w:tc>
        <w:tc>
          <w:tcPr>
            <w:tcW w:w="1050" w:type="dxa"/>
          </w:tcPr>
          <w:p w14:paraId="6A76A66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6 070</w:t>
            </w:r>
          </w:p>
        </w:tc>
        <w:tc>
          <w:tcPr>
            <w:tcW w:w="1427" w:type="dxa"/>
          </w:tcPr>
          <w:p w14:paraId="64DAF81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46</w:t>
            </w:r>
          </w:p>
        </w:tc>
        <w:tc>
          <w:tcPr>
            <w:tcW w:w="714" w:type="dxa"/>
          </w:tcPr>
          <w:p w14:paraId="3F6B698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(3)</w:t>
            </w:r>
          </w:p>
        </w:tc>
        <w:tc>
          <w:tcPr>
            <w:tcW w:w="705" w:type="dxa"/>
          </w:tcPr>
          <w:p w14:paraId="16BD746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6 826</w:t>
            </w:r>
          </w:p>
        </w:tc>
      </w:tr>
      <w:tr w:rsidR="005D339F" w:rsidRPr="008C1085" w14:paraId="42E0DBA4"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16A44A53" w14:textId="77777777" w:rsidR="005D339F" w:rsidRPr="008C1085" w:rsidRDefault="005D339F" w:rsidP="008C1085">
            <w:pPr>
              <w:rPr>
                <w:sz w:val="16"/>
                <w:szCs w:val="16"/>
              </w:rPr>
            </w:pPr>
            <w:r w:rsidRPr="008C1085">
              <w:rPr>
                <w:sz w:val="16"/>
                <w:szCs w:val="16"/>
              </w:rPr>
              <w:t>Transfer to/(from) accumulated surplus</w:t>
            </w:r>
          </w:p>
        </w:tc>
        <w:tc>
          <w:tcPr>
            <w:tcW w:w="803" w:type="dxa"/>
          </w:tcPr>
          <w:p w14:paraId="37C4204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050" w:type="dxa"/>
          </w:tcPr>
          <w:p w14:paraId="7A18151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08EF165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5739A80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59EF0D5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r>
      <w:tr w:rsidR="005D339F" w:rsidRPr="008C1085" w14:paraId="66DE1558"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bottom w:val="single" w:sz="6" w:space="0" w:color="auto"/>
            </w:tcBorders>
          </w:tcPr>
          <w:p w14:paraId="4756EC28" w14:textId="77777777" w:rsidR="005D339F" w:rsidRPr="008C1085" w:rsidRDefault="005D339F" w:rsidP="008C1085">
            <w:pPr>
              <w:rPr>
                <w:sz w:val="16"/>
                <w:szCs w:val="16"/>
              </w:rPr>
            </w:pPr>
            <w:r w:rsidRPr="008C1085">
              <w:rPr>
                <w:b/>
                <w:sz w:val="16"/>
                <w:szCs w:val="16"/>
              </w:rPr>
              <w:t>Total equity as at 30 June 2027</w:t>
            </w:r>
          </w:p>
        </w:tc>
        <w:tc>
          <w:tcPr>
            <w:tcW w:w="803" w:type="dxa"/>
            <w:tcBorders>
              <w:top w:val="single" w:sz="6" w:space="0" w:color="auto"/>
              <w:bottom w:val="single" w:sz="6" w:space="0" w:color="auto"/>
            </w:tcBorders>
          </w:tcPr>
          <w:p w14:paraId="6CAEA29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61 520</w:t>
            </w:r>
          </w:p>
        </w:tc>
        <w:tc>
          <w:tcPr>
            <w:tcW w:w="1050" w:type="dxa"/>
            <w:tcBorders>
              <w:top w:val="single" w:sz="6" w:space="0" w:color="auto"/>
              <w:bottom w:val="single" w:sz="6" w:space="0" w:color="auto"/>
            </w:tcBorders>
          </w:tcPr>
          <w:p w14:paraId="02A0F99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183 018</w:t>
            </w:r>
          </w:p>
        </w:tc>
        <w:tc>
          <w:tcPr>
            <w:tcW w:w="1427" w:type="dxa"/>
            <w:tcBorders>
              <w:top w:val="single" w:sz="6" w:space="0" w:color="auto"/>
              <w:bottom w:val="single" w:sz="6" w:space="0" w:color="auto"/>
            </w:tcBorders>
          </w:tcPr>
          <w:p w14:paraId="7494C5B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10 261</w:t>
            </w:r>
          </w:p>
        </w:tc>
        <w:tc>
          <w:tcPr>
            <w:tcW w:w="714" w:type="dxa"/>
            <w:tcBorders>
              <w:top w:val="single" w:sz="6" w:space="0" w:color="auto"/>
              <w:bottom w:val="single" w:sz="6" w:space="0" w:color="auto"/>
            </w:tcBorders>
          </w:tcPr>
          <w:p w14:paraId="0A70DFF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2 377</w:t>
            </w:r>
          </w:p>
        </w:tc>
        <w:tc>
          <w:tcPr>
            <w:tcW w:w="705" w:type="dxa"/>
            <w:tcBorders>
              <w:top w:val="single" w:sz="6" w:space="0" w:color="auto"/>
              <w:bottom w:val="single" w:sz="6" w:space="0" w:color="auto"/>
            </w:tcBorders>
          </w:tcPr>
          <w:p w14:paraId="274D987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257 176</w:t>
            </w:r>
          </w:p>
        </w:tc>
      </w:tr>
      <w:tr w:rsidR="005D339F" w:rsidRPr="008C1085" w14:paraId="5B6892B9"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tcBorders>
          </w:tcPr>
          <w:p w14:paraId="70E5B931" w14:textId="77777777" w:rsidR="005D339F" w:rsidRPr="008C1085" w:rsidRDefault="005D339F" w:rsidP="008C1085">
            <w:pPr>
              <w:rPr>
                <w:sz w:val="16"/>
                <w:szCs w:val="16"/>
              </w:rPr>
            </w:pPr>
            <w:r w:rsidRPr="008C1085">
              <w:rPr>
                <w:b/>
                <w:sz w:val="16"/>
                <w:szCs w:val="16"/>
              </w:rPr>
              <w:t>2027</w:t>
            </w:r>
            <w:r w:rsidRPr="008C1085">
              <w:rPr>
                <w:b/>
                <w:sz w:val="16"/>
                <w:szCs w:val="16"/>
              </w:rPr>
              <w:noBreakHyphen/>
              <w:t>28 estimate</w:t>
            </w:r>
          </w:p>
        </w:tc>
        <w:tc>
          <w:tcPr>
            <w:tcW w:w="803" w:type="dxa"/>
            <w:tcBorders>
              <w:top w:val="single" w:sz="6" w:space="0" w:color="auto"/>
            </w:tcBorders>
          </w:tcPr>
          <w:p w14:paraId="37FE800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050" w:type="dxa"/>
            <w:tcBorders>
              <w:top w:val="single" w:sz="6" w:space="0" w:color="auto"/>
            </w:tcBorders>
          </w:tcPr>
          <w:p w14:paraId="3982E78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1427" w:type="dxa"/>
            <w:tcBorders>
              <w:top w:val="single" w:sz="6" w:space="0" w:color="auto"/>
            </w:tcBorders>
          </w:tcPr>
          <w:p w14:paraId="6DFA305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14" w:type="dxa"/>
            <w:tcBorders>
              <w:top w:val="single" w:sz="6" w:space="0" w:color="auto"/>
            </w:tcBorders>
          </w:tcPr>
          <w:p w14:paraId="321C6553"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c>
          <w:tcPr>
            <w:tcW w:w="705" w:type="dxa"/>
            <w:tcBorders>
              <w:top w:val="single" w:sz="6" w:space="0" w:color="auto"/>
            </w:tcBorders>
          </w:tcPr>
          <w:p w14:paraId="0667E92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8C1085" w14:paraId="0F292A28"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55D1B253" w14:textId="77777777" w:rsidR="005D339F" w:rsidRPr="008C1085" w:rsidRDefault="005D339F" w:rsidP="008C1085">
            <w:pPr>
              <w:rPr>
                <w:sz w:val="16"/>
                <w:szCs w:val="16"/>
              </w:rPr>
            </w:pPr>
            <w:r w:rsidRPr="008C1085">
              <w:rPr>
                <w:sz w:val="16"/>
                <w:szCs w:val="16"/>
              </w:rPr>
              <w:t>Balance at 1 July 2027</w:t>
            </w:r>
          </w:p>
        </w:tc>
        <w:tc>
          <w:tcPr>
            <w:tcW w:w="803" w:type="dxa"/>
          </w:tcPr>
          <w:p w14:paraId="68B3024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61 520</w:t>
            </w:r>
          </w:p>
        </w:tc>
        <w:tc>
          <w:tcPr>
            <w:tcW w:w="1050" w:type="dxa"/>
          </w:tcPr>
          <w:p w14:paraId="366C303F"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183 018</w:t>
            </w:r>
          </w:p>
        </w:tc>
        <w:tc>
          <w:tcPr>
            <w:tcW w:w="1427" w:type="dxa"/>
          </w:tcPr>
          <w:p w14:paraId="6F83A66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10 261</w:t>
            </w:r>
          </w:p>
        </w:tc>
        <w:tc>
          <w:tcPr>
            <w:tcW w:w="714" w:type="dxa"/>
          </w:tcPr>
          <w:p w14:paraId="2894464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2 377</w:t>
            </w:r>
          </w:p>
        </w:tc>
        <w:tc>
          <w:tcPr>
            <w:tcW w:w="705" w:type="dxa"/>
          </w:tcPr>
          <w:p w14:paraId="5B59629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257 176</w:t>
            </w:r>
          </w:p>
        </w:tc>
      </w:tr>
      <w:tr w:rsidR="005D339F" w:rsidRPr="008C1085" w14:paraId="115B1C43"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39430371" w14:textId="77777777" w:rsidR="005D339F" w:rsidRPr="008C1085" w:rsidRDefault="005D339F" w:rsidP="008C1085">
            <w:pPr>
              <w:rPr>
                <w:sz w:val="16"/>
                <w:szCs w:val="16"/>
              </w:rPr>
            </w:pPr>
            <w:r w:rsidRPr="008C1085">
              <w:rPr>
                <w:sz w:val="16"/>
                <w:szCs w:val="16"/>
              </w:rPr>
              <w:t>Net result for the year</w:t>
            </w:r>
          </w:p>
        </w:tc>
        <w:tc>
          <w:tcPr>
            <w:tcW w:w="803" w:type="dxa"/>
          </w:tcPr>
          <w:p w14:paraId="5AE7E7C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240</w:t>
            </w:r>
          </w:p>
        </w:tc>
        <w:tc>
          <w:tcPr>
            <w:tcW w:w="1050" w:type="dxa"/>
          </w:tcPr>
          <w:p w14:paraId="0DB2D1E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202C1969"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56D7A058"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292F299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240</w:t>
            </w:r>
          </w:p>
        </w:tc>
      </w:tr>
      <w:tr w:rsidR="005D339F" w:rsidRPr="008C1085" w14:paraId="777BDD95"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6F57F5BA" w14:textId="77777777" w:rsidR="005D339F" w:rsidRPr="008C1085" w:rsidRDefault="005D339F" w:rsidP="008C1085">
            <w:pPr>
              <w:rPr>
                <w:sz w:val="16"/>
                <w:szCs w:val="16"/>
              </w:rPr>
            </w:pPr>
            <w:r w:rsidRPr="008C1085">
              <w:rPr>
                <w:sz w:val="16"/>
                <w:szCs w:val="16"/>
              </w:rPr>
              <w:t>Other comprehensive income for the year</w:t>
            </w:r>
          </w:p>
        </w:tc>
        <w:tc>
          <w:tcPr>
            <w:tcW w:w="803" w:type="dxa"/>
          </w:tcPr>
          <w:p w14:paraId="1C7AD40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717</w:t>
            </w:r>
          </w:p>
        </w:tc>
        <w:tc>
          <w:tcPr>
            <w:tcW w:w="1050" w:type="dxa"/>
          </w:tcPr>
          <w:p w14:paraId="2F2533AA"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9 031</w:t>
            </w:r>
          </w:p>
        </w:tc>
        <w:tc>
          <w:tcPr>
            <w:tcW w:w="1427" w:type="dxa"/>
          </w:tcPr>
          <w:p w14:paraId="413BC4CB"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114</w:t>
            </w:r>
          </w:p>
        </w:tc>
        <w:tc>
          <w:tcPr>
            <w:tcW w:w="714" w:type="dxa"/>
          </w:tcPr>
          <w:p w14:paraId="2CF976E4"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(6)</w:t>
            </w:r>
          </w:p>
        </w:tc>
        <w:tc>
          <w:tcPr>
            <w:tcW w:w="705" w:type="dxa"/>
          </w:tcPr>
          <w:p w14:paraId="7952C5D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9 856</w:t>
            </w:r>
          </w:p>
        </w:tc>
      </w:tr>
      <w:tr w:rsidR="005D339F" w:rsidRPr="008C1085" w14:paraId="4CA404DD"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Pr>
          <w:p w14:paraId="65F0844E" w14:textId="77777777" w:rsidR="005D339F" w:rsidRPr="008C1085" w:rsidRDefault="005D339F" w:rsidP="008C1085">
            <w:pPr>
              <w:rPr>
                <w:sz w:val="16"/>
                <w:szCs w:val="16"/>
              </w:rPr>
            </w:pPr>
            <w:r w:rsidRPr="008C1085">
              <w:rPr>
                <w:sz w:val="16"/>
                <w:szCs w:val="16"/>
              </w:rPr>
              <w:t>Transfer to/(from) accumulated surplus</w:t>
            </w:r>
          </w:p>
        </w:tc>
        <w:tc>
          <w:tcPr>
            <w:tcW w:w="803" w:type="dxa"/>
          </w:tcPr>
          <w:p w14:paraId="571082D2"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050" w:type="dxa"/>
          </w:tcPr>
          <w:p w14:paraId="2F778E0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1427" w:type="dxa"/>
          </w:tcPr>
          <w:p w14:paraId="188F7C6E"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14" w:type="dxa"/>
          </w:tcPr>
          <w:p w14:paraId="53A5470D"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c>
          <w:tcPr>
            <w:tcW w:w="705" w:type="dxa"/>
          </w:tcPr>
          <w:p w14:paraId="06A3955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sz w:val="16"/>
                <w:szCs w:val="16"/>
              </w:rPr>
              <w:t>..</w:t>
            </w:r>
          </w:p>
        </w:tc>
      </w:tr>
      <w:tr w:rsidR="005D339F" w:rsidRPr="008C1085" w14:paraId="68FBA80D" w14:textId="77777777" w:rsidTr="008C1085">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6" w:space="0" w:color="auto"/>
              <w:bottom w:val="single" w:sz="12" w:space="0" w:color="auto"/>
            </w:tcBorders>
          </w:tcPr>
          <w:p w14:paraId="4B5B7437" w14:textId="77777777" w:rsidR="005D339F" w:rsidRPr="008C1085" w:rsidRDefault="005D339F" w:rsidP="008C1085">
            <w:pPr>
              <w:rPr>
                <w:sz w:val="16"/>
                <w:szCs w:val="16"/>
              </w:rPr>
            </w:pPr>
            <w:r w:rsidRPr="008C1085">
              <w:rPr>
                <w:b/>
                <w:sz w:val="16"/>
                <w:szCs w:val="16"/>
              </w:rPr>
              <w:t>Total equity as at 30 June 2028</w:t>
            </w:r>
          </w:p>
        </w:tc>
        <w:tc>
          <w:tcPr>
            <w:tcW w:w="803" w:type="dxa"/>
            <w:tcBorders>
              <w:top w:val="single" w:sz="6" w:space="0" w:color="auto"/>
              <w:bottom w:val="single" w:sz="12" w:space="0" w:color="auto"/>
            </w:tcBorders>
          </w:tcPr>
          <w:p w14:paraId="0E864B55"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62 477</w:t>
            </w:r>
          </w:p>
        </w:tc>
        <w:tc>
          <w:tcPr>
            <w:tcW w:w="1050" w:type="dxa"/>
            <w:tcBorders>
              <w:top w:val="single" w:sz="6" w:space="0" w:color="auto"/>
              <w:bottom w:val="single" w:sz="12" w:space="0" w:color="auto"/>
            </w:tcBorders>
          </w:tcPr>
          <w:p w14:paraId="5104BE31"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192 049</w:t>
            </w:r>
          </w:p>
        </w:tc>
        <w:tc>
          <w:tcPr>
            <w:tcW w:w="1427" w:type="dxa"/>
            <w:tcBorders>
              <w:top w:val="single" w:sz="6" w:space="0" w:color="auto"/>
              <w:bottom w:val="single" w:sz="12" w:space="0" w:color="auto"/>
            </w:tcBorders>
          </w:tcPr>
          <w:p w14:paraId="3E012E20"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10 374</w:t>
            </w:r>
          </w:p>
        </w:tc>
        <w:tc>
          <w:tcPr>
            <w:tcW w:w="714" w:type="dxa"/>
            <w:tcBorders>
              <w:top w:val="single" w:sz="6" w:space="0" w:color="auto"/>
              <w:bottom w:val="single" w:sz="12" w:space="0" w:color="auto"/>
            </w:tcBorders>
          </w:tcPr>
          <w:p w14:paraId="4E5350AC"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2 372</w:t>
            </w:r>
          </w:p>
        </w:tc>
        <w:tc>
          <w:tcPr>
            <w:tcW w:w="705" w:type="dxa"/>
            <w:tcBorders>
              <w:top w:val="single" w:sz="6" w:space="0" w:color="auto"/>
              <w:bottom w:val="single" w:sz="12" w:space="0" w:color="auto"/>
            </w:tcBorders>
          </w:tcPr>
          <w:p w14:paraId="6D4AC886" w14:textId="77777777" w:rsidR="005D339F" w:rsidRPr="008C1085" w:rsidRDefault="005D339F" w:rsidP="008C1085">
            <w:pPr>
              <w:cnfStyle w:val="000000000000" w:firstRow="0" w:lastRow="0" w:firstColumn="0" w:lastColumn="0" w:oddVBand="0" w:evenVBand="0" w:oddHBand="0" w:evenHBand="0" w:firstRowFirstColumn="0" w:firstRowLastColumn="0" w:lastRowFirstColumn="0" w:lastRowLastColumn="0"/>
              <w:rPr>
                <w:sz w:val="16"/>
                <w:szCs w:val="16"/>
              </w:rPr>
            </w:pPr>
            <w:r w:rsidRPr="008C1085">
              <w:rPr>
                <w:b/>
                <w:sz w:val="16"/>
                <w:szCs w:val="16"/>
              </w:rPr>
              <w:t>267 272</w:t>
            </w:r>
          </w:p>
        </w:tc>
      </w:tr>
    </w:tbl>
    <w:p w14:paraId="196ADFCE" w14:textId="77777777" w:rsidR="005D339F" w:rsidRPr="00921F69" w:rsidRDefault="005D339F" w:rsidP="005D339F">
      <w:pPr>
        <w:pStyle w:val="Note"/>
        <w:ind w:left="0" w:firstLine="0"/>
      </w:pPr>
      <w:r w:rsidRPr="00921F69">
        <w:t>Note</w:t>
      </w:r>
      <w:r>
        <w:t>s</w:t>
      </w:r>
      <w:r w:rsidRPr="00921F69">
        <w:t>:</w:t>
      </w:r>
    </w:p>
    <w:p w14:paraId="34189696" w14:textId="77777777" w:rsidR="005D339F" w:rsidRDefault="005D339F" w:rsidP="005D339F">
      <w:pPr>
        <w:pStyle w:val="Note"/>
      </w:pPr>
      <w:r w:rsidRPr="00921F69">
        <w:t>(a)</w:t>
      </w:r>
      <w:r w:rsidRPr="00921F69">
        <w:tab/>
        <w:t>Balances represent actual opening balances at 1 July 20</w:t>
      </w:r>
      <w:r>
        <w:t xml:space="preserve">24 </w:t>
      </w:r>
      <w:r w:rsidRPr="00921F69">
        <w:t>plus 20</w:t>
      </w:r>
      <w:r>
        <w:t>24</w:t>
      </w:r>
      <w:r w:rsidRPr="00921F69">
        <w:t>-2</w:t>
      </w:r>
      <w:r>
        <w:t>5</w:t>
      </w:r>
      <w:r w:rsidRPr="00921F69">
        <w:t xml:space="preserve"> budgeted movements.</w:t>
      </w:r>
    </w:p>
    <w:p w14:paraId="2E55CD8A" w14:textId="77777777" w:rsidR="005D339F" w:rsidRDefault="005D339F" w:rsidP="005D339F">
      <w:pPr>
        <w:pStyle w:val="Note"/>
      </w:pPr>
      <w:r>
        <w:t>(b)</w:t>
      </w:r>
      <w:r>
        <w:tab/>
      </w:r>
      <w:r w:rsidRPr="00AE0220">
        <w:t>VicForests ceased operations on 30 June 2024 and the</w:t>
      </w:r>
      <w:r>
        <w:t xml:space="preserve"> residual assets and liabilities together with</w:t>
      </w:r>
      <w:r w:rsidRPr="00AE0220">
        <w:t xml:space="preserve"> residual responsibilities for native forest management </w:t>
      </w:r>
      <w:r>
        <w:t>were</w:t>
      </w:r>
      <w:r w:rsidRPr="00AE0220">
        <w:t xml:space="preserve"> transferred to the Department of Energy, Environment and Climate Action following proclamation of the </w:t>
      </w:r>
      <w:r w:rsidRPr="00E3714D">
        <w:rPr>
          <w:i w:val="0"/>
        </w:rPr>
        <w:t>Sustainable Forests (Timber) Repeal Act 2024</w:t>
      </w:r>
      <w:r w:rsidRPr="00AE0220">
        <w:t>, effective from 1 July 2024. This has resulted in the 1</w:t>
      </w:r>
      <w:r>
        <w:t> </w:t>
      </w:r>
      <w:r w:rsidRPr="00AE0220">
        <w:t>July 2024 opening balance not equalling the 30 June closing balance</w:t>
      </w:r>
      <w:r>
        <w:t>.</w:t>
      </w:r>
    </w:p>
    <w:p w14:paraId="2CBAE0D4" w14:textId="77777777" w:rsidR="005D339F" w:rsidRDefault="005D339F" w:rsidP="005D339F">
      <w:pPr>
        <w:pStyle w:val="Note"/>
      </w:pPr>
    </w:p>
    <w:p w14:paraId="184FF99D" w14:textId="77777777" w:rsidR="005D339F" w:rsidRDefault="005D339F" w:rsidP="005D339F"/>
    <w:p w14:paraId="4F27B248" w14:textId="77777777" w:rsidR="005D339F" w:rsidRPr="0063276E" w:rsidRDefault="005D339F" w:rsidP="005D339F">
      <w:pPr>
        <w:pStyle w:val="TableHeading"/>
      </w:pPr>
      <w:r w:rsidRPr="00921F69">
        <w:t>Table 5.10</w:t>
      </w:r>
      <w:r w:rsidRPr="00921F69">
        <w:tab/>
        <w:t>Net acquisition of non-financial assets – Non-financial public sector</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NFPS_NFA|MergedHeadingRow:1"/>
      </w:tblPr>
      <w:tblGrid>
        <w:gridCol w:w="3740"/>
        <w:gridCol w:w="794"/>
        <w:gridCol w:w="794"/>
        <w:gridCol w:w="794"/>
        <w:gridCol w:w="794"/>
        <w:gridCol w:w="794"/>
      </w:tblGrid>
      <w:tr w:rsidR="005D339F" w14:paraId="2D1EFE4F"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0EF617A" w14:textId="77777777" w:rsidR="005D339F" w:rsidRDefault="005D339F" w:rsidP="008670FF">
            <w:pPr>
              <w:keepNext/>
            </w:pPr>
          </w:p>
        </w:tc>
        <w:tc>
          <w:tcPr>
            <w:tcW w:w="794" w:type="dxa"/>
          </w:tcPr>
          <w:p w14:paraId="3A7B5FA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2A1298AA"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26776E4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ECF50D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025C61C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558762A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90EE456" w14:textId="77777777" w:rsidR="005D339F" w:rsidRDefault="005D339F" w:rsidP="008670FF">
            <w:r>
              <w:t>Purchases of non</w:t>
            </w:r>
            <w:r>
              <w:noBreakHyphen/>
              <w:t>financial assets (including change in inventories)</w:t>
            </w:r>
          </w:p>
        </w:tc>
        <w:tc>
          <w:tcPr>
            <w:tcW w:w="794" w:type="dxa"/>
          </w:tcPr>
          <w:p w14:paraId="6B5A74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25 679</w:t>
            </w:r>
          </w:p>
        </w:tc>
        <w:tc>
          <w:tcPr>
            <w:tcW w:w="794" w:type="dxa"/>
          </w:tcPr>
          <w:p w14:paraId="0829F6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25 500</w:t>
            </w:r>
          </w:p>
        </w:tc>
        <w:tc>
          <w:tcPr>
            <w:tcW w:w="794" w:type="dxa"/>
          </w:tcPr>
          <w:p w14:paraId="4CD2B7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25 063</w:t>
            </w:r>
          </w:p>
        </w:tc>
        <w:tc>
          <w:tcPr>
            <w:tcW w:w="794" w:type="dxa"/>
          </w:tcPr>
          <w:p w14:paraId="4AD7BA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22 537</w:t>
            </w:r>
          </w:p>
        </w:tc>
        <w:tc>
          <w:tcPr>
            <w:tcW w:w="794" w:type="dxa"/>
          </w:tcPr>
          <w:p w14:paraId="5126B8A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19 347</w:t>
            </w:r>
          </w:p>
        </w:tc>
      </w:tr>
      <w:tr w:rsidR="005D339F" w14:paraId="63FF524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5E11F33" w14:textId="77777777" w:rsidR="005D339F" w:rsidRDefault="005D339F" w:rsidP="008670FF">
            <w:r>
              <w:t>Less: Sales of non</w:t>
            </w:r>
            <w:r>
              <w:noBreakHyphen/>
              <w:t>financial assets</w:t>
            </w:r>
          </w:p>
        </w:tc>
        <w:tc>
          <w:tcPr>
            <w:tcW w:w="794" w:type="dxa"/>
          </w:tcPr>
          <w:p w14:paraId="6876C2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(895)</w:t>
            </w:r>
          </w:p>
        </w:tc>
        <w:tc>
          <w:tcPr>
            <w:tcW w:w="794" w:type="dxa"/>
          </w:tcPr>
          <w:p w14:paraId="2F15E2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(845)</w:t>
            </w:r>
          </w:p>
        </w:tc>
        <w:tc>
          <w:tcPr>
            <w:tcW w:w="794" w:type="dxa"/>
          </w:tcPr>
          <w:p w14:paraId="75A3CD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(1 279)</w:t>
            </w:r>
          </w:p>
        </w:tc>
        <w:tc>
          <w:tcPr>
            <w:tcW w:w="794" w:type="dxa"/>
          </w:tcPr>
          <w:p w14:paraId="281BC5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(890)</w:t>
            </w:r>
          </w:p>
        </w:tc>
        <w:tc>
          <w:tcPr>
            <w:tcW w:w="794" w:type="dxa"/>
          </w:tcPr>
          <w:p w14:paraId="4C834B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(1 156)</w:t>
            </w:r>
          </w:p>
        </w:tc>
      </w:tr>
      <w:tr w:rsidR="005D339F" w14:paraId="7ABA184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50576F1" w14:textId="77777777" w:rsidR="005D339F" w:rsidRDefault="005D339F" w:rsidP="008670FF">
            <w:r>
              <w:t>Less: Depreciation and amortisation</w:t>
            </w:r>
          </w:p>
        </w:tc>
        <w:tc>
          <w:tcPr>
            <w:tcW w:w="794" w:type="dxa"/>
          </w:tcPr>
          <w:p w14:paraId="4DB0D80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(8 700)</w:t>
            </w:r>
          </w:p>
        </w:tc>
        <w:tc>
          <w:tcPr>
            <w:tcW w:w="794" w:type="dxa"/>
          </w:tcPr>
          <w:p w14:paraId="145BCA7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(8 887)</w:t>
            </w:r>
          </w:p>
        </w:tc>
        <w:tc>
          <w:tcPr>
            <w:tcW w:w="794" w:type="dxa"/>
          </w:tcPr>
          <w:p w14:paraId="207366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(9 546)</w:t>
            </w:r>
          </w:p>
        </w:tc>
        <w:tc>
          <w:tcPr>
            <w:tcW w:w="794" w:type="dxa"/>
          </w:tcPr>
          <w:p w14:paraId="06327DA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(9 940)</w:t>
            </w:r>
          </w:p>
        </w:tc>
        <w:tc>
          <w:tcPr>
            <w:tcW w:w="794" w:type="dxa"/>
          </w:tcPr>
          <w:p w14:paraId="5A0B33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(10 125)</w:t>
            </w:r>
          </w:p>
        </w:tc>
      </w:tr>
      <w:tr w:rsidR="005D339F" w14:paraId="1D95153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043646B" w14:textId="77777777" w:rsidR="005D339F" w:rsidRDefault="005D339F" w:rsidP="008670FF">
            <w:r>
              <w:t>Plus: Other movements in non</w:t>
            </w:r>
            <w:r>
              <w:noBreakHyphen/>
              <w:t>financial assets</w:t>
            </w:r>
            <w:r>
              <w:rPr>
                <w:vertAlign w:val="superscript"/>
              </w:rPr>
              <w:t xml:space="preserve"> (a)(b)</w:t>
            </w:r>
          </w:p>
        </w:tc>
        <w:tc>
          <w:tcPr>
            <w:tcW w:w="794" w:type="dxa"/>
            <w:tcBorders>
              <w:bottom w:val="single" w:sz="6" w:space="0" w:color="auto"/>
            </w:tcBorders>
          </w:tcPr>
          <w:p w14:paraId="44702EE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3 268</w:t>
            </w:r>
          </w:p>
        </w:tc>
        <w:tc>
          <w:tcPr>
            <w:tcW w:w="794" w:type="dxa"/>
            <w:tcBorders>
              <w:bottom w:val="single" w:sz="6" w:space="0" w:color="auto"/>
            </w:tcBorders>
          </w:tcPr>
          <w:p w14:paraId="1EC4C33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4 678</w:t>
            </w:r>
          </w:p>
        </w:tc>
        <w:tc>
          <w:tcPr>
            <w:tcW w:w="794" w:type="dxa"/>
            <w:tcBorders>
              <w:bottom w:val="single" w:sz="6" w:space="0" w:color="auto"/>
            </w:tcBorders>
          </w:tcPr>
          <w:p w14:paraId="7D82DB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2 634</w:t>
            </w:r>
          </w:p>
        </w:tc>
        <w:tc>
          <w:tcPr>
            <w:tcW w:w="794" w:type="dxa"/>
            <w:tcBorders>
              <w:bottom w:val="single" w:sz="6" w:space="0" w:color="auto"/>
            </w:tcBorders>
          </w:tcPr>
          <w:p w14:paraId="201DE8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1 561</w:t>
            </w:r>
          </w:p>
        </w:tc>
        <w:tc>
          <w:tcPr>
            <w:tcW w:w="794" w:type="dxa"/>
            <w:tcBorders>
              <w:bottom w:val="single" w:sz="6" w:space="0" w:color="auto"/>
            </w:tcBorders>
          </w:tcPr>
          <w:p w14:paraId="365CB4E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1 309</w:t>
            </w:r>
          </w:p>
        </w:tc>
      </w:tr>
      <w:tr w:rsidR="005D339F" w14:paraId="0DEE2A5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B5C2FF4" w14:textId="77777777" w:rsidR="005D339F" w:rsidRDefault="005D339F" w:rsidP="008670FF">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1AA894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19 352</w:t>
            </w:r>
          </w:p>
        </w:tc>
        <w:tc>
          <w:tcPr>
            <w:tcW w:w="794" w:type="dxa"/>
            <w:tcBorders>
              <w:top w:val="single" w:sz="6" w:space="0" w:color="auto"/>
              <w:bottom w:val="single" w:sz="12" w:space="0" w:color="auto"/>
            </w:tcBorders>
          </w:tcPr>
          <w:p w14:paraId="504F61E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20 446</w:t>
            </w:r>
          </w:p>
        </w:tc>
        <w:tc>
          <w:tcPr>
            <w:tcW w:w="794" w:type="dxa"/>
            <w:tcBorders>
              <w:top w:val="single" w:sz="6" w:space="0" w:color="auto"/>
              <w:bottom w:val="single" w:sz="12" w:space="0" w:color="auto"/>
            </w:tcBorders>
          </w:tcPr>
          <w:p w14:paraId="106C0A1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16 872</w:t>
            </w:r>
          </w:p>
        </w:tc>
        <w:tc>
          <w:tcPr>
            <w:tcW w:w="794" w:type="dxa"/>
            <w:tcBorders>
              <w:top w:val="single" w:sz="6" w:space="0" w:color="auto"/>
              <w:bottom w:val="single" w:sz="12" w:space="0" w:color="auto"/>
            </w:tcBorders>
          </w:tcPr>
          <w:p w14:paraId="1BCC54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13 269</w:t>
            </w:r>
          </w:p>
        </w:tc>
        <w:tc>
          <w:tcPr>
            <w:tcW w:w="794" w:type="dxa"/>
            <w:tcBorders>
              <w:top w:val="single" w:sz="6" w:space="0" w:color="auto"/>
              <w:bottom w:val="single" w:sz="12" w:space="0" w:color="auto"/>
            </w:tcBorders>
          </w:tcPr>
          <w:p w14:paraId="08DFD4A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9 375</w:t>
            </w:r>
          </w:p>
        </w:tc>
      </w:tr>
    </w:tbl>
    <w:p w14:paraId="04DB285F" w14:textId="77777777" w:rsidR="005D339F" w:rsidRDefault="005D339F" w:rsidP="005D339F">
      <w:pPr>
        <w:pStyle w:val="Note"/>
      </w:pPr>
      <w:r>
        <w:t>Notes:</w:t>
      </w:r>
    </w:p>
    <w:p w14:paraId="66A8730A" w14:textId="77777777" w:rsidR="005D339F" w:rsidRDefault="005D339F" w:rsidP="005D339F">
      <w:pPr>
        <w:pStyle w:val="Note"/>
      </w:pPr>
      <w:r w:rsidRPr="00714B66">
        <w:t>(a)</w:t>
      </w:r>
      <w:r w:rsidRPr="00714B66">
        <w:tab/>
        <w:t>The other movements in non-financial assets includes recognising right</w:t>
      </w:r>
      <w:r>
        <w:t>-</w:t>
      </w:r>
      <w:r w:rsidRPr="00714B66">
        <w:t>of</w:t>
      </w:r>
      <w:r>
        <w:t>-</w:t>
      </w:r>
      <w:r w:rsidRPr="00714B66">
        <w:t xml:space="preserve">use assets under lease arrangements, and recognising service concession arrangements </w:t>
      </w:r>
      <w:r>
        <w:t>arising</w:t>
      </w:r>
      <w:r w:rsidRPr="00714B66">
        <w:t xml:space="preserve"> from </w:t>
      </w:r>
      <w:r>
        <w:t>p</w:t>
      </w:r>
      <w:r w:rsidRPr="00714B66">
        <w:t xml:space="preserve">ublic </w:t>
      </w:r>
      <w:r>
        <w:t>p</w:t>
      </w:r>
      <w:r w:rsidRPr="00714B66">
        <w:t xml:space="preserve">rivate </w:t>
      </w:r>
      <w:r>
        <w:t>p</w:t>
      </w:r>
      <w:r w:rsidRPr="00714B66">
        <w:t xml:space="preserve">artnerships. </w:t>
      </w:r>
    </w:p>
    <w:p w14:paraId="594C3EBC" w14:textId="0213527A" w:rsidR="005D339F" w:rsidRDefault="005D339F" w:rsidP="008C1085">
      <w:pPr>
        <w:pStyle w:val="Note"/>
      </w:pPr>
      <w:r w:rsidRPr="00AF126C">
        <w:t>(b)</w:t>
      </w:r>
      <w:r w:rsidRPr="00AF126C">
        <w:tab/>
        <w:t>The public private partnerships across the budget and forward estimates relate to the Frankston Hospital Redevelopment, the</w:t>
      </w:r>
      <w:r w:rsidR="008C1085">
        <w:t xml:space="preserve"> </w:t>
      </w:r>
      <w:r w:rsidRPr="00AF126C">
        <w:t xml:space="preserve">High Capacity Metro Trains, the Homes Victoria Ground Lease Model Project </w:t>
      </w:r>
      <w:r w:rsidRPr="005E2D67">
        <w:t>2, the Metro Tunnel, the new Footscray Hospital, the</w:t>
      </w:r>
      <w:r w:rsidR="008C1085">
        <w:t> </w:t>
      </w:r>
      <w:r w:rsidRPr="005E2D67">
        <w:t xml:space="preserve">new Melton Hospital, the North East Link – Primary Package (Tunnels), </w:t>
      </w:r>
      <w:r w:rsidRPr="00AF126C">
        <w:t>the Nyaal Banyul Geelong Convention and Event Centre</w:t>
      </w:r>
      <w:r>
        <w:t xml:space="preserve">, </w:t>
      </w:r>
      <w:r w:rsidRPr="005E2D67">
        <w:t>and the West Gate Tunnel.</w:t>
      </w:r>
    </w:p>
    <w:p w14:paraId="5D0F8E28" w14:textId="77777777" w:rsidR="005D339F" w:rsidRDefault="005D339F" w:rsidP="005D339F"/>
    <w:p w14:paraId="38CD88E5" w14:textId="77777777" w:rsidR="005D339F" w:rsidRDefault="005D339F" w:rsidP="005D339F">
      <w:pPr>
        <w:rPr>
          <w:rFonts w:asciiTheme="majorHAnsi" w:hAnsiTheme="majorHAnsi" w:cstheme="minorBidi"/>
          <w:b/>
          <w:sz w:val="20"/>
          <w:szCs w:val="18"/>
        </w:rPr>
      </w:pPr>
      <w:r>
        <w:br w:type="page"/>
      </w:r>
    </w:p>
    <w:p w14:paraId="40099667" w14:textId="77777777" w:rsidR="005D339F" w:rsidRPr="0063276E" w:rsidRDefault="005D339F" w:rsidP="005D339F">
      <w:pPr>
        <w:pStyle w:val="TableHeading"/>
      </w:pPr>
      <w:r w:rsidRPr="00921F69">
        <w:t>Table 5.11</w:t>
      </w:r>
      <w:r w:rsidRPr="00921F69">
        <w:tab/>
        <w:t xml:space="preserve">Public financial corporations sector comprehensive operating statement </w:t>
      </w:r>
      <w:r w:rsidRPr="00921F69">
        <w:br/>
        <w:t>for the financial year ended 30 June</w:t>
      </w:r>
      <w:r>
        <w:t xml:space="preserve"> </w:t>
      </w:r>
      <w:r w:rsidRPr="007E598B">
        <w:rPr>
          <w:vertAlign w:val="superscript"/>
        </w:rPr>
        <w:t>(a)</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FC_OS|MergedHeadingRow:1"/>
      </w:tblPr>
      <w:tblGrid>
        <w:gridCol w:w="3740"/>
        <w:gridCol w:w="794"/>
        <w:gridCol w:w="794"/>
        <w:gridCol w:w="794"/>
        <w:gridCol w:w="794"/>
        <w:gridCol w:w="794"/>
      </w:tblGrid>
      <w:tr w:rsidR="005D339F" w14:paraId="10266ACF"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4ADBC5C2" w14:textId="77777777" w:rsidR="005D339F" w:rsidRDefault="005D339F" w:rsidP="008670FF">
            <w:pPr>
              <w:keepNext/>
            </w:pPr>
          </w:p>
        </w:tc>
        <w:tc>
          <w:tcPr>
            <w:tcW w:w="794" w:type="dxa"/>
          </w:tcPr>
          <w:p w14:paraId="6C3E833C"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353D73E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11936BE9"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5F9F961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084D14D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54C6CF2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CDC38BA" w14:textId="77777777" w:rsidR="005D339F" w:rsidRDefault="005D339F" w:rsidP="008670FF">
            <w:r>
              <w:rPr>
                <w:b/>
              </w:rPr>
              <w:t>Revenue and income from transactions</w:t>
            </w:r>
          </w:p>
        </w:tc>
        <w:tc>
          <w:tcPr>
            <w:tcW w:w="794" w:type="dxa"/>
          </w:tcPr>
          <w:p w14:paraId="177913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AFC968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72863B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385F15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48887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47D0BA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A04D098" w14:textId="77777777" w:rsidR="005D339F" w:rsidRDefault="005D339F" w:rsidP="008670FF">
            <w:r>
              <w:t>Interest income</w:t>
            </w:r>
          </w:p>
        </w:tc>
        <w:tc>
          <w:tcPr>
            <w:tcW w:w="794" w:type="dxa"/>
          </w:tcPr>
          <w:p w14:paraId="55C34C7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6 630</w:t>
            </w:r>
          </w:p>
        </w:tc>
        <w:tc>
          <w:tcPr>
            <w:tcW w:w="794" w:type="dxa"/>
          </w:tcPr>
          <w:p w14:paraId="4059EE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6 890</w:t>
            </w:r>
          </w:p>
        </w:tc>
        <w:tc>
          <w:tcPr>
            <w:tcW w:w="794" w:type="dxa"/>
          </w:tcPr>
          <w:p w14:paraId="552A88A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7 794</w:t>
            </w:r>
          </w:p>
        </w:tc>
        <w:tc>
          <w:tcPr>
            <w:tcW w:w="794" w:type="dxa"/>
          </w:tcPr>
          <w:p w14:paraId="5BC8931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8 973</w:t>
            </w:r>
          </w:p>
        </w:tc>
        <w:tc>
          <w:tcPr>
            <w:tcW w:w="794" w:type="dxa"/>
          </w:tcPr>
          <w:p w14:paraId="38C04D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10 191</w:t>
            </w:r>
          </w:p>
        </w:tc>
      </w:tr>
      <w:tr w:rsidR="005D339F" w14:paraId="55E8110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C34BB3F" w14:textId="77777777" w:rsidR="005D339F" w:rsidRDefault="005D339F" w:rsidP="008670FF">
            <w:r>
              <w:t>Dividend income</w:t>
            </w:r>
          </w:p>
        </w:tc>
        <w:tc>
          <w:tcPr>
            <w:tcW w:w="794" w:type="dxa"/>
          </w:tcPr>
          <w:p w14:paraId="5E000E7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2 113</w:t>
            </w:r>
          </w:p>
        </w:tc>
        <w:tc>
          <w:tcPr>
            <w:tcW w:w="794" w:type="dxa"/>
          </w:tcPr>
          <w:p w14:paraId="4338D0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2 670</w:t>
            </w:r>
          </w:p>
        </w:tc>
        <w:tc>
          <w:tcPr>
            <w:tcW w:w="794" w:type="dxa"/>
          </w:tcPr>
          <w:p w14:paraId="75B186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2 902</w:t>
            </w:r>
          </w:p>
        </w:tc>
        <w:tc>
          <w:tcPr>
            <w:tcW w:w="794" w:type="dxa"/>
          </w:tcPr>
          <w:p w14:paraId="3694E73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3 113</w:t>
            </w:r>
          </w:p>
        </w:tc>
        <w:tc>
          <w:tcPr>
            <w:tcW w:w="794" w:type="dxa"/>
          </w:tcPr>
          <w:p w14:paraId="0977D9B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3 216</w:t>
            </w:r>
          </w:p>
        </w:tc>
      </w:tr>
      <w:tr w:rsidR="005D339F" w14:paraId="0292029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2E31C2E" w14:textId="77777777" w:rsidR="005D339F" w:rsidRDefault="005D339F" w:rsidP="008670FF">
            <w:r>
              <w:t>Sales of goods and services</w:t>
            </w:r>
          </w:p>
        </w:tc>
        <w:tc>
          <w:tcPr>
            <w:tcW w:w="794" w:type="dxa"/>
          </w:tcPr>
          <w:p w14:paraId="1DBCDF3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8 574</w:t>
            </w:r>
          </w:p>
        </w:tc>
        <w:tc>
          <w:tcPr>
            <w:tcW w:w="794" w:type="dxa"/>
          </w:tcPr>
          <w:p w14:paraId="71CCE8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8 596</w:t>
            </w:r>
          </w:p>
        </w:tc>
        <w:tc>
          <w:tcPr>
            <w:tcW w:w="794" w:type="dxa"/>
          </w:tcPr>
          <w:p w14:paraId="5CFD59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9 182</w:t>
            </w:r>
          </w:p>
        </w:tc>
        <w:tc>
          <w:tcPr>
            <w:tcW w:w="794" w:type="dxa"/>
          </w:tcPr>
          <w:p w14:paraId="7E4FA9E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9 759</w:t>
            </w:r>
          </w:p>
        </w:tc>
        <w:tc>
          <w:tcPr>
            <w:tcW w:w="794" w:type="dxa"/>
          </w:tcPr>
          <w:p w14:paraId="51353D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10 335</w:t>
            </w:r>
          </w:p>
        </w:tc>
      </w:tr>
      <w:tr w:rsidR="005D339F" w14:paraId="5FF6015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67A88D7" w14:textId="77777777" w:rsidR="005D339F" w:rsidRDefault="005D339F" w:rsidP="008670FF">
            <w:r>
              <w:t>Grants</w:t>
            </w:r>
          </w:p>
        </w:tc>
        <w:tc>
          <w:tcPr>
            <w:tcW w:w="794" w:type="dxa"/>
          </w:tcPr>
          <w:p w14:paraId="15E071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5E5FF0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w:t>
            </w:r>
          </w:p>
        </w:tc>
        <w:tc>
          <w:tcPr>
            <w:tcW w:w="794" w:type="dxa"/>
          </w:tcPr>
          <w:p w14:paraId="21A79F1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w:t>
            </w:r>
          </w:p>
        </w:tc>
        <w:tc>
          <w:tcPr>
            <w:tcW w:w="794" w:type="dxa"/>
          </w:tcPr>
          <w:p w14:paraId="368EB1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w:t>
            </w:r>
          </w:p>
        </w:tc>
        <w:tc>
          <w:tcPr>
            <w:tcW w:w="794" w:type="dxa"/>
          </w:tcPr>
          <w:p w14:paraId="1B4923F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34</w:t>
            </w:r>
          </w:p>
        </w:tc>
      </w:tr>
      <w:tr w:rsidR="005D339F" w14:paraId="70780F1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7B9F3AED" w14:textId="77777777" w:rsidR="005D339F" w:rsidRDefault="005D339F" w:rsidP="008670FF">
            <w:r>
              <w:t>Other revenue and income</w:t>
            </w:r>
          </w:p>
        </w:tc>
        <w:tc>
          <w:tcPr>
            <w:tcW w:w="794" w:type="dxa"/>
            <w:tcBorders>
              <w:bottom w:val="single" w:sz="6" w:space="0" w:color="auto"/>
            </w:tcBorders>
          </w:tcPr>
          <w:p w14:paraId="26A496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w:t>
            </w:r>
          </w:p>
        </w:tc>
        <w:tc>
          <w:tcPr>
            <w:tcW w:w="794" w:type="dxa"/>
            <w:tcBorders>
              <w:bottom w:val="single" w:sz="6" w:space="0" w:color="auto"/>
            </w:tcBorders>
          </w:tcPr>
          <w:p w14:paraId="133818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w:t>
            </w:r>
          </w:p>
        </w:tc>
        <w:tc>
          <w:tcPr>
            <w:tcW w:w="794" w:type="dxa"/>
            <w:tcBorders>
              <w:bottom w:val="single" w:sz="6" w:space="0" w:color="auto"/>
            </w:tcBorders>
          </w:tcPr>
          <w:p w14:paraId="6A21C38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2C579E3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385D5A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31</w:t>
            </w:r>
          </w:p>
        </w:tc>
      </w:tr>
      <w:tr w:rsidR="005D339F" w14:paraId="2E44AD8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8E80999" w14:textId="77777777" w:rsidR="005D339F" w:rsidRDefault="005D339F" w:rsidP="008670FF">
            <w:r>
              <w:rPr>
                <w:b/>
              </w:rPr>
              <w:t>Total revenue and income from transactions</w:t>
            </w:r>
          </w:p>
        </w:tc>
        <w:tc>
          <w:tcPr>
            <w:tcW w:w="794" w:type="dxa"/>
            <w:tcBorders>
              <w:top w:val="single" w:sz="6" w:space="0" w:color="auto"/>
            </w:tcBorders>
          </w:tcPr>
          <w:p w14:paraId="08C5126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17 347</w:t>
            </w:r>
          </w:p>
        </w:tc>
        <w:tc>
          <w:tcPr>
            <w:tcW w:w="794" w:type="dxa"/>
            <w:tcBorders>
              <w:top w:val="single" w:sz="6" w:space="0" w:color="auto"/>
            </w:tcBorders>
          </w:tcPr>
          <w:p w14:paraId="0B6052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18 191</w:t>
            </w:r>
          </w:p>
        </w:tc>
        <w:tc>
          <w:tcPr>
            <w:tcW w:w="794" w:type="dxa"/>
            <w:tcBorders>
              <w:top w:val="single" w:sz="6" w:space="0" w:color="auto"/>
            </w:tcBorders>
          </w:tcPr>
          <w:p w14:paraId="094C20E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19 916</w:t>
            </w:r>
          </w:p>
        </w:tc>
        <w:tc>
          <w:tcPr>
            <w:tcW w:w="794" w:type="dxa"/>
            <w:tcBorders>
              <w:top w:val="single" w:sz="6" w:space="0" w:color="auto"/>
            </w:tcBorders>
          </w:tcPr>
          <w:p w14:paraId="4897E9E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21 887</w:t>
            </w:r>
          </w:p>
        </w:tc>
        <w:tc>
          <w:tcPr>
            <w:tcW w:w="794" w:type="dxa"/>
            <w:tcBorders>
              <w:top w:val="single" w:sz="6" w:space="0" w:color="auto"/>
            </w:tcBorders>
          </w:tcPr>
          <w:p w14:paraId="06F634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23 807</w:t>
            </w:r>
          </w:p>
        </w:tc>
      </w:tr>
      <w:tr w:rsidR="005D339F" w14:paraId="462D8FE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BC10B27" w14:textId="77777777" w:rsidR="005D339F" w:rsidRDefault="005D339F" w:rsidP="008670FF">
            <w:r>
              <w:rPr>
                <w:b/>
              </w:rPr>
              <w:t>Expenses from transactions</w:t>
            </w:r>
          </w:p>
        </w:tc>
        <w:tc>
          <w:tcPr>
            <w:tcW w:w="794" w:type="dxa"/>
          </w:tcPr>
          <w:p w14:paraId="57D5901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70684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0096B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46BB7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3704C5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10BED4B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CF76DA2" w14:textId="77777777" w:rsidR="005D339F" w:rsidRDefault="005D339F" w:rsidP="008670FF">
            <w:r>
              <w:t>Employee expenses</w:t>
            </w:r>
          </w:p>
        </w:tc>
        <w:tc>
          <w:tcPr>
            <w:tcW w:w="794" w:type="dxa"/>
          </w:tcPr>
          <w:p w14:paraId="1B35C7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544</w:t>
            </w:r>
          </w:p>
        </w:tc>
        <w:tc>
          <w:tcPr>
            <w:tcW w:w="794" w:type="dxa"/>
          </w:tcPr>
          <w:p w14:paraId="792CB5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556</w:t>
            </w:r>
          </w:p>
        </w:tc>
        <w:tc>
          <w:tcPr>
            <w:tcW w:w="794" w:type="dxa"/>
          </w:tcPr>
          <w:p w14:paraId="43394D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576</w:t>
            </w:r>
          </w:p>
        </w:tc>
        <w:tc>
          <w:tcPr>
            <w:tcW w:w="794" w:type="dxa"/>
          </w:tcPr>
          <w:p w14:paraId="0870290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595</w:t>
            </w:r>
          </w:p>
        </w:tc>
        <w:tc>
          <w:tcPr>
            <w:tcW w:w="794" w:type="dxa"/>
          </w:tcPr>
          <w:p w14:paraId="51E31C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603</w:t>
            </w:r>
          </w:p>
        </w:tc>
      </w:tr>
      <w:tr w:rsidR="005D339F" w14:paraId="7A2F36B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3F3E6D9" w14:textId="77777777" w:rsidR="005D339F" w:rsidRDefault="005D339F" w:rsidP="008670FF">
            <w:r>
              <w:t>Other superannuation</w:t>
            </w:r>
          </w:p>
        </w:tc>
        <w:tc>
          <w:tcPr>
            <w:tcW w:w="794" w:type="dxa"/>
          </w:tcPr>
          <w:p w14:paraId="3EEBCF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56</w:t>
            </w:r>
          </w:p>
        </w:tc>
        <w:tc>
          <w:tcPr>
            <w:tcW w:w="794" w:type="dxa"/>
          </w:tcPr>
          <w:p w14:paraId="777C86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57</w:t>
            </w:r>
          </w:p>
        </w:tc>
        <w:tc>
          <w:tcPr>
            <w:tcW w:w="794" w:type="dxa"/>
          </w:tcPr>
          <w:p w14:paraId="7F4E36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w:t>
            </w:r>
          </w:p>
        </w:tc>
        <w:tc>
          <w:tcPr>
            <w:tcW w:w="794" w:type="dxa"/>
          </w:tcPr>
          <w:p w14:paraId="76986B8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62</w:t>
            </w:r>
          </w:p>
        </w:tc>
        <w:tc>
          <w:tcPr>
            <w:tcW w:w="794" w:type="dxa"/>
          </w:tcPr>
          <w:p w14:paraId="5062D26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63</w:t>
            </w:r>
          </w:p>
        </w:tc>
      </w:tr>
      <w:tr w:rsidR="005D339F" w14:paraId="330BACF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0544277" w14:textId="77777777" w:rsidR="005D339F" w:rsidRDefault="005D339F" w:rsidP="008670FF">
            <w:r>
              <w:t>Depreciation</w:t>
            </w:r>
          </w:p>
        </w:tc>
        <w:tc>
          <w:tcPr>
            <w:tcW w:w="794" w:type="dxa"/>
          </w:tcPr>
          <w:p w14:paraId="3B86731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2FFB46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55C5D31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77</w:t>
            </w:r>
          </w:p>
        </w:tc>
        <w:tc>
          <w:tcPr>
            <w:tcW w:w="794" w:type="dxa"/>
          </w:tcPr>
          <w:p w14:paraId="2140EE2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52FC45B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64</w:t>
            </w:r>
          </w:p>
        </w:tc>
      </w:tr>
      <w:tr w:rsidR="005D339F" w14:paraId="77CDB83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1F742A4" w14:textId="77777777" w:rsidR="005D339F" w:rsidRDefault="005D339F" w:rsidP="008670FF">
            <w:r>
              <w:t>Interest expense</w:t>
            </w:r>
          </w:p>
        </w:tc>
        <w:tc>
          <w:tcPr>
            <w:tcW w:w="794" w:type="dxa"/>
          </w:tcPr>
          <w:p w14:paraId="65C46F4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6 295</w:t>
            </w:r>
          </w:p>
        </w:tc>
        <w:tc>
          <w:tcPr>
            <w:tcW w:w="794" w:type="dxa"/>
          </w:tcPr>
          <w:p w14:paraId="3BEE17F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6 503</w:t>
            </w:r>
          </w:p>
        </w:tc>
        <w:tc>
          <w:tcPr>
            <w:tcW w:w="794" w:type="dxa"/>
          </w:tcPr>
          <w:p w14:paraId="381A2D6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7 367</w:t>
            </w:r>
          </w:p>
        </w:tc>
        <w:tc>
          <w:tcPr>
            <w:tcW w:w="794" w:type="dxa"/>
          </w:tcPr>
          <w:p w14:paraId="5F4CBD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8 534</w:t>
            </w:r>
          </w:p>
        </w:tc>
        <w:tc>
          <w:tcPr>
            <w:tcW w:w="794" w:type="dxa"/>
          </w:tcPr>
          <w:p w14:paraId="1E211FC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9 734</w:t>
            </w:r>
          </w:p>
        </w:tc>
      </w:tr>
      <w:tr w:rsidR="005D339F" w14:paraId="7E496D0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A21E1EA" w14:textId="77777777" w:rsidR="005D339F" w:rsidRDefault="005D339F" w:rsidP="008670FF">
            <w:r>
              <w:t>Grant expense</w:t>
            </w:r>
          </w:p>
        </w:tc>
        <w:tc>
          <w:tcPr>
            <w:tcW w:w="794" w:type="dxa"/>
          </w:tcPr>
          <w:p w14:paraId="70E49B4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669</w:t>
            </w:r>
          </w:p>
        </w:tc>
        <w:tc>
          <w:tcPr>
            <w:tcW w:w="794" w:type="dxa"/>
          </w:tcPr>
          <w:p w14:paraId="0D25173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650</w:t>
            </w:r>
          </w:p>
        </w:tc>
        <w:tc>
          <w:tcPr>
            <w:tcW w:w="794" w:type="dxa"/>
          </w:tcPr>
          <w:p w14:paraId="62F90D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1 229</w:t>
            </w:r>
          </w:p>
        </w:tc>
        <w:tc>
          <w:tcPr>
            <w:tcW w:w="794" w:type="dxa"/>
          </w:tcPr>
          <w:p w14:paraId="079228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331</w:t>
            </w:r>
          </w:p>
        </w:tc>
        <w:tc>
          <w:tcPr>
            <w:tcW w:w="794" w:type="dxa"/>
          </w:tcPr>
          <w:p w14:paraId="0D2923A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1 519</w:t>
            </w:r>
          </w:p>
        </w:tc>
      </w:tr>
      <w:tr w:rsidR="005D339F" w14:paraId="75B2466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1E85139" w14:textId="77777777" w:rsidR="005D339F" w:rsidRDefault="005D339F" w:rsidP="008670FF">
            <w:r>
              <w:t>Other operating expenses</w:t>
            </w:r>
          </w:p>
        </w:tc>
        <w:tc>
          <w:tcPr>
            <w:tcW w:w="794" w:type="dxa"/>
          </w:tcPr>
          <w:p w14:paraId="2880F40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13 447</w:t>
            </w:r>
          </w:p>
        </w:tc>
        <w:tc>
          <w:tcPr>
            <w:tcW w:w="794" w:type="dxa"/>
          </w:tcPr>
          <w:p w14:paraId="761DFE0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12 274</w:t>
            </w:r>
          </w:p>
        </w:tc>
        <w:tc>
          <w:tcPr>
            <w:tcW w:w="794" w:type="dxa"/>
          </w:tcPr>
          <w:p w14:paraId="77A7B5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13 348</w:t>
            </w:r>
          </w:p>
        </w:tc>
        <w:tc>
          <w:tcPr>
            <w:tcW w:w="794" w:type="dxa"/>
          </w:tcPr>
          <w:p w14:paraId="77EAD0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14 377</w:t>
            </w:r>
          </w:p>
        </w:tc>
        <w:tc>
          <w:tcPr>
            <w:tcW w:w="794" w:type="dxa"/>
          </w:tcPr>
          <w:p w14:paraId="065493A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15 305</w:t>
            </w:r>
          </w:p>
        </w:tc>
      </w:tr>
      <w:tr w:rsidR="005D339F" w14:paraId="3CBB3B3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3441FEE" w14:textId="77777777" w:rsidR="005D339F" w:rsidRDefault="005D339F" w:rsidP="008670FF">
            <w:r>
              <w:t>Other property expenses</w:t>
            </w:r>
          </w:p>
        </w:tc>
        <w:tc>
          <w:tcPr>
            <w:tcW w:w="794" w:type="dxa"/>
            <w:tcBorders>
              <w:bottom w:val="single" w:sz="6" w:space="0" w:color="auto"/>
            </w:tcBorders>
          </w:tcPr>
          <w:p w14:paraId="7789DBF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w:t>
            </w:r>
          </w:p>
        </w:tc>
        <w:tc>
          <w:tcPr>
            <w:tcW w:w="794" w:type="dxa"/>
            <w:tcBorders>
              <w:bottom w:val="single" w:sz="6" w:space="0" w:color="auto"/>
            </w:tcBorders>
          </w:tcPr>
          <w:p w14:paraId="7EC902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w:t>
            </w:r>
          </w:p>
        </w:tc>
        <w:tc>
          <w:tcPr>
            <w:tcW w:w="794" w:type="dxa"/>
            <w:tcBorders>
              <w:bottom w:val="single" w:sz="6" w:space="0" w:color="auto"/>
            </w:tcBorders>
          </w:tcPr>
          <w:p w14:paraId="00830B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Borders>
              <w:bottom w:val="single" w:sz="6" w:space="0" w:color="auto"/>
            </w:tcBorders>
          </w:tcPr>
          <w:p w14:paraId="3E557FE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w:t>
            </w:r>
          </w:p>
        </w:tc>
        <w:tc>
          <w:tcPr>
            <w:tcW w:w="794" w:type="dxa"/>
            <w:tcBorders>
              <w:bottom w:val="single" w:sz="6" w:space="0" w:color="auto"/>
            </w:tcBorders>
          </w:tcPr>
          <w:p w14:paraId="7117E5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33</w:t>
            </w:r>
          </w:p>
        </w:tc>
      </w:tr>
      <w:tr w:rsidR="005D339F" w14:paraId="345684F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5DC04B2" w14:textId="77777777" w:rsidR="005D339F" w:rsidRDefault="005D339F" w:rsidP="008670FF">
            <w:r>
              <w:rPr>
                <w:b/>
              </w:rPr>
              <w:t>Total expenses from transactions</w:t>
            </w:r>
          </w:p>
        </w:tc>
        <w:tc>
          <w:tcPr>
            <w:tcW w:w="794" w:type="dxa"/>
            <w:tcBorders>
              <w:top w:val="single" w:sz="6" w:space="0" w:color="auto"/>
              <w:bottom w:val="single" w:sz="6" w:space="0" w:color="auto"/>
            </w:tcBorders>
          </w:tcPr>
          <w:p w14:paraId="14AD1E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21 100</w:t>
            </w:r>
          </w:p>
        </w:tc>
        <w:tc>
          <w:tcPr>
            <w:tcW w:w="794" w:type="dxa"/>
            <w:tcBorders>
              <w:top w:val="single" w:sz="6" w:space="0" w:color="auto"/>
              <w:bottom w:val="single" w:sz="6" w:space="0" w:color="auto"/>
            </w:tcBorders>
          </w:tcPr>
          <w:p w14:paraId="507F5A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20 129</w:t>
            </w:r>
          </w:p>
        </w:tc>
        <w:tc>
          <w:tcPr>
            <w:tcW w:w="794" w:type="dxa"/>
            <w:tcBorders>
              <w:top w:val="single" w:sz="6" w:space="0" w:color="auto"/>
              <w:bottom w:val="single" w:sz="6" w:space="0" w:color="auto"/>
            </w:tcBorders>
          </w:tcPr>
          <w:p w14:paraId="40B502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22 661</w:t>
            </w:r>
          </w:p>
        </w:tc>
        <w:tc>
          <w:tcPr>
            <w:tcW w:w="794" w:type="dxa"/>
            <w:tcBorders>
              <w:top w:val="single" w:sz="6" w:space="0" w:color="auto"/>
              <w:bottom w:val="single" w:sz="6" w:space="0" w:color="auto"/>
            </w:tcBorders>
          </w:tcPr>
          <w:p w14:paraId="7B1E0D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23 972</w:t>
            </w:r>
          </w:p>
        </w:tc>
        <w:tc>
          <w:tcPr>
            <w:tcW w:w="794" w:type="dxa"/>
            <w:tcBorders>
              <w:top w:val="single" w:sz="6" w:space="0" w:color="auto"/>
              <w:bottom w:val="single" w:sz="6" w:space="0" w:color="auto"/>
            </w:tcBorders>
          </w:tcPr>
          <w:p w14:paraId="4B05B0A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27 321</w:t>
            </w:r>
          </w:p>
        </w:tc>
      </w:tr>
      <w:tr w:rsidR="005D339F" w14:paraId="7E9BAB2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6385F42" w14:textId="0643F3DA" w:rsidR="005D339F" w:rsidRDefault="005D339F" w:rsidP="008670FF">
            <w:r>
              <w:rPr>
                <w:b/>
              </w:rPr>
              <w:t xml:space="preserve">Net result from transactions – </w:t>
            </w:r>
            <w:r w:rsidR="008C1085">
              <w:rPr>
                <w:b/>
              </w:rPr>
              <w:br/>
              <w:t xml:space="preserve">Net </w:t>
            </w:r>
            <w:r>
              <w:rPr>
                <w:b/>
              </w:rPr>
              <w:t>operating balance</w:t>
            </w:r>
            <w:r>
              <w:rPr>
                <w:b/>
                <w:vertAlign w:val="superscript"/>
              </w:rPr>
              <w:t xml:space="preserve"> (b)</w:t>
            </w:r>
          </w:p>
        </w:tc>
        <w:tc>
          <w:tcPr>
            <w:tcW w:w="794" w:type="dxa"/>
            <w:tcBorders>
              <w:top w:val="single" w:sz="6" w:space="0" w:color="auto"/>
              <w:bottom w:val="single" w:sz="12" w:space="0" w:color="auto"/>
            </w:tcBorders>
          </w:tcPr>
          <w:p w14:paraId="6BAB4B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(3 753)</w:t>
            </w:r>
          </w:p>
        </w:tc>
        <w:tc>
          <w:tcPr>
            <w:tcW w:w="794" w:type="dxa"/>
            <w:tcBorders>
              <w:top w:val="single" w:sz="6" w:space="0" w:color="auto"/>
              <w:bottom w:val="single" w:sz="12" w:space="0" w:color="auto"/>
            </w:tcBorders>
          </w:tcPr>
          <w:p w14:paraId="256F11D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(1 939)</w:t>
            </w:r>
          </w:p>
        </w:tc>
        <w:tc>
          <w:tcPr>
            <w:tcW w:w="794" w:type="dxa"/>
            <w:tcBorders>
              <w:top w:val="single" w:sz="6" w:space="0" w:color="auto"/>
              <w:bottom w:val="single" w:sz="12" w:space="0" w:color="auto"/>
            </w:tcBorders>
          </w:tcPr>
          <w:p w14:paraId="310BB2D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(2 745)</w:t>
            </w:r>
          </w:p>
        </w:tc>
        <w:tc>
          <w:tcPr>
            <w:tcW w:w="794" w:type="dxa"/>
            <w:tcBorders>
              <w:top w:val="single" w:sz="6" w:space="0" w:color="auto"/>
              <w:bottom w:val="single" w:sz="12" w:space="0" w:color="auto"/>
            </w:tcBorders>
          </w:tcPr>
          <w:p w14:paraId="28D84D6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(2 085)</w:t>
            </w:r>
          </w:p>
        </w:tc>
        <w:tc>
          <w:tcPr>
            <w:tcW w:w="794" w:type="dxa"/>
            <w:tcBorders>
              <w:top w:val="single" w:sz="6" w:space="0" w:color="auto"/>
              <w:bottom w:val="single" w:sz="12" w:space="0" w:color="auto"/>
            </w:tcBorders>
          </w:tcPr>
          <w:p w14:paraId="0D1F235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(3 514)</w:t>
            </w:r>
          </w:p>
        </w:tc>
      </w:tr>
      <w:tr w:rsidR="005D339F" w14:paraId="676AEB8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501DC3F" w14:textId="77777777" w:rsidR="005D339F" w:rsidRDefault="005D339F" w:rsidP="008670FF">
            <w:r>
              <w:rPr>
                <w:b/>
              </w:rPr>
              <w:t>Other economic flows included in net result</w:t>
            </w:r>
          </w:p>
        </w:tc>
        <w:tc>
          <w:tcPr>
            <w:tcW w:w="794" w:type="dxa"/>
            <w:tcBorders>
              <w:top w:val="single" w:sz="6" w:space="0" w:color="auto"/>
            </w:tcBorders>
          </w:tcPr>
          <w:p w14:paraId="236B38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3530CE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42348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8B240E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96FF7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04D3F0E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BDA0332" w14:textId="77777777" w:rsidR="005D339F" w:rsidRDefault="005D339F" w:rsidP="008670FF">
            <w:r>
              <w:t>Net gain/(loss) on financial assets or liabilities at fair value</w:t>
            </w:r>
          </w:p>
        </w:tc>
        <w:tc>
          <w:tcPr>
            <w:tcW w:w="794" w:type="dxa"/>
          </w:tcPr>
          <w:p w14:paraId="45B9394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401</w:t>
            </w:r>
          </w:p>
        </w:tc>
        <w:tc>
          <w:tcPr>
            <w:tcW w:w="794" w:type="dxa"/>
          </w:tcPr>
          <w:p w14:paraId="6DD747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(2 456)</w:t>
            </w:r>
          </w:p>
        </w:tc>
        <w:tc>
          <w:tcPr>
            <w:tcW w:w="794" w:type="dxa"/>
          </w:tcPr>
          <w:p w14:paraId="76E8DE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491</w:t>
            </w:r>
          </w:p>
        </w:tc>
        <w:tc>
          <w:tcPr>
            <w:tcW w:w="794" w:type="dxa"/>
          </w:tcPr>
          <w:p w14:paraId="5E9B8D3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520</w:t>
            </w:r>
          </w:p>
        </w:tc>
        <w:tc>
          <w:tcPr>
            <w:tcW w:w="794" w:type="dxa"/>
          </w:tcPr>
          <w:p w14:paraId="108622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1 145</w:t>
            </w:r>
          </w:p>
        </w:tc>
      </w:tr>
      <w:tr w:rsidR="005D339F" w14:paraId="0A42E3E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1CCEA7D" w14:textId="77777777" w:rsidR="005D339F" w:rsidRDefault="005D339F" w:rsidP="008670FF">
            <w:r>
              <w:t>Other gains/(losses) from other economic flows</w:t>
            </w:r>
          </w:p>
        </w:tc>
        <w:tc>
          <w:tcPr>
            <w:tcW w:w="794" w:type="dxa"/>
            <w:tcBorders>
              <w:bottom w:val="single" w:sz="6" w:space="0" w:color="auto"/>
            </w:tcBorders>
          </w:tcPr>
          <w:p w14:paraId="3D4C95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1 708</w:t>
            </w:r>
          </w:p>
        </w:tc>
        <w:tc>
          <w:tcPr>
            <w:tcW w:w="794" w:type="dxa"/>
            <w:tcBorders>
              <w:bottom w:val="single" w:sz="6" w:space="0" w:color="auto"/>
            </w:tcBorders>
          </w:tcPr>
          <w:p w14:paraId="3E1CA6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855</w:t>
            </w:r>
          </w:p>
        </w:tc>
        <w:tc>
          <w:tcPr>
            <w:tcW w:w="794" w:type="dxa"/>
            <w:tcBorders>
              <w:bottom w:val="single" w:sz="6" w:space="0" w:color="auto"/>
            </w:tcBorders>
          </w:tcPr>
          <w:p w14:paraId="6C27B2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1 279</w:t>
            </w:r>
          </w:p>
        </w:tc>
        <w:tc>
          <w:tcPr>
            <w:tcW w:w="794" w:type="dxa"/>
            <w:tcBorders>
              <w:bottom w:val="single" w:sz="6" w:space="0" w:color="auto"/>
            </w:tcBorders>
          </w:tcPr>
          <w:p w14:paraId="49EC3B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1 425</w:t>
            </w:r>
          </w:p>
        </w:tc>
        <w:tc>
          <w:tcPr>
            <w:tcW w:w="794" w:type="dxa"/>
            <w:tcBorders>
              <w:bottom w:val="single" w:sz="6" w:space="0" w:color="auto"/>
            </w:tcBorders>
          </w:tcPr>
          <w:p w14:paraId="06C68E0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1 451</w:t>
            </w:r>
          </w:p>
        </w:tc>
      </w:tr>
      <w:tr w:rsidR="005D339F" w14:paraId="3A4004E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32DF474" w14:textId="77777777" w:rsidR="005D339F" w:rsidRDefault="005D339F" w:rsidP="008670FF">
            <w:r>
              <w:rPr>
                <w:b/>
              </w:rPr>
              <w:t>Total other economic flows included in net result</w:t>
            </w:r>
          </w:p>
        </w:tc>
        <w:tc>
          <w:tcPr>
            <w:tcW w:w="794" w:type="dxa"/>
            <w:tcBorders>
              <w:top w:val="single" w:sz="6" w:space="0" w:color="auto"/>
              <w:bottom w:val="single" w:sz="6" w:space="0" w:color="auto"/>
            </w:tcBorders>
          </w:tcPr>
          <w:p w14:paraId="5507D05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2 109</w:t>
            </w:r>
          </w:p>
        </w:tc>
        <w:tc>
          <w:tcPr>
            <w:tcW w:w="794" w:type="dxa"/>
            <w:tcBorders>
              <w:top w:val="single" w:sz="6" w:space="0" w:color="auto"/>
              <w:bottom w:val="single" w:sz="6" w:space="0" w:color="auto"/>
            </w:tcBorders>
          </w:tcPr>
          <w:p w14:paraId="27CFAC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(1 602)</w:t>
            </w:r>
          </w:p>
        </w:tc>
        <w:tc>
          <w:tcPr>
            <w:tcW w:w="794" w:type="dxa"/>
            <w:tcBorders>
              <w:top w:val="single" w:sz="6" w:space="0" w:color="auto"/>
              <w:bottom w:val="single" w:sz="6" w:space="0" w:color="auto"/>
            </w:tcBorders>
          </w:tcPr>
          <w:p w14:paraId="652844C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1 769</w:t>
            </w:r>
          </w:p>
        </w:tc>
        <w:tc>
          <w:tcPr>
            <w:tcW w:w="794" w:type="dxa"/>
            <w:tcBorders>
              <w:top w:val="single" w:sz="6" w:space="0" w:color="auto"/>
              <w:bottom w:val="single" w:sz="6" w:space="0" w:color="auto"/>
            </w:tcBorders>
          </w:tcPr>
          <w:p w14:paraId="54E439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1 945</w:t>
            </w:r>
          </w:p>
        </w:tc>
        <w:tc>
          <w:tcPr>
            <w:tcW w:w="794" w:type="dxa"/>
            <w:tcBorders>
              <w:top w:val="single" w:sz="6" w:space="0" w:color="auto"/>
              <w:bottom w:val="single" w:sz="6" w:space="0" w:color="auto"/>
            </w:tcBorders>
          </w:tcPr>
          <w:p w14:paraId="527053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2 598</w:t>
            </w:r>
          </w:p>
        </w:tc>
      </w:tr>
      <w:tr w:rsidR="005D339F" w14:paraId="03EDFFF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509F77A" w14:textId="77777777" w:rsidR="005D339F" w:rsidRDefault="005D339F" w:rsidP="008670FF">
            <w:r>
              <w:rPr>
                <w:b/>
              </w:rPr>
              <w:t>Net result</w:t>
            </w:r>
          </w:p>
        </w:tc>
        <w:tc>
          <w:tcPr>
            <w:tcW w:w="794" w:type="dxa"/>
            <w:tcBorders>
              <w:top w:val="single" w:sz="6" w:space="0" w:color="auto"/>
              <w:bottom w:val="single" w:sz="12" w:space="0" w:color="auto"/>
            </w:tcBorders>
          </w:tcPr>
          <w:p w14:paraId="2A67D5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(1 644)</w:t>
            </w:r>
          </w:p>
        </w:tc>
        <w:tc>
          <w:tcPr>
            <w:tcW w:w="794" w:type="dxa"/>
            <w:tcBorders>
              <w:top w:val="single" w:sz="6" w:space="0" w:color="auto"/>
              <w:bottom w:val="single" w:sz="12" w:space="0" w:color="auto"/>
            </w:tcBorders>
          </w:tcPr>
          <w:p w14:paraId="6C65CD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(3 540)</w:t>
            </w:r>
          </w:p>
        </w:tc>
        <w:tc>
          <w:tcPr>
            <w:tcW w:w="794" w:type="dxa"/>
            <w:tcBorders>
              <w:top w:val="single" w:sz="6" w:space="0" w:color="auto"/>
              <w:bottom w:val="single" w:sz="12" w:space="0" w:color="auto"/>
            </w:tcBorders>
          </w:tcPr>
          <w:p w14:paraId="188ACA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(976)</w:t>
            </w:r>
          </w:p>
        </w:tc>
        <w:tc>
          <w:tcPr>
            <w:tcW w:w="794" w:type="dxa"/>
            <w:tcBorders>
              <w:top w:val="single" w:sz="6" w:space="0" w:color="auto"/>
              <w:bottom w:val="single" w:sz="12" w:space="0" w:color="auto"/>
            </w:tcBorders>
          </w:tcPr>
          <w:p w14:paraId="1F95BF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(139)</w:t>
            </w:r>
          </w:p>
        </w:tc>
        <w:tc>
          <w:tcPr>
            <w:tcW w:w="794" w:type="dxa"/>
            <w:tcBorders>
              <w:top w:val="single" w:sz="6" w:space="0" w:color="auto"/>
              <w:bottom w:val="single" w:sz="12" w:space="0" w:color="auto"/>
            </w:tcBorders>
          </w:tcPr>
          <w:p w14:paraId="4EE3603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(916)</w:t>
            </w:r>
          </w:p>
        </w:tc>
      </w:tr>
      <w:tr w:rsidR="005D339F" w14:paraId="0775D20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C8130C5" w14:textId="77EE9961" w:rsidR="005D339F" w:rsidRDefault="005D339F" w:rsidP="008670FF">
            <w:r>
              <w:rPr>
                <w:b/>
              </w:rPr>
              <w:t xml:space="preserve">Other economic flows – </w:t>
            </w:r>
            <w:r w:rsidR="008C1085">
              <w:rPr>
                <w:b/>
              </w:rPr>
              <w:br/>
              <w:t xml:space="preserve">Other </w:t>
            </w:r>
            <w:r>
              <w:rPr>
                <w:b/>
              </w:rPr>
              <w:t>comprehensive income</w:t>
            </w:r>
          </w:p>
        </w:tc>
        <w:tc>
          <w:tcPr>
            <w:tcW w:w="794" w:type="dxa"/>
            <w:tcBorders>
              <w:top w:val="single" w:sz="6" w:space="0" w:color="auto"/>
            </w:tcBorders>
          </w:tcPr>
          <w:p w14:paraId="6338DC7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76DC3F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90326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8E90BE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F7ADCC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3F3BD1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E066447" w14:textId="77777777" w:rsidR="005D339F" w:rsidRDefault="005D339F" w:rsidP="008670FF">
            <w:r>
              <w:rPr>
                <w:b/>
              </w:rPr>
              <w:t>Items that will not be reclassified to net result</w:t>
            </w:r>
          </w:p>
        </w:tc>
        <w:tc>
          <w:tcPr>
            <w:tcW w:w="794" w:type="dxa"/>
          </w:tcPr>
          <w:p w14:paraId="6641D18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61125A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ADE55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E7693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607CA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D35287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A960EA" w14:textId="77777777" w:rsidR="005D339F" w:rsidRDefault="005D339F" w:rsidP="008670FF">
            <w:r>
              <w:t>Changes in non</w:t>
            </w:r>
            <w:r>
              <w:noBreakHyphen/>
              <w:t>financial assets revaluation surplus</w:t>
            </w:r>
          </w:p>
        </w:tc>
        <w:tc>
          <w:tcPr>
            <w:tcW w:w="794" w:type="dxa"/>
          </w:tcPr>
          <w:p w14:paraId="04F7B0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D45658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5A5414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69BB3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E3974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r>
      <w:tr w:rsidR="005D339F" w14:paraId="4940948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B5DF1D5" w14:textId="77777777" w:rsidR="005D339F" w:rsidRDefault="005D339F" w:rsidP="008670FF">
            <w:r>
              <w:t>Other movements in equity</w:t>
            </w:r>
          </w:p>
        </w:tc>
        <w:tc>
          <w:tcPr>
            <w:tcW w:w="794" w:type="dxa"/>
          </w:tcPr>
          <w:p w14:paraId="5E1376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BC0C0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CB82D5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w:t>
            </w:r>
          </w:p>
        </w:tc>
        <w:tc>
          <w:tcPr>
            <w:tcW w:w="794" w:type="dxa"/>
          </w:tcPr>
          <w:p w14:paraId="60B0E3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w:t>
            </w:r>
          </w:p>
        </w:tc>
        <w:tc>
          <w:tcPr>
            <w:tcW w:w="794" w:type="dxa"/>
          </w:tcPr>
          <w:p w14:paraId="7D15D2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w:t>
            </w:r>
          </w:p>
        </w:tc>
      </w:tr>
      <w:tr w:rsidR="005D339F" w14:paraId="303174A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D901E12" w14:textId="1F2B3673" w:rsidR="005D339F" w:rsidRDefault="005D339F" w:rsidP="008670FF">
            <w:r>
              <w:rPr>
                <w:b/>
              </w:rPr>
              <w:t xml:space="preserve">Total other economic flows – </w:t>
            </w:r>
            <w:r w:rsidR="008C1085">
              <w:rPr>
                <w:b/>
              </w:rPr>
              <w:br/>
              <w:t xml:space="preserve">Other </w:t>
            </w:r>
            <w:r>
              <w:rPr>
                <w:b/>
              </w:rPr>
              <w:t>comprehensive income</w:t>
            </w:r>
          </w:p>
        </w:tc>
        <w:tc>
          <w:tcPr>
            <w:tcW w:w="794" w:type="dxa"/>
            <w:tcBorders>
              <w:top w:val="single" w:sz="6" w:space="0" w:color="auto"/>
              <w:bottom w:val="single" w:sz="6" w:space="0" w:color="auto"/>
            </w:tcBorders>
          </w:tcPr>
          <w:p w14:paraId="2CDE76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6" w:space="0" w:color="auto"/>
            </w:tcBorders>
          </w:tcPr>
          <w:p w14:paraId="6D74DD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w:t>
            </w:r>
          </w:p>
        </w:tc>
        <w:tc>
          <w:tcPr>
            <w:tcW w:w="794" w:type="dxa"/>
            <w:tcBorders>
              <w:top w:val="single" w:sz="6" w:space="0" w:color="auto"/>
              <w:bottom w:val="single" w:sz="6" w:space="0" w:color="auto"/>
            </w:tcBorders>
          </w:tcPr>
          <w:p w14:paraId="376DB80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w:t>
            </w:r>
          </w:p>
        </w:tc>
        <w:tc>
          <w:tcPr>
            <w:tcW w:w="794" w:type="dxa"/>
            <w:tcBorders>
              <w:top w:val="single" w:sz="6" w:space="0" w:color="auto"/>
              <w:bottom w:val="single" w:sz="6" w:space="0" w:color="auto"/>
            </w:tcBorders>
          </w:tcPr>
          <w:p w14:paraId="07397AA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w:t>
            </w:r>
          </w:p>
        </w:tc>
        <w:tc>
          <w:tcPr>
            <w:tcW w:w="794" w:type="dxa"/>
            <w:tcBorders>
              <w:top w:val="single" w:sz="6" w:space="0" w:color="auto"/>
              <w:bottom w:val="single" w:sz="6" w:space="0" w:color="auto"/>
            </w:tcBorders>
          </w:tcPr>
          <w:p w14:paraId="4322FC2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w:t>
            </w:r>
          </w:p>
        </w:tc>
      </w:tr>
      <w:tr w:rsidR="005D339F" w14:paraId="2E87442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4554C36" w14:textId="12F37FFF" w:rsidR="005D339F" w:rsidRDefault="005D339F" w:rsidP="008670FF">
            <w:r>
              <w:rPr>
                <w:b/>
              </w:rPr>
              <w:t xml:space="preserve">Comprehensive result – </w:t>
            </w:r>
            <w:r w:rsidR="008C1085">
              <w:rPr>
                <w:b/>
              </w:rPr>
              <w:t xml:space="preserve">Total </w:t>
            </w:r>
            <w:r>
              <w:rPr>
                <w:b/>
              </w:rPr>
              <w:t>change in net worth</w:t>
            </w:r>
          </w:p>
        </w:tc>
        <w:tc>
          <w:tcPr>
            <w:tcW w:w="794" w:type="dxa"/>
            <w:tcBorders>
              <w:top w:val="single" w:sz="6" w:space="0" w:color="auto"/>
              <w:bottom w:val="single" w:sz="12" w:space="0" w:color="auto"/>
            </w:tcBorders>
          </w:tcPr>
          <w:p w14:paraId="0759A52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(1 644)</w:t>
            </w:r>
          </w:p>
        </w:tc>
        <w:tc>
          <w:tcPr>
            <w:tcW w:w="794" w:type="dxa"/>
            <w:tcBorders>
              <w:top w:val="single" w:sz="6" w:space="0" w:color="auto"/>
              <w:bottom w:val="single" w:sz="12" w:space="0" w:color="auto"/>
            </w:tcBorders>
          </w:tcPr>
          <w:p w14:paraId="1520EA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(3 539)</w:t>
            </w:r>
          </w:p>
        </w:tc>
        <w:tc>
          <w:tcPr>
            <w:tcW w:w="794" w:type="dxa"/>
            <w:tcBorders>
              <w:top w:val="single" w:sz="6" w:space="0" w:color="auto"/>
              <w:bottom w:val="single" w:sz="12" w:space="0" w:color="auto"/>
            </w:tcBorders>
          </w:tcPr>
          <w:p w14:paraId="2ACC940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(977)</w:t>
            </w:r>
          </w:p>
        </w:tc>
        <w:tc>
          <w:tcPr>
            <w:tcW w:w="794" w:type="dxa"/>
            <w:tcBorders>
              <w:top w:val="single" w:sz="6" w:space="0" w:color="auto"/>
              <w:bottom w:val="single" w:sz="12" w:space="0" w:color="auto"/>
            </w:tcBorders>
          </w:tcPr>
          <w:p w14:paraId="0558D0D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(142)</w:t>
            </w:r>
          </w:p>
        </w:tc>
        <w:tc>
          <w:tcPr>
            <w:tcW w:w="794" w:type="dxa"/>
            <w:tcBorders>
              <w:top w:val="single" w:sz="6" w:space="0" w:color="auto"/>
              <w:bottom w:val="single" w:sz="12" w:space="0" w:color="auto"/>
            </w:tcBorders>
          </w:tcPr>
          <w:p w14:paraId="3B5107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(917)</w:t>
            </w:r>
          </w:p>
        </w:tc>
      </w:tr>
      <w:tr w:rsidR="005D339F" w14:paraId="410DBAE4"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64D5C64" w14:textId="77777777" w:rsidR="005D339F" w:rsidRDefault="005D339F" w:rsidP="008670FF"/>
        </w:tc>
        <w:tc>
          <w:tcPr>
            <w:tcW w:w="794" w:type="dxa"/>
            <w:tcBorders>
              <w:top w:val="single" w:sz="6" w:space="0" w:color="auto"/>
            </w:tcBorders>
          </w:tcPr>
          <w:p w14:paraId="30DE16D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31FC8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54A2A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95A09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E215D8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03FFC0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6C7952B" w14:textId="77777777" w:rsidR="005D339F" w:rsidRDefault="005D339F" w:rsidP="008670FF">
            <w:r>
              <w:rPr>
                <w:b/>
              </w:rPr>
              <w:t>KEY FISCAL AGGREGATES</w:t>
            </w:r>
          </w:p>
        </w:tc>
        <w:tc>
          <w:tcPr>
            <w:tcW w:w="794" w:type="dxa"/>
          </w:tcPr>
          <w:p w14:paraId="71B2726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5DAD25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6C380F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53729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04B35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0BF9C3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1B5A358" w14:textId="77777777" w:rsidR="005D339F" w:rsidRDefault="005D339F" w:rsidP="008670FF">
            <w:r>
              <w:rPr>
                <w:b/>
              </w:rPr>
              <w:t>Net operating balance</w:t>
            </w:r>
          </w:p>
        </w:tc>
        <w:tc>
          <w:tcPr>
            <w:tcW w:w="794" w:type="dxa"/>
          </w:tcPr>
          <w:p w14:paraId="50481CE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(3 753)</w:t>
            </w:r>
          </w:p>
        </w:tc>
        <w:tc>
          <w:tcPr>
            <w:tcW w:w="794" w:type="dxa"/>
          </w:tcPr>
          <w:p w14:paraId="798A34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(1 939)</w:t>
            </w:r>
          </w:p>
        </w:tc>
        <w:tc>
          <w:tcPr>
            <w:tcW w:w="794" w:type="dxa"/>
          </w:tcPr>
          <w:p w14:paraId="461920C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(2 745)</w:t>
            </w:r>
          </w:p>
        </w:tc>
        <w:tc>
          <w:tcPr>
            <w:tcW w:w="794" w:type="dxa"/>
          </w:tcPr>
          <w:p w14:paraId="4D0B26A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(2 085)</w:t>
            </w:r>
          </w:p>
        </w:tc>
        <w:tc>
          <w:tcPr>
            <w:tcW w:w="794" w:type="dxa"/>
          </w:tcPr>
          <w:p w14:paraId="3FD746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(3 514)</w:t>
            </w:r>
          </w:p>
        </w:tc>
      </w:tr>
      <w:tr w:rsidR="005D339F" w14:paraId="57C7BD7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1D9A2E2" w14:textId="77777777" w:rsidR="005D339F" w:rsidRDefault="005D339F" w:rsidP="008670FF">
            <w:r>
              <w:t>Less: Net acquisition of non</w:t>
            </w:r>
            <w:r>
              <w:noBreakHyphen/>
              <w:t>financial assets from transactions</w:t>
            </w:r>
          </w:p>
        </w:tc>
        <w:tc>
          <w:tcPr>
            <w:tcW w:w="794" w:type="dxa"/>
            <w:tcBorders>
              <w:bottom w:val="single" w:sz="6" w:space="0" w:color="auto"/>
            </w:tcBorders>
          </w:tcPr>
          <w:p w14:paraId="654A7FF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(65)</w:t>
            </w:r>
          </w:p>
        </w:tc>
        <w:tc>
          <w:tcPr>
            <w:tcW w:w="794" w:type="dxa"/>
            <w:tcBorders>
              <w:bottom w:val="single" w:sz="6" w:space="0" w:color="auto"/>
            </w:tcBorders>
          </w:tcPr>
          <w:p w14:paraId="761BBB4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(51)</w:t>
            </w:r>
          </w:p>
        </w:tc>
        <w:tc>
          <w:tcPr>
            <w:tcW w:w="794" w:type="dxa"/>
            <w:tcBorders>
              <w:bottom w:val="single" w:sz="6" w:space="0" w:color="auto"/>
            </w:tcBorders>
          </w:tcPr>
          <w:p w14:paraId="20EBCA5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(37)</w:t>
            </w:r>
          </w:p>
        </w:tc>
        <w:tc>
          <w:tcPr>
            <w:tcW w:w="794" w:type="dxa"/>
            <w:tcBorders>
              <w:bottom w:val="single" w:sz="6" w:space="0" w:color="auto"/>
            </w:tcBorders>
          </w:tcPr>
          <w:p w14:paraId="10BE2CB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(37)</w:t>
            </w:r>
          </w:p>
        </w:tc>
        <w:tc>
          <w:tcPr>
            <w:tcW w:w="794" w:type="dxa"/>
            <w:tcBorders>
              <w:bottom w:val="single" w:sz="6" w:space="0" w:color="auto"/>
            </w:tcBorders>
          </w:tcPr>
          <w:p w14:paraId="6AC662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(34)</w:t>
            </w:r>
          </w:p>
        </w:tc>
      </w:tr>
      <w:tr w:rsidR="005D339F" w14:paraId="0967189D"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4BC43FE" w14:textId="77777777" w:rsidR="005D339F" w:rsidRDefault="005D339F" w:rsidP="008670FF">
            <w:r>
              <w:rPr>
                <w:b/>
              </w:rPr>
              <w:t>Net lending/(borrowing)</w:t>
            </w:r>
          </w:p>
        </w:tc>
        <w:tc>
          <w:tcPr>
            <w:tcW w:w="794" w:type="dxa"/>
            <w:tcBorders>
              <w:top w:val="single" w:sz="6" w:space="0" w:color="auto"/>
              <w:bottom w:val="single" w:sz="12" w:space="0" w:color="auto"/>
            </w:tcBorders>
          </w:tcPr>
          <w:p w14:paraId="65891E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(3 688)</w:t>
            </w:r>
          </w:p>
        </w:tc>
        <w:tc>
          <w:tcPr>
            <w:tcW w:w="794" w:type="dxa"/>
            <w:tcBorders>
              <w:top w:val="single" w:sz="6" w:space="0" w:color="auto"/>
              <w:bottom w:val="single" w:sz="12" w:space="0" w:color="auto"/>
            </w:tcBorders>
          </w:tcPr>
          <w:p w14:paraId="587222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(1 887)</w:t>
            </w:r>
          </w:p>
        </w:tc>
        <w:tc>
          <w:tcPr>
            <w:tcW w:w="794" w:type="dxa"/>
            <w:tcBorders>
              <w:top w:val="single" w:sz="6" w:space="0" w:color="auto"/>
              <w:bottom w:val="single" w:sz="12" w:space="0" w:color="auto"/>
            </w:tcBorders>
          </w:tcPr>
          <w:p w14:paraId="2D9B0D9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(2 708)</w:t>
            </w:r>
          </w:p>
        </w:tc>
        <w:tc>
          <w:tcPr>
            <w:tcW w:w="794" w:type="dxa"/>
            <w:tcBorders>
              <w:top w:val="single" w:sz="6" w:space="0" w:color="auto"/>
              <w:bottom w:val="single" w:sz="12" w:space="0" w:color="auto"/>
            </w:tcBorders>
          </w:tcPr>
          <w:p w14:paraId="3065FC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(2 048)</w:t>
            </w:r>
          </w:p>
        </w:tc>
        <w:tc>
          <w:tcPr>
            <w:tcW w:w="794" w:type="dxa"/>
            <w:tcBorders>
              <w:top w:val="single" w:sz="6" w:space="0" w:color="auto"/>
              <w:bottom w:val="single" w:sz="12" w:space="0" w:color="auto"/>
            </w:tcBorders>
          </w:tcPr>
          <w:p w14:paraId="5394AAB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(3 479)</w:t>
            </w:r>
          </w:p>
        </w:tc>
      </w:tr>
    </w:tbl>
    <w:p w14:paraId="5327ED7D" w14:textId="77777777" w:rsidR="005D339F" w:rsidRPr="00921F69" w:rsidRDefault="005D339F" w:rsidP="005D339F">
      <w:pPr>
        <w:pStyle w:val="Note"/>
      </w:pPr>
      <w:r w:rsidRPr="00921F69">
        <w:t>Note</w:t>
      </w:r>
      <w:r>
        <w:t>s</w:t>
      </w:r>
      <w:r w:rsidRPr="00921F69">
        <w:t>:</w:t>
      </w:r>
    </w:p>
    <w:p w14:paraId="3DCEC5ED" w14:textId="77777777" w:rsidR="005D339F" w:rsidRPr="00921F69" w:rsidRDefault="005D339F" w:rsidP="005D339F">
      <w:pPr>
        <w:pStyle w:val="Note"/>
      </w:pPr>
      <w:r w:rsidRPr="00704243">
        <w:t>(a)</w:t>
      </w:r>
      <w:r w:rsidRPr="00704243">
        <w:tab/>
      </w:r>
      <w:r>
        <w:t>S</w:t>
      </w:r>
      <w:r w:rsidRPr="008E4197">
        <w:t>avings and efficiency initiatives</w:t>
      </w:r>
      <w:r>
        <w:t xml:space="preserve"> introduced in the </w:t>
      </w:r>
      <w:r w:rsidRPr="00696D40">
        <w:rPr>
          <w:i w:val="0"/>
          <w:iCs/>
        </w:rPr>
        <w:t>2023-24 Budget</w:t>
      </w:r>
      <w:r w:rsidRPr="008E4197">
        <w:t xml:space="preserve"> will</w:t>
      </w:r>
      <w:r>
        <w:t xml:space="preserve"> continue to</w:t>
      </w:r>
      <w:r w:rsidRPr="008E4197">
        <w:t xml:space="preserve"> be implemented </w:t>
      </w:r>
      <w:r w:rsidRPr="00704243">
        <w:t xml:space="preserve">by the public financial corporations sector. The impact of these initiatives is reflected in the </w:t>
      </w:r>
      <w:r>
        <w:t xml:space="preserve">budget and forward </w:t>
      </w:r>
      <w:r w:rsidRPr="00704243">
        <w:t>estimates.</w:t>
      </w:r>
    </w:p>
    <w:p w14:paraId="408BF60E" w14:textId="77777777" w:rsidR="005D339F" w:rsidRPr="00921F69" w:rsidRDefault="005D339F" w:rsidP="005D339F">
      <w:pPr>
        <w:pStyle w:val="Note"/>
      </w:pPr>
      <w:r w:rsidRPr="00921F69">
        <w:t>(</w:t>
      </w:r>
      <w:r>
        <w:t>b</w:t>
      </w:r>
      <w:r w:rsidRPr="00921F69">
        <w:t>)</w:t>
      </w:r>
      <w:r w:rsidRPr="00921F69">
        <w:tab/>
      </w:r>
      <w:r>
        <w:t>Capital gains on the investment portfolios of the State’s insurance agencies (WorkSafe Victoria, Transport Accident Commission and Victorian Managed Insurance Authority) are classified as other economic flows. As these capital gains are available to fund claims expenses, the net result more meaningfully reflects the underlying operations and performance of the PFC sector than the net result from transactions.</w:t>
      </w:r>
    </w:p>
    <w:p w14:paraId="546B5293" w14:textId="77777777" w:rsidR="005D339F" w:rsidRPr="0063276E" w:rsidRDefault="005D339F" w:rsidP="005D339F">
      <w:pPr>
        <w:pStyle w:val="TableHeading"/>
      </w:pPr>
      <w:r w:rsidRPr="00921F69">
        <w:t>Table 5.12</w:t>
      </w:r>
      <w:r w:rsidRPr="00921F69">
        <w:tab/>
        <w:t>Public financial corporations sector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FC_BS|MergedHeadingRow:1"/>
      </w:tblPr>
      <w:tblGrid>
        <w:gridCol w:w="3740"/>
        <w:gridCol w:w="794"/>
        <w:gridCol w:w="794"/>
        <w:gridCol w:w="794"/>
        <w:gridCol w:w="794"/>
        <w:gridCol w:w="794"/>
      </w:tblGrid>
      <w:tr w:rsidR="005D339F" w14:paraId="31D63A0C"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44BA2ED" w14:textId="77777777" w:rsidR="005D339F" w:rsidRDefault="005D339F" w:rsidP="008670FF">
            <w:pPr>
              <w:keepNext/>
            </w:pPr>
          </w:p>
        </w:tc>
        <w:tc>
          <w:tcPr>
            <w:tcW w:w="794" w:type="dxa"/>
          </w:tcPr>
          <w:p w14:paraId="54B6298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br/>
              <w:t>budget</w:t>
            </w:r>
            <w:r>
              <w:rPr>
                <w:vertAlign w:val="superscript"/>
              </w:rPr>
              <w:t xml:space="preserve"> (a)</w:t>
            </w:r>
          </w:p>
        </w:tc>
        <w:tc>
          <w:tcPr>
            <w:tcW w:w="794" w:type="dxa"/>
          </w:tcPr>
          <w:p w14:paraId="6B64DCB0"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br/>
              <w:t>revised</w:t>
            </w:r>
          </w:p>
        </w:tc>
        <w:tc>
          <w:tcPr>
            <w:tcW w:w="794" w:type="dxa"/>
          </w:tcPr>
          <w:p w14:paraId="17733D4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br/>
              <w:t>estimate</w:t>
            </w:r>
          </w:p>
        </w:tc>
        <w:tc>
          <w:tcPr>
            <w:tcW w:w="794" w:type="dxa"/>
          </w:tcPr>
          <w:p w14:paraId="3B03AC6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br/>
              <w:t>estimate</w:t>
            </w:r>
          </w:p>
        </w:tc>
        <w:tc>
          <w:tcPr>
            <w:tcW w:w="794" w:type="dxa"/>
          </w:tcPr>
          <w:p w14:paraId="16FAE2A9"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2028</w:t>
            </w:r>
            <w:r>
              <w:br/>
              <w:t>estimate</w:t>
            </w:r>
          </w:p>
        </w:tc>
      </w:tr>
      <w:tr w:rsidR="005D339F" w14:paraId="00C9A8E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27DB13C" w14:textId="77777777" w:rsidR="005D339F" w:rsidRDefault="005D339F" w:rsidP="008670FF">
            <w:r>
              <w:rPr>
                <w:b/>
              </w:rPr>
              <w:t>Assets</w:t>
            </w:r>
          </w:p>
        </w:tc>
        <w:tc>
          <w:tcPr>
            <w:tcW w:w="794" w:type="dxa"/>
          </w:tcPr>
          <w:p w14:paraId="2B04FA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9005C1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DD9A0B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0F8707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5FF5E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087CAD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3611B6D" w14:textId="77777777" w:rsidR="005D339F" w:rsidRDefault="005D339F" w:rsidP="008670FF">
            <w:r>
              <w:rPr>
                <w:b/>
              </w:rPr>
              <w:t>Financial assets</w:t>
            </w:r>
          </w:p>
        </w:tc>
        <w:tc>
          <w:tcPr>
            <w:tcW w:w="794" w:type="dxa"/>
          </w:tcPr>
          <w:p w14:paraId="4F66145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A26461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95A97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363784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A09AEE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A72627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47D0AF8" w14:textId="77777777" w:rsidR="005D339F" w:rsidRDefault="005D339F" w:rsidP="008670FF">
            <w:r>
              <w:t>Cash and deposits</w:t>
            </w:r>
          </w:p>
        </w:tc>
        <w:tc>
          <w:tcPr>
            <w:tcW w:w="794" w:type="dxa"/>
          </w:tcPr>
          <w:p w14:paraId="2C1AB1C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3 903</w:t>
            </w:r>
          </w:p>
        </w:tc>
        <w:tc>
          <w:tcPr>
            <w:tcW w:w="794" w:type="dxa"/>
          </w:tcPr>
          <w:p w14:paraId="1722BF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2 905</w:t>
            </w:r>
          </w:p>
        </w:tc>
        <w:tc>
          <w:tcPr>
            <w:tcW w:w="794" w:type="dxa"/>
          </w:tcPr>
          <w:p w14:paraId="2B08A3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2 998</w:t>
            </w:r>
          </w:p>
        </w:tc>
        <w:tc>
          <w:tcPr>
            <w:tcW w:w="794" w:type="dxa"/>
          </w:tcPr>
          <w:p w14:paraId="056BB1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3 124</w:t>
            </w:r>
          </w:p>
        </w:tc>
        <w:tc>
          <w:tcPr>
            <w:tcW w:w="794" w:type="dxa"/>
          </w:tcPr>
          <w:p w14:paraId="0F7DDC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3 247</w:t>
            </w:r>
          </w:p>
        </w:tc>
      </w:tr>
      <w:tr w:rsidR="005D339F" w14:paraId="63582E4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13904FD" w14:textId="77777777" w:rsidR="005D339F" w:rsidRDefault="005D339F" w:rsidP="008670FF">
            <w:r>
              <w:t>Advances paid</w:t>
            </w:r>
          </w:p>
        </w:tc>
        <w:tc>
          <w:tcPr>
            <w:tcW w:w="794" w:type="dxa"/>
          </w:tcPr>
          <w:p w14:paraId="438144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32</w:t>
            </w:r>
          </w:p>
        </w:tc>
        <w:tc>
          <w:tcPr>
            <w:tcW w:w="794" w:type="dxa"/>
          </w:tcPr>
          <w:p w14:paraId="513B9B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w:t>
            </w:r>
          </w:p>
        </w:tc>
        <w:tc>
          <w:tcPr>
            <w:tcW w:w="794" w:type="dxa"/>
          </w:tcPr>
          <w:p w14:paraId="76D475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w:t>
            </w:r>
          </w:p>
        </w:tc>
        <w:tc>
          <w:tcPr>
            <w:tcW w:w="794" w:type="dxa"/>
          </w:tcPr>
          <w:p w14:paraId="4FAC25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w:t>
            </w:r>
          </w:p>
        </w:tc>
        <w:tc>
          <w:tcPr>
            <w:tcW w:w="794" w:type="dxa"/>
          </w:tcPr>
          <w:p w14:paraId="1A344C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w:t>
            </w:r>
          </w:p>
        </w:tc>
      </w:tr>
      <w:tr w:rsidR="005D339F" w14:paraId="620E3A9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8F33EEA" w14:textId="77777777" w:rsidR="005D339F" w:rsidRDefault="005D339F" w:rsidP="008670FF">
            <w:r>
              <w:t>Receivables</w:t>
            </w:r>
          </w:p>
        </w:tc>
        <w:tc>
          <w:tcPr>
            <w:tcW w:w="794" w:type="dxa"/>
          </w:tcPr>
          <w:p w14:paraId="36C185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2 768</w:t>
            </w:r>
          </w:p>
        </w:tc>
        <w:tc>
          <w:tcPr>
            <w:tcW w:w="794" w:type="dxa"/>
          </w:tcPr>
          <w:p w14:paraId="393AC22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2 765</w:t>
            </w:r>
          </w:p>
        </w:tc>
        <w:tc>
          <w:tcPr>
            <w:tcW w:w="794" w:type="dxa"/>
          </w:tcPr>
          <w:p w14:paraId="1E3797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2 850</w:t>
            </w:r>
          </w:p>
        </w:tc>
        <w:tc>
          <w:tcPr>
            <w:tcW w:w="794" w:type="dxa"/>
          </w:tcPr>
          <w:p w14:paraId="55BD00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2 958</w:t>
            </w:r>
          </w:p>
        </w:tc>
        <w:tc>
          <w:tcPr>
            <w:tcW w:w="794" w:type="dxa"/>
          </w:tcPr>
          <w:p w14:paraId="4ED5258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3 093</w:t>
            </w:r>
          </w:p>
        </w:tc>
      </w:tr>
      <w:tr w:rsidR="005D339F" w14:paraId="6C13E93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6EB48D7" w14:textId="77777777" w:rsidR="005D339F" w:rsidRDefault="005D339F" w:rsidP="008670FF">
            <w:r>
              <w:t>Investments, loans and placements</w:t>
            </w:r>
          </w:p>
        </w:tc>
        <w:tc>
          <w:tcPr>
            <w:tcW w:w="794" w:type="dxa"/>
          </w:tcPr>
          <w:p w14:paraId="1B5635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68 499</w:t>
            </w:r>
          </w:p>
        </w:tc>
        <w:tc>
          <w:tcPr>
            <w:tcW w:w="794" w:type="dxa"/>
          </w:tcPr>
          <w:p w14:paraId="5553121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70 160</w:t>
            </w:r>
          </w:p>
        </w:tc>
        <w:tc>
          <w:tcPr>
            <w:tcW w:w="794" w:type="dxa"/>
          </w:tcPr>
          <w:p w14:paraId="6EE9B8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73 491</w:t>
            </w:r>
          </w:p>
        </w:tc>
        <w:tc>
          <w:tcPr>
            <w:tcW w:w="794" w:type="dxa"/>
          </w:tcPr>
          <w:p w14:paraId="174D41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77 735</w:t>
            </w:r>
          </w:p>
        </w:tc>
        <w:tc>
          <w:tcPr>
            <w:tcW w:w="794" w:type="dxa"/>
          </w:tcPr>
          <w:p w14:paraId="09D9300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81 374</w:t>
            </w:r>
          </w:p>
        </w:tc>
      </w:tr>
      <w:tr w:rsidR="005D339F" w14:paraId="7578572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2E69BB3" w14:textId="77777777" w:rsidR="005D339F" w:rsidRDefault="005D339F" w:rsidP="008670FF">
            <w:r>
              <w:t>Loans receivable from non</w:t>
            </w:r>
            <w:r>
              <w:noBreakHyphen/>
              <w:t>financial public sector</w:t>
            </w:r>
            <w:r>
              <w:rPr>
                <w:vertAlign w:val="superscript"/>
              </w:rPr>
              <w:t xml:space="preserve"> (b)</w:t>
            </w:r>
          </w:p>
        </w:tc>
        <w:tc>
          <w:tcPr>
            <w:tcW w:w="794" w:type="dxa"/>
          </w:tcPr>
          <w:p w14:paraId="73F00F3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181 542</w:t>
            </w:r>
          </w:p>
        </w:tc>
        <w:tc>
          <w:tcPr>
            <w:tcW w:w="794" w:type="dxa"/>
          </w:tcPr>
          <w:p w14:paraId="5B83E3F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180 866</w:t>
            </w:r>
          </w:p>
        </w:tc>
        <w:tc>
          <w:tcPr>
            <w:tcW w:w="794" w:type="dxa"/>
          </w:tcPr>
          <w:p w14:paraId="6DCCEBF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198 802</w:t>
            </w:r>
          </w:p>
        </w:tc>
        <w:tc>
          <w:tcPr>
            <w:tcW w:w="794" w:type="dxa"/>
          </w:tcPr>
          <w:p w14:paraId="69856B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214 608</w:t>
            </w:r>
          </w:p>
        </w:tc>
        <w:tc>
          <w:tcPr>
            <w:tcW w:w="794" w:type="dxa"/>
          </w:tcPr>
          <w:p w14:paraId="3E704E4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229 221</w:t>
            </w:r>
          </w:p>
        </w:tc>
      </w:tr>
      <w:tr w:rsidR="005D339F" w14:paraId="16F042B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4B37C8F" w14:textId="77777777" w:rsidR="005D339F" w:rsidRDefault="005D339F" w:rsidP="008670FF">
            <w:r>
              <w:t>Investments accounted for using equity method</w:t>
            </w:r>
          </w:p>
        </w:tc>
        <w:tc>
          <w:tcPr>
            <w:tcW w:w="794" w:type="dxa"/>
          </w:tcPr>
          <w:p w14:paraId="14BE3F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618DA1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117922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w:t>
            </w:r>
          </w:p>
        </w:tc>
        <w:tc>
          <w:tcPr>
            <w:tcW w:w="794" w:type="dxa"/>
          </w:tcPr>
          <w:p w14:paraId="6F2AD6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w:t>
            </w:r>
          </w:p>
        </w:tc>
        <w:tc>
          <w:tcPr>
            <w:tcW w:w="794" w:type="dxa"/>
          </w:tcPr>
          <w:p w14:paraId="598679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w:t>
            </w:r>
          </w:p>
        </w:tc>
      </w:tr>
      <w:tr w:rsidR="005D339F" w14:paraId="68014D5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A3C8C86" w14:textId="77777777" w:rsidR="005D339F" w:rsidRDefault="005D339F" w:rsidP="008670FF">
            <w:r>
              <w:rPr>
                <w:b/>
              </w:rPr>
              <w:t>Total financial assets</w:t>
            </w:r>
          </w:p>
        </w:tc>
        <w:tc>
          <w:tcPr>
            <w:tcW w:w="794" w:type="dxa"/>
            <w:tcBorders>
              <w:top w:val="single" w:sz="6" w:space="0" w:color="auto"/>
              <w:bottom w:val="single" w:sz="6" w:space="0" w:color="auto"/>
            </w:tcBorders>
          </w:tcPr>
          <w:p w14:paraId="1FE7B7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256 757</w:t>
            </w:r>
          </w:p>
        </w:tc>
        <w:tc>
          <w:tcPr>
            <w:tcW w:w="794" w:type="dxa"/>
            <w:tcBorders>
              <w:top w:val="single" w:sz="6" w:space="0" w:color="auto"/>
              <w:bottom w:val="single" w:sz="6" w:space="0" w:color="auto"/>
            </w:tcBorders>
          </w:tcPr>
          <w:p w14:paraId="1788421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256 731</w:t>
            </w:r>
          </w:p>
        </w:tc>
        <w:tc>
          <w:tcPr>
            <w:tcW w:w="794" w:type="dxa"/>
            <w:tcBorders>
              <w:top w:val="single" w:sz="6" w:space="0" w:color="auto"/>
              <w:bottom w:val="single" w:sz="6" w:space="0" w:color="auto"/>
            </w:tcBorders>
          </w:tcPr>
          <w:p w14:paraId="615B2B6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278 170</w:t>
            </w:r>
          </w:p>
        </w:tc>
        <w:tc>
          <w:tcPr>
            <w:tcW w:w="794" w:type="dxa"/>
            <w:tcBorders>
              <w:top w:val="single" w:sz="6" w:space="0" w:color="auto"/>
              <w:bottom w:val="single" w:sz="6" w:space="0" w:color="auto"/>
            </w:tcBorders>
          </w:tcPr>
          <w:p w14:paraId="019D65E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298 453</w:t>
            </w:r>
          </w:p>
        </w:tc>
        <w:tc>
          <w:tcPr>
            <w:tcW w:w="794" w:type="dxa"/>
            <w:tcBorders>
              <w:top w:val="single" w:sz="6" w:space="0" w:color="auto"/>
              <w:bottom w:val="single" w:sz="6" w:space="0" w:color="auto"/>
            </w:tcBorders>
          </w:tcPr>
          <w:p w14:paraId="0E5B84C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316 964</w:t>
            </w:r>
          </w:p>
        </w:tc>
      </w:tr>
      <w:tr w:rsidR="005D339F" w14:paraId="57F7BF5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500C46F" w14:textId="77777777" w:rsidR="005D339F" w:rsidRDefault="005D339F" w:rsidP="008670FF">
            <w:r>
              <w:rPr>
                <w:b/>
              </w:rPr>
              <w:t>Non</w:t>
            </w:r>
            <w:r>
              <w:rPr>
                <w:b/>
              </w:rPr>
              <w:noBreakHyphen/>
              <w:t>financial assets</w:t>
            </w:r>
          </w:p>
        </w:tc>
        <w:tc>
          <w:tcPr>
            <w:tcW w:w="794" w:type="dxa"/>
            <w:tcBorders>
              <w:top w:val="single" w:sz="6" w:space="0" w:color="auto"/>
            </w:tcBorders>
          </w:tcPr>
          <w:p w14:paraId="597C8C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A29AA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B7965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B42AC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7D16A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3C19B1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673D2FB" w14:textId="77777777" w:rsidR="005D339F" w:rsidRDefault="005D339F" w:rsidP="008670FF">
            <w:r>
              <w:t>Land, buildings, infrastructure, plant and equipment</w:t>
            </w:r>
          </w:p>
        </w:tc>
        <w:tc>
          <w:tcPr>
            <w:tcW w:w="794" w:type="dxa"/>
          </w:tcPr>
          <w:p w14:paraId="3471BC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289</w:t>
            </w:r>
          </w:p>
        </w:tc>
        <w:tc>
          <w:tcPr>
            <w:tcW w:w="794" w:type="dxa"/>
          </w:tcPr>
          <w:p w14:paraId="0A549C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306</w:t>
            </w:r>
          </w:p>
        </w:tc>
        <w:tc>
          <w:tcPr>
            <w:tcW w:w="794" w:type="dxa"/>
          </w:tcPr>
          <w:p w14:paraId="6B12E3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290</w:t>
            </w:r>
          </w:p>
        </w:tc>
        <w:tc>
          <w:tcPr>
            <w:tcW w:w="794" w:type="dxa"/>
          </w:tcPr>
          <w:p w14:paraId="4EA944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269</w:t>
            </w:r>
          </w:p>
        </w:tc>
        <w:tc>
          <w:tcPr>
            <w:tcW w:w="794" w:type="dxa"/>
          </w:tcPr>
          <w:p w14:paraId="4EA825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243</w:t>
            </w:r>
          </w:p>
        </w:tc>
      </w:tr>
      <w:tr w:rsidR="005D339F" w14:paraId="3A1638B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5680C09" w14:textId="77777777" w:rsidR="005D339F" w:rsidRDefault="005D339F" w:rsidP="008670FF">
            <w:r>
              <w:t>Other non</w:t>
            </w:r>
            <w:r>
              <w:noBreakHyphen/>
              <w:t>financial assets</w:t>
            </w:r>
          </w:p>
        </w:tc>
        <w:tc>
          <w:tcPr>
            <w:tcW w:w="794" w:type="dxa"/>
            <w:tcBorders>
              <w:bottom w:val="single" w:sz="6" w:space="0" w:color="auto"/>
            </w:tcBorders>
          </w:tcPr>
          <w:p w14:paraId="13A29C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3 808</w:t>
            </w:r>
          </w:p>
        </w:tc>
        <w:tc>
          <w:tcPr>
            <w:tcW w:w="794" w:type="dxa"/>
            <w:tcBorders>
              <w:bottom w:val="single" w:sz="6" w:space="0" w:color="auto"/>
            </w:tcBorders>
          </w:tcPr>
          <w:p w14:paraId="604A40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3 040</w:t>
            </w:r>
          </w:p>
        </w:tc>
        <w:tc>
          <w:tcPr>
            <w:tcW w:w="794" w:type="dxa"/>
            <w:tcBorders>
              <w:bottom w:val="single" w:sz="6" w:space="0" w:color="auto"/>
            </w:tcBorders>
          </w:tcPr>
          <w:p w14:paraId="1B9824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3 063</w:t>
            </w:r>
          </w:p>
        </w:tc>
        <w:tc>
          <w:tcPr>
            <w:tcW w:w="794" w:type="dxa"/>
            <w:tcBorders>
              <w:bottom w:val="single" w:sz="6" w:space="0" w:color="auto"/>
            </w:tcBorders>
          </w:tcPr>
          <w:p w14:paraId="36CE1A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3 098</w:t>
            </w:r>
          </w:p>
        </w:tc>
        <w:tc>
          <w:tcPr>
            <w:tcW w:w="794" w:type="dxa"/>
            <w:tcBorders>
              <w:bottom w:val="single" w:sz="6" w:space="0" w:color="auto"/>
            </w:tcBorders>
          </w:tcPr>
          <w:p w14:paraId="1BD0F3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3 005</w:t>
            </w:r>
          </w:p>
        </w:tc>
      </w:tr>
      <w:tr w:rsidR="005D339F" w14:paraId="486559A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18B9CB5" w14:textId="77777777" w:rsidR="005D339F" w:rsidRDefault="005D339F" w:rsidP="008670FF">
            <w:r>
              <w:rPr>
                <w:b/>
              </w:rPr>
              <w:t>Total non</w:t>
            </w:r>
            <w:r>
              <w:rPr>
                <w:b/>
              </w:rPr>
              <w:noBreakHyphen/>
              <w:t>financial assets</w:t>
            </w:r>
          </w:p>
        </w:tc>
        <w:tc>
          <w:tcPr>
            <w:tcW w:w="794" w:type="dxa"/>
            <w:tcBorders>
              <w:top w:val="single" w:sz="6" w:space="0" w:color="auto"/>
              <w:bottom w:val="single" w:sz="6" w:space="0" w:color="auto"/>
            </w:tcBorders>
          </w:tcPr>
          <w:p w14:paraId="64076A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4 096</w:t>
            </w:r>
          </w:p>
        </w:tc>
        <w:tc>
          <w:tcPr>
            <w:tcW w:w="794" w:type="dxa"/>
            <w:tcBorders>
              <w:top w:val="single" w:sz="6" w:space="0" w:color="auto"/>
              <w:bottom w:val="single" w:sz="6" w:space="0" w:color="auto"/>
            </w:tcBorders>
          </w:tcPr>
          <w:p w14:paraId="0B89B01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3 346</w:t>
            </w:r>
          </w:p>
        </w:tc>
        <w:tc>
          <w:tcPr>
            <w:tcW w:w="794" w:type="dxa"/>
            <w:tcBorders>
              <w:top w:val="single" w:sz="6" w:space="0" w:color="auto"/>
              <w:bottom w:val="single" w:sz="6" w:space="0" w:color="auto"/>
            </w:tcBorders>
          </w:tcPr>
          <w:p w14:paraId="3C340F0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3 353</w:t>
            </w:r>
          </w:p>
        </w:tc>
        <w:tc>
          <w:tcPr>
            <w:tcW w:w="794" w:type="dxa"/>
            <w:tcBorders>
              <w:top w:val="single" w:sz="6" w:space="0" w:color="auto"/>
              <w:bottom w:val="single" w:sz="6" w:space="0" w:color="auto"/>
            </w:tcBorders>
          </w:tcPr>
          <w:p w14:paraId="3432839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3 367</w:t>
            </w:r>
          </w:p>
        </w:tc>
        <w:tc>
          <w:tcPr>
            <w:tcW w:w="794" w:type="dxa"/>
            <w:tcBorders>
              <w:top w:val="single" w:sz="6" w:space="0" w:color="auto"/>
              <w:bottom w:val="single" w:sz="6" w:space="0" w:color="auto"/>
            </w:tcBorders>
          </w:tcPr>
          <w:p w14:paraId="10EF538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3 248</w:t>
            </w:r>
          </w:p>
        </w:tc>
      </w:tr>
      <w:tr w:rsidR="005D339F" w14:paraId="2DD1D4E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732D7186" w14:textId="77777777" w:rsidR="005D339F" w:rsidRDefault="005D339F" w:rsidP="008670FF">
            <w:r>
              <w:rPr>
                <w:b/>
              </w:rPr>
              <w:t>Total assets</w:t>
            </w:r>
          </w:p>
        </w:tc>
        <w:tc>
          <w:tcPr>
            <w:tcW w:w="794" w:type="dxa"/>
            <w:tcBorders>
              <w:top w:val="single" w:sz="6" w:space="0" w:color="auto"/>
            </w:tcBorders>
          </w:tcPr>
          <w:p w14:paraId="316906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260 854</w:t>
            </w:r>
          </w:p>
        </w:tc>
        <w:tc>
          <w:tcPr>
            <w:tcW w:w="794" w:type="dxa"/>
            <w:tcBorders>
              <w:top w:val="single" w:sz="6" w:space="0" w:color="auto"/>
            </w:tcBorders>
          </w:tcPr>
          <w:p w14:paraId="2523DC7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260 077</w:t>
            </w:r>
          </w:p>
        </w:tc>
        <w:tc>
          <w:tcPr>
            <w:tcW w:w="794" w:type="dxa"/>
            <w:tcBorders>
              <w:top w:val="single" w:sz="6" w:space="0" w:color="auto"/>
            </w:tcBorders>
          </w:tcPr>
          <w:p w14:paraId="6BCCA9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281 523</w:t>
            </w:r>
          </w:p>
        </w:tc>
        <w:tc>
          <w:tcPr>
            <w:tcW w:w="794" w:type="dxa"/>
            <w:tcBorders>
              <w:top w:val="single" w:sz="6" w:space="0" w:color="auto"/>
            </w:tcBorders>
          </w:tcPr>
          <w:p w14:paraId="258C94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301 820</w:t>
            </w:r>
          </w:p>
        </w:tc>
        <w:tc>
          <w:tcPr>
            <w:tcW w:w="794" w:type="dxa"/>
            <w:tcBorders>
              <w:top w:val="single" w:sz="6" w:space="0" w:color="auto"/>
            </w:tcBorders>
          </w:tcPr>
          <w:p w14:paraId="1D219E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320 211</w:t>
            </w:r>
          </w:p>
        </w:tc>
      </w:tr>
      <w:tr w:rsidR="005D339F" w14:paraId="715A9C3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5E16B45" w14:textId="77777777" w:rsidR="005D339F" w:rsidRDefault="005D339F" w:rsidP="008670FF">
            <w:r>
              <w:rPr>
                <w:b/>
              </w:rPr>
              <w:t>Liabilities</w:t>
            </w:r>
          </w:p>
        </w:tc>
        <w:tc>
          <w:tcPr>
            <w:tcW w:w="794" w:type="dxa"/>
          </w:tcPr>
          <w:p w14:paraId="13DD2F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777F2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F9549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D3C50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DF8803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12A2EF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C279750" w14:textId="77777777" w:rsidR="005D339F" w:rsidRDefault="005D339F" w:rsidP="008670FF">
            <w:r>
              <w:t>Deposits held and advances received</w:t>
            </w:r>
          </w:p>
        </w:tc>
        <w:tc>
          <w:tcPr>
            <w:tcW w:w="794" w:type="dxa"/>
          </w:tcPr>
          <w:p w14:paraId="55E4ADD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215</w:t>
            </w:r>
          </w:p>
        </w:tc>
        <w:tc>
          <w:tcPr>
            <w:tcW w:w="794" w:type="dxa"/>
          </w:tcPr>
          <w:p w14:paraId="40EE83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217</w:t>
            </w:r>
          </w:p>
        </w:tc>
        <w:tc>
          <w:tcPr>
            <w:tcW w:w="794" w:type="dxa"/>
          </w:tcPr>
          <w:p w14:paraId="193A70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219</w:t>
            </w:r>
          </w:p>
        </w:tc>
        <w:tc>
          <w:tcPr>
            <w:tcW w:w="794" w:type="dxa"/>
          </w:tcPr>
          <w:p w14:paraId="71ED422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206</w:t>
            </w:r>
          </w:p>
        </w:tc>
        <w:tc>
          <w:tcPr>
            <w:tcW w:w="794" w:type="dxa"/>
          </w:tcPr>
          <w:p w14:paraId="36100F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192</w:t>
            </w:r>
          </w:p>
        </w:tc>
      </w:tr>
      <w:tr w:rsidR="005D339F" w14:paraId="2DF7969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A596F55" w14:textId="77777777" w:rsidR="005D339F" w:rsidRDefault="005D339F" w:rsidP="008670FF">
            <w:r>
              <w:t>Payables</w:t>
            </w:r>
          </w:p>
        </w:tc>
        <w:tc>
          <w:tcPr>
            <w:tcW w:w="794" w:type="dxa"/>
          </w:tcPr>
          <w:p w14:paraId="0410FE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1 514</w:t>
            </w:r>
          </w:p>
        </w:tc>
        <w:tc>
          <w:tcPr>
            <w:tcW w:w="794" w:type="dxa"/>
          </w:tcPr>
          <w:p w14:paraId="1AFC65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1 392</w:t>
            </w:r>
          </w:p>
        </w:tc>
        <w:tc>
          <w:tcPr>
            <w:tcW w:w="794" w:type="dxa"/>
          </w:tcPr>
          <w:p w14:paraId="5FDB102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1 439</w:t>
            </w:r>
          </w:p>
        </w:tc>
        <w:tc>
          <w:tcPr>
            <w:tcW w:w="794" w:type="dxa"/>
          </w:tcPr>
          <w:p w14:paraId="7208042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1 506</w:t>
            </w:r>
          </w:p>
        </w:tc>
        <w:tc>
          <w:tcPr>
            <w:tcW w:w="794" w:type="dxa"/>
          </w:tcPr>
          <w:p w14:paraId="389457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1 585</w:t>
            </w:r>
          </w:p>
        </w:tc>
      </w:tr>
      <w:tr w:rsidR="005D339F" w14:paraId="73FE126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E5965B8" w14:textId="77777777" w:rsidR="005D339F" w:rsidRDefault="005D339F" w:rsidP="008670FF">
            <w:r>
              <w:t>Borrowings</w:t>
            </w:r>
            <w:r>
              <w:rPr>
                <w:vertAlign w:val="superscript"/>
              </w:rPr>
              <w:t xml:space="preserve"> (c)</w:t>
            </w:r>
          </w:p>
        </w:tc>
        <w:tc>
          <w:tcPr>
            <w:tcW w:w="794" w:type="dxa"/>
          </w:tcPr>
          <w:p w14:paraId="169FFA2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190 245</w:t>
            </w:r>
          </w:p>
        </w:tc>
        <w:tc>
          <w:tcPr>
            <w:tcW w:w="794" w:type="dxa"/>
          </w:tcPr>
          <w:p w14:paraId="124D118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192 310</w:t>
            </w:r>
          </w:p>
        </w:tc>
        <w:tc>
          <w:tcPr>
            <w:tcW w:w="794" w:type="dxa"/>
          </w:tcPr>
          <w:p w14:paraId="31A6FE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210 729</w:t>
            </w:r>
          </w:p>
        </w:tc>
        <w:tc>
          <w:tcPr>
            <w:tcW w:w="794" w:type="dxa"/>
          </w:tcPr>
          <w:p w14:paraId="6E6F07E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227 025</w:t>
            </w:r>
          </w:p>
        </w:tc>
        <w:tc>
          <w:tcPr>
            <w:tcW w:w="794" w:type="dxa"/>
          </w:tcPr>
          <w:p w14:paraId="348F2EA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242 108</w:t>
            </w:r>
          </w:p>
        </w:tc>
      </w:tr>
      <w:tr w:rsidR="005D339F" w14:paraId="3369CA4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51634FE" w14:textId="77777777" w:rsidR="005D339F" w:rsidRDefault="005D339F" w:rsidP="008670FF">
            <w:r>
              <w:t>Employee benefits</w:t>
            </w:r>
          </w:p>
        </w:tc>
        <w:tc>
          <w:tcPr>
            <w:tcW w:w="794" w:type="dxa"/>
          </w:tcPr>
          <w:p w14:paraId="6FFBDA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139</w:t>
            </w:r>
          </w:p>
        </w:tc>
        <w:tc>
          <w:tcPr>
            <w:tcW w:w="794" w:type="dxa"/>
          </w:tcPr>
          <w:p w14:paraId="2BEAEB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141</w:t>
            </w:r>
          </w:p>
        </w:tc>
        <w:tc>
          <w:tcPr>
            <w:tcW w:w="794" w:type="dxa"/>
          </w:tcPr>
          <w:p w14:paraId="6E5CD9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143</w:t>
            </w:r>
          </w:p>
        </w:tc>
        <w:tc>
          <w:tcPr>
            <w:tcW w:w="794" w:type="dxa"/>
          </w:tcPr>
          <w:p w14:paraId="7B01545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146</w:t>
            </w:r>
          </w:p>
        </w:tc>
        <w:tc>
          <w:tcPr>
            <w:tcW w:w="794" w:type="dxa"/>
          </w:tcPr>
          <w:p w14:paraId="7D0E94A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148</w:t>
            </w:r>
          </w:p>
        </w:tc>
      </w:tr>
      <w:tr w:rsidR="005D339F" w14:paraId="6A1E7DF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C819FCA" w14:textId="77777777" w:rsidR="005D339F" w:rsidRDefault="005D339F" w:rsidP="008670FF">
            <w:r>
              <w:t>Other provisions</w:t>
            </w:r>
          </w:p>
        </w:tc>
        <w:tc>
          <w:tcPr>
            <w:tcW w:w="794" w:type="dxa"/>
          </w:tcPr>
          <w:p w14:paraId="13DC09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55 165</w:t>
            </w:r>
          </w:p>
        </w:tc>
        <w:tc>
          <w:tcPr>
            <w:tcW w:w="794" w:type="dxa"/>
          </w:tcPr>
          <w:p w14:paraId="7B6D52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54 298</w:t>
            </w:r>
          </w:p>
        </w:tc>
        <w:tc>
          <w:tcPr>
            <w:tcW w:w="794" w:type="dxa"/>
          </w:tcPr>
          <w:p w14:paraId="2BFDFC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58 214</w:t>
            </w:r>
          </w:p>
        </w:tc>
        <w:tc>
          <w:tcPr>
            <w:tcW w:w="794" w:type="dxa"/>
          </w:tcPr>
          <w:p w14:paraId="49D61D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62 268</w:t>
            </w:r>
          </w:p>
        </w:tc>
        <w:tc>
          <w:tcPr>
            <w:tcW w:w="794" w:type="dxa"/>
          </w:tcPr>
          <w:p w14:paraId="3636A9D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66 426</w:t>
            </w:r>
          </w:p>
        </w:tc>
      </w:tr>
      <w:tr w:rsidR="005D339F" w14:paraId="3FE61C0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ED4276E" w14:textId="77777777" w:rsidR="005D339F" w:rsidRDefault="005D339F" w:rsidP="008670FF">
            <w:r>
              <w:t>Other liabilities</w:t>
            </w:r>
          </w:p>
        </w:tc>
        <w:tc>
          <w:tcPr>
            <w:tcW w:w="794" w:type="dxa"/>
            <w:tcBorders>
              <w:bottom w:val="single" w:sz="6" w:space="0" w:color="auto"/>
            </w:tcBorders>
          </w:tcPr>
          <w:p w14:paraId="1BF97C9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1 546</w:t>
            </w:r>
          </w:p>
        </w:tc>
        <w:tc>
          <w:tcPr>
            <w:tcW w:w="794" w:type="dxa"/>
            <w:tcBorders>
              <w:bottom w:val="single" w:sz="6" w:space="0" w:color="auto"/>
            </w:tcBorders>
          </w:tcPr>
          <w:p w14:paraId="4D2E11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1 584</w:t>
            </w:r>
          </w:p>
        </w:tc>
        <w:tc>
          <w:tcPr>
            <w:tcW w:w="794" w:type="dxa"/>
            <w:tcBorders>
              <w:bottom w:val="single" w:sz="6" w:space="0" w:color="auto"/>
            </w:tcBorders>
          </w:tcPr>
          <w:p w14:paraId="7B5DDC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1 632</w:t>
            </w:r>
          </w:p>
        </w:tc>
        <w:tc>
          <w:tcPr>
            <w:tcW w:w="794" w:type="dxa"/>
            <w:tcBorders>
              <w:bottom w:val="single" w:sz="6" w:space="0" w:color="auto"/>
            </w:tcBorders>
          </w:tcPr>
          <w:p w14:paraId="5AF25C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1 644</w:t>
            </w:r>
          </w:p>
        </w:tc>
        <w:tc>
          <w:tcPr>
            <w:tcW w:w="794" w:type="dxa"/>
            <w:tcBorders>
              <w:bottom w:val="single" w:sz="6" w:space="0" w:color="auto"/>
            </w:tcBorders>
          </w:tcPr>
          <w:p w14:paraId="1EC9D4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1 648</w:t>
            </w:r>
          </w:p>
        </w:tc>
      </w:tr>
      <w:tr w:rsidR="005D339F" w14:paraId="3CC3274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79CE239D" w14:textId="77777777" w:rsidR="005D339F" w:rsidRDefault="005D339F" w:rsidP="008670FF">
            <w:r>
              <w:rPr>
                <w:b/>
              </w:rPr>
              <w:t>Total liabilities</w:t>
            </w:r>
          </w:p>
        </w:tc>
        <w:tc>
          <w:tcPr>
            <w:tcW w:w="794" w:type="dxa"/>
            <w:tcBorders>
              <w:top w:val="single" w:sz="6" w:space="0" w:color="auto"/>
              <w:bottom w:val="single" w:sz="6" w:space="0" w:color="auto"/>
            </w:tcBorders>
          </w:tcPr>
          <w:p w14:paraId="74392D8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248 825</w:t>
            </w:r>
          </w:p>
        </w:tc>
        <w:tc>
          <w:tcPr>
            <w:tcW w:w="794" w:type="dxa"/>
            <w:tcBorders>
              <w:top w:val="single" w:sz="6" w:space="0" w:color="auto"/>
              <w:bottom w:val="single" w:sz="6" w:space="0" w:color="auto"/>
            </w:tcBorders>
          </w:tcPr>
          <w:p w14:paraId="509478A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249 943</w:t>
            </w:r>
          </w:p>
        </w:tc>
        <w:tc>
          <w:tcPr>
            <w:tcW w:w="794" w:type="dxa"/>
            <w:tcBorders>
              <w:top w:val="single" w:sz="6" w:space="0" w:color="auto"/>
              <w:bottom w:val="single" w:sz="6" w:space="0" w:color="auto"/>
            </w:tcBorders>
          </w:tcPr>
          <w:p w14:paraId="6AE6363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272 375</w:t>
            </w:r>
          </w:p>
        </w:tc>
        <w:tc>
          <w:tcPr>
            <w:tcW w:w="794" w:type="dxa"/>
            <w:tcBorders>
              <w:top w:val="single" w:sz="6" w:space="0" w:color="auto"/>
              <w:bottom w:val="single" w:sz="6" w:space="0" w:color="auto"/>
            </w:tcBorders>
          </w:tcPr>
          <w:p w14:paraId="1CBB1D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292 795</w:t>
            </w:r>
          </w:p>
        </w:tc>
        <w:tc>
          <w:tcPr>
            <w:tcW w:w="794" w:type="dxa"/>
            <w:tcBorders>
              <w:top w:val="single" w:sz="6" w:space="0" w:color="auto"/>
              <w:bottom w:val="single" w:sz="6" w:space="0" w:color="auto"/>
            </w:tcBorders>
          </w:tcPr>
          <w:p w14:paraId="516578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312 108</w:t>
            </w:r>
          </w:p>
        </w:tc>
      </w:tr>
      <w:tr w:rsidR="005D339F" w14:paraId="69EE1D2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5C6F4E9" w14:textId="77777777" w:rsidR="005D339F" w:rsidRDefault="005D339F" w:rsidP="008670FF">
            <w:r>
              <w:rPr>
                <w:b/>
              </w:rPr>
              <w:t>Net assets</w:t>
            </w:r>
            <w:r>
              <w:rPr>
                <w:b/>
                <w:vertAlign w:val="superscript"/>
              </w:rPr>
              <w:t xml:space="preserve"> (d)</w:t>
            </w:r>
          </w:p>
        </w:tc>
        <w:tc>
          <w:tcPr>
            <w:tcW w:w="794" w:type="dxa"/>
            <w:tcBorders>
              <w:top w:val="single" w:sz="6" w:space="0" w:color="auto"/>
              <w:bottom w:val="single" w:sz="12" w:space="0" w:color="auto"/>
            </w:tcBorders>
          </w:tcPr>
          <w:p w14:paraId="5CAE5C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12 028</w:t>
            </w:r>
          </w:p>
        </w:tc>
        <w:tc>
          <w:tcPr>
            <w:tcW w:w="794" w:type="dxa"/>
            <w:tcBorders>
              <w:top w:val="single" w:sz="6" w:space="0" w:color="auto"/>
              <w:bottom w:val="single" w:sz="12" w:space="0" w:color="auto"/>
            </w:tcBorders>
          </w:tcPr>
          <w:p w14:paraId="282DA2C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10 134</w:t>
            </w:r>
          </w:p>
        </w:tc>
        <w:tc>
          <w:tcPr>
            <w:tcW w:w="794" w:type="dxa"/>
            <w:tcBorders>
              <w:top w:val="single" w:sz="6" w:space="0" w:color="auto"/>
              <w:bottom w:val="single" w:sz="12" w:space="0" w:color="auto"/>
            </w:tcBorders>
          </w:tcPr>
          <w:p w14:paraId="79CA05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9 148</w:t>
            </w:r>
          </w:p>
        </w:tc>
        <w:tc>
          <w:tcPr>
            <w:tcW w:w="794" w:type="dxa"/>
            <w:tcBorders>
              <w:top w:val="single" w:sz="6" w:space="0" w:color="auto"/>
              <w:bottom w:val="single" w:sz="12" w:space="0" w:color="auto"/>
            </w:tcBorders>
          </w:tcPr>
          <w:p w14:paraId="563596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9 025</w:t>
            </w:r>
          </w:p>
        </w:tc>
        <w:tc>
          <w:tcPr>
            <w:tcW w:w="794" w:type="dxa"/>
            <w:tcBorders>
              <w:top w:val="single" w:sz="6" w:space="0" w:color="auto"/>
              <w:bottom w:val="single" w:sz="12" w:space="0" w:color="auto"/>
            </w:tcBorders>
          </w:tcPr>
          <w:p w14:paraId="60DF19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8 104</w:t>
            </w:r>
          </w:p>
        </w:tc>
      </w:tr>
      <w:tr w:rsidR="005D339F" w14:paraId="0F3687D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6EE20E4D" w14:textId="77777777" w:rsidR="005D339F" w:rsidRDefault="005D339F" w:rsidP="008670FF">
            <w:r>
              <w:t>Accumulated surplus/(deficit)</w:t>
            </w:r>
          </w:p>
        </w:tc>
        <w:tc>
          <w:tcPr>
            <w:tcW w:w="794" w:type="dxa"/>
            <w:tcBorders>
              <w:top w:val="single" w:sz="6" w:space="0" w:color="auto"/>
            </w:tcBorders>
          </w:tcPr>
          <w:p w14:paraId="714BA0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11 420</w:t>
            </w:r>
          </w:p>
        </w:tc>
        <w:tc>
          <w:tcPr>
            <w:tcW w:w="794" w:type="dxa"/>
            <w:tcBorders>
              <w:top w:val="single" w:sz="6" w:space="0" w:color="auto"/>
            </w:tcBorders>
          </w:tcPr>
          <w:p w14:paraId="7D60CF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9 525</w:t>
            </w:r>
          </w:p>
        </w:tc>
        <w:tc>
          <w:tcPr>
            <w:tcW w:w="794" w:type="dxa"/>
            <w:tcBorders>
              <w:top w:val="single" w:sz="6" w:space="0" w:color="auto"/>
            </w:tcBorders>
          </w:tcPr>
          <w:p w14:paraId="05FC2E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8 466</w:t>
            </w:r>
          </w:p>
        </w:tc>
        <w:tc>
          <w:tcPr>
            <w:tcW w:w="794" w:type="dxa"/>
            <w:tcBorders>
              <w:top w:val="single" w:sz="6" w:space="0" w:color="auto"/>
            </w:tcBorders>
          </w:tcPr>
          <w:p w14:paraId="368769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8 245</w:t>
            </w:r>
          </w:p>
        </w:tc>
        <w:tc>
          <w:tcPr>
            <w:tcW w:w="794" w:type="dxa"/>
            <w:tcBorders>
              <w:top w:val="single" w:sz="6" w:space="0" w:color="auto"/>
            </w:tcBorders>
          </w:tcPr>
          <w:p w14:paraId="03EBFC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7 246</w:t>
            </w:r>
          </w:p>
        </w:tc>
      </w:tr>
      <w:tr w:rsidR="005D339F" w14:paraId="0DFC591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A062B1B" w14:textId="77777777" w:rsidR="005D339F" w:rsidRDefault="005D339F" w:rsidP="008670FF">
            <w:r>
              <w:t>Reserves</w:t>
            </w:r>
          </w:p>
        </w:tc>
        <w:tc>
          <w:tcPr>
            <w:tcW w:w="794" w:type="dxa"/>
            <w:tcBorders>
              <w:bottom w:val="single" w:sz="6" w:space="0" w:color="auto"/>
            </w:tcBorders>
          </w:tcPr>
          <w:p w14:paraId="19B089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609</w:t>
            </w:r>
          </w:p>
        </w:tc>
        <w:tc>
          <w:tcPr>
            <w:tcW w:w="794" w:type="dxa"/>
            <w:tcBorders>
              <w:bottom w:val="single" w:sz="6" w:space="0" w:color="auto"/>
            </w:tcBorders>
          </w:tcPr>
          <w:p w14:paraId="248A1E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609</w:t>
            </w:r>
          </w:p>
        </w:tc>
        <w:tc>
          <w:tcPr>
            <w:tcW w:w="794" w:type="dxa"/>
            <w:tcBorders>
              <w:bottom w:val="single" w:sz="6" w:space="0" w:color="auto"/>
            </w:tcBorders>
          </w:tcPr>
          <w:p w14:paraId="61B612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682</w:t>
            </w:r>
          </w:p>
        </w:tc>
        <w:tc>
          <w:tcPr>
            <w:tcW w:w="794" w:type="dxa"/>
            <w:tcBorders>
              <w:bottom w:val="single" w:sz="6" w:space="0" w:color="auto"/>
            </w:tcBorders>
          </w:tcPr>
          <w:p w14:paraId="20F64F0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780</w:t>
            </w:r>
          </w:p>
        </w:tc>
        <w:tc>
          <w:tcPr>
            <w:tcW w:w="794" w:type="dxa"/>
            <w:tcBorders>
              <w:bottom w:val="single" w:sz="6" w:space="0" w:color="auto"/>
            </w:tcBorders>
          </w:tcPr>
          <w:p w14:paraId="2441DE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858</w:t>
            </w:r>
          </w:p>
        </w:tc>
      </w:tr>
      <w:tr w:rsidR="005D339F" w14:paraId="063C1DC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4F1E5BA" w14:textId="77777777" w:rsidR="005D339F" w:rsidRDefault="005D339F" w:rsidP="008670FF">
            <w:r>
              <w:rPr>
                <w:b/>
              </w:rPr>
              <w:t>Net worth</w:t>
            </w:r>
            <w:r>
              <w:rPr>
                <w:b/>
                <w:vertAlign w:val="superscript"/>
              </w:rPr>
              <w:t xml:space="preserve"> (d)</w:t>
            </w:r>
          </w:p>
        </w:tc>
        <w:tc>
          <w:tcPr>
            <w:tcW w:w="794" w:type="dxa"/>
            <w:tcBorders>
              <w:top w:val="single" w:sz="6" w:space="0" w:color="auto"/>
              <w:bottom w:val="single" w:sz="12" w:space="0" w:color="auto"/>
            </w:tcBorders>
          </w:tcPr>
          <w:p w14:paraId="6F06D06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12 028</w:t>
            </w:r>
          </w:p>
        </w:tc>
        <w:tc>
          <w:tcPr>
            <w:tcW w:w="794" w:type="dxa"/>
            <w:tcBorders>
              <w:top w:val="single" w:sz="6" w:space="0" w:color="auto"/>
              <w:bottom w:val="single" w:sz="12" w:space="0" w:color="auto"/>
            </w:tcBorders>
          </w:tcPr>
          <w:p w14:paraId="73761CB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10 134</w:t>
            </w:r>
          </w:p>
        </w:tc>
        <w:tc>
          <w:tcPr>
            <w:tcW w:w="794" w:type="dxa"/>
            <w:tcBorders>
              <w:top w:val="single" w:sz="6" w:space="0" w:color="auto"/>
              <w:bottom w:val="single" w:sz="12" w:space="0" w:color="auto"/>
            </w:tcBorders>
          </w:tcPr>
          <w:p w14:paraId="153796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9 148</w:t>
            </w:r>
          </w:p>
        </w:tc>
        <w:tc>
          <w:tcPr>
            <w:tcW w:w="794" w:type="dxa"/>
            <w:tcBorders>
              <w:top w:val="single" w:sz="6" w:space="0" w:color="auto"/>
              <w:bottom w:val="single" w:sz="12" w:space="0" w:color="auto"/>
            </w:tcBorders>
          </w:tcPr>
          <w:p w14:paraId="108F013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9 025</w:t>
            </w:r>
          </w:p>
        </w:tc>
        <w:tc>
          <w:tcPr>
            <w:tcW w:w="794" w:type="dxa"/>
            <w:tcBorders>
              <w:top w:val="single" w:sz="6" w:space="0" w:color="auto"/>
              <w:bottom w:val="single" w:sz="12" w:space="0" w:color="auto"/>
            </w:tcBorders>
          </w:tcPr>
          <w:p w14:paraId="592F4A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8 104</w:t>
            </w:r>
          </w:p>
        </w:tc>
      </w:tr>
      <w:tr w:rsidR="005D339F" w14:paraId="32F506FD"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4B4EEE79" w14:textId="77777777" w:rsidR="005D339F" w:rsidRDefault="005D339F" w:rsidP="008670FF"/>
        </w:tc>
        <w:tc>
          <w:tcPr>
            <w:tcW w:w="794" w:type="dxa"/>
            <w:tcBorders>
              <w:top w:val="single" w:sz="6" w:space="0" w:color="auto"/>
            </w:tcBorders>
          </w:tcPr>
          <w:p w14:paraId="2E1F84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A3D4F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D2666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526087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4F20A8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A90B0D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D19EC93" w14:textId="77777777" w:rsidR="005D339F" w:rsidRDefault="005D339F" w:rsidP="008670FF">
            <w:r>
              <w:rPr>
                <w:b/>
              </w:rPr>
              <w:t>FISCAL AGGREGATES</w:t>
            </w:r>
          </w:p>
        </w:tc>
        <w:tc>
          <w:tcPr>
            <w:tcW w:w="794" w:type="dxa"/>
          </w:tcPr>
          <w:p w14:paraId="6695CD5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BF392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A3E36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FB349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C260B6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28D717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BDDA91C" w14:textId="77777777" w:rsidR="005D339F" w:rsidRDefault="005D339F" w:rsidP="008670FF">
            <w:r>
              <w:t>Net financial worth</w:t>
            </w:r>
          </w:p>
        </w:tc>
        <w:tc>
          <w:tcPr>
            <w:tcW w:w="794" w:type="dxa"/>
          </w:tcPr>
          <w:p w14:paraId="11AD721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7 932</w:t>
            </w:r>
          </w:p>
        </w:tc>
        <w:tc>
          <w:tcPr>
            <w:tcW w:w="794" w:type="dxa"/>
          </w:tcPr>
          <w:p w14:paraId="45FD8F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6 788</w:t>
            </w:r>
          </w:p>
        </w:tc>
        <w:tc>
          <w:tcPr>
            <w:tcW w:w="794" w:type="dxa"/>
          </w:tcPr>
          <w:p w14:paraId="2B8849B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5 795</w:t>
            </w:r>
          </w:p>
        </w:tc>
        <w:tc>
          <w:tcPr>
            <w:tcW w:w="794" w:type="dxa"/>
          </w:tcPr>
          <w:p w14:paraId="26802B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5 658</w:t>
            </w:r>
          </w:p>
        </w:tc>
        <w:tc>
          <w:tcPr>
            <w:tcW w:w="794" w:type="dxa"/>
          </w:tcPr>
          <w:p w14:paraId="1E118E5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4 856</w:t>
            </w:r>
          </w:p>
        </w:tc>
      </w:tr>
      <w:tr w:rsidR="005D339F" w14:paraId="296199A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74703B4" w14:textId="77777777" w:rsidR="005D339F" w:rsidRDefault="005D339F" w:rsidP="008670FF">
            <w:r>
              <w:t>Net financial liabilities</w:t>
            </w:r>
          </w:p>
        </w:tc>
        <w:tc>
          <w:tcPr>
            <w:tcW w:w="794" w:type="dxa"/>
          </w:tcPr>
          <w:p w14:paraId="6A65D4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(7 932)</w:t>
            </w:r>
          </w:p>
        </w:tc>
        <w:tc>
          <w:tcPr>
            <w:tcW w:w="794" w:type="dxa"/>
          </w:tcPr>
          <w:p w14:paraId="5F98F07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(6 788)</w:t>
            </w:r>
          </w:p>
        </w:tc>
        <w:tc>
          <w:tcPr>
            <w:tcW w:w="794" w:type="dxa"/>
          </w:tcPr>
          <w:p w14:paraId="094E79C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(5 795)</w:t>
            </w:r>
          </w:p>
        </w:tc>
        <w:tc>
          <w:tcPr>
            <w:tcW w:w="794" w:type="dxa"/>
          </w:tcPr>
          <w:p w14:paraId="22A35C2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(5 658)</w:t>
            </w:r>
          </w:p>
        </w:tc>
        <w:tc>
          <w:tcPr>
            <w:tcW w:w="794" w:type="dxa"/>
          </w:tcPr>
          <w:p w14:paraId="7013243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(4 856)</w:t>
            </w:r>
          </w:p>
        </w:tc>
      </w:tr>
      <w:tr w:rsidR="005D339F" w14:paraId="1947950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2050EB72" w14:textId="77777777" w:rsidR="005D339F" w:rsidRDefault="005D339F" w:rsidP="008670FF">
            <w:r>
              <w:t>Net debt</w:t>
            </w:r>
          </w:p>
        </w:tc>
        <w:tc>
          <w:tcPr>
            <w:tcW w:w="794" w:type="dxa"/>
            <w:tcBorders>
              <w:bottom w:val="single" w:sz="12" w:space="0" w:color="auto"/>
            </w:tcBorders>
          </w:tcPr>
          <w:p w14:paraId="5B65425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(63 517)</w:t>
            </w:r>
          </w:p>
        </w:tc>
        <w:tc>
          <w:tcPr>
            <w:tcW w:w="794" w:type="dxa"/>
            <w:tcBorders>
              <w:bottom w:val="single" w:sz="12" w:space="0" w:color="auto"/>
            </w:tcBorders>
          </w:tcPr>
          <w:p w14:paraId="56AED9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(61 427)</w:t>
            </w:r>
          </w:p>
        </w:tc>
        <w:tc>
          <w:tcPr>
            <w:tcW w:w="794" w:type="dxa"/>
            <w:tcBorders>
              <w:bottom w:val="single" w:sz="12" w:space="0" w:color="auto"/>
            </w:tcBorders>
          </w:tcPr>
          <w:p w14:paraId="0CE8364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(64 360)</w:t>
            </w:r>
          </w:p>
        </w:tc>
        <w:tc>
          <w:tcPr>
            <w:tcW w:w="794" w:type="dxa"/>
            <w:tcBorders>
              <w:bottom w:val="single" w:sz="12" w:space="0" w:color="auto"/>
            </w:tcBorders>
          </w:tcPr>
          <w:p w14:paraId="4377BAA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(68 251)</w:t>
            </w:r>
          </w:p>
        </w:tc>
        <w:tc>
          <w:tcPr>
            <w:tcW w:w="794" w:type="dxa"/>
            <w:tcBorders>
              <w:bottom w:val="single" w:sz="12" w:space="0" w:color="auto"/>
            </w:tcBorders>
          </w:tcPr>
          <w:p w14:paraId="633F95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(71 556)</w:t>
            </w:r>
          </w:p>
        </w:tc>
      </w:tr>
    </w:tbl>
    <w:p w14:paraId="6A2E2408" w14:textId="77777777" w:rsidR="005D339F" w:rsidRPr="00921F69" w:rsidRDefault="005D339F" w:rsidP="005D339F">
      <w:pPr>
        <w:pStyle w:val="Note"/>
      </w:pPr>
      <w:r w:rsidRPr="00921F69">
        <w:t>Notes:</w:t>
      </w:r>
    </w:p>
    <w:p w14:paraId="072940F8" w14:textId="77777777" w:rsidR="005D339F" w:rsidRPr="00921F69" w:rsidRDefault="005D339F" w:rsidP="005D339F">
      <w:pPr>
        <w:pStyle w:val="Note"/>
      </w:pPr>
      <w:r w:rsidRPr="00921F69">
        <w:t>(a)</w:t>
      </w:r>
      <w:r w:rsidRPr="00921F69">
        <w:tab/>
        <w:t>Balances represent actual opening balances at 1 July 20</w:t>
      </w:r>
      <w:r>
        <w:t>24</w:t>
      </w:r>
      <w:r w:rsidRPr="00921F69">
        <w:t xml:space="preserve"> plus 20</w:t>
      </w:r>
      <w:r>
        <w:t>24</w:t>
      </w:r>
      <w:r w:rsidRPr="00921F69">
        <w:t>-2</w:t>
      </w:r>
      <w:r>
        <w:t>5</w:t>
      </w:r>
      <w:r w:rsidRPr="00921F69">
        <w:t xml:space="preserve"> budgeted movements.</w:t>
      </w:r>
    </w:p>
    <w:p w14:paraId="54AE1973" w14:textId="77777777" w:rsidR="005D339F" w:rsidRPr="00921F69" w:rsidRDefault="005D339F" w:rsidP="005D339F">
      <w:pPr>
        <w:pStyle w:val="Note"/>
      </w:pPr>
      <w:r w:rsidRPr="00921F69">
        <w:t>(b)</w:t>
      </w:r>
      <w:r w:rsidRPr="00921F69">
        <w:tab/>
        <w:t>Loans receivable from the non-financial public sector are at amortised cost.</w:t>
      </w:r>
    </w:p>
    <w:p w14:paraId="361322D3" w14:textId="77777777" w:rsidR="005D339F" w:rsidRPr="00921F69" w:rsidRDefault="005D339F" w:rsidP="005D339F">
      <w:pPr>
        <w:pStyle w:val="Note"/>
      </w:pPr>
      <w:r w:rsidRPr="00921F69">
        <w:t>(c)</w:t>
      </w:r>
      <w:r w:rsidRPr="00921F69">
        <w:tab/>
        <w:t>Borrowings with the private sector are at market value.</w:t>
      </w:r>
    </w:p>
    <w:p w14:paraId="172BCE86" w14:textId="77777777" w:rsidR="005D339F" w:rsidRPr="00921F69" w:rsidRDefault="005D339F" w:rsidP="005D339F">
      <w:pPr>
        <w:pStyle w:val="Note"/>
      </w:pPr>
      <w:r w:rsidRPr="00921F69">
        <w:t>(d)</w:t>
      </w:r>
      <w:r w:rsidRPr="00921F69">
        <w:tab/>
      </w:r>
      <w:r w:rsidRPr="00B14C53">
        <w:t>Treasury Corporation of Victoria</w:t>
      </w:r>
      <w:r>
        <w:t>’</w:t>
      </w:r>
      <w:r w:rsidRPr="00B14C53">
        <w:t>s external loan liabilities are at mark-to-market value</w:t>
      </w:r>
      <w:r>
        <w:t>,</w:t>
      </w:r>
      <w:r w:rsidRPr="00B14C53">
        <w:t xml:space="preserve"> while the corresponding assets, that is lending to the non-financial public sector, </w:t>
      </w:r>
      <w:r>
        <w:t xml:space="preserve">are at </w:t>
      </w:r>
      <w:r w:rsidRPr="00B14C53">
        <w:t>historical value.</w:t>
      </w:r>
      <w:r w:rsidRPr="00242273">
        <w:t xml:space="preserve"> </w:t>
      </w:r>
    </w:p>
    <w:p w14:paraId="069EA44E" w14:textId="77777777" w:rsidR="005D339F" w:rsidRPr="00921F69" w:rsidRDefault="005D339F" w:rsidP="005D339F">
      <w:pPr>
        <w:rPr>
          <w:rFonts w:asciiTheme="majorHAnsi" w:hAnsiTheme="majorHAnsi"/>
        </w:rPr>
      </w:pPr>
    </w:p>
    <w:p w14:paraId="0F11EB9A" w14:textId="77777777" w:rsidR="005D339F" w:rsidRDefault="005D339F" w:rsidP="005D339F">
      <w:pPr>
        <w:rPr>
          <w:rFonts w:asciiTheme="majorHAnsi" w:hAnsiTheme="majorHAnsi"/>
          <w:b/>
          <w:sz w:val="20"/>
        </w:rPr>
      </w:pPr>
      <w:r>
        <w:br w:type="page"/>
      </w:r>
    </w:p>
    <w:p w14:paraId="3D882D51" w14:textId="77777777" w:rsidR="005D339F" w:rsidRPr="00F25800" w:rsidRDefault="005D339F" w:rsidP="005D339F">
      <w:pPr>
        <w:pStyle w:val="TableHeading"/>
      </w:pPr>
      <w:r w:rsidRPr="00921F69">
        <w:t>Table 5.13</w:t>
      </w:r>
      <w:r w:rsidRPr="00921F69">
        <w:tab/>
        <w:t xml:space="preserve">Public financial corporations sector cash flow statement </w:t>
      </w:r>
      <w:r w:rsidRPr="00921F69">
        <w:br/>
        <w:t>for the financial year ended 30 June</w:t>
      </w:r>
      <w:r w:rsidRPr="00921F69">
        <w:tab/>
        <w:t>($ million)</w:t>
      </w:r>
    </w:p>
    <w:tbl>
      <w:tblPr>
        <w:tblStyle w:val="DTFTableNumeric"/>
        <w:tblW w:w="7797" w:type="dxa"/>
        <w:tblLayout w:type="fixed"/>
        <w:tblLook w:val="06A0" w:firstRow="1" w:lastRow="0" w:firstColumn="1" w:lastColumn="0" w:noHBand="1" w:noVBand="1"/>
        <w:tblDescription w:val="Type:DtfTable|Workbook:https://vicgov.sharepoint.com/sites/VG002735/Budget%20Update/Financial%20Statements/SRIMS%20exports/SRIMS_BU_UPF_PNFC_PFC.xlsx|Table:PFC_CF|MergedHeadingRow:1"/>
      </w:tblPr>
      <w:tblGrid>
        <w:gridCol w:w="4102"/>
        <w:gridCol w:w="739"/>
        <w:gridCol w:w="739"/>
        <w:gridCol w:w="739"/>
        <w:gridCol w:w="739"/>
        <w:gridCol w:w="739"/>
      </w:tblGrid>
      <w:tr w:rsidR="005D339F" w14:paraId="6598CD30"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2" w:type="dxa"/>
          </w:tcPr>
          <w:p w14:paraId="2C3F4303" w14:textId="77777777" w:rsidR="005D339F" w:rsidRDefault="005D339F" w:rsidP="008670FF">
            <w:pPr>
              <w:keepNext/>
            </w:pPr>
          </w:p>
        </w:tc>
        <w:tc>
          <w:tcPr>
            <w:tcW w:w="739" w:type="dxa"/>
          </w:tcPr>
          <w:p w14:paraId="11FA819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budget</w:t>
            </w:r>
          </w:p>
        </w:tc>
        <w:tc>
          <w:tcPr>
            <w:tcW w:w="739" w:type="dxa"/>
          </w:tcPr>
          <w:p w14:paraId="524B2E5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revised</w:t>
            </w:r>
          </w:p>
        </w:tc>
        <w:tc>
          <w:tcPr>
            <w:tcW w:w="739" w:type="dxa"/>
          </w:tcPr>
          <w:p w14:paraId="293E86D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39" w:type="dxa"/>
          </w:tcPr>
          <w:p w14:paraId="5EC6E261"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c>
          <w:tcPr>
            <w:tcW w:w="739" w:type="dxa"/>
          </w:tcPr>
          <w:p w14:paraId="0EE79701"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2027</w:t>
            </w:r>
            <w:r>
              <w:rPr>
                <w:sz w:val="16"/>
              </w:rPr>
              <w:noBreakHyphen/>
              <w:t>28</w:t>
            </w:r>
            <w:r>
              <w:br/>
              <w:t>estimate</w:t>
            </w:r>
          </w:p>
        </w:tc>
      </w:tr>
      <w:tr w:rsidR="005D339F" w14:paraId="663E9E24"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3204A3BF" w14:textId="77777777" w:rsidR="005D339F" w:rsidRDefault="005D339F" w:rsidP="008670FF">
            <w:r>
              <w:rPr>
                <w:b/>
                <w:sz w:val="16"/>
              </w:rPr>
              <w:t>Cash flows from operating activities</w:t>
            </w:r>
          </w:p>
        </w:tc>
        <w:tc>
          <w:tcPr>
            <w:tcW w:w="739" w:type="dxa"/>
          </w:tcPr>
          <w:p w14:paraId="770AB3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70878D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1B53DE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7B81149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21FF9D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874A2BD"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0B45CB82" w14:textId="77777777" w:rsidR="005D339F" w:rsidRDefault="005D339F" w:rsidP="008670FF">
            <w:r>
              <w:rPr>
                <w:b/>
                <w:sz w:val="16"/>
              </w:rPr>
              <w:t>Receipts</w:t>
            </w:r>
          </w:p>
        </w:tc>
        <w:tc>
          <w:tcPr>
            <w:tcW w:w="739" w:type="dxa"/>
          </w:tcPr>
          <w:p w14:paraId="0F9CFA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14408E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0B97649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49FBC2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5A64CF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129D10D"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5D941914" w14:textId="77777777" w:rsidR="005D339F" w:rsidRDefault="005D339F" w:rsidP="008670FF">
            <w:r>
              <w:rPr>
                <w:sz w:val="16"/>
              </w:rPr>
              <w:t>Grants</w:t>
            </w:r>
          </w:p>
        </w:tc>
        <w:tc>
          <w:tcPr>
            <w:tcW w:w="739" w:type="dxa"/>
          </w:tcPr>
          <w:p w14:paraId="15930E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w:t>
            </w:r>
          </w:p>
        </w:tc>
        <w:tc>
          <w:tcPr>
            <w:tcW w:w="739" w:type="dxa"/>
          </w:tcPr>
          <w:p w14:paraId="4590BC4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w:t>
            </w:r>
          </w:p>
        </w:tc>
        <w:tc>
          <w:tcPr>
            <w:tcW w:w="739" w:type="dxa"/>
          </w:tcPr>
          <w:p w14:paraId="5C930E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w:t>
            </w:r>
          </w:p>
        </w:tc>
        <w:tc>
          <w:tcPr>
            <w:tcW w:w="739" w:type="dxa"/>
          </w:tcPr>
          <w:p w14:paraId="109BC0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w:t>
            </w:r>
          </w:p>
        </w:tc>
        <w:tc>
          <w:tcPr>
            <w:tcW w:w="739" w:type="dxa"/>
          </w:tcPr>
          <w:p w14:paraId="423CCA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33</w:t>
            </w:r>
          </w:p>
        </w:tc>
      </w:tr>
      <w:tr w:rsidR="005D339F" w14:paraId="7997E9EE"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2C45BAD6" w14:textId="77777777" w:rsidR="005D339F" w:rsidRDefault="005D339F" w:rsidP="008670FF">
            <w:r>
              <w:rPr>
                <w:sz w:val="16"/>
              </w:rPr>
              <w:t>Sales of goods and services</w:t>
            </w:r>
            <w:r>
              <w:rPr>
                <w:sz w:val="16"/>
                <w:vertAlign w:val="superscript"/>
              </w:rPr>
              <w:t xml:space="preserve"> (a)</w:t>
            </w:r>
          </w:p>
        </w:tc>
        <w:tc>
          <w:tcPr>
            <w:tcW w:w="739" w:type="dxa"/>
          </w:tcPr>
          <w:p w14:paraId="0A1D78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9 432</w:t>
            </w:r>
          </w:p>
        </w:tc>
        <w:tc>
          <w:tcPr>
            <w:tcW w:w="739" w:type="dxa"/>
          </w:tcPr>
          <w:p w14:paraId="27AF97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9 502</w:t>
            </w:r>
          </w:p>
        </w:tc>
        <w:tc>
          <w:tcPr>
            <w:tcW w:w="739" w:type="dxa"/>
          </w:tcPr>
          <w:p w14:paraId="1643AE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10 087</w:t>
            </w:r>
          </w:p>
        </w:tc>
        <w:tc>
          <w:tcPr>
            <w:tcW w:w="739" w:type="dxa"/>
          </w:tcPr>
          <w:p w14:paraId="3D980A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10 683</w:t>
            </w:r>
          </w:p>
        </w:tc>
        <w:tc>
          <w:tcPr>
            <w:tcW w:w="739" w:type="dxa"/>
          </w:tcPr>
          <w:p w14:paraId="0CD8F0B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11 307</w:t>
            </w:r>
          </w:p>
        </w:tc>
      </w:tr>
      <w:tr w:rsidR="005D339F" w14:paraId="0FC1B764"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53F651E9" w14:textId="77777777" w:rsidR="005D339F" w:rsidRDefault="005D339F" w:rsidP="008670FF">
            <w:r>
              <w:rPr>
                <w:sz w:val="16"/>
              </w:rPr>
              <w:t>Interest received</w:t>
            </w:r>
          </w:p>
        </w:tc>
        <w:tc>
          <w:tcPr>
            <w:tcW w:w="739" w:type="dxa"/>
          </w:tcPr>
          <w:p w14:paraId="2BB13A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6 276</w:t>
            </w:r>
          </w:p>
        </w:tc>
        <w:tc>
          <w:tcPr>
            <w:tcW w:w="739" w:type="dxa"/>
          </w:tcPr>
          <w:p w14:paraId="4922E3F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6 366</w:t>
            </w:r>
          </w:p>
        </w:tc>
        <w:tc>
          <w:tcPr>
            <w:tcW w:w="739" w:type="dxa"/>
          </w:tcPr>
          <w:p w14:paraId="5A8F69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7 269</w:t>
            </w:r>
          </w:p>
        </w:tc>
        <w:tc>
          <w:tcPr>
            <w:tcW w:w="739" w:type="dxa"/>
          </w:tcPr>
          <w:p w14:paraId="4ADE4B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8 449</w:t>
            </w:r>
          </w:p>
        </w:tc>
        <w:tc>
          <w:tcPr>
            <w:tcW w:w="739" w:type="dxa"/>
          </w:tcPr>
          <w:p w14:paraId="4D0D3B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9 667</w:t>
            </w:r>
          </w:p>
        </w:tc>
      </w:tr>
      <w:tr w:rsidR="005D339F" w14:paraId="01E3F1B1"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15A53034" w14:textId="77777777" w:rsidR="005D339F" w:rsidRDefault="005D339F" w:rsidP="008670FF">
            <w:r>
              <w:rPr>
                <w:sz w:val="16"/>
              </w:rPr>
              <w:t>Dividend receipts</w:t>
            </w:r>
          </w:p>
        </w:tc>
        <w:tc>
          <w:tcPr>
            <w:tcW w:w="739" w:type="dxa"/>
          </w:tcPr>
          <w:p w14:paraId="7D36E9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2 113</w:t>
            </w:r>
          </w:p>
        </w:tc>
        <w:tc>
          <w:tcPr>
            <w:tcW w:w="739" w:type="dxa"/>
          </w:tcPr>
          <w:p w14:paraId="3E9D06B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2 670</w:t>
            </w:r>
          </w:p>
        </w:tc>
        <w:tc>
          <w:tcPr>
            <w:tcW w:w="739" w:type="dxa"/>
          </w:tcPr>
          <w:p w14:paraId="291890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2 902</w:t>
            </w:r>
          </w:p>
        </w:tc>
        <w:tc>
          <w:tcPr>
            <w:tcW w:w="739" w:type="dxa"/>
          </w:tcPr>
          <w:p w14:paraId="2E64955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3 113</w:t>
            </w:r>
          </w:p>
        </w:tc>
        <w:tc>
          <w:tcPr>
            <w:tcW w:w="739" w:type="dxa"/>
          </w:tcPr>
          <w:p w14:paraId="63C118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3 216</w:t>
            </w:r>
          </w:p>
        </w:tc>
      </w:tr>
      <w:tr w:rsidR="005D339F" w14:paraId="766DD206"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20BBBC24" w14:textId="77777777" w:rsidR="005D339F" w:rsidRDefault="005D339F" w:rsidP="008670FF">
            <w:r>
              <w:rPr>
                <w:sz w:val="16"/>
              </w:rPr>
              <w:t>Other receipts</w:t>
            </w:r>
          </w:p>
        </w:tc>
        <w:tc>
          <w:tcPr>
            <w:tcW w:w="739" w:type="dxa"/>
            <w:tcBorders>
              <w:bottom w:val="single" w:sz="6" w:space="0" w:color="auto"/>
            </w:tcBorders>
          </w:tcPr>
          <w:p w14:paraId="5D2D64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107</w:t>
            </w:r>
          </w:p>
        </w:tc>
        <w:tc>
          <w:tcPr>
            <w:tcW w:w="739" w:type="dxa"/>
            <w:tcBorders>
              <w:bottom w:val="single" w:sz="6" w:space="0" w:color="auto"/>
            </w:tcBorders>
          </w:tcPr>
          <w:p w14:paraId="316EE4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116</w:t>
            </w:r>
          </w:p>
        </w:tc>
        <w:tc>
          <w:tcPr>
            <w:tcW w:w="739" w:type="dxa"/>
            <w:tcBorders>
              <w:bottom w:val="single" w:sz="6" w:space="0" w:color="auto"/>
            </w:tcBorders>
          </w:tcPr>
          <w:p w14:paraId="064690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29</w:t>
            </w:r>
          </w:p>
        </w:tc>
        <w:tc>
          <w:tcPr>
            <w:tcW w:w="739" w:type="dxa"/>
            <w:tcBorders>
              <w:bottom w:val="single" w:sz="6" w:space="0" w:color="auto"/>
            </w:tcBorders>
          </w:tcPr>
          <w:p w14:paraId="5C352E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32</w:t>
            </w:r>
          </w:p>
        </w:tc>
        <w:tc>
          <w:tcPr>
            <w:tcW w:w="739" w:type="dxa"/>
            <w:tcBorders>
              <w:bottom w:val="single" w:sz="6" w:space="0" w:color="auto"/>
            </w:tcBorders>
          </w:tcPr>
          <w:p w14:paraId="7F3A30C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17</w:t>
            </w:r>
          </w:p>
        </w:tc>
      </w:tr>
      <w:tr w:rsidR="005D339F" w14:paraId="584887D4"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6E1F3613" w14:textId="77777777" w:rsidR="005D339F" w:rsidRDefault="005D339F" w:rsidP="008670FF">
            <w:r>
              <w:rPr>
                <w:b/>
                <w:sz w:val="16"/>
              </w:rPr>
              <w:t>Total receipts</w:t>
            </w:r>
          </w:p>
        </w:tc>
        <w:tc>
          <w:tcPr>
            <w:tcW w:w="739" w:type="dxa"/>
            <w:tcBorders>
              <w:top w:val="single" w:sz="6" w:space="0" w:color="auto"/>
            </w:tcBorders>
          </w:tcPr>
          <w:p w14:paraId="3E6A67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17 936</w:t>
            </w:r>
          </w:p>
        </w:tc>
        <w:tc>
          <w:tcPr>
            <w:tcW w:w="739" w:type="dxa"/>
            <w:tcBorders>
              <w:top w:val="single" w:sz="6" w:space="0" w:color="auto"/>
            </w:tcBorders>
          </w:tcPr>
          <w:p w14:paraId="131233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18 662</w:t>
            </w:r>
          </w:p>
        </w:tc>
        <w:tc>
          <w:tcPr>
            <w:tcW w:w="739" w:type="dxa"/>
            <w:tcBorders>
              <w:top w:val="single" w:sz="6" w:space="0" w:color="auto"/>
            </w:tcBorders>
          </w:tcPr>
          <w:p w14:paraId="3C4CD6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20 295</w:t>
            </w:r>
          </w:p>
        </w:tc>
        <w:tc>
          <w:tcPr>
            <w:tcW w:w="739" w:type="dxa"/>
            <w:tcBorders>
              <w:top w:val="single" w:sz="6" w:space="0" w:color="auto"/>
            </w:tcBorders>
          </w:tcPr>
          <w:p w14:paraId="6AD4E6D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22 287</w:t>
            </w:r>
          </w:p>
        </w:tc>
        <w:tc>
          <w:tcPr>
            <w:tcW w:w="739" w:type="dxa"/>
            <w:tcBorders>
              <w:top w:val="single" w:sz="6" w:space="0" w:color="auto"/>
            </w:tcBorders>
          </w:tcPr>
          <w:p w14:paraId="04A8BC3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24 241</w:t>
            </w:r>
          </w:p>
        </w:tc>
      </w:tr>
      <w:tr w:rsidR="005D339F" w14:paraId="739CCCC4"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718FBCA9" w14:textId="77777777" w:rsidR="005D339F" w:rsidRDefault="005D339F" w:rsidP="008670FF">
            <w:r>
              <w:rPr>
                <w:b/>
                <w:sz w:val="16"/>
              </w:rPr>
              <w:t>Payments</w:t>
            </w:r>
          </w:p>
        </w:tc>
        <w:tc>
          <w:tcPr>
            <w:tcW w:w="739" w:type="dxa"/>
          </w:tcPr>
          <w:p w14:paraId="324587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30766B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4A0527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42CEAB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0D82F27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C5AA818"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61687FF9" w14:textId="77777777" w:rsidR="005D339F" w:rsidRDefault="005D339F" w:rsidP="008670FF">
            <w:r>
              <w:rPr>
                <w:sz w:val="16"/>
              </w:rPr>
              <w:t>Payments for employees</w:t>
            </w:r>
          </w:p>
        </w:tc>
        <w:tc>
          <w:tcPr>
            <w:tcW w:w="739" w:type="dxa"/>
          </w:tcPr>
          <w:p w14:paraId="01026E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(541)</w:t>
            </w:r>
          </w:p>
        </w:tc>
        <w:tc>
          <w:tcPr>
            <w:tcW w:w="739" w:type="dxa"/>
          </w:tcPr>
          <w:p w14:paraId="555874D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(552)</w:t>
            </w:r>
          </w:p>
        </w:tc>
        <w:tc>
          <w:tcPr>
            <w:tcW w:w="739" w:type="dxa"/>
          </w:tcPr>
          <w:p w14:paraId="3D8801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(574)</w:t>
            </w:r>
          </w:p>
        </w:tc>
        <w:tc>
          <w:tcPr>
            <w:tcW w:w="739" w:type="dxa"/>
          </w:tcPr>
          <w:p w14:paraId="259B43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(593)</w:t>
            </w:r>
          </w:p>
        </w:tc>
        <w:tc>
          <w:tcPr>
            <w:tcW w:w="739" w:type="dxa"/>
          </w:tcPr>
          <w:p w14:paraId="507C51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(601)</w:t>
            </w:r>
          </w:p>
        </w:tc>
      </w:tr>
      <w:tr w:rsidR="005D339F" w14:paraId="5EEAA378"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4CEF8845" w14:textId="77777777" w:rsidR="005D339F" w:rsidRDefault="005D339F" w:rsidP="008670FF">
            <w:r>
              <w:rPr>
                <w:sz w:val="16"/>
              </w:rPr>
              <w:t>Superannuation</w:t>
            </w:r>
          </w:p>
        </w:tc>
        <w:tc>
          <w:tcPr>
            <w:tcW w:w="739" w:type="dxa"/>
          </w:tcPr>
          <w:p w14:paraId="1C4B99F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(56)</w:t>
            </w:r>
          </w:p>
        </w:tc>
        <w:tc>
          <w:tcPr>
            <w:tcW w:w="739" w:type="dxa"/>
          </w:tcPr>
          <w:p w14:paraId="1B5E0C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(57)</w:t>
            </w:r>
          </w:p>
        </w:tc>
        <w:tc>
          <w:tcPr>
            <w:tcW w:w="739" w:type="dxa"/>
          </w:tcPr>
          <w:p w14:paraId="0204AD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(60)</w:t>
            </w:r>
          </w:p>
        </w:tc>
        <w:tc>
          <w:tcPr>
            <w:tcW w:w="739" w:type="dxa"/>
          </w:tcPr>
          <w:p w14:paraId="0880DAF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(62)</w:t>
            </w:r>
          </w:p>
        </w:tc>
        <w:tc>
          <w:tcPr>
            <w:tcW w:w="739" w:type="dxa"/>
          </w:tcPr>
          <w:p w14:paraId="525D43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(63)</w:t>
            </w:r>
          </w:p>
        </w:tc>
      </w:tr>
      <w:tr w:rsidR="005D339F" w14:paraId="1E1CC178"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6A8E1559" w14:textId="77777777" w:rsidR="005D339F" w:rsidRDefault="005D339F" w:rsidP="008670FF">
            <w:r>
              <w:rPr>
                <w:sz w:val="16"/>
              </w:rPr>
              <w:t>Interest paid</w:t>
            </w:r>
          </w:p>
        </w:tc>
        <w:tc>
          <w:tcPr>
            <w:tcW w:w="739" w:type="dxa"/>
          </w:tcPr>
          <w:p w14:paraId="67D5E09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(5 825)</w:t>
            </w:r>
          </w:p>
        </w:tc>
        <w:tc>
          <w:tcPr>
            <w:tcW w:w="739" w:type="dxa"/>
          </w:tcPr>
          <w:p w14:paraId="13167C0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(5 623)</w:t>
            </w:r>
          </w:p>
        </w:tc>
        <w:tc>
          <w:tcPr>
            <w:tcW w:w="739" w:type="dxa"/>
          </w:tcPr>
          <w:p w14:paraId="60A079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(6 477)</w:t>
            </w:r>
          </w:p>
        </w:tc>
        <w:tc>
          <w:tcPr>
            <w:tcW w:w="739" w:type="dxa"/>
          </w:tcPr>
          <w:p w14:paraId="07713B3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(7 643)</w:t>
            </w:r>
          </w:p>
        </w:tc>
        <w:tc>
          <w:tcPr>
            <w:tcW w:w="739" w:type="dxa"/>
          </w:tcPr>
          <w:p w14:paraId="1DFA15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(8 848)</w:t>
            </w:r>
          </w:p>
        </w:tc>
      </w:tr>
      <w:tr w:rsidR="005D339F" w14:paraId="0262A929"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5036D55C" w14:textId="77777777" w:rsidR="005D339F" w:rsidRDefault="005D339F" w:rsidP="008670FF">
            <w:r>
              <w:rPr>
                <w:sz w:val="16"/>
              </w:rPr>
              <w:t>Grants and subsidies</w:t>
            </w:r>
          </w:p>
        </w:tc>
        <w:tc>
          <w:tcPr>
            <w:tcW w:w="739" w:type="dxa"/>
          </w:tcPr>
          <w:p w14:paraId="62A410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(669)</w:t>
            </w:r>
          </w:p>
        </w:tc>
        <w:tc>
          <w:tcPr>
            <w:tcW w:w="739" w:type="dxa"/>
          </w:tcPr>
          <w:p w14:paraId="4B0D5B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(650)</w:t>
            </w:r>
          </w:p>
        </w:tc>
        <w:tc>
          <w:tcPr>
            <w:tcW w:w="739" w:type="dxa"/>
          </w:tcPr>
          <w:p w14:paraId="5A7A21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(1 228)</w:t>
            </w:r>
          </w:p>
        </w:tc>
        <w:tc>
          <w:tcPr>
            <w:tcW w:w="739" w:type="dxa"/>
          </w:tcPr>
          <w:p w14:paraId="1A5479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(330)</w:t>
            </w:r>
          </w:p>
        </w:tc>
        <w:tc>
          <w:tcPr>
            <w:tcW w:w="739" w:type="dxa"/>
          </w:tcPr>
          <w:p w14:paraId="35B882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(1 519)</w:t>
            </w:r>
          </w:p>
        </w:tc>
      </w:tr>
      <w:tr w:rsidR="005D339F" w14:paraId="59C338A2"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1E003B5A" w14:textId="77777777" w:rsidR="005D339F" w:rsidRDefault="005D339F" w:rsidP="008670FF">
            <w:r>
              <w:rPr>
                <w:sz w:val="16"/>
              </w:rPr>
              <w:t>Goods and services</w:t>
            </w:r>
            <w:r>
              <w:rPr>
                <w:sz w:val="16"/>
                <w:vertAlign w:val="superscript"/>
              </w:rPr>
              <w:t xml:space="preserve"> (a)</w:t>
            </w:r>
          </w:p>
        </w:tc>
        <w:tc>
          <w:tcPr>
            <w:tcW w:w="739" w:type="dxa"/>
          </w:tcPr>
          <w:p w14:paraId="09F19A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(8 289)</w:t>
            </w:r>
          </w:p>
        </w:tc>
        <w:tc>
          <w:tcPr>
            <w:tcW w:w="739" w:type="dxa"/>
          </w:tcPr>
          <w:p w14:paraId="14C7CB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(8 158)</w:t>
            </w:r>
          </w:p>
        </w:tc>
        <w:tc>
          <w:tcPr>
            <w:tcW w:w="739" w:type="dxa"/>
          </w:tcPr>
          <w:p w14:paraId="4FD3A94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(9 005)</w:t>
            </w:r>
          </w:p>
        </w:tc>
        <w:tc>
          <w:tcPr>
            <w:tcW w:w="739" w:type="dxa"/>
          </w:tcPr>
          <w:p w14:paraId="0611E7B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(9 814)</w:t>
            </w:r>
          </w:p>
        </w:tc>
        <w:tc>
          <w:tcPr>
            <w:tcW w:w="739" w:type="dxa"/>
          </w:tcPr>
          <w:p w14:paraId="77F3A9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(10 556)</w:t>
            </w:r>
          </w:p>
        </w:tc>
      </w:tr>
      <w:tr w:rsidR="005D339F" w14:paraId="69E4120A"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316086A1" w14:textId="77777777" w:rsidR="005D339F" w:rsidRDefault="005D339F" w:rsidP="008670FF">
            <w:r>
              <w:rPr>
                <w:sz w:val="16"/>
              </w:rPr>
              <w:t>Other payments</w:t>
            </w:r>
          </w:p>
        </w:tc>
        <w:tc>
          <w:tcPr>
            <w:tcW w:w="739" w:type="dxa"/>
            <w:tcBorders>
              <w:bottom w:val="single" w:sz="6" w:space="0" w:color="auto"/>
            </w:tcBorders>
          </w:tcPr>
          <w:p w14:paraId="5F1997E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w:t>
            </w:r>
          </w:p>
        </w:tc>
        <w:tc>
          <w:tcPr>
            <w:tcW w:w="739" w:type="dxa"/>
            <w:tcBorders>
              <w:bottom w:val="single" w:sz="6" w:space="0" w:color="auto"/>
            </w:tcBorders>
          </w:tcPr>
          <w:p w14:paraId="73E5EC8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(38)</w:t>
            </w:r>
          </w:p>
        </w:tc>
        <w:tc>
          <w:tcPr>
            <w:tcW w:w="739" w:type="dxa"/>
            <w:tcBorders>
              <w:bottom w:val="single" w:sz="6" w:space="0" w:color="auto"/>
            </w:tcBorders>
          </w:tcPr>
          <w:p w14:paraId="56AF24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w:t>
            </w:r>
          </w:p>
        </w:tc>
        <w:tc>
          <w:tcPr>
            <w:tcW w:w="739" w:type="dxa"/>
            <w:tcBorders>
              <w:bottom w:val="single" w:sz="6" w:space="0" w:color="auto"/>
            </w:tcBorders>
          </w:tcPr>
          <w:p w14:paraId="182288F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w:t>
            </w:r>
          </w:p>
        </w:tc>
        <w:tc>
          <w:tcPr>
            <w:tcW w:w="739" w:type="dxa"/>
            <w:tcBorders>
              <w:bottom w:val="single" w:sz="6" w:space="0" w:color="auto"/>
            </w:tcBorders>
          </w:tcPr>
          <w:p w14:paraId="7FEE09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w:t>
            </w:r>
          </w:p>
        </w:tc>
      </w:tr>
      <w:tr w:rsidR="005D339F" w14:paraId="69493787"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6" w:space="0" w:color="auto"/>
            </w:tcBorders>
          </w:tcPr>
          <w:p w14:paraId="6D94F71A" w14:textId="77777777" w:rsidR="005D339F" w:rsidRDefault="005D339F" w:rsidP="008670FF">
            <w:r>
              <w:rPr>
                <w:b/>
                <w:sz w:val="16"/>
              </w:rPr>
              <w:t>Total payments</w:t>
            </w:r>
          </w:p>
        </w:tc>
        <w:tc>
          <w:tcPr>
            <w:tcW w:w="739" w:type="dxa"/>
            <w:tcBorders>
              <w:top w:val="single" w:sz="6" w:space="0" w:color="auto"/>
              <w:bottom w:val="single" w:sz="6" w:space="0" w:color="auto"/>
            </w:tcBorders>
          </w:tcPr>
          <w:p w14:paraId="06D888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(15 420)</w:t>
            </w:r>
          </w:p>
        </w:tc>
        <w:tc>
          <w:tcPr>
            <w:tcW w:w="739" w:type="dxa"/>
            <w:tcBorders>
              <w:top w:val="single" w:sz="6" w:space="0" w:color="auto"/>
              <w:bottom w:val="single" w:sz="6" w:space="0" w:color="auto"/>
            </w:tcBorders>
          </w:tcPr>
          <w:p w14:paraId="3C02DB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(15 077)</w:t>
            </w:r>
          </w:p>
        </w:tc>
        <w:tc>
          <w:tcPr>
            <w:tcW w:w="739" w:type="dxa"/>
            <w:tcBorders>
              <w:top w:val="single" w:sz="6" w:space="0" w:color="auto"/>
              <w:bottom w:val="single" w:sz="6" w:space="0" w:color="auto"/>
            </w:tcBorders>
          </w:tcPr>
          <w:p w14:paraId="54A14A1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(17 347)</w:t>
            </w:r>
          </w:p>
        </w:tc>
        <w:tc>
          <w:tcPr>
            <w:tcW w:w="739" w:type="dxa"/>
            <w:tcBorders>
              <w:top w:val="single" w:sz="6" w:space="0" w:color="auto"/>
              <w:bottom w:val="single" w:sz="6" w:space="0" w:color="auto"/>
            </w:tcBorders>
          </w:tcPr>
          <w:p w14:paraId="4AA41E2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(18 445)</w:t>
            </w:r>
          </w:p>
        </w:tc>
        <w:tc>
          <w:tcPr>
            <w:tcW w:w="739" w:type="dxa"/>
            <w:tcBorders>
              <w:top w:val="single" w:sz="6" w:space="0" w:color="auto"/>
              <w:bottom w:val="single" w:sz="6" w:space="0" w:color="auto"/>
            </w:tcBorders>
          </w:tcPr>
          <w:p w14:paraId="1525E18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(21 590)</w:t>
            </w:r>
          </w:p>
        </w:tc>
      </w:tr>
      <w:tr w:rsidR="005D339F" w14:paraId="659FA56D"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38E4272F" w14:textId="77777777" w:rsidR="005D339F" w:rsidRDefault="005D339F" w:rsidP="008670FF">
            <w:r>
              <w:rPr>
                <w:b/>
                <w:sz w:val="16"/>
              </w:rPr>
              <w:t>Net cash flows from operating activities</w:t>
            </w:r>
          </w:p>
        </w:tc>
        <w:tc>
          <w:tcPr>
            <w:tcW w:w="739" w:type="dxa"/>
            <w:tcBorders>
              <w:top w:val="single" w:sz="6" w:space="0" w:color="auto"/>
            </w:tcBorders>
          </w:tcPr>
          <w:p w14:paraId="23C01A8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2 516</w:t>
            </w:r>
          </w:p>
        </w:tc>
        <w:tc>
          <w:tcPr>
            <w:tcW w:w="739" w:type="dxa"/>
            <w:tcBorders>
              <w:top w:val="single" w:sz="6" w:space="0" w:color="auto"/>
            </w:tcBorders>
          </w:tcPr>
          <w:p w14:paraId="1BC7835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3 585</w:t>
            </w:r>
          </w:p>
        </w:tc>
        <w:tc>
          <w:tcPr>
            <w:tcW w:w="739" w:type="dxa"/>
            <w:tcBorders>
              <w:top w:val="single" w:sz="6" w:space="0" w:color="auto"/>
            </w:tcBorders>
          </w:tcPr>
          <w:p w14:paraId="50058A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2 948</w:t>
            </w:r>
          </w:p>
        </w:tc>
        <w:tc>
          <w:tcPr>
            <w:tcW w:w="739" w:type="dxa"/>
            <w:tcBorders>
              <w:top w:val="single" w:sz="6" w:space="0" w:color="auto"/>
            </w:tcBorders>
          </w:tcPr>
          <w:p w14:paraId="7F8ED7F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3 842</w:t>
            </w:r>
          </w:p>
        </w:tc>
        <w:tc>
          <w:tcPr>
            <w:tcW w:w="739" w:type="dxa"/>
            <w:tcBorders>
              <w:top w:val="single" w:sz="6" w:space="0" w:color="auto"/>
            </w:tcBorders>
          </w:tcPr>
          <w:p w14:paraId="25FFE92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2 650</w:t>
            </w:r>
          </w:p>
        </w:tc>
      </w:tr>
      <w:tr w:rsidR="005D339F" w14:paraId="16D20AD1"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389A2BE7" w14:textId="77777777" w:rsidR="005D339F" w:rsidRDefault="005D339F" w:rsidP="008670FF">
            <w:r>
              <w:rPr>
                <w:b/>
                <w:sz w:val="16"/>
              </w:rPr>
              <w:t>Cash flows from investing activities</w:t>
            </w:r>
          </w:p>
        </w:tc>
        <w:tc>
          <w:tcPr>
            <w:tcW w:w="739" w:type="dxa"/>
          </w:tcPr>
          <w:p w14:paraId="0D9306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5C6FFE1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4F734CC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155691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351C39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8567DC0"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12F5BFD5" w14:textId="77777777" w:rsidR="005D339F" w:rsidRDefault="005D339F" w:rsidP="008670FF">
            <w:r>
              <w:rPr>
                <w:b/>
                <w:sz w:val="16"/>
              </w:rPr>
              <w:t>Cash flows from investments in non</w:t>
            </w:r>
            <w:r>
              <w:rPr>
                <w:b/>
                <w:sz w:val="16"/>
              </w:rPr>
              <w:noBreakHyphen/>
              <w:t>financial assets</w:t>
            </w:r>
          </w:p>
        </w:tc>
        <w:tc>
          <w:tcPr>
            <w:tcW w:w="739" w:type="dxa"/>
          </w:tcPr>
          <w:p w14:paraId="78CD01E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6BCFE0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20D51A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2A718D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613C109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6EA5AE2"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09230E5D" w14:textId="77777777" w:rsidR="005D339F" w:rsidRDefault="005D339F" w:rsidP="008670FF">
            <w:r>
              <w:rPr>
                <w:sz w:val="16"/>
              </w:rPr>
              <w:t>Purchases of non</w:t>
            </w:r>
            <w:r>
              <w:rPr>
                <w:sz w:val="16"/>
              </w:rPr>
              <w:noBreakHyphen/>
              <w:t>financial assets</w:t>
            </w:r>
          </w:p>
        </w:tc>
        <w:tc>
          <w:tcPr>
            <w:tcW w:w="739" w:type="dxa"/>
          </w:tcPr>
          <w:p w14:paraId="20EAB0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(18)</w:t>
            </w:r>
          </w:p>
        </w:tc>
        <w:tc>
          <w:tcPr>
            <w:tcW w:w="739" w:type="dxa"/>
          </w:tcPr>
          <w:p w14:paraId="6684A00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(33)</w:t>
            </w:r>
          </w:p>
        </w:tc>
        <w:tc>
          <w:tcPr>
            <w:tcW w:w="739" w:type="dxa"/>
          </w:tcPr>
          <w:p w14:paraId="08FB7E2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w:t>
            </w:r>
          </w:p>
        </w:tc>
        <w:tc>
          <w:tcPr>
            <w:tcW w:w="739" w:type="dxa"/>
          </w:tcPr>
          <w:p w14:paraId="3323DA6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(33)</w:t>
            </w:r>
          </w:p>
        </w:tc>
        <w:tc>
          <w:tcPr>
            <w:tcW w:w="739" w:type="dxa"/>
          </w:tcPr>
          <w:p w14:paraId="017DEC9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(30)</w:t>
            </w:r>
          </w:p>
        </w:tc>
      </w:tr>
      <w:tr w:rsidR="005D339F" w14:paraId="0759ADED"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77AD7DDF" w14:textId="77777777" w:rsidR="005D339F" w:rsidRDefault="005D339F" w:rsidP="008670FF">
            <w:r>
              <w:rPr>
                <w:sz w:val="16"/>
              </w:rPr>
              <w:t>Sales of non</w:t>
            </w:r>
            <w:r>
              <w:rPr>
                <w:sz w:val="16"/>
              </w:rPr>
              <w:noBreakHyphen/>
              <w:t>financial assets</w:t>
            </w:r>
          </w:p>
        </w:tc>
        <w:tc>
          <w:tcPr>
            <w:tcW w:w="739" w:type="dxa"/>
            <w:tcBorders>
              <w:bottom w:val="single" w:sz="6" w:space="0" w:color="auto"/>
            </w:tcBorders>
          </w:tcPr>
          <w:p w14:paraId="55C2BD4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2AE47B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1A5B14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3329E4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c>
          <w:tcPr>
            <w:tcW w:w="739" w:type="dxa"/>
            <w:tcBorders>
              <w:bottom w:val="single" w:sz="6" w:space="0" w:color="auto"/>
            </w:tcBorders>
          </w:tcPr>
          <w:p w14:paraId="693091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r>
      <w:tr w:rsidR="005D339F" w14:paraId="318FBF47"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16720543" w14:textId="77777777" w:rsidR="005D339F" w:rsidRDefault="005D339F" w:rsidP="008670FF">
            <w:r>
              <w:rPr>
                <w:b/>
                <w:sz w:val="16"/>
              </w:rPr>
              <w:t>Net cash flows from investments in non</w:t>
            </w:r>
            <w:r>
              <w:rPr>
                <w:b/>
                <w:sz w:val="16"/>
              </w:rPr>
              <w:noBreakHyphen/>
              <w:t>financial assets</w:t>
            </w:r>
          </w:p>
        </w:tc>
        <w:tc>
          <w:tcPr>
            <w:tcW w:w="739" w:type="dxa"/>
            <w:tcBorders>
              <w:top w:val="single" w:sz="6" w:space="0" w:color="auto"/>
            </w:tcBorders>
          </w:tcPr>
          <w:p w14:paraId="2F409C9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(17)</w:t>
            </w:r>
          </w:p>
        </w:tc>
        <w:tc>
          <w:tcPr>
            <w:tcW w:w="739" w:type="dxa"/>
            <w:tcBorders>
              <w:top w:val="single" w:sz="6" w:space="0" w:color="auto"/>
            </w:tcBorders>
          </w:tcPr>
          <w:p w14:paraId="5CC4A1C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(33)</w:t>
            </w:r>
          </w:p>
        </w:tc>
        <w:tc>
          <w:tcPr>
            <w:tcW w:w="739" w:type="dxa"/>
            <w:tcBorders>
              <w:top w:val="single" w:sz="6" w:space="0" w:color="auto"/>
            </w:tcBorders>
          </w:tcPr>
          <w:p w14:paraId="7E8017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(39)</w:t>
            </w:r>
          </w:p>
        </w:tc>
        <w:tc>
          <w:tcPr>
            <w:tcW w:w="739" w:type="dxa"/>
            <w:tcBorders>
              <w:top w:val="single" w:sz="6" w:space="0" w:color="auto"/>
            </w:tcBorders>
          </w:tcPr>
          <w:p w14:paraId="131FF2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(33)</w:t>
            </w:r>
          </w:p>
        </w:tc>
        <w:tc>
          <w:tcPr>
            <w:tcW w:w="739" w:type="dxa"/>
            <w:tcBorders>
              <w:top w:val="single" w:sz="6" w:space="0" w:color="auto"/>
            </w:tcBorders>
          </w:tcPr>
          <w:p w14:paraId="4BB9CA3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(30)</w:t>
            </w:r>
          </w:p>
        </w:tc>
      </w:tr>
      <w:tr w:rsidR="005D339F" w14:paraId="0D5C758E"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72A9E713" w14:textId="77777777" w:rsidR="005D339F" w:rsidRDefault="005D339F" w:rsidP="008670FF">
            <w:r>
              <w:rPr>
                <w:sz w:val="16"/>
              </w:rPr>
              <w:t>Net cash flows from investments in financial assets for policy purposes</w:t>
            </w:r>
          </w:p>
        </w:tc>
        <w:tc>
          <w:tcPr>
            <w:tcW w:w="739" w:type="dxa"/>
            <w:tcBorders>
              <w:bottom w:val="single" w:sz="6" w:space="0" w:color="auto"/>
            </w:tcBorders>
          </w:tcPr>
          <w:p w14:paraId="7B12AD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w:t>
            </w:r>
          </w:p>
        </w:tc>
        <w:tc>
          <w:tcPr>
            <w:tcW w:w="739" w:type="dxa"/>
            <w:tcBorders>
              <w:bottom w:val="single" w:sz="6" w:space="0" w:color="auto"/>
            </w:tcBorders>
          </w:tcPr>
          <w:p w14:paraId="169318A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17</w:t>
            </w:r>
          </w:p>
        </w:tc>
        <w:tc>
          <w:tcPr>
            <w:tcW w:w="739" w:type="dxa"/>
            <w:tcBorders>
              <w:bottom w:val="single" w:sz="6" w:space="0" w:color="auto"/>
            </w:tcBorders>
          </w:tcPr>
          <w:p w14:paraId="2426204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w:t>
            </w:r>
          </w:p>
        </w:tc>
        <w:tc>
          <w:tcPr>
            <w:tcW w:w="739" w:type="dxa"/>
            <w:tcBorders>
              <w:bottom w:val="single" w:sz="6" w:space="0" w:color="auto"/>
            </w:tcBorders>
          </w:tcPr>
          <w:p w14:paraId="65B11A8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w:t>
            </w:r>
          </w:p>
        </w:tc>
        <w:tc>
          <w:tcPr>
            <w:tcW w:w="739" w:type="dxa"/>
            <w:tcBorders>
              <w:bottom w:val="single" w:sz="6" w:space="0" w:color="auto"/>
            </w:tcBorders>
          </w:tcPr>
          <w:p w14:paraId="5654C6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r>
      <w:tr w:rsidR="005D339F" w14:paraId="52743D49"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2F168774" w14:textId="77777777" w:rsidR="005D339F" w:rsidRDefault="005D339F" w:rsidP="008670FF">
            <w:r>
              <w:rPr>
                <w:b/>
                <w:sz w:val="16"/>
              </w:rPr>
              <w:t>Subtotal</w:t>
            </w:r>
          </w:p>
        </w:tc>
        <w:tc>
          <w:tcPr>
            <w:tcW w:w="739" w:type="dxa"/>
            <w:tcBorders>
              <w:top w:val="single" w:sz="6" w:space="0" w:color="auto"/>
            </w:tcBorders>
          </w:tcPr>
          <w:p w14:paraId="0E572F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(9)</w:t>
            </w:r>
          </w:p>
        </w:tc>
        <w:tc>
          <w:tcPr>
            <w:tcW w:w="739" w:type="dxa"/>
            <w:tcBorders>
              <w:top w:val="single" w:sz="6" w:space="0" w:color="auto"/>
            </w:tcBorders>
          </w:tcPr>
          <w:p w14:paraId="41D2A4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(16)</w:t>
            </w:r>
          </w:p>
        </w:tc>
        <w:tc>
          <w:tcPr>
            <w:tcW w:w="739" w:type="dxa"/>
            <w:tcBorders>
              <w:top w:val="single" w:sz="6" w:space="0" w:color="auto"/>
            </w:tcBorders>
          </w:tcPr>
          <w:p w14:paraId="4909C6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(35)</w:t>
            </w:r>
          </w:p>
        </w:tc>
        <w:tc>
          <w:tcPr>
            <w:tcW w:w="739" w:type="dxa"/>
            <w:tcBorders>
              <w:top w:val="single" w:sz="6" w:space="0" w:color="auto"/>
            </w:tcBorders>
          </w:tcPr>
          <w:p w14:paraId="1719E7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(33)</w:t>
            </w:r>
          </w:p>
        </w:tc>
        <w:tc>
          <w:tcPr>
            <w:tcW w:w="739" w:type="dxa"/>
            <w:tcBorders>
              <w:top w:val="single" w:sz="6" w:space="0" w:color="auto"/>
            </w:tcBorders>
          </w:tcPr>
          <w:p w14:paraId="57E049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(31)</w:t>
            </w:r>
          </w:p>
        </w:tc>
      </w:tr>
      <w:tr w:rsidR="005D339F" w14:paraId="48B153CC"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505FF708" w14:textId="77777777" w:rsidR="005D339F" w:rsidRDefault="005D339F" w:rsidP="008670FF">
            <w:r>
              <w:rPr>
                <w:sz w:val="16"/>
              </w:rPr>
              <w:t>Net cash flows from investment in financial assets for liquidity management purposes</w:t>
            </w:r>
          </w:p>
        </w:tc>
        <w:tc>
          <w:tcPr>
            <w:tcW w:w="739" w:type="dxa"/>
            <w:tcBorders>
              <w:bottom w:val="single" w:sz="6" w:space="0" w:color="auto"/>
            </w:tcBorders>
          </w:tcPr>
          <w:p w14:paraId="0C94BB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(31 455)</w:t>
            </w:r>
          </w:p>
        </w:tc>
        <w:tc>
          <w:tcPr>
            <w:tcW w:w="739" w:type="dxa"/>
            <w:tcBorders>
              <w:bottom w:val="single" w:sz="6" w:space="0" w:color="auto"/>
            </w:tcBorders>
          </w:tcPr>
          <w:p w14:paraId="40F3D0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(31 932)</w:t>
            </w:r>
          </w:p>
        </w:tc>
        <w:tc>
          <w:tcPr>
            <w:tcW w:w="739" w:type="dxa"/>
            <w:tcBorders>
              <w:bottom w:val="single" w:sz="6" w:space="0" w:color="auto"/>
            </w:tcBorders>
          </w:tcPr>
          <w:p w14:paraId="649C36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(20 252)</w:t>
            </w:r>
          </w:p>
        </w:tc>
        <w:tc>
          <w:tcPr>
            <w:tcW w:w="739" w:type="dxa"/>
            <w:tcBorders>
              <w:bottom w:val="single" w:sz="6" w:space="0" w:color="auto"/>
            </w:tcBorders>
          </w:tcPr>
          <w:p w14:paraId="57DD39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(19 006)</w:t>
            </w:r>
          </w:p>
        </w:tc>
        <w:tc>
          <w:tcPr>
            <w:tcW w:w="739" w:type="dxa"/>
            <w:tcBorders>
              <w:bottom w:val="single" w:sz="6" w:space="0" w:color="auto"/>
            </w:tcBorders>
          </w:tcPr>
          <w:p w14:paraId="5D029F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(16 665)</w:t>
            </w:r>
          </w:p>
        </w:tc>
      </w:tr>
      <w:tr w:rsidR="005D339F" w14:paraId="5C946F52"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55E8A12F" w14:textId="77777777" w:rsidR="005D339F" w:rsidRDefault="005D339F" w:rsidP="008670FF">
            <w:r>
              <w:rPr>
                <w:b/>
                <w:sz w:val="16"/>
              </w:rPr>
              <w:t>Net cash flows from investing activities</w:t>
            </w:r>
          </w:p>
        </w:tc>
        <w:tc>
          <w:tcPr>
            <w:tcW w:w="739" w:type="dxa"/>
            <w:tcBorders>
              <w:top w:val="single" w:sz="6" w:space="0" w:color="auto"/>
            </w:tcBorders>
          </w:tcPr>
          <w:p w14:paraId="587C6D6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(31 464)</w:t>
            </w:r>
          </w:p>
        </w:tc>
        <w:tc>
          <w:tcPr>
            <w:tcW w:w="739" w:type="dxa"/>
            <w:tcBorders>
              <w:top w:val="single" w:sz="6" w:space="0" w:color="auto"/>
            </w:tcBorders>
          </w:tcPr>
          <w:p w14:paraId="387CEB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(31 948)</w:t>
            </w:r>
          </w:p>
        </w:tc>
        <w:tc>
          <w:tcPr>
            <w:tcW w:w="739" w:type="dxa"/>
            <w:tcBorders>
              <w:top w:val="single" w:sz="6" w:space="0" w:color="auto"/>
            </w:tcBorders>
          </w:tcPr>
          <w:p w14:paraId="2B7278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(20 286)</w:t>
            </w:r>
          </w:p>
        </w:tc>
        <w:tc>
          <w:tcPr>
            <w:tcW w:w="739" w:type="dxa"/>
            <w:tcBorders>
              <w:top w:val="single" w:sz="6" w:space="0" w:color="auto"/>
            </w:tcBorders>
          </w:tcPr>
          <w:p w14:paraId="6193E4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(19 038)</w:t>
            </w:r>
          </w:p>
        </w:tc>
        <w:tc>
          <w:tcPr>
            <w:tcW w:w="739" w:type="dxa"/>
            <w:tcBorders>
              <w:top w:val="single" w:sz="6" w:space="0" w:color="auto"/>
            </w:tcBorders>
          </w:tcPr>
          <w:p w14:paraId="01A61C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(16 696)</w:t>
            </w:r>
          </w:p>
        </w:tc>
      </w:tr>
      <w:tr w:rsidR="005D339F" w14:paraId="4892DE66"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457F8FBB" w14:textId="77777777" w:rsidR="005D339F" w:rsidRDefault="005D339F" w:rsidP="008670FF">
            <w:r>
              <w:rPr>
                <w:b/>
                <w:sz w:val="16"/>
              </w:rPr>
              <w:t>Cash flows from financing activities</w:t>
            </w:r>
          </w:p>
        </w:tc>
        <w:tc>
          <w:tcPr>
            <w:tcW w:w="739" w:type="dxa"/>
          </w:tcPr>
          <w:p w14:paraId="49B9D0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7878EB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51FD91F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07D4B2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05DB49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6B354C8"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456AB87C" w14:textId="77777777" w:rsidR="005D339F" w:rsidRDefault="005D339F" w:rsidP="008670FF">
            <w:r>
              <w:rPr>
                <w:sz w:val="16"/>
              </w:rPr>
              <w:t>Advances received (net)</w:t>
            </w:r>
          </w:p>
        </w:tc>
        <w:tc>
          <w:tcPr>
            <w:tcW w:w="739" w:type="dxa"/>
          </w:tcPr>
          <w:p w14:paraId="2A34473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(16)</w:t>
            </w:r>
          </w:p>
        </w:tc>
        <w:tc>
          <w:tcPr>
            <w:tcW w:w="739" w:type="dxa"/>
          </w:tcPr>
          <w:p w14:paraId="329BC39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(34)</w:t>
            </w:r>
          </w:p>
        </w:tc>
        <w:tc>
          <w:tcPr>
            <w:tcW w:w="739" w:type="dxa"/>
          </w:tcPr>
          <w:p w14:paraId="1CAC73A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(12)</w:t>
            </w:r>
          </w:p>
        </w:tc>
        <w:tc>
          <w:tcPr>
            <w:tcW w:w="739" w:type="dxa"/>
          </w:tcPr>
          <w:p w14:paraId="1EDE36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w:t>
            </w:r>
          </w:p>
        </w:tc>
        <w:tc>
          <w:tcPr>
            <w:tcW w:w="739" w:type="dxa"/>
          </w:tcPr>
          <w:p w14:paraId="4DEAE0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w:t>
            </w:r>
          </w:p>
        </w:tc>
      </w:tr>
      <w:tr w:rsidR="005D339F" w14:paraId="1AAB98D1"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68C86507" w14:textId="77777777" w:rsidR="005D339F" w:rsidRDefault="005D339F" w:rsidP="008670FF">
            <w:r>
              <w:rPr>
                <w:sz w:val="16"/>
              </w:rPr>
              <w:t>Net borrowings</w:t>
            </w:r>
          </w:p>
        </w:tc>
        <w:tc>
          <w:tcPr>
            <w:tcW w:w="739" w:type="dxa"/>
          </w:tcPr>
          <w:p w14:paraId="6AD8BEB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28 992</w:t>
            </w:r>
          </w:p>
        </w:tc>
        <w:tc>
          <w:tcPr>
            <w:tcW w:w="739" w:type="dxa"/>
          </w:tcPr>
          <w:p w14:paraId="181978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27 407</w:t>
            </w:r>
          </w:p>
        </w:tc>
        <w:tc>
          <w:tcPr>
            <w:tcW w:w="739" w:type="dxa"/>
          </w:tcPr>
          <w:p w14:paraId="242BEB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17 438</w:t>
            </w:r>
          </w:p>
        </w:tc>
        <w:tc>
          <w:tcPr>
            <w:tcW w:w="739" w:type="dxa"/>
          </w:tcPr>
          <w:p w14:paraId="43F61A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15 316</w:t>
            </w:r>
          </w:p>
        </w:tc>
        <w:tc>
          <w:tcPr>
            <w:tcW w:w="739" w:type="dxa"/>
          </w:tcPr>
          <w:p w14:paraId="53706A5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14 187</w:t>
            </w:r>
          </w:p>
        </w:tc>
      </w:tr>
      <w:tr w:rsidR="005D339F" w14:paraId="7828F0C2"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44125946" w14:textId="77777777" w:rsidR="005D339F" w:rsidRDefault="005D339F" w:rsidP="008670FF">
            <w:r>
              <w:rPr>
                <w:sz w:val="16"/>
              </w:rPr>
              <w:t>Deposits received (net)</w:t>
            </w:r>
          </w:p>
        </w:tc>
        <w:tc>
          <w:tcPr>
            <w:tcW w:w="739" w:type="dxa"/>
          </w:tcPr>
          <w:p w14:paraId="0EF7B9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w:t>
            </w:r>
          </w:p>
        </w:tc>
        <w:tc>
          <w:tcPr>
            <w:tcW w:w="739" w:type="dxa"/>
          </w:tcPr>
          <w:p w14:paraId="50A6AD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35</w:t>
            </w:r>
          </w:p>
        </w:tc>
        <w:tc>
          <w:tcPr>
            <w:tcW w:w="739" w:type="dxa"/>
          </w:tcPr>
          <w:p w14:paraId="254A72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14</w:t>
            </w:r>
          </w:p>
        </w:tc>
        <w:tc>
          <w:tcPr>
            <w:tcW w:w="739" w:type="dxa"/>
          </w:tcPr>
          <w:p w14:paraId="3405D6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w:t>
            </w:r>
          </w:p>
        </w:tc>
        <w:tc>
          <w:tcPr>
            <w:tcW w:w="739" w:type="dxa"/>
          </w:tcPr>
          <w:p w14:paraId="5EF1AA8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(12)</w:t>
            </w:r>
          </w:p>
        </w:tc>
      </w:tr>
      <w:tr w:rsidR="005D339F" w14:paraId="1E261E8D"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55A94740" w14:textId="77777777" w:rsidR="005D339F" w:rsidRDefault="005D339F" w:rsidP="008670FF">
            <w:r>
              <w:rPr>
                <w:sz w:val="16"/>
              </w:rPr>
              <w:t>Other financing (net)</w:t>
            </w:r>
          </w:p>
        </w:tc>
        <w:tc>
          <w:tcPr>
            <w:tcW w:w="739" w:type="dxa"/>
            <w:tcBorders>
              <w:bottom w:val="single" w:sz="6" w:space="0" w:color="auto"/>
            </w:tcBorders>
          </w:tcPr>
          <w:p w14:paraId="5A1F36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w:t>
            </w:r>
          </w:p>
        </w:tc>
        <w:tc>
          <w:tcPr>
            <w:tcW w:w="739" w:type="dxa"/>
            <w:tcBorders>
              <w:bottom w:val="single" w:sz="6" w:space="0" w:color="auto"/>
            </w:tcBorders>
          </w:tcPr>
          <w:p w14:paraId="7A8D98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w:t>
            </w:r>
          </w:p>
        </w:tc>
        <w:tc>
          <w:tcPr>
            <w:tcW w:w="739" w:type="dxa"/>
            <w:tcBorders>
              <w:bottom w:val="single" w:sz="6" w:space="0" w:color="auto"/>
            </w:tcBorders>
          </w:tcPr>
          <w:p w14:paraId="252C955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w:t>
            </w:r>
          </w:p>
        </w:tc>
        <w:tc>
          <w:tcPr>
            <w:tcW w:w="739" w:type="dxa"/>
            <w:tcBorders>
              <w:bottom w:val="single" w:sz="6" w:space="0" w:color="auto"/>
            </w:tcBorders>
          </w:tcPr>
          <w:p w14:paraId="3A6B12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19</w:t>
            </w:r>
          </w:p>
        </w:tc>
        <w:tc>
          <w:tcPr>
            <w:tcW w:w="739" w:type="dxa"/>
            <w:tcBorders>
              <w:bottom w:val="single" w:sz="6" w:space="0" w:color="auto"/>
            </w:tcBorders>
          </w:tcPr>
          <w:p w14:paraId="38AB49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w:t>
            </w:r>
          </w:p>
        </w:tc>
      </w:tr>
      <w:tr w:rsidR="005D339F" w14:paraId="07D8829C"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6" w:space="0" w:color="auto"/>
            </w:tcBorders>
          </w:tcPr>
          <w:p w14:paraId="376EDC31" w14:textId="77777777" w:rsidR="005D339F" w:rsidRDefault="005D339F" w:rsidP="008670FF">
            <w:r>
              <w:rPr>
                <w:b/>
                <w:sz w:val="16"/>
              </w:rPr>
              <w:t>Net cash flows from financing activities</w:t>
            </w:r>
          </w:p>
        </w:tc>
        <w:tc>
          <w:tcPr>
            <w:tcW w:w="739" w:type="dxa"/>
            <w:tcBorders>
              <w:top w:val="single" w:sz="6" w:space="0" w:color="auto"/>
              <w:bottom w:val="single" w:sz="6" w:space="0" w:color="auto"/>
            </w:tcBorders>
          </w:tcPr>
          <w:p w14:paraId="33021CE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28 982</w:t>
            </w:r>
          </w:p>
        </w:tc>
        <w:tc>
          <w:tcPr>
            <w:tcW w:w="739" w:type="dxa"/>
            <w:tcBorders>
              <w:top w:val="single" w:sz="6" w:space="0" w:color="auto"/>
              <w:bottom w:val="single" w:sz="6" w:space="0" w:color="auto"/>
            </w:tcBorders>
          </w:tcPr>
          <w:p w14:paraId="731B2F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27 399</w:t>
            </w:r>
          </w:p>
        </w:tc>
        <w:tc>
          <w:tcPr>
            <w:tcW w:w="739" w:type="dxa"/>
            <w:tcBorders>
              <w:top w:val="single" w:sz="6" w:space="0" w:color="auto"/>
              <w:bottom w:val="single" w:sz="6" w:space="0" w:color="auto"/>
            </w:tcBorders>
          </w:tcPr>
          <w:p w14:paraId="74FBC3B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17 430</w:t>
            </w:r>
          </w:p>
        </w:tc>
        <w:tc>
          <w:tcPr>
            <w:tcW w:w="739" w:type="dxa"/>
            <w:tcBorders>
              <w:top w:val="single" w:sz="6" w:space="0" w:color="auto"/>
              <w:bottom w:val="single" w:sz="6" w:space="0" w:color="auto"/>
            </w:tcBorders>
          </w:tcPr>
          <w:p w14:paraId="7990CD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15 322</w:t>
            </w:r>
          </w:p>
        </w:tc>
        <w:tc>
          <w:tcPr>
            <w:tcW w:w="739" w:type="dxa"/>
            <w:tcBorders>
              <w:top w:val="single" w:sz="6" w:space="0" w:color="auto"/>
              <w:bottom w:val="single" w:sz="6" w:space="0" w:color="auto"/>
            </w:tcBorders>
          </w:tcPr>
          <w:p w14:paraId="4335F3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14 169</w:t>
            </w:r>
          </w:p>
        </w:tc>
      </w:tr>
      <w:tr w:rsidR="005D339F" w14:paraId="032DB882"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181745AF" w14:textId="77777777" w:rsidR="005D339F" w:rsidRDefault="005D339F" w:rsidP="008670FF">
            <w:r>
              <w:rPr>
                <w:b/>
                <w:sz w:val="16"/>
              </w:rPr>
              <w:t>Net increase/(decrease) in cash and cash equivalents</w:t>
            </w:r>
          </w:p>
        </w:tc>
        <w:tc>
          <w:tcPr>
            <w:tcW w:w="739" w:type="dxa"/>
            <w:tcBorders>
              <w:top w:val="single" w:sz="6" w:space="0" w:color="auto"/>
            </w:tcBorders>
          </w:tcPr>
          <w:p w14:paraId="4FD908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33</w:t>
            </w:r>
          </w:p>
        </w:tc>
        <w:tc>
          <w:tcPr>
            <w:tcW w:w="739" w:type="dxa"/>
            <w:tcBorders>
              <w:top w:val="single" w:sz="6" w:space="0" w:color="auto"/>
            </w:tcBorders>
          </w:tcPr>
          <w:p w14:paraId="5418391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(965)</w:t>
            </w:r>
          </w:p>
        </w:tc>
        <w:tc>
          <w:tcPr>
            <w:tcW w:w="739" w:type="dxa"/>
            <w:tcBorders>
              <w:top w:val="single" w:sz="6" w:space="0" w:color="auto"/>
            </w:tcBorders>
          </w:tcPr>
          <w:p w14:paraId="40520B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93</w:t>
            </w:r>
          </w:p>
        </w:tc>
        <w:tc>
          <w:tcPr>
            <w:tcW w:w="739" w:type="dxa"/>
            <w:tcBorders>
              <w:top w:val="single" w:sz="6" w:space="0" w:color="auto"/>
            </w:tcBorders>
          </w:tcPr>
          <w:p w14:paraId="268D55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126</w:t>
            </w:r>
          </w:p>
        </w:tc>
        <w:tc>
          <w:tcPr>
            <w:tcW w:w="739" w:type="dxa"/>
            <w:tcBorders>
              <w:top w:val="single" w:sz="6" w:space="0" w:color="auto"/>
            </w:tcBorders>
          </w:tcPr>
          <w:p w14:paraId="1703AD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123</w:t>
            </w:r>
          </w:p>
        </w:tc>
      </w:tr>
      <w:tr w:rsidR="005D339F" w14:paraId="5B6E678F"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0C0BFC37" w14:textId="77777777" w:rsidR="005D339F" w:rsidRDefault="005D339F" w:rsidP="008670FF">
            <w:r>
              <w:rPr>
                <w:sz w:val="16"/>
              </w:rPr>
              <w:t>Cash and cash equivalents at beginning of reporting period</w:t>
            </w:r>
            <w:r>
              <w:rPr>
                <w:sz w:val="16"/>
                <w:vertAlign w:val="superscript"/>
              </w:rPr>
              <w:t xml:space="preserve"> (b)</w:t>
            </w:r>
          </w:p>
        </w:tc>
        <w:tc>
          <w:tcPr>
            <w:tcW w:w="739" w:type="dxa"/>
            <w:tcBorders>
              <w:bottom w:val="single" w:sz="6" w:space="0" w:color="auto"/>
            </w:tcBorders>
          </w:tcPr>
          <w:p w14:paraId="42D78B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3 870</w:t>
            </w:r>
          </w:p>
        </w:tc>
        <w:tc>
          <w:tcPr>
            <w:tcW w:w="739" w:type="dxa"/>
            <w:tcBorders>
              <w:bottom w:val="single" w:sz="6" w:space="0" w:color="auto"/>
            </w:tcBorders>
          </w:tcPr>
          <w:p w14:paraId="6202E2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3 870</w:t>
            </w:r>
          </w:p>
        </w:tc>
        <w:tc>
          <w:tcPr>
            <w:tcW w:w="739" w:type="dxa"/>
            <w:tcBorders>
              <w:bottom w:val="single" w:sz="6" w:space="0" w:color="auto"/>
            </w:tcBorders>
          </w:tcPr>
          <w:p w14:paraId="23B83D0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2 905</w:t>
            </w:r>
          </w:p>
        </w:tc>
        <w:tc>
          <w:tcPr>
            <w:tcW w:w="739" w:type="dxa"/>
            <w:tcBorders>
              <w:bottom w:val="single" w:sz="6" w:space="0" w:color="auto"/>
            </w:tcBorders>
          </w:tcPr>
          <w:p w14:paraId="6E09873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2 998</w:t>
            </w:r>
          </w:p>
        </w:tc>
        <w:tc>
          <w:tcPr>
            <w:tcW w:w="739" w:type="dxa"/>
            <w:tcBorders>
              <w:bottom w:val="single" w:sz="6" w:space="0" w:color="auto"/>
            </w:tcBorders>
          </w:tcPr>
          <w:p w14:paraId="7E95FF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3 124</w:t>
            </w:r>
          </w:p>
        </w:tc>
      </w:tr>
      <w:tr w:rsidR="005D339F" w14:paraId="29F628C9"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6" w:space="0" w:color="auto"/>
            </w:tcBorders>
          </w:tcPr>
          <w:p w14:paraId="3587B809" w14:textId="77777777" w:rsidR="005D339F" w:rsidRDefault="005D339F" w:rsidP="008670FF">
            <w:r>
              <w:rPr>
                <w:b/>
                <w:sz w:val="16"/>
              </w:rPr>
              <w:t>Cash and cash equivalents at end of reporting period</w:t>
            </w:r>
            <w:r>
              <w:rPr>
                <w:b/>
                <w:sz w:val="16"/>
                <w:vertAlign w:val="superscript"/>
              </w:rPr>
              <w:t xml:space="preserve"> (b)</w:t>
            </w:r>
          </w:p>
        </w:tc>
        <w:tc>
          <w:tcPr>
            <w:tcW w:w="739" w:type="dxa"/>
            <w:tcBorders>
              <w:top w:val="single" w:sz="6" w:space="0" w:color="auto"/>
              <w:bottom w:val="single" w:sz="6" w:space="0" w:color="auto"/>
            </w:tcBorders>
          </w:tcPr>
          <w:p w14:paraId="32ABF80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3 903</w:t>
            </w:r>
          </w:p>
        </w:tc>
        <w:tc>
          <w:tcPr>
            <w:tcW w:w="739" w:type="dxa"/>
            <w:tcBorders>
              <w:top w:val="single" w:sz="6" w:space="0" w:color="auto"/>
              <w:bottom w:val="single" w:sz="6" w:space="0" w:color="auto"/>
            </w:tcBorders>
          </w:tcPr>
          <w:p w14:paraId="0A5603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2 905</w:t>
            </w:r>
          </w:p>
        </w:tc>
        <w:tc>
          <w:tcPr>
            <w:tcW w:w="739" w:type="dxa"/>
            <w:tcBorders>
              <w:top w:val="single" w:sz="6" w:space="0" w:color="auto"/>
              <w:bottom w:val="single" w:sz="6" w:space="0" w:color="auto"/>
            </w:tcBorders>
          </w:tcPr>
          <w:p w14:paraId="20DD77B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2 998</w:t>
            </w:r>
          </w:p>
        </w:tc>
        <w:tc>
          <w:tcPr>
            <w:tcW w:w="739" w:type="dxa"/>
            <w:tcBorders>
              <w:top w:val="single" w:sz="6" w:space="0" w:color="auto"/>
              <w:bottom w:val="single" w:sz="6" w:space="0" w:color="auto"/>
            </w:tcBorders>
          </w:tcPr>
          <w:p w14:paraId="6B476F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3 124</w:t>
            </w:r>
          </w:p>
        </w:tc>
        <w:tc>
          <w:tcPr>
            <w:tcW w:w="739" w:type="dxa"/>
            <w:tcBorders>
              <w:top w:val="single" w:sz="6" w:space="0" w:color="auto"/>
              <w:bottom w:val="single" w:sz="6" w:space="0" w:color="auto"/>
            </w:tcBorders>
          </w:tcPr>
          <w:p w14:paraId="2E8B1D7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3 247</w:t>
            </w:r>
          </w:p>
        </w:tc>
      </w:tr>
      <w:tr w:rsidR="005D339F" w14:paraId="4F38F276"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tcBorders>
          </w:tcPr>
          <w:p w14:paraId="63877697" w14:textId="77777777" w:rsidR="005D339F" w:rsidRDefault="005D339F" w:rsidP="008670FF"/>
        </w:tc>
        <w:tc>
          <w:tcPr>
            <w:tcW w:w="739" w:type="dxa"/>
            <w:tcBorders>
              <w:top w:val="single" w:sz="6" w:space="0" w:color="auto"/>
            </w:tcBorders>
          </w:tcPr>
          <w:p w14:paraId="5EDD7B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71D07A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65FBB41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0439C4D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Borders>
              <w:top w:val="single" w:sz="6" w:space="0" w:color="auto"/>
            </w:tcBorders>
          </w:tcPr>
          <w:p w14:paraId="3740E25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43F6232"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56BA6930" w14:textId="77777777" w:rsidR="005D339F" w:rsidRDefault="005D339F" w:rsidP="008670FF">
            <w:r>
              <w:rPr>
                <w:b/>
                <w:sz w:val="16"/>
              </w:rPr>
              <w:t>FISCAL AGGREGATES</w:t>
            </w:r>
          </w:p>
        </w:tc>
        <w:tc>
          <w:tcPr>
            <w:tcW w:w="739" w:type="dxa"/>
          </w:tcPr>
          <w:p w14:paraId="48624B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7E04B5D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15C217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5207EF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39" w:type="dxa"/>
          </w:tcPr>
          <w:p w14:paraId="1582C1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B4A10ED"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1EA6F839" w14:textId="77777777" w:rsidR="005D339F" w:rsidRDefault="005D339F" w:rsidP="008670FF">
            <w:r>
              <w:rPr>
                <w:sz w:val="16"/>
              </w:rPr>
              <w:t>Net cash flows from operating activities</w:t>
            </w:r>
          </w:p>
        </w:tc>
        <w:tc>
          <w:tcPr>
            <w:tcW w:w="739" w:type="dxa"/>
          </w:tcPr>
          <w:p w14:paraId="068D774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2 516</w:t>
            </w:r>
          </w:p>
        </w:tc>
        <w:tc>
          <w:tcPr>
            <w:tcW w:w="739" w:type="dxa"/>
          </w:tcPr>
          <w:p w14:paraId="7C26A19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3 585</w:t>
            </w:r>
          </w:p>
        </w:tc>
        <w:tc>
          <w:tcPr>
            <w:tcW w:w="739" w:type="dxa"/>
          </w:tcPr>
          <w:p w14:paraId="7111BE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2 948</w:t>
            </w:r>
          </w:p>
        </w:tc>
        <w:tc>
          <w:tcPr>
            <w:tcW w:w="739" w:type="dxa"/>
          </w:tcPr>
          <w:p w14:paraId="50C41C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3 842</w:t>
            </w:r>
          </w:p>
        </w:tc>
        <w:tc>
          <w:tcPr>
            <w:tcW w:w="739" w:type="dxa"/>
          </w:tcPr>
          <w:p w14:paraId="0E7B4D1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2 650</w:t>
            </w:r>
          </w:p>
        </w:tc>
      </w:tr>
      <w:tr w:rsidR="005D339F" w14:paraId="59CAEA6D" w14:textId="77777777" w:rsidTr="008670FF">
        <w:tc>
          <w:tcPr>
            <w:cnfStyle w:val="001000000000" w:firstRow="0" w:lastRow="0" w:firstColumn="1" w:lastColumn="0" w:oddVBand="0" w:evenVBand="0" w:oddHBand="0" w:evenHBand="0" w:firstRowFirstColumn="0" w:firstRowLastColumn="0" w:lastRowFirstColumn="0" w:lastRowLastColumn="0"/>
            <w:tcW w:w="4102" w:type="dxa"/>
          </w:tcPr>
          <w:p w14:paraId="53782133" w14:textId="77777777" w:rsidR="005D339F" w:rsidRDefault="005D339F" w:rsidP="008670FF">
            <w:r>
              <w:rPr>
                <w:sz w:val="16"/>
              </w:rPr>
              <w:t>Dividends paid</w:t>
            </w:r>
          </w:p>
        </w:tc>
        <w:tc>
          <w:tcPr>
            <w:tcW w:w="739" w:type="dxa"/>
          </w:tcPr>
          <w:p w14:paraId="429E77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(84)</w:t>
            </w:r>
          </w:p>
        </w:tc>
        <w:tc>
          <w:tcPr>
            <w:tcW w:w="739" w:type="dxa"/>
          </w:tcPr>
          <w:p w14:paraId="54687C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(83)</w:t>
            </w:r>
          </w:p>
        </w:tc>
        <w:tc>
          <w:tcPr>
            <w:tcW w:w="739" w:type="dxa"/>
          </w:tcPr>
          <w:p w14:paraId="478C5E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(82)</w:t>
            </w:r>
          </w:p>
        </w:tc>
        <w:tc>
          <w:tcPr>
            <w:tcW w:w="739" w:type="dxa"/>
          </w:tcPr>
          <w:p w14:paraId="6F1E5A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(79)</w:t>
            </w:r>
          </w:p>
        </w:tc>
        <w:tc>
          <w:tcPr>
            <w:tcW w:w="739" w:type="dxa"/>
          </w:tcPr>
          <w:p w14:paraId="7A924E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(82)</w:t>
            </w:r>
          </w:p>
        </w:tc>
      </w:tr>
      <w:tr w:rsidR="005D339F" w14:paraId="7CBBB367"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bottom w:val="single" w:sz="6" w:space="0" w:color="auto"/>
            </w:tcBorders>
          </w:tcPr>
          <w:p w14:paraId="58902D3D" w14:textId="77777777" w:rsidR="005D339F" w:rsidRDefault="005D339F" w:rsidP="008670FF">
            <w:r>
              <w:rPr>
                <w:sz w:val="16"/>
              </w:rPr>
              <w:t>Net cash flows from investments in non</w:t>
            </w:r>
            <w:r>
              <w:rPr>
                <w:sz w:val="16"/>
              </w:rPr>
              <w:noBreakHyphen/>
              <w:t>financial assets</w:t>
            </w:r>
          </w:p>
        </w:tc>
        <w:tc>
          <w:tcPr>
            <w:tcW w:w="739" w:type="dxa"/>
            <w:tcBorders>
              <w:bottom w:val="single" w:sz="6" w:space="0" w:color="auto"/>
            </w:tcBorders>
          </w:tcPr>
          <w:p w14:paraId="2E246E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(17)</w:t>
            </w:r>
          </w:p>
        </w:tc>
        <w:tc>
          <w:tcPr>
            <w:tcW w:w="739" w:type="dxa"/>
            <w:tcBorders>
              <w:bottom w:val="single" w:sz="6" w:space="0" w:color="auto"/>
            </w:tcBorders>
          </w:tcPr>
          <w:p w14:paraId="46B3E3E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(33)</w:t>
            </w:r>
          </w:p>
        </w:tc>
        <w:tc>
          <w:tcPr>
            <w:tcW w:w="739" w:type="dxa"/>
            <w:tcBorders>
              <w:bottom w:val="single" w:sz="6" w:space="0" w:color="auto"/>
            </w:tcBorders>
          </w:tcPr>
          <w:p w14:paraId="7E3C27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(39)</w:t>
            </w:r>
          </w:p>
        </w:tc>
        <w:tc>
          <w:tcPr>
            <w:tcW w:w="739" w:type="dxa"/>
            <w:tcBorders>
              <w:bottom w:val="single" w:sz="6" w:space="0" w:color="auto"/>
            </w:tcBorders>
          </w:tcPr>
          <w:p w14:paraId="64C19E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(33)</w:t>
            </w:r>
          </w:p>
        </w:tc>
        <w:tc>
          <w:tcPr>
            <w:tcW w:w="739" w:type="dxa"/>
            <w:tcBorders>
              <w:bottom w:val="single" w:sz="6" w:space="0" w:color="auto"/>
            </w:tcBorders>
          </w:tcPr>
          <w:p w14:paraId="72E9570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(30)</w:t>
            </w:r>
          </w:p>
        </w:tc>
      </w:tr>
      <w:tr w:rsidR="005D339F" w14:paraId="5B8FE60C" w14:textId="77777777" w:rsidTr="008670FF">
        <w:tc>
          <w:tcPr>
            <w:cnfStyle w:val="001000000000" w:firstRow="0" w:lastRow="0" w:firstColumn="1" w:lastColumn="0" w:oddVBand="0" w:evenVBand="0" w:oddHBand="0" w:evenHBand="0" w:firstRowFirstColumn="0" w:firstRowLastColumn="0" w:lastRowFirstColumn="0" w:lastRowLastColumn="0"/>
            <w:tcW w:w="4102" w:type="dxa"/>
            <w:tcBorders>
              <w:top w:val="single" w:sz="6" w:space="0" w:color="auto"/>
              <w:bottom w:val="single" w:sz="12" w:space="0" w:color="auto"/>
            </w:tcBorders>
          </w:tcPr>
          <w:p w14:paraId="47DE61F1" w14:textId="77777777" w:rsidR="005D339F" w:rsidRDefault="005D339F" w:rsidP="008670FF">
            <w:r>
              <w:rPr>
                <w:b/>
                <w:sz w:val="16"/>
              </w:rPr>
              <w:t>Cash surplus/(deficit)</w:t>
            </w:r>
          </w:p>
        </w:tc>
        <w:tc>
          <w:tcPr>
            <w:tcW w:w="739" w:type="dxa"/>
            <w:tcBorders>
              <w:top w:val="single" w:sz="6" w:space="0" w:color="auto"/>
              <w:bottom w:val="single" w:sz="12" w:space="0" w:color="auto"/>
            </w:tcBorders>
          </w:tcPr>
          <w:p w14:paraId="396027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2 415</w:t>
            </w:r>
          </w:p>
        </w:tc>
        <w:tc>
          <w:tcPr>
            <w:tcW w:w="739" w:type="dxa"/>
            <w:tcBorders>
              <w:top w:val="single" w:sz="6" w:space="0" w:color="auto"/>
              <w:bottom w:val="single" w:sz="12" w:space="0" w:color="auto"/>
            </w:tcBorders>
          </w:tcPr>
          <w:p w14:paraId="38CCC8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3 469</w:t>
            </w:r>
          </w:p>
        </w:tc>
        <w:tc>
          <w:tcPr>
            <w:tcW w:w="739" w:type="dxa"/>
            <w:tcBorders>
              <w:top w:val="single" w:sz="6" w:space="0" w:color="auto"/>
              <w:bottom w:val="single" w:sz="12" w:space="0" w:color="auto"/>
            </w:tcBorders>
          </w:tcPr>
          <w:p w14:paraId="233EB6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2 827</w:t>
            </w:r>
          </w:p>
        </w:tc>
        <w:tc>
          <w:tcPr>
            <w:tcW w:w="739" w:type="dxa"/>
            <w:tcBorders>
              <w:top w:val="single" w:sz="6" w:space="0" w:color="auto"/>
              <w:bottom w:val="single" w:sz="12" w:space="0" w:color="auto"/>
            </w:tcBorders>
          </w:tcPr>
          <w:p w14:paraId="37F13DD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3 731</w:t>
            </w:r>
          </w:p>
        </w:tc>
        <w:tc>
          <w:tcPr>
            <w:tcW w:w="739" w:type="dxa"/>
            <w:tcBorders>
              <w:top w:val="single" w:sz="6" w:space="0" w:color="auto"/>
              <w:bottom w:val="single" w:sz="12" w:space="0" w:color="auto"/>
            </w:tcBorders>
          </w:tcPr>
          <w:p w14:paraId="3CDF3F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2 538</w:t>
            </w:r>
          </w:p>
        </w:tc>
      </w:tr>
    </w:tbl>
    <w:p w14:paraId="3A794AD4" w14:textId="77777777" w:rsidR="005D339F" w:rsidRPr="00921F69" w:rsidRDefault="005D339F" w:rsidP="005D339F">
      <w:pPr>
        <w:pStyle w:val="Note"/>
      </w:pPr>
      <w:r w:rsidRPr="00921F69">
        <w:t>Notes:</w:t>
      </w:r>
    </w:p>
    <w:p w14:paraId="5A387324" w14:textId="77777777" w:rsidR="005D339F" w:rsidRPr="007C2D5E" w:rsidRDefault="005D339F" w:rsidP="005D339F">
      <w:pPr>
        <w:pStyle w:val="Note"/>
        <w:rPr>
          <w:szCs w:val="14"/>
        </w:rPr>
      </w:pPr>
      <w:r w:rsidRPr="007C2D5E">
        <w:rPr>
          <w:szCs w:val="14"/>
        </w:rPr>
        <w:t>(a)</w:t>
      </w:r>
      <w:r w:rsidRPr="007C2D5E">
        <w:rPr>
          <w:szCs w:val="14"/>
        </w:rPr>
        <w:tab/>
        <w:t>Sales of goods and services and payments for goods and services are inclusive of goods and services tax.</w:t>
      </w:r>
    </w:p>
    <w:p w14:paraId="42A61AE6" w14:textId="46260E99" w:rsidR="005D339F" w:rsidRPr="00921F69" w:rsidRDefault="005D339F" w:rsidP="005D339F">
      <w:pPr>
        <w:pStyle w:val="Note"/>
      </w:pPr>
      <w:r w:rsidRPr="007C2D5E">
        <w:rPr>
          <w:szCs w:val="14"/>
        </w:rPr>
        <w:t>(b)</w:t>
      </w:r>
      <w:r w:rsidRPr="007C2D5E">
        <w:rPr>
          <w:szCs w:val="14"/>
        </w:rPr>
        <w:tab/>
      </w:r>
      <w:r w:rsidRPr="00B7055D">
        <w:rPr>
          <w:szCs w:val="14"/>
        </w:rPr>
        <w:t xml:space="preserve">2024-25 </w:t>
      </w:r>
      <w:r w:rsidR="00B7055D" w:rsidRPr="00B7055D">
        <w:rPr>
          <w:iCs/>
          <w:szCs w:val="14"/>
        </w:rPr>
        <w:t>b</w:t>
      </w:r>
      <w:r w:rsidRPr="00B7055D">
        <w:rPr>
          <w:iCs/>
          <w:szCs w:val="14"/>
        </w:rPr>
        <w:t>udget</w:t>
      </w:r>
      <w:r w:rsidRPr="0024426E">
        <w:rPr>
          <w:i w:val="0"/>
          <w:szCs w:val="14"/>
        </w:rPr>
        <w:t xml:space="preserve"> figures</w:t>
      </w:r>
      <w:r w:rsidRPr="007C2D5E">
        <w:rPr>
          <w:szCs w:val="14"/>
        </w:rPr>
        <w:t xml:space="preserve"> have been restated to represent actual opening balances at 1 July 202</w:t>
      </w:r>
      <w:r>
        <w:rPr>
          <w:szCs w:val="14"/>
        </w:rPr>
        <w:t>4</w:t>
      </w:r>
      <w:r w:rsidRPr="00921F69">
        <w:t>.</w:t>
      </w:r>
    </w:p>
    <w:p w14:paraId="7962B5D4" w14:textId="77777777" w:rsidR="005D339F" w:rsidRDefault="005D339F" w:rsidP="005D339F">
      <w:pPr>
        <w:pStyle w:val="TableHeading"/>
      </w:pPr>
      <w:r w:rsidRPr="00921F69">
        <w:t>Table 5.14</w:t>
      </w:r>
      <w:r w:rsidRPr="00921F69">
        <w:tab/>
        <w:t xml:space="preserve">Public financial corporations sector statement of changes in equity </w:t>
      </w:r>
      <w:r w:rsidRPr="00921F69">
        <w:br/>
        <w:t>for the financial year ended 30 June</w:t>
      </w:r>
      <w:r>
        <w:t xml:space="preserve"> </w:t>
      </w:r>
      <w:r w:rsidRPr="006A25E1">
        <w:rPr>
          <w:vertAlign w:val="superscript"/>
        </w:rPr>
        <w:t>(a)</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FC_SOCIE"/>
      </w:tblPr>
      <w:tblGrid>
        <w:gridCol w:w="2977"/>
        <w:gridCol w:w="593"/>
        <w:gridCol w:w="644"/>
        <w:gridCol w:w="1008"/>
        <w:gridCol w:w="1063"/>
        <w:gridCol w:w="728"/>
        <w:gridCol w:w="697"/>
      </w:tblGrid>
      <w:tr w:rsidR="00773CE3" w:rsidRPr="00792453" w14:paraId="5F275F84" w14:textId="77777777" w:rsidTr="00773C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5AE682C5" w14:textId="77777777" w:rsidR="005D339F" w:rsidRPr="00792453" w:rsidRDefault="005D339F" w:rsidP="008670FF">
            <w:pPr>
              <w:keepNext/>
              <w:rPr>
                <w:sz w:val="16"/>
                <w:szCs w:val="16"/>
              </w:rPr>
            </w:pPr>
          </w:p>
        </w:tc>
        <w:tc>
          <w:tcPr>
            <w:tcW w:w="1237" w:type="dxa"/>
            <w:gridSpan w:val="2"/>
          </w:tcPr>
          <w:p w14:paraId="5833AA0A" w14:textId="77777777" w:rsidR="005D339F" w:rsidRPr="00792453"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16"/>
              </w:rPr>
            </w:pPr>
            <w:r w:rsidRPr="00792453">
              <w:rPr>
                <w:sz w:val="16"/>
                <w:szCs w:val="16"/>
              </w:rPr>
              <w:t>Accumulated surplus/(deficit)</w:t>
            </w:r>
          </w:p>
        </w:tc>
        <w:tc>
          <w:tcPr>
            <w:tcW w:w="1008" w:type="dxa"/>
          </w:tcPr>
          <w:p w14:paraId="510F1FBE" w14:textId="77777777" w:rsidR="005D339F" w:rsidRPr="00792453"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16"/>
              </w:rPr>
            </w:pPr>
            <w:r w:rsidRPr="00792453">
              <w:rPr>
                <w:sz w:val="16"/>
                <w:szCs w:val="16"/>
              </w:rPr>
              <w:t>Contributions by owners</w:t>
            </w:r>
          </w:p>
        </w:tc>
        <w:tc>
          <w:tcPr>
            <w:tcW w:w="1063" w:type="dxa"/>
          </w:tcPr>
          <w:p w14:paraId="4C419B42" w14:textId="77777777" w:rsidR="005D339F" w:rsidRPr="00792453"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16"/>
              </w:rPr>
            </w:pPr>
            <w:r w:rsidRPr="00792453">
              <w:rPr>
                <w:sz w:val="16"/>
                <w:szCs w:val="16"/>
              </w:rPr>
              <w:t>Non</w:t>
            </w:r>
            <w:r w:rsidRPr="00792453">
              <w:rPr>
                <w:sz w:val="16"/>
                <w:szCs w:val="16"/>
              </w:rPr>
              <w:noBreakHyphen/>
              <w:t>financial assets revaluation surplus</w:t>
            </w:r>
          </w:p>
        </w:tc>
        <w:tc>
          <w:tcPr>
            <w:tcW w:w="728" w:type="dxa"/>
          </w:tcPr>
          <w:p w14:paraId="0BEE07A6" w14:textId="77777777" w:rsidR="005D339F" w:rsidRPr="00792453"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16"/>
              </w:rPr>
            </w:pPr>
            <w:r w:rsidRPr="00792453">
              <w:rPr>
                <w:sz w:val="16"/>
                <w:szCs w:val="16"/>
              </w:rPr>
              <w:t>Other reserves</w:t>
            </w:r>
          </w:p>
        </w:tc>
        <w:tc>
          <w:tcPr>
            <w:tcW w:w="697" w:type="dxa"/>
          </w:tcPr>
          <w:p w14:paraId="45A82885" w14:textId="77777777" w:rsidR="005D339F" w:rsidRPr="00792453"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16"/>
              </w:rPr>
            </w:pPr>
            <w:r w:rsidRPr="00792453">
              <w:rPr>
                <w:sz w:val="16"/>
                <w:szCs w:val="16"/>
              </w:rPr>
              <w:t>Total</w:t>
            </w:r>
          </w:p>
        </w:tc>
      </w:tr>
      <w:tr w:rsidR="005D339F" w:rsidRPr="00792453" w14:paraId="53064C04"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048825B2" w14:textId="77777777" w:rsidR="005D339F" w:rsidRPr="00792453" w:rsidRDefault="005D339F" w:rsidP="008670FF">
            <w:pPr>
              <w:rPr>
                <w:sz w:val="16"/>
                <w:szCs w:val="16"/>
              </w:rPr>
            </w:pPr>
            <w:r w:rsidRPr="00792453">
              <w:rPr>
                <w:b/>
                <w:sz w:val="16"/>
                <w:szCs w:val="16"/>
              </w:rPr>
              <w:t>2024</w:t>
            </w:r>
            <w:r w:rsidRPr="00792453">
              <w:rPr>
                <w:b/>
                <w:sz w:val="16"/>
                <w:szCs w:val="16"/>
              </w:rPr>
              <w:noBreakHyphen/>
              <w:t>25 budget</w:t>
            </w:r>
            <w:r w:rsidRPr="00792453">
              <w:rPr>
                <w:b/>
                <w:sz w:val="16"/>
                <w:szCs w:val="16"/>
                <w:vertAlign w:val="superscript"/>
              </w:rPr>
              <w:t xml:space="preserve"> (b)</w:t>
            </w:r>
          </w:p>
        </w:tc>
        <w:tc>
          <w:tcPr>
            <w:tcW w:w="644" w:type="dxa"/>
          </w:tcPr>
          <w:p w14:paraId="761ACFD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08" w:type="dxa"/>
          </w:tcPr>
          <w:p w14:paraId="7DA545F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63" w:type="dxa"/>
          </w:tcPr>
          <w:p w14:paraId="48794E1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tcPr>
          <w:p w14:paraId="70B4FDC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697" w:type="dxa"/>
          </w:tcPr>
          <w:p w14:paraId="6A79859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792453" w14:paraId="7D03CC1C"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339F19B5" w14:textId="77777777" w:rsidR="005D339F" w:rsidRPr="00792453" w:rsidRDefault="005D339F" w:rsidP="008670FF">
            <w:pPr>
              <w:rPr>
                <w:sz w:val="16"/>
                <w:szCs w:val="16"/>
              </w:rPr>
            </w:pPr>
            <w:r w:rsidRPr="00792453">
              <w:rPr>
                <w:sz w:val="16"/>
                <w:szCs w:val="16"/>
              </w:rPr>
              <w:t>Balance at 1 July 2024</w:t>
            </w:r>
          </w:p>
        </w:tc>
        <w:tc>
          <w:tcPr>
            <w:tcW w:w="644" w:type="dxa"/>
          </w:tcPr>
          <w:p w14:paraId="79AA0FF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13 148</w:t>
            </w:r>
          </w:p>
        </w:tc>
        <w:tc>
          <w:tcPr>
            <w:tcW w:w="1008" w:type="dxa"/>
          </w:tcPr>
          <w:p w14:paraId="0C326C9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465</w:t>
            </w:r>
          </w:p>
        </w:tc>
        <w:tc>
          <w:tcPr>
            <w:tcW w:w="1063" w:type="dxa"/>
          </w:tcPr>
          <w:p w14:paraId="057BAC4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w:t>
            </w:r>
          </w:p>
        </w:tc>
        <w:tc>
          <w:tcPr>
            <w:tcW w:w="728" w:type="dxa"/>
          </w:tcPr>
          <w:p w14:paraId="748BE83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61</w:t>
            </w:r>
          </w:p>
        </w:tc>
        <w:tc>
          <w:tcPr>
            <w:tcW w:w="697" w:type="dxa"/>
          </w:tcPr>
          <w:p w14:paraId="3658856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13 683</w:t>
            </w:r>
          </w:p>
        </w:tc>
      </w:tr>
      <w:tr w:rsidR="005D339F" w:rsidRPr="00792453" w14:paraId="7BB482ED"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15BA57BE" w14:textId="77777777" w:rsidR="005D339F" w:rsidRPr="00792453" w:rsidRDefault="005D339F" w:rsidP="008670FF">
            <w:pPr>
              <w:rPr>
                <w:sz w:val="16"/>
                <w:szCs w:val="16"/>
              </w:rPr>
            </w:pPr>
            <w:r w:rsidRPr="00792453">
              <w:rPr>
                <w:sz w:val="16"/>
                <w:szCs w:val="16"/>
              </w:rPr>
              <w:t>Net result for the year</w:t>
            </w:r>
          </w:p>
        </w:tc>
        <w:tc>
          <w:tcPr>
            <w:tcW w:w="644" w:type="dxa"/>
          </w:tcPr>
          <w:p w14:paraId="28C4DA6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(1 644)</w:t>
            </w:r>
          </w:p>
        </w:tc>
        <w:tc>
          <w:tcPr>
            <w:tcW w:w="1008" w:type="dxa"/>
          </w:tcPr>
          <w:p w14:paraId="22FAAA9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063" w:type="dxa"/>
          </w:tcPr>
          <w:p w14:paraId="056EECD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728" w:type="dxa"/>
          </w:tcPr>
          <w:p w14:paraId="0B80143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97" w:type="dxa"/>
          </w:tcPr>
          <w:p w14:paraId="4B93AF2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(1 644)</w:t>
            </w:r>
          </w:p>
        </w:tc>
      </w:tr>
      <w:tr w:rsidR="005D339F" w:rsidRPr="00792453" w14:paraId="706C323E"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570FAAAB" w14:textId="77777777" w:rsidR="005D339F" w:rsidRPr="00792453" w:rsidRDefault="005D339F" w:rsidP="008670FF">
            <w:pPr>
              <w:rPr>
                <w:sz w:val="16"/>
                <w:szCs w:val="16"/>
              </w:rPr>
            </w:pPr>
            <w:r w:rsidRPr="00792453">
              <w:rPr>
                <w:sz w:val="16"/>
                <w:szCs w:val="16"/>
              </w:rPr>
              <w:t>Other comprehensive income for the year</w:t>
            </w:r>
          </w:p>
        </w:tc>
        <w:tc>
          <w:tcPr>
            <w:tcW w:w="644" w:type="dxa"/>
          </w:tcPr>
          <w:p w14:paraId="0F13439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c>
          <w:tcPr>
            <w:tcW w:w="1008" w:type="dxa"/>
          </w:tcPr>
          <w:p w14:paraId="711550D8"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59CB6FD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6C8F8C2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c>
          <w:tcPr>
            <w:tcW w:w="697" w:type="dxa"/>
          </w:tcPr>
          <w:p w14:paraId="5A00EC0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r>
      <w:tr w:rsidR="005D339F" w:rsidRPr="00792453" w14:paraId="27C53DBD"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01D062F9" w14:textId="77777777" w:rsidR="005D339F" w:rsidRPr="00792453" w:rsidRDefault="005D339F" w:rsidP="008670FF">
            <w:pPr>
              <w:rPr>
                <w:sz w:val="16"/>
                <w:szCs w:val="16"/>
              </w:rPr>
            </w:pPr>
            <w:r w:rsidRPr="00792453">
              <w:rPr>
                <w:sz w:val="16"/>
                <w:szCs w:val="16"/>
              </w:rPr>
              <w:t>Dividends paid</w:t>
            </w:r>
          </w:p>
        </w:tc>
        <w:tc>
          <w:tcPr>
            <w:tcW w:w="644" w:type="dxa"/>
          </w:tcPr>
          <w:p w14:paraId="3271940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(84)</w:t>
            </w:r>
          </w:p>
        </w:tc>
        <w:tc>
          <w:tcPr>
            <w:tcW w:w="1008" w:type="dxa"/>
          </w:tcPr>
          <w:p w14:paraId="4A493C9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76A57DF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45DE26C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7683579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(84)</w:t>
            </w:r>
          </w:p>
        </w:tc>
      </w:tr>
      <w:tr w:rsidR="005D339F" w:rsidRPr="00792453" w14:paraId="6B1B86B3"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bottom w:val="single" w:sz="6" w:space="0" w:color="auto"/>
            </w:tcBorders>
          </w:tcPr>
          <w:p w14:paraId="54DE4085" w14:textId="77777777" w:rsidR="005D339F" w:rsidRPr="00792453" w:rsidRDefault="005D339F" w:rsidP="008670FF">
            <w:pPr>
              <w:rPr>
                <w:sz w:val="16"/>
                <w:szCs w:val="16"/>
              </w:rPr>
            </w:pPr>
            <w:r w:rsidRPr="00792453">
              <w:rPr>
                <w:sz w:val="16"/>
                <w:szCs w:val="16"/>
              </w:rPr>
              <w:t>Transactions with owners in their capacity as owners</w:t>
            </w:r>
          </w:p>
        </w:tc>
        <w:tc>
          <w:tcPr>
            <w:tcW w:w="644" w:type="dxa"/>
            <w:tcBorders>
              <w:bottom w:val="single" w:sz="6" w:space="0" w:color="auto"/>
            </w:tcBorders>
          </w:tcPr>
          <w:p w14:paraId="6D5E056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08" w:type="dxa"/>
            <w:tcBorders>
              <w:bottom w:val="single" w:sz="6" w:space="0" w:color="auto"/>
            </w:tcBorders>
          </w:tcPr>
          <w:p w14:paraId="4B015CF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74</w:t>
            </w:r>
          </w:p>
        </w:tc>
        <w:tc>
          <w:tcPr>
            <w:tcW w:w="1063" w:type="dxa"/>
            <w:tcBorders>
              <w:bottom w:val="single" w:sz="6" w:space="0" w:color="auto"/>
            </w:tcBorders>
          </w:tcPr>
          <w:p w14:paraId="0E592E6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Borders>
              <w:bottom w:val="single" w:sz="6" w:space="0" w:color="auto"/>
            </w:tcBorders>
          </w:tcPr>
          <w:p w14:paraId="0E55ECC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Borders>
              <w:bottom w:val="single" w:sz="6" w:space="0" w:color="auto"/>
            </w:tcBorders>
          </w:tcPr>
          <w:p w14:paraId="11685898"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74</w:t>
            </w:r>
          </w:p>
        </w:tc>
      </w:tr>
      <w:tr w:rsidR="005D339F" w:rsidRPr="00792453" w14:paraId="08552163"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bottom w:val="single" w:sz="6" w:space="0" w:color="auto"/>
            </w:tcBorders>
          </w:tcPr>
          <w:p w14:paraId="1A0B65CF" w14:textId="77777777" w:rsidR="005D339F" w:rsidRPr="00792453" w:rsidRDefault="005D339F" w:rsidP="008670FF">
            <w:pPr>
              <w:rPr>
                <w:sz w:val="16"/>
                <w:szCs w:val="16"/>
              </w:rPr>
            </w:pPr>
            <w:r w:rsidRPr="00792453">
              <w:rPr>
                <w:b/>
                <w:sz w:val="16"/>
                <w:szCs w:val="16"/>
              </w:rPr>
              <w:t>Total equity as at 30 June 2025</w:t>
            </w:r>
          </w:p>
        </w:tc>
        <w:tc>
          <w:tcPr>
            <w:tcW w:w="644" w:type="dxa"/>
            <w:tcBorders>
              <w:top w:val="single" w:sz="6" w:space="0" w:color="auto"/>
              <w:bottom w:val="single" w:sz="6" w:space="0" w:color="auto"/>
            </w:tcBorders>
          </w:tcPr>
          <w:p w14:paraId="424D758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11 420</w:t>
            </w:r>
          </w:p>
        </w:tc>
        <w:tc>
          <w:tcPr>
            <w:tcW w:w="1008" w:type="dxa"/>
            <w:tcBorders>
              <w:top w:val="single" w:sz="6" w:space="0" w:color="auto"/>
              <w:bottom w:val="single" w:sz="6" w:space="0" w:color="auto"/>
            </w:tcBorders>
          </w:tcPr>
          <w:p w14:paraId="30A20F16"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538</w:t>
            </w:r>
          </w:p>
        </w:tc>
        <w:tc>
          <w:tcPr>
            <w:tcW w:w="1063" w:type="dxa"/>
            <w:tcBorders>
              <w:top w:val="single" w:sz="6" w:space="0" w:color="auto"/>
              <w:bottom w:val="single" w:sz="6" w:space="0" w:color="auto"/>
            </w:tcBorders>
          </w:tcPr>
          <w:p w14:paraId="5429996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9</w:t>
            </w:r>
          </w:p>
        </w:tc>
        <w:tc>
          <w:tcPr>
            <w:tcW w:w="728" w:type="dxa"/>
            <w:tcBorders>
              <w:top w:val="single" w:sz="6" w:space="0" w:color="auto"/>
              <w:bottom w:val="single" w:sz="6" w:space="0" w:color="auto"/>
            </w:tcBorders>
          </w:tcPr>
          <w:p w14:paraId="5AEFF40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62</w:t>
            </w:r>
          </w:p>
        </w:tc>
        <w:tc>
          <w:tcPr>
            <w:tcW w:w="697" w:type="dxa"/>
            <w:tcBorders>
              <w:top w:val="single" w:sz="6" w:space="0" w:color="auto"/>
              <w:bottom w:val="single" w:sz="6" w:space="0" w:color="auto"/>
            </w:tcBorders>
          </w:tcPr>
          <w:p w14:paraId="42711C3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12 028</w:t>
            </w:r>
          </w:p>
        </w:tc>
      </w:tr>
      <w:tr w:rsidR="005D339F" w:rsidRPr="00792453" w14:paraId="18DAD11F"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tcBorders>
          </w:tcPr>
          <w:p w14:paraId="44EE828B" w14:textId="77777777" w:rsidR="005D339F" w:rsidRPr="00792453" w:rsidRDefault="005D339F" w:rsidP="008670FF">
            <w:pPr>
              <w:rPr>
                <w:sz w:val="16"/>
                <w:szCs w:val="16"/>
              </w:rPr>
            </w:pPr>
            <w:r w:rsidRPr="00792453">
              <w:rPr>
                <w:b/>
                <w:sz w:val="16"/>
                <w:szCs w:val="16"/>
              </w:rPr>
              <w:t>2024</w:t>
            </w:r>
            <w:r w:rsidRPr="00792453">
              <w:rPr>
                <w:b/>
                <w:sz w:val="16"/>
                <w:szCs w:val="16"/>
              </w:rPr>
              <w:noBreakHyphen/>
              <w:t>25 revised</w:t>
            </w:r>
          </w:p>
        </w:tc>
        <w:tc>
          <w:tcPr>
            <w:tcW w:w="644" w:type="dxa"/>
            <w:tcBorders>
              <w:top w:val="single" w:sz="6" w:space="0" w:color="auto"/>
            </w:tcBorders>
          </w:tcPr>
          <w:p w14:paraId="0D12F57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08" w:type="dxa"/>
            <w:tcBorders>
              <w:top w:val="single" w:sz="6" w:space="0" w:color="auto"/>
            </w:tcBorders>
          </w:tcPr>
          <w:p w14:paraId="2B5F064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63" w:type="dxa"/>
            <w:tcBorders>
              <w:top w:val="single" w:sz="6" w:space="0" w:color="auto"/>
            </w:tcBorders>
          </w:tcPr>
          <w:p w14:paraId="7780D94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tcBorders>
              <w:top w:val="single" w:sz="6" w:space="0" w:color="auto"/>
            </w:tcBorders>
          </w:tcPr>
          <w:p w14:paraId="251BC8C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697" w:type="dxa"/>
            <w:tcBorders>
              <w:top w:val="single" w:sz="6" w:space="0" w:color="auto"/>
            </w:tcBorders>
          </w:tcPr>
          <w:p w14:paraId="35F1D08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792453" w14:paraId="6F97CC78"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1D955D91" w14:textId="77777777" w:rsidR="005D339F" w:rsidRPr="00792453" w:rsidRDefault="005D339F" w:rsidP="008670FF">
            <w:pPr>
              <w:rPr>
                <w:sz w:val="16"/>
                <w:szCs w:val="16"/>
              </w:rPr>
            </w:pPr>
            <w:r w:rsidRPr="00792453">
              <w:rPr>
                <w:sz w:val="16"/>
                <w:szCs w:val="16"/>
              </w:rPr>
              <w:t>Balance at 1 July 2024</w:t>
            </w:r>
          </w:p>
        </w:tc>
        <w:tc>
          <w:tcPr>
            <w:tcW w:w="644" w:type="dxa"/>
          </w:tcPr>
          <w:p w14:paraId="06334C36"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13 148</w:t>
            </w:r>
          </w:p>
        </w:tc>
        <w:tc>
          <w:tcPr>
            <w:tcW w:w="1008" w:type="dxa"/>
          </w:tcPr>
          <w:p w14:paraId="78FF607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465</w:t>
            </w:r>
          </w:p>
        </w:tc>
        <w:tc>
          <w:tcPr>
            <w:tcW w:w="1063" w:type="dxa"/>
          </w:tcPr>
          <w:p w14:paraId="7825E0C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w:t>
            </w:r>
          </w:p>
        </w:tc>
        <w:tc>
          <w:tcPr>
            <w:tcW w:w="728" w:type="dxa"/>
          </w:tcPr>
          <w:p w14:paraId="602CD07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61</w:t>
            </w:r>
          </w:p>
        </w:tc>
        <w:tc>
          <w:tcPr>
            <w:tcW w:w="697" w:type="dxa"/>
          </w:tcPr>
          <w:p w14:paraId="32472D0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13 683</w:t>
            </w:r>
          </w:p>
        </w:tc>
      </w:tr>
      <w:tr w:rsidR="005D339F" w:rsidRPr="00792453" w14:paraId="759ACF8D"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2D8C10C1" w14:textId="77777777" w:rsidR="005D339F" w:rsidRPr="00792453" w:rsidRDefault="005D339F" w:rsidP="008670FF">
            <w:pPr>
              <w:rPr>
                <w:sz w:val="16"/>
                <w:szCs w:val="16"/>
              </w:rPr>
            </w:pPr>
            <w:r w:rsidRPr="00792453">
              <w:rPr>
                <w:sz w:val="16"/>
                <w:szCs w:val="16"/>
              </w:rPr>
              <w:t>Net result for the year</w:t>
            </w:r>
          </w:p>
        </w:tc>
        <w:tc>
          <w:tcPr>
            <w:tcW w:w="644" w:type="dxa"/>
          </w:tcPr>
          <w:p w14:paraId="716B8B0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(3 540)</w:t>
            </w:r>
          </w:p>
        </w:tc>
        <w:tc>
          <w:tcPr>
            <w:tcW w:w="1008" w:type="dxa"/>
          </w:tcPr>
          <w:p w14:paraId="45C0D63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063" w:type="dxa"/>
          </w:tcPr>
          <w:p w14:paraId="11E6096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728" w:type="dxa"/>
          </w:tcPr>
          <w:p w14:paraId="41040BC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97" w:type="dxa"/>
          </w:tcPr>
          <w:p w14:paraId="5344130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(3 540)</w:t>
            </w:r>
          </w:p>
        </w:tc>
      </w:tr>
      <w:tr w:rsidR="005D339F" w:rsidRPr="00792453" w14:paraId="71311E1E"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4F195686" w14:textId="77777777" w:rsidR="005D339F" w:rsidRPr="00792453" w:rsidRDefault="005D339F" w:rsidP="008670FF">
            <w:pPr>
              <w:rPr>
                <w:sz w:val="16"/>
                <w:szCs w:val="16"/>
              </w:rPr>
            </w:pPr>
            <w:r w:rsidRPr="00792453">
              <w:rPr>
                <w:sz w:val="16"/>
                <w:szCs w:val="16"/>
              </w:rPr>
              <w:t>Other comprehensive income for the year</w:t>
            </w:r>
          </w:p>
        </w:tc>
        <w:tc>
          <w:tcPr>
            <w:tcW w:w="644" w:type="dxa"/>
          </w:tcPr>
          <w:p w14:paraId="1A1927B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08" w:type="dxa"/>
          </w:tcPr>
          <w:p w14:paraId="5215C44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2817394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c>
          <w:tcPr>
            <w:tcW w:w="728" w:type="dxa"/>
          </w:tcPr>
          <w:p w14:paraId="1DFDF53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32B552A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r>
      <w:tr w:rsidR="005D339F" w:rsidRPr="00792453" w14:paraId="6E6DCF53"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045D675A" w14:textId="77777777" w:rsidR="005D339F" w:rsidRPr="00792453" w:rsidRDefault="005D339F" w:rsidP="008670FF">
            <w:pPr>
              <w:rPr>
                <w:sz w:val="16"/>
                <w:szCs w:val="16"/>
              </w:rPr>
            </w:pPr>
            <w:r w:rsidRPr="00792453">
              <w:rPr>
                <w:sz w:val="16"/>
                <w:szCs w:val="16"/>
              </w:rPr>
              <w:t>Dividends paid</w:t>
            </w:r>
          </w:p>
        </w:tc>
        <w:tc>
          <w:tcPr>
            <w:tcW w:w="644" w:type="dxa"/>
          </w:tcPr>
          <w:p w14:paraId="0E52A45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(83)</w:t>
            </w:r>
          </w:p>
        </w:tc>
        <w:tc>
          <w:tcPr>
            <w:tcW w:w="1008" w:type="dxa"/>
          </w:tcPr>
          <w:p w14:paraId="137668E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40A2551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2EA6DC3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525A54A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(83)</w:t>
            </w:r>
          </w:p>
        </w:tc>
      </w:tr>
      <w:tr w:rsidR="005D339F" w:rsidRPr="00792453" w14:paraId="15178B90"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bottom w:val="single" w:sz="6" w:space="0" w:color="auto"/>
            </w:tcBorders>
          </w:tcPr>
          <w:p w14:paraId="05B78264" w14:textId="77777777" w:rsidR="005D339F" w:rsidRPr="00792453" w:rsidRDefault="005D339F" w:rsidP="008670FF">
            <w:pPr>
              <w:rPr>
                <w:sz w:val="16"/>
                <w:szCs w:val="16"/>
              </w:rPr>
            </w:pPr>
            <w:r w:rsidRPr="00792453">
              <w:rPr>
                <w:sz w:val="16"/>
                <w:szCs w:val="16"/>
              </w:rPr>
              <w:t>Transactions with owners in their capacity as owners</w:t>
            </w:r>
          </w:p>
        </w:tc>
        <w:tc>
          <w:tcPr>
            <w:tcW w:w="644" w:type="dxa"/>
            <w:tcBorders>
              <w:bottom w:val="single" w:sz="6" w:space="0" w:color="auto"/>
            </w:tcBorders>
          </w:tcPr>
          <w:p w14:paraId="6C11E4B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08" w:type="dxa"/>
            <w:tcBorders>
              <w:bottom w:val="single" w:sz="6" w:space="0" w:color="auto"/>
            </w:tcBorders>
          </w:tcPr>
          <w:p w14:paraId="057FDE4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74</w:t>
            </w:r>
          </w:p>
        </w:tc>
        <w:tc>
          <w:tcPr>
            <w:tcW w:w="1063" w:type="dxa"/>
            <w:tcBorders>
              <w:bottom w:val="single" w:sz="6" w:space="0" w:color="auto"/>
            </w:tcBorders>
          </w:tcPr>
          <w:p w14:paraId="1580153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Borders>
              <w:bottom w:val="single" w:sz="6" w:space="0" w:color="auto"/>
            </w:tcBorders>
          </w:tcPr>
          <w:p w14:paraId="6DBA2E9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Borders>
              <w:bottom w:val="single" w:sz="6" w:space="0" w:color="auto"/>
            </w:tcBorders>
          </w:tcPr>
          <w:p w14:paraId="1A99B09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74</w:t>
            </w:r>
          </w:p>
        </w:tc>
      </w:tr>
      <w:tr w:rsidR="005D339F" w:rsidRPr="00792453" w14:paraId="4C844701"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bottom w:val="single" w:sz="6" w:space="0" w:color="auto"/>
            </w:tcBorders>
          </w:tcPr>
          <w:p w14:paraId="4351C178" w14:textId="77777777" w:rsidR="005D339F" w:rsidRPr="00792453" w:rsidRDefault="005D339F" w:rsidP="008670FF">
            <w:pPr>
              <w:rPr>
                <w:sz w:val="16"/>
                <w:szCs w:val="16"/>
              </w:rPr>
            </w:pPr>
            <w:r w:rsidRPr="00792453">
              <w:rPr>
                <w:b/>
                <w:sz w:val="16"/>
                <w:szCs w:val="16"/>
              </w:rPr>
              <w:t>Total equity as at 30 June 2025</w:t>
            </w:r>
          </w:p>
        </w:tc>
        <w:tc>
          <w:tcPr>
            <w:tcW w:w="644" w:type="dxa"/>
            <w:tcBorders>
              <w:top w:val="single" w:sz="6" w:space="0" w:color="auto"/>
              <w:bottom w:val="single" w:sz="6" w:space="0" w:color="auto"/>
            </w:tcBorders>
          </w:tcPr>
          <w:p w14:paraId="3277EE3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9 525</w:t>
            </w:r>
          </w:p>
        </w:tc>
        <w:tc>
          <w:tcPr>
            <w:tcW w:w="1008" w:type="dxa"/>
            <w:tcBorders>
              <w:top w:val="single" w:sz="6" w:space="0" w:color="auto"/>
              <w:bottom w:val="single" w:sz="6" w:space="0" w:color="auto"/>
            </w:tcBorders>
          </w:tcPr>
          <w:p w14:paraId="3DFB653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538</w:t>
            </w:r>
          </w:p>
        </w:tc>
        <w:tc>
          <w:tcPr>
            <w:tcW w:w="1063" w:type="dxa"/>
            <w:tcBorders>
              <w:top w:val="single" w:sz="6" w:space="0" w:color="auto"/>
              <w:bottom w:val="single" w:sz="6" w:space="0" w:color="auto"/>
            </w:tcBorders>
          </w:tcPr>
          <w:p w14:paraId="7067AF2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10</w:t>
            </w:r>
          </w:p>
        </w:tc>
        <w:tc>
          <w:tcPr>
            <w:tcW w:w="728" w:type="dxa"/>
            <w:tcBorders>
              <w:top w:val="single" w:sz="6" w:space="0" w:color="auto"/>
              <w:bottom w:val="single" w:sz="6" w:space="0" w:color="auto"/>
            </w:tcBorders>
          </w:tcPr>
          <w:p w14:paraId="54B7246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61</w:t>
            </w:r>
          </w:p>
        </w:tc>
        <w:tc>
          <w:tcPr>
            <w:tcW w:w="697" w:type="dxa"/>
            <w:tcBorders>
              <w:top w:val="single" w:sz="6" w:space="0" w:color="auto"/>
              <w:bottom w:val="single" w:sz="6" w:space="0" w:color="auto"/>
            </w:tcBorders>
          </w:tcPr>
          <w:p w14:paraId="10FCC7A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10 134</w:t>
            </w:r>
          </w:p>
        </w:tc>
      </w:tr>
      <w:tr w:rsidR="005D339F" w:rsidRPr="00792453" w14:paraId="18ADC3DA"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tcBorders>
          </w:tcPr>
          <w:p w14:paraId="09A4DC70" w14:textId="77777777" w:rsidR="005D339F" w:rsidRPr="00792453" w:rsidRDefault="005D339F" w:rsidP="008670FF">
            <w:pPr>
              <w:rPr>
                <w:sz w:val="16"/>
                <w:szCs w:val="16"/>
              </w:rPr>
            </w:pPr>
            <w:r w:rsidRPr="00792453">
              <w:rPr>
                <w:b/>
                <w:sz w:val="16"/>
                <w:szCs w:val="16"/>
              </w:rPr>
              <w:t>2025</w:t>
            </w:r>
            <w:r w:rsidRPr="00792453">
              <w:rPr>
                <w:b/>
                <w:sz w:val="16"/>
                <w:szCs w:val="16"/>
              </w:rPr>
              <w:noBreakHyphen/>
              <w:t>26 estimate</w:t>
            </w:r>
          </w:p>
        </w:tc>
        <w:tc>
          <w:tcPr>
            <w:tcW w:w="644" w:type="dxa"/>
            <w:tcBorders>
              <w:top w:val="single" w:sz="6" w:space="0" w:color="auto"/>
            </w:tcBorders>
          </w:tcPr>
          <w:p w14:paraId="14A97DD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08" w:type="dxa"/>
            <w:tcBorders>
              <w:top w:val="single" w:sz="6" w:space="0" w:color="auto"/>
            </w:tcBorders>
          </w:tcPr>
          <w:p w14:paraId="454C9F8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63" w:type="dxa"/>
            <w:tcBorders>
              <w:top w:val="single" w:sz="6" w:space="0" w:color="auto"/>
            </w:tcBorders>
          </w:tcPr>
          <w:p w14:paraId="2791E24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tcBorders>
              <w:top w:val="single" w:sz="6" w:space="0" w:color="auto"/>
            </w:tcBorders>
          </w:tcPr>
          <w:p w14:paraId="22A19F06"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697" w:type="dxa"/>
            <w:tcBorders>
              <w:top w:val="single" w:sz="6" w:space="0" w:color="auto"/>
            </w:tcBorders>
          </w:tcPr>
          <w:p w14:paraId="2D5E60A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792453" w14:paraId="2E345D5E"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5D3F40FC" w14:textId="77777777" w:rsidR="005D339F" w:rsidRPr="00792453" w:rsidRDefault="005D339F" w:rsidP="008670FF">
            <w:pPr>
              <w:rPr>
                <w:sz w:val="16"/>
                <w:szCs w:val="16"/>
              </w:rPr>
            </w:pPr>
            <w:r w:rsidRPr="00792453">
              <w:rPr>
                <w:sz w:val="16"/>
                <w:szCs w:val="16"/>
              </w:rPr>
              <w:t>Balance at 1 July 2025</w:t>
            </w:r>
          </w:p>
        </w:tc>
        <w:tc>
          <w:tcPr>
            <w:tcW w:w="644" w:type="dxa"/>
          </w:tcPr>
          <w:p w14:paraId="5EACE5A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9 525</w:t>
            </w:r>
          </w:p>
        </w:tc>
        <w:tc>
          <w:tcPr>
            <w:tcW w:w="1008" w:type="dxa"/>
          </w:tcPr>
          <w:p w14:paraId="29F2226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538</w:t>
            </w:r>
          </w:p>
        </w:tc>
        <w:tc>
          <w:tcPr>
            <w:tcW w:w="1063" w:type="dxa"/>
          </w:tcPr>
          <w:p w14:paraId="491EF69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10</w:t>
            </w:r>
          </w:p>
        </w:tc>
        <w:tc>
          <w:tcPr>
            <w:tcW w:w="728" w:type="dxa"/>
          </w:tcPr>
          <w:p w14:paraId="43E65CD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61</w:t>
            </w:r>
          </w:p>
        </w:tc>
        <w:tc>
          <w:tcPr>
            <w:tcW w:w="697" w:type="dxa"/>
          </w:tcPr>
          <w:p w14:paraId="77846C1C"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10 134</w:t>
            </w:r>
          </w:p>
        </w:tc>
      </w:tr>
      <w:tr w:rsidR="005D339F" w:rsidRPr="00792453" w14:paraId="536685BC"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29EEA7E8" w14:textId="77777777" w:rsidR="005D339F" w:rsidRPr="00792453" w:rsidRDefault="005D339F" w:rsidP="008670FF">
            <w:pPr>
              <w:rPr>
                <w:sz w:val="16"/>
                <w:szCs w:val="16"/>
              </w:rPr>
            </w:pPr>
            <w:r w:rsidRPr="00792453">
              <w:rPr>
                <w:sz w:val="16"/>
                <w:szCs w:val="16"/>
              </w:rPr>
              <w:t>Net result for the year</w:t>
            </w:r>
          </w:p>
        </w:tc>
        <w:tc>
          <w:tcPr>
            <w:tcW w:w="644" w:type="dxa"/>
          </w:tcPr>
          <w:p w14:paraId="43AC311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(976)</w:t>
            </w:r>
          </w:p>
        </w:tc>
        <w:tc>
          <w:tcPr>
            <w:tcW w:w="1008" w:type="dxa"/>
          </w:tcPr>
          <w:p w14:paraId="3FE3457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063" w:type="dxa"/>
          </w:tcPr>
          <w:p w14:paraId="0CEC125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728" w:type="dxa"/>
          </w:tcPr>
          <w:p w14:paraId="5787501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97" w:type="dxa"/>
          </w:tcPr>
          <w:p w14:paraId="7D196C8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(976)</w:t>
            </w:r>
          </w:p>
        </w:tc>
      </w:tr>
      <w:tr w:rsidR="005D339F" w:rsidRPr="00792453" w14:paraId="3102B314"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1F256AC5" w14:textId="77777777" w:rsidR="005D339F" w:rsidRPr="00792453" w:rsidRDefault="005D339F" w:rsidP="008670FF">
            <w:pPr>
              <w:rPr>
                <w:sz w:val="16"/>
                <w:szCs w:val="16"/>
              </w:rPr>
            </w:pPr>
            <w:r w:rsidRPr="00792453">
              <w:rPr>
                <w:sz w:val="16"/>
                <w:szCs w:val="16"/>
              </w:rPr>
              <w:t>Other comprehensive income for the year</w:t>
            </w:r>
          </w:p>
        </w:tc>
        <w:tc>
          <w:tcPr>
            <w:tcW w:w="644" w:type="dxa"/>
          </w:tcPr>
          <w:p w14:paraId="797DC98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c>
          <w:tcPr>
            <w:tcW w:w="1008" w:type="dxa"/>
          </w:tcPr>
          <w:p w14:paraId="69A82DB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73EE5C7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1A5ED1D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42A437E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r>
      <w:tr w:rsidR="005D339F" w:rsidRPr="00792453" w14:paraId="3B3D2396"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4F9CC548" w14:textId="77777777" w:rsidR="005D339F" w:rsidRPr="00792453" w:rsidRDefault="005D339F" w:rsidP="008670FF">
            <w:pPr>
              <w:rPr>
                <w:sz w:val="16"/>
                <w:szCs w:val="16"/>
              </w:rPr>
            </w:pPr>
            <w:r w:rsidRPr="00792453">
              <w:rPr>
                <w:sz w:val="16"/>
                <w:szCs w:val="16"/>
              </w:rPr>
              <w:t>Dividends paid</w:t>
            </w:r>
          </w:p>
        </w:tc>
        <w:tc>
          <w:tcPr>
            <w:tcW w:w="644" w:type="dxa"/>
          </w:tcPr>
          <w:p w14:paraId="4C492BC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(82)</w:t>
            </w:r>
          </w:p>
        </w:tc>
        <w:tc>
          <w:tcPr>
            <w:tcW w:w="1008" w:type="dxa"/>
          </w:tcPr>
          <w:p w14:paraId="2E215C38"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50DB8B8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1184F3A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3483B17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(82)</w:t>
            </w:r>
          </w:p>
        </w:tc>
      </w:tr>
      <w:tr w:rsidR="005D339F" w:rsidRPr="00792453" w14:paraId="0D2B4159"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bottom w:val="single" w:sz="6" w:space="0" w:color="auto"/>
            </w:tcBorders>
          </w:tcPr>
          <w:p w14:paraId="338B1227" w14:textId="77777777" w:rsidR="005D339F" w:rsidRPr="00792453" w:rsidRDefault="005D339F" w:rsidP="008670FF">
            <w:pPr>
              <w:rPr>
                <w:sz w:val="16"/>
                <w:szCs w:val="16"/>
              </w:rPr>
            </w:pPr>
            <w:r w:rsidRPr="00792453">
              <w:rPr>
                <w:sz w:val="16"/>
                <w:szCs w:val="16"/>
              </w:rPr>
              <w:t>Transactions with owners in their capacity as owners</w:t>
            </w:r>
          </w:p>
        </w:tc>
        <w:tc>
          <w:tcPr>
            <w:tcW w:w="644" w:type="dxa"/>
            <w:tcBorders>
              <w:bottom w:val="single" w:sz="6" w:space="0" w:color="auto"/>
            </w:tcBorders>
          </w:tcPr>
          <w:p w14:paraId="794421C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08" w:type="dxa"/>
            <w:tcBorders>
              <w:bottom w:val="single" w:sz="6" w:space="0" w:color="auto"/>
            </w:tcBorders>
          </w:tcPr>
          <w:p w14:paraId="45D0D7A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73</w:t>
            </w:r>
          </w:p>
        </w:tc>
        <w:tc>
          <w:tcPr>
            <w:tcW w:w="1063" w:type="dxa"/>
            <w:tcBorders>
              <w:bottom w:val="single" w:sz="6" w:space="0" w:color="auto"/>
            </w:tcBorders>
          </w:tcPr>
          <w:p w14:paraId="77EE5EB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Borders>
              <w:bottom w:val="single" w:sz="6" w:space="0" w:color="auto"/>
            </w:tcBorders>
          </w:tcPr>
          <w:p w14:paraId="0EB450A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Borders>
              <w:bottom w:val="single" w:sz="6" w:space="0" w:color="auto"/>
            </w:tcBorders>
          </w:tcPr>
          <w:p w14:paraId="3687A75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73</w:t>
            </w:r>
          </w:p>
        </w:tc>
      </w:tr>
      <w:tr w:rsidR="005D339F" w:rsidRPr="00792453" w14:paraId="2478D8C2"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bottom w:val="single" w:sz="6" w:space="0" w:color="auto"/>
            </w:tcBorders>
          </w:tcPr>
          <w:p w14:paraId="4F76A229" w14:textId="77777777" w:rsidR="005D339F" w:rsidRPr="00792453" w:rsidRDefault="005D339F" w:rsidP="008670FF">
            <w:pPr>
              <w:rPr>
                <w:sz w:val="16"/>
                <w:szCs w:val="16"/>
              </w:rPr>
            </w:pPr>
            <w:r w:rsidRPr="00792453">
              <w:rPr>
                <w:b/>
                <w:sz w:val="16"/>
                <w:szCs w:val="16"/>
              </w:rPr>
              <w:t>Total equity as at 30 June 2026</w:t>
            </w:r>
          </w:p>
        </w:tc>
        <w:tc>
          <w:tcPr>
            <w:tcW w:w="644" w:type="dxa"/>
            <w:tcBorders>
              <w:top w:val="single" w:sz="6" w:space="0" w:color="auto"/>
              <w:bottom w:val="single" w:sz="6" w:space="0" w:color="auto"/>
            </w:tcBorders>
          </w:tcPr>
          <w:p w14:paraId="1537ECE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8 466</w:t>
            </w:r>
          </w:p>
        </w:tc>
        <w:tc>
          <w:tcPr>
            <w:tcW w:w="1008" w:type="dxa"/>
            <w:tcBorders>
              <w:top w:val="single" w:sz="6" w:space="0" w:color="auto"/>
              <w:bottom w:val="single" w:sz="6" w:space="0" w:color="auto"/>
            </w:tcBorders>
          </w:tcPr>
          <w:p w14:paraId="1D87B32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611</w:t>
            </w:r>
          </w:p>
        </w:tc>
        <w:tc>
          <w:tcPr>
            <w:tcW w:w="1063" w:type="dxa"/>
            <w:tcBorders>
              <w:top w:val="single" w:sz="6" w:space="0" w:color="auto"/>
              <w:bottom w:val="single" w:sz="6" w:space="0" w:color="auto"/>
            </w:tcBorders>
          </w:tcPr>
          <w:p w14:paraId="79F1C91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10</w:t>
            </w:r>
          </w:p>
        </w:tc>
        <w:tc>
          <w:tcPr>
            <w:tcW w:w="728" w:type="dxa"/>
            <w:tcBorders>
              <w:top w:val="single" w:sz="6" w:space="0" w:color="auto"/>
              <w:bottom w:val="single" w:sz="6" w:space="0" w:color="auto"/>
            </w:tcBorders>
          </w:tcPr>
          <w:p w14:paraId="4BBB9DD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61</w:t>
            </w:r>
          </w:p>
        </w:tc>
        <w:tc>
          <w:tcPr>
            <w:tcW w:w="697" w:type="dxa"/>
            <w:tcBorders>
              <w:top w:val="single" w:sz="6" w:space="0" w:color="auto"/>
              <w:bottom w:val="single" w:sz="6" w:space="0" w:color="auto"/>
            </w:tcBorders>
          </w:tcPr>
          <w:p w14:paraId="77A2328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9 148</w:t>
            </w:r>
          </w:p>
        </w:tc>
      </w:tr>
      <w:tr w:rsidR="005D339F" w:rsidRPr="00792453" w14:paraId="40D465C1"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tcBorders>
          </w:tcPr>
          <w:p w14:paraId="4B20460B" w14:textId="77777777" w:rsidR="005D339F" w:rsidRPr="00792453" w:rsidRDefault="005D339F" w:rsidP="008670FF">
            <w:pPr>
              <w:rPr>
                <w:sz w:val="16"/>
                <w:szCs w:val="16"/>
              </w:rPr>
            </w:pPr>
            <w:r w:rsidRPr="00792453">
              <w:rPr>
                <w:b/>
                <w:sz w:val="16"/>
                <w:szCs w:val="16"/>
              </w:rPr>
              <w:t>2026</w:t>
            </w:r>
            <w:r w:rsidRPr="00792453">
              <w:rPr>
                <w:b/>
                <w:sz w:val="16"/>
                <w:szCs w:val="16"/>
              </w:rPr>
              <w:noBreakHyphen/>
              <w:t>27 estimate</w:t>
            </w:r>
          </w:p>
        </w:tc>
        <w:tc>
          <w:tcPr>
            <w:tcW w:w="644" w:type="dxa"/>
            <w:tcBorders>
              <w:top w:val="single" w:sz="6" w:space="0" w:color="auto"/>
            </w:tcBorders>
          </w:tcPr>
          <w:p w14:paraId="302BFD5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08" w:type="dxa"/>
            <w:tcBorders>
              <w:top w:val="single" w:sz="6" w:space="0" w:color="auto"/>
            </w:tcBorders>
          </w:tcPr>
          <w:p w14:paraId="22A301A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63" w:type="dxa"/>
            <w:tcBorders>
              <w:top w:val="single" w:sz="6" w:space="0" w:color="auto"/>
            </w:tcBorders>
          </w:tcPr>
          <w:p w14:paraId="6282E74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tcBorders>
              <w:top w:val="single" w:sz="6" w:space="0" w:color="auto"/>
            </w:tcBorders>
          </w:tcPr>
          <w:p w14:paraId="52EEEAC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697" w:type="dxa"/>
            <w:tcBorders>
              <w:top w:val="single" w:sz="6" w:space="0" w:color="auto"/>
            </w:tcBorders>
          </w:tcPr>
          <w:p w14:paraId="32B0B9C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792453" w14:paraId="0B2CBD17"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2F50821E" w14:textId="77777777" w:rsidR="005D339F" w:rsidRPr="00792453" w:rsidRDefault="005D339F" w:rsidP="008670FF">
            <w:pPr>
              <w:rPr>
                <w:sz w:val="16"/>
                <w:szCs w:val="16"/>
              </w:rPr>
            </w:pPr>
            <w:r w:rsidRPr="00792453">
              <w:rPr>
                <w:sz w:val="16"/>
                <w:szCs w:val="16"/>
              </w:rPr>
              <w:t>Balance at 1 July 2026</w:t>
            </w:r>
          </w:p>
        </w:tc>
        <w:tc>
          <w:tcPr>
            <w:tcW w:w="644" w:type="dxa"/>
          </w:tcPr>
          <w:p w14:paraId="3E9C8D0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8 466</w:t>
            </w:r>
          </w:p>
        </w:tc>
        <w:tc>
          <w:tcPr>
            <w:tcW w:w="1008" w:type="dxa"/>
          </w:tcPr>
          <w:p w14:paraId="16DBB82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611</w:t>
            </w:r>
          </w:p>
        </w:tc>
        <w:tc>
          <w:tcPr>
            <w:tcW w:w="1063" w:type="dxa"/>
          </w:tcPr>
          <w:p w14:paraId="0634DC9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10</w:t>
            </w:r>
          </w:p>
        </w:tc>
        <w:tc>
          <w:tcPr>
            <w:tcW w:w="728" w:type="dxa"/>
          </w:tcPr>
          <w:p w14:paraId="34FEF1E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61</w:t>
            </w:r>
          </w:p>
        </w:tc>
        <w:tc>
          <w:tcPr>
            <w:tcW w:w="697" w:type="dxa"/>
          </w:tcPr>
          <w:p w14:paraId="339235F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9 148</w:t>
            </w:r>
          </w:p>
        </w:tc>
      </w:tr>
      <w:tr w:rsidR="005D339F" w:rsidRPr="00792453" w14:paraId="6569076D"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4E5EE0F7" w14:textId="77777777" w:rsidR="005D339F" w:rsidRPr="00792453" w:rsidRDefault="005D339F" w:rsidP="008670FF">
            <w:pPr>
              <w:rPr>
                <w:sz w:val="16"/>
                <w:szCs w:val="16"/>
              </w:rPr>
            </w:pPr>
            <w:r w:rsidRPr="00792453">
              <w:rPr>
                <w:sz w:val="16"/>
                <w:szCs w:val="16"/>
              </w:rPr>
              <w:t>Net result for the year</w:t>
            </w:r>
          </w:p>
        </w:tc>
        <w:tc>
          <w:tcPr>
            <w:tcW w:w="644" w:type="dxa"/>
          </w:tcPr>
          <w:p w14:paraId="28E933C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(139)</w:t>
            </w:r>
          </w:p>
        </w:tc>
        <w:tc>
          <w:tcPr>
            <w:tcW w:w="1008" w:type="dxa"/>
          </w:tcPr>
          <w:p w14:paraId="15734CA8"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063" w:type="dxa"/>
          </w:tcPr>
          <w:p w14:paraId="03507ED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728" w:type="dxa"/>
          </w:tcPr>
          <w:p w14:paraId="421E74E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97" w:type="dxa"/>
          </w:tcPr>
          <w:p w14:paraId="25771B8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(139)</w:t>
            </w:r>
          </w:p>
        </w:tc>
      </w:tr>
      <w:tr w:rsidR="005D339F" w:rsidRPr="00792453" w14:paraId="3D09E8BE"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094ECF92" w14:textId="77777777" w:rsidR="005D339F" w:rsidRPr="00792453" w:rsidRDefault="005D339F" w:rsidP="008670FF">
            <w:pPr>
              <w:rPr>
                <w:sz w:val="16"/>
                <w:szCs w:val="16"/>
              </w:rPr>
            </w:pPr>
            <w:r w:rsidRPr="00792453">
              <w:rPr>
                <w:sz w:val="16"/>
                <w:szCs w:val="16"/>
              </w:rPr>
              <w:t>Other comprehensive income for the year</w:t>
            </w:r>
          </w:p>
        </w:tc>
        <w:tc>
          <w:tcPr>
            <w:tcW w:w="644" w:type="dxa"/>
          </w:tcPr>
          <w:p w14:paraId="2F7DC7E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(2)</w:t>
            </w:r>
          </w:p>
        </w:tc>
        <w:tc>
          <w:tcPr>
            <w:tcW w:w="1008" w:type="dxa"/>
          </w:tcPr>
          <w:p w14:paraId="076A43F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12BEB8F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39CAD23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34EE824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(2)</w:t>
            </w:r>
          </w:p>
        </w:tc>
      </w:tr>
      <w:tr w:rsidR="005D339F" w:rsidRPr="00792453" w14:paraId="40A8CA92"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403284E9" w14:textId="77777777" w:rsidR="005D339F" w:rsidRPr="00792453" w:rsidRDefault="005D339F" w:rsidP="008670FF">
            <w:pPr>
              <w:rPr>
                <w:sz w:val="16"/>
                <w:szCs w:val="16"/>
              </w:rPr>
            </w:pPr>
            <w:r w:rsidRPr="00792453">
              <w:rPr>
                <w:sz w:val="16"/>
                <w:szCs w:val="16"/>
              </w:rPr>
              <w:t>Dividends paid</w:t>
            </w:r>
          </w:p>
        </w:tc>
        <w:tc>
          <w:tcPr>
            <w:tcW w:w="644" w:type="dxa"/>
          </w:tcPr>
          <w:p w14:paraId="6D21A7D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(79)</w:t>
            </w:r>
          </w:p>
        </w:tc>
        <w:tc>
          <w:tcPr>
            <w:tcW w:w="1008" w:type="dxa"/>
          </w:tcPr>
          <w:p w14:paraId="3F311B6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59F61E8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51FD290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781B0C0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(79)</w:t>
            </w:r>
          </w:p>
        </w:tc>
      </w:tr>
      <w:tr w:rsidR="005D339F" w:rsidRPr="00792453" w14:paraId="6F65C566"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bottom w:val="single" w:sz="6" w:space="0" w:color="auto"/>
            </w:tcBorders>
          </w:tcPr>
          <w:p w14:paraId="26702A11" w14:textId="77777777" w:rsidR="005D339F" w:rsidRPr="00792453" w:rsidRDefault="005D339F" w:rsidP="008670FF">
            <w:pPr>
              <w:rPr>
                <w:sz w:val="16"/>
                <w:szCs w:val="16"/>
              </w:rPr>
            </w:pPr>
            <w:r w:rsidRPr="00792453">
              <w:rPr>
                <w:sz w:val="16"/>
                <w:szCs w:val="16"/>
              </w:rPr>
              <w:t>Transactions with owners in their capacity as owners</w:t>
            </w:r>
          </w:p>
        </w:tc>
        <w:tc>
          <w:tcPr>
            <w:tcW w:w="644" w:type="dxa"/>
            <w:tcBorders>
              <w:bottom w:val="single" w:sz="6" w:space="0" w:color="auto"/>
            </w:tcBorders>
          </w:tcPr>
          <w:p w14:paraId="380A9EA6"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08" w:type="dxa"/>
            <w:tcBorders>
              <w:bottom w:val="single" w:sz="6" w:space="0" w:color="auto"/>
            </w:tcBorders>
          </w:tcPr>
          <w:p w14:paraId="0A75234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98</w:t>
            </w:r>
          </w:p>
        </w:tc>
        <w:tc>
          <w:tcPr>
            <w:tcW w:w="1063" w:type="dxa"/>
            <w:tcBorders>
              <w:bottom w:val="single" w:sz="6" w:space="0" w:color="auto"/>
            </w:tcBorders>
          </w:tcPr>
          <w:p w14:paraId="4AD7B7A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Borders>
              <w:bottom w:val="single" w:sz="6" w:space="0" w:color="auto"/>
            </w:tcBorders>
          </w:tcPr>
          <w:p w14:paraId="50AE7A5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Borders>
              <w:bottom w:val="single" w:sz="6" w:space="0" w:color="auto"/>
            </w:tcBorders>
          </w:tcPr>
          <w:p w14:paraId="5097ECD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98</w:t>
            </w:r>
          </w:p>
        </w:tc>
      </w:tr>
      <w:tr w:rsidR="005D339F" w:rsidRPr="00792453" w14:paraId="35DCBF19"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bottom w:val="single" w:sz="6" w:space="0" w:color="auto"/>
            </w:tcBorders>
          </w:tcPr>
          <w:p w14:paraId="2E52DD55" w14:textId="77777777" w:rsidR="005D339F" w:rsidRPr="00792453" w:rsidRDefault="005D339F" w:rsidP="008670FF">
            <w:pPr>
              <w:rPr>
                <w:sz w:val="16"/>
                <w:szCs w:val="16"/>
              </w:rPr>
            </w:pPr>
            <w:r w:rsidRPr="00792453">
              <w:rPr>
                <w:b/>
                <w:sz w:val="16"/>
                <w:szCs w:val="16"/>
              </w:rPr>
              <w:t>Total equity as at 30 June 2027</w:t>
            </w:r>
          </w:p>
        </w:tc>
        <w:tc>
          <w:tcPr>
            <w:tcW w:w="644" w:type="dxa"/>
            <w:tcBorders>
              <w:top w:val="single" w:sz="6" w:space="0" w:color="auto"/>
              <w:bottom w:val="single" w:sz="6" w:space="0" w:color="auto"/>
            </w:tcBorders>
          </w:tcPr>
          <w:p w14:paraId="3C01C25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8 245</w:t>
            </w:r>
          </w:p>
        </w:tc>
        <w:tc>
          <w:tcPr>
            <w:tcW w:w="1008" w:type="dxa"/>
            <w:tcBorders>
              <w:top w:val="single" w:sz="6" w:space="0" w:color="auto"/>
              <w:bottom w:val="single" w:sz="6" w:space="0" w:color="auto"/>
            </w:tcBorders>
          </w:tcPr>
          <w:p w14:paraId="2A899A3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709</w:t>
            </w:r>
          </w:p>
        </w:tc>
        <w:tc>
          <w:tcPr>
            <w:tcW w:w="1063" w:type="dxa"/>
            <w:tcBorders>
              <w:top w:val="single" w:sz="6" w:space="0" w:color="auto"/>
              <w:bottom w:val="single" w:sz="6" w:space="0" w:color="auto"/>
            </w:tcBorders>
          </w:tcPr>
          <w:p w14:paraId="7BEDE73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10</w:t>
            </w:r>
          </w:p>
        </w:tc>
        <w:tc>
          <w:tcPr>
            <w:tcW w:w="728" w:type="dxa"/>
            <w:tcBorders>
              <w:top w:val="single" w:sz="6" w:space="0" w:color="auto"/>
              <w:bottom w:val="single" w:sz="6" w:space="0" w:color="auto"/>
            </w:tcBorders>
          </w:tcPr>
          <w:p w14:paraId="70CB8AB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61</w:t>
            </w:r>
          </w:p>
        </w:tc>
        <w:tc>
          <w:tcPr>
            <w:tcW w:w="697" w:type="dxa"/>
            <w:tcBorders>
              <w:top w:val="single" w:sz="6" w:space="0" w:color="auto"/>
              <w:bottom w:val="single" w:sz="6" w:space="0" w:color="auto"/>
            </w:tcBorders>
          </w:tcPr>
          <w:p w14:paraId="4B95334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9 025</w:t>
            </w:r>
          </w:p>
        </w:tc>
      </w:tr>
      <w:tr w:rsidR="005D339F" w:rsidRPr="00792453" w14:paraId="2A4D8B6D"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tcBorders>
          </w:tcPr>
          <w:p w14:paraId="709C0489" w14:textId="77777777" w:rsidR="005D339F" w:rsidRPr="00792453" w:rsidRDefault="005D339F" w:rsidP="008670FF">
            <w:pPr>
              <w:rPr>
                <w:sz w:val="16"/>
                <w:szCs w:val="16"/>
              </w:rPr>
            </w:pPr>
            <w:r w:rsidRPr="00792453">
              <w:rPr>
                <w:b/>
                <w:sz w:val="16"/>
                <w:szCs w:val="16"/>
              </w:rPr>
              <w:t>2027</w:t>
            </w:r>
            <w:r w:rsidRPr="00792453">
              <w:rPr>
                <w:b/>
                <w:sz w:val="16"/>
                <w:szCs w:val="16"/>
              </w:rPr>
              <w:noBreakHyphen/>
              <w:t>28 estimate</w:t>
            </w:r>
          </w:p>
        </w:tc>
        <w:tc>
          <w:tcPr>
            <w:tcW w:w="644" w:type="dxa"/>
            <w:tcBorders>
              <w:top w:val="single" w:sz="6" w:space="0" w:color="auto"/>
            </w:tcBorders>
          </w:tcPr>
          <w:p w14:paraId="2C66EF8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08" w:type="dxa"/>
            <w:tcBorders>
              <w:top w:val="single" w:sz="6" w:space="0" w:color="auto"/>
            </w:tcBorders>
          </w:tcPr>
          <w:p w14:paraId="040026A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1063" w:type="dxa"/>
            <w:tcBorders>
              <w:top w:val="single" w:sz="6" w:space="0" w:color="auto"/>
            </w:tcBorders>
          </w:tcPr>
          <w:p w14:paraId="14D86E6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tcBorders>
              <w:top w:val="single" w:sz="6" w:space="0" w:color="auto"/>
            </w:tcBorders>
          </w:tcPr>
          <w:p w14:paraId="4E1017B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c>
          <w:tcPr>
            <w:tcW w:w="697" w:type="dxa"/>
            <w:tcBorders>
              <w:top w:val="single" w:sz="6" w:space="0" w:color="auto"/>
            </w:tcBorders>
          </w:tcPr>
          <w:p w14:paraId="5A69DCE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p>
        </w:tc>
      </w:tr>
      <w:tr w:rsidR="005D339F" w:rsidRPr="00792453" w14:paraId="4FD03E59"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7BEA9CD3" w14:textId="77777777" w:rsidR="005D339F" w:rsidRPr="00792453" w:rsidRDefault="005D339F" w:rsidP="008670FF">
            <w:pPr>
              <w:rPr>
                <w:sz w:val="16"/>
                <w:szCs w:val="16"/>
              </w:rPr>
            </w:pPr>
            <w:r w:rsidRPr="00792453">
              <w:rPr>
                <w:sz w:val="16"/>
                <w:szCs w:val="16"/>
              </w:rPr>
              <w:t>Balance at 1 July 2027</w:t>
            </w:r>
          </w:p>
        </w:tc>
        <w:tc>
          <w:tcPr>
            <w:tcW w:w="644" w:type="dxa"/>
          </w:tcPr>
          <w:p w14:paraId="728F4EC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8 245</w:t>
            </w:r>
          </w:p>
        </w:tc>
        <w:tc>
          <w:tcPr>
            <w:tcW w:w="1008" w:type="dxa"/>
          </w:tcPr>
          <w:p w14:paraId="7ECCFE9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709</w:t>
            </w:r>
          </w:p>
        </w:tc>
        <w:tc>
          <w:tcPr>
            <w:tcW w:w="1063" w:type="dxa"/>
          </w:tcPr>
          <w:p w14:paraId="194F6416"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10</w:t>
            </w:r>
          </w:p>
        </w:tc>
        <w:tc>
          <w:tcPr>
            <w:tcW w:w="728" w:type="dxa"/>
          </w:tcPr>
          <w:p w14:paraId="15BF5E4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61</w:t>
            </w:r>
          </w:p>
        </w:tc>
        <w:tc>
          <w:tcPr>
            <w:tcW w:w="697" w:type="dxa"/>
          </w:tcPr>
          <w:p w14:paraId="698FE1A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9 025</w:t>
            </w:r>
          </w:p>
        </w:tc>
      </w:tr>
      <w:tr w:rsidR="005D339F" w:rsidRPr="00792453" w14:paraId="77BA9099"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02F4BA25" w14:textId="77777777" w:rsidR="005D339F" w:rsidRPr="00792453" w:rsidRDefault="005D339F" w:rsidP="008670FF">
            <w:pPr>
              <w:rPr>
                <w:sz w:val="16"/>
                <w:szCs w:val="16"/>
              </w:rPr>
            </w:pPr>
            <w:r w:rsidRPr="00792453">
              <w:rPr>
                <w:sz w:val="16"/>
                <w:szCs w:val="16"/>
              </w:rPr>
              <w:t>Net result for the year</w:t>
            </w:r>
          </w:p>
        </w:tc>
        <w:tc>
          <w:tcPr>
            <w:tcW w:w="644" w:type="dxa"/>
          </w:tcPr>
          <w:p w14:paraId="0195E0CE"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(916)</w:t>
            </w:r>
          </w:p>
        </w:tc>
        <w:tc>
          <w:tcPr>
            <w:tcW w:w="1008" w:type="dxa"/>
          </w:tcPr>
          <w:p w14:paraId="6DDDFDA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063" w:type="dxa"/>
          </w:tcPr>
          <w:p w14:paraId="7857DC3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728" w:type="dxa"/>
          </w:tcPr>
          <w:p w14:paraId="5DA79214"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697" w:type="dxa"/>
          </w:tcPr>
          <w:p w14:paraId="009BE55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(916)</w:t>
            </w:r>
          </w:p>
        </w:tc>
      </w:tr>
      <w:tr w:rsidR="005D339F" w:rsidRPr="00792453" w14:paraId="41E3D0D7"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4B4A34CB" w14:textId="77777777" w:rsidR="005D339F" w:rsidRPr="00792453" w:rsidRDefault="005D339F" w:rsidP="008670FF">
            <w:pPr>
              <w:rPr>
                <w:sz w:val="16"/>
                <w:szCs w:val="16"/>
              </w:rPr>
            </w:pPr>
            <w:r w:rsidRPr="00792453">
              <w:rPr>
                <w:sz w:val="16"/>
                <w:szCs w:val="16"/>
              </w:rPr>
              <w:t>Other comprehensive income for the year</w:t>
            </w:r>
          </w:p>
        </w:tc>
        <w:tc>
          <w:tcPr>
            <w:tcW w:w="644" w:type="dxa"/>
          </w:tcPr>
          <w:p w14:paraId="78D834D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c>
          <w:tcPr>
            <w:tcW w:w="1008" w:type="dxa"/>
          </w:tcPr>
          <w:p w14:paraId="196F5DC5"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606CFD3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503C39F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3187CD8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(1)</w:t>
            </w:r>
          </w:p>
        </w:tc>
      </w:tr>
      <w:tr w:rsidR="005D339F" w:rsidRPr="00792453" w14:paraId="28FE31E7"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Pr>
          <w:p w14:paraId="5BCF8F10" w14:textId="77777777" w:rsidR="005D339F" w:rsidRPr="00792453" w:rsidRDefault="005D339F" w:rsidP="008670FF">
            <w:pPr>
              <w:rPr>
                <w:sz w:val="16"/>
                <w:szCs w:val="16"/>
              </w:rPr>
            </w:pPr>
            <w:r w:rsidRPr="00792453">
              <w:rPr>
                <w:sz w:val="16"/>
                <w:szCs w:val="16"/>
              </w:rPr>
              <w:t>Dividends paid</w:t>
            </w:r>
          </w:p>
        </w:tc>
        <w:tc>
          <w:tcPr>
            <w:tcW w:w="644" w:type="dxa"/>
          </w:tcPr>
          <w:p w14:paraId="44B0332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(82)</w:t>
            </w:r>
          </w:p>
        </w:tc>
        <w:tc>
          <w:tcPr>
            <w:tcW w:w="1008" w:type="dxa"/>
          </w:tcPr>
          <w:p w14:paraId="36A8216F"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63" w:type="dxa"/>
          </w:tcPr>
          <w:p w14:paraId="6B17823A"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Pr>
          <w:p w14:paraId="7FEBE24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Pr>
          <w:p w14:paraId="1754BDB3"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(82)</w:t>
            </w:r>
          </w:p>
        </w:tc>
      </w:tr>
      <w:tr w:rsidR="005D339F" w:rsidRPr="00792453" w14:paraId="72EE3F44"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bottom w:val="single" w:sz="6" w:space="0" w:color="auto"/>
            </w:tcBorders>
          </w:tcPr>
          <w:p w14:paraId="3ACD3566" w14:textId="77777777" w:rsidR="005D339F" w:rsidRPr="00792453" w:rsidRDefault="005D339F" w:rsidP="008670FF">
            <w:pPr>
              <w:rPr>
                <w:sz w:val="16"/>
                <w:szCs w:val="16"/>
              </w:rPr>
            </w:pPr>
            <w:r w:rsidRPr="00792453">
              <w:rPr>
                <w:sz w:val="16"/>
                <w:szCs w:val="16"/>
              </w:rPr>
              <w:t>Transactions with owners in their capacity as owners</w:t>
            </w:r>
          </w:p>
        </w:tc>
        <w:tc>
          <w:tcPr>
            <w:tcW w:w="644" w:type="dxa"/>
            <w:tcBorders>
              <w:bottom w:val="single" w:sz="6" w:space="0" w:color="auto"/>
            </w:tcBorders>
          </w:tcPr>
          <w:p w14:paraId="6D8652A8"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1008" w:type="dxa"/>
            <w:tcBorders>
              <w:bottom w:val="single" w:sz="6" w:space="0" w:color="auto"/>
            </w:tcBorders>
          </w:tcPr>
          <w:p w14:paraId="551DF79B"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78</w:t>
            </w:r>
          </w:p>
        </w:tc>
        <w:tc>
          <w:tcPr>
            <w:tcW w:w="1063" w:type="dxa"/>
            <w:tcBorders>
              <w:bottom w:val="single" w:sz="6" w:space="0" w:color="auto"/>
            </w:tcBorders>
          </w:tcPr>
          <w:p w14:paraId="79B0E9D2"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728" w:type="dxa"/>
            <w:tcBorders>
              <w:bottom w:val="single" w:sz="6" w:space="0" w:color="auto"/>
            </w:tcBorders>
          </w:tcPr>
          <w:p w14:paraId="13070871"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w:t>
            </w:r>
          </w:p>
        </w:tc>
        <w:tc>
          <w:tcPr>
            <w:tcW w:w="697" w:type="dxa"/>
            <w:tcBorders>
              <w:bottom w:val="single" w:sz="6" w:space="0" w:color="auto"/>
            </w:tcBorders>
          </w:tcPr>
          <w:p w14:paraId="0FDB80F0"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sz w:val="16"/>
                <w:szCs w:val="16"/>
              </w:rPr>
              <w:t>78</w:t>
            </w:r>
          </w:p>
        </w:tc>
      </w:tr>
      <w:tr w:rsidR="005D339F" w:rsidRPr="00792453" w14:paraId="3FE6E7DA" w14:textId="77777777" w:rsidTr="00773CE3">
        <w:tc>
          <w:tcPr>
            <w:cnfStyle w:val="001000000000" w:firstRow="0" w:lastRow="0" w:firstColumn="1" w:lastColumn="0" w:oddVBand="0" w:evenVBand="0" w:oddHBand="0" w:evenHBand="0" w:firstRowFirstColumn="0" w:firstRowLastColumn="0" w:lastRowFirstColumn="0" w:lastRowLastColumn="0"/>
            <w:tcW w:w="3570" w:type="dxa"/>
            <w:gridSpan w:val="2"/>
            <w:tcBorders>
              <w:top w:val="single" w:sz="6" w:space="0" w:color="auto"/>
              <w:bottom w:val="single" w:sz="12" w:space="0" w:color="auto"/>
            </w:tcBorders>
          </w:tcPr>
          <w:p w14:paraId="38FE09DE" w14:textId="77777777" w:rsidR="005D339F" w:rsidRPr="00792453" w:rsidRDefault="005D339F" w:rsidP="008670FF">
            <w:pPr>
              <w:rPr>
                <w:sz w:val="16"/>
                <w:szCs w:val="16"/>
              </w:rPr>
            </w:pPr>
            <w:r w:rsidRPr="00792453">
              <w:rPr>
                <w:b/>
                <w:sz w:val="16"/>
                <w:szCs w:val="16"/>
              </w:rPr>
              <w:t>Total equity as at 30 June 2028</w:t>
            </w:r>
          </w:p>
        </w:tc>
        <w:tc>
          <w:tcPr>
            <w:tcW w:w="644" w:type="dxa"/>
            <w:tcBorders>
              <w:top w:val="single" w:sz="6" w:space="0" w:color="auto"/>
              <w:bottom w:val="single" w:sz="12" w:space="0" w:color="auto"/>
            </w:tcBorders>
          </w:tcPr>
          <w:p w14:paraId="04CD4E5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7 246</w:t>
            </w:r>
          </w:p>
        </w:tc>
        <w:tc>
          <w:tcPr>
            <w:tcW w:w="1008" w:type="dxa"/>
            <w:tcBorders>
              <w:top w:val="single" w:sz="6" w:space="0" w:color="auto"/>
              <w:bottom w:val="single" w:sz="12" w:space="0" w:color="auto"/>
            </w:tcBorders>
          </w:tcPr>
          <w:p w14:paraId="5343E88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787</w:t>
            </w:r>
          </w:p>
        </w:tc>
        <w:tc>
          <w:tcPr>
            <w:tcW w:w="1063" w:type="dxa"/>
            <w:tcBorders>
              <w:top w:val="single" w:sz="6" w:space="0" w:color="auto"/>
              <w:bottom w:val="single" w:sz="12" w:space="0" w:color="auto"/>
            </w:tcBorders>
          </w:tcPr>
          <w:p w14:paraId="6F3D4DD9"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10</w:t>
            </w:r>
          </w:p>
        </w:tc>
        <w:tc>
          <w:tcPr>
            <w:tcW w:w="728" w:type="dxa"/>
            <w:tcBorders>
              <w:top w:val="single" w:sz="6" w:space="0" w:color="auto"/>
              <w:bottom w:val="single" w:sz="12" w:space="0" w:color="auto"/>
            </w:tcBorders>
          </w:tcPr>
          <w:p w14:paraId="1DE07BDD"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61</w:t>
            </w:r>
          </w:p>
        </w:tc>
        <w:tc>
          <w:tcPr>
            <w:tcW w:w="697" w:type="dxa"/>
            <w:tcBorders>
              <w:top w:val="single" w:sz="6" w:space="0" w:color="auto"/>
              <w:bottom w:val="single" w:sz="12" w:space="0" w:color="auto"/>
            </w:tcBorders>
          </w:tcPr>
          <w:p w14:paraId="47FC94D7" w14:textId="77777777" w:rsidR="005D339F" w:rsidRPr="00792453" w:rsidRDefault="005D339F" w:rsidP="008670FF">
            <w:pPr>
              <w:cnfStyle w:val="000000000000" w:firstRow="0" w:lastRow="0" w:firstColumn="0" w:lastColumn="0" w:oddVBand="0" w:evenVBand="0" w:oddHBand="0" w:evenHBand="0" w:firstRowFirstColumn="0" w:firstRowLastColumn="0" w:lastRowFirstColumn="0" w:lastRowLastColumn="0"/>
              <w:rPr>
                <w:sz w:val="16"/>
                <w:szCs w:val="16"/>
              </w:rPr>
            </w:pPr>
            <w:r w:rsidRPr="00792453">
              <w:rPr>
                <w:b/>
                <w:sz w:val="16"/>
                <w:szCs w:val="16"/>
              </w:rPr>
              <w:t>8 104</w:t>
            </w:r>
          </w:p>
        </w:tc>
      </w:tr>
    </w:tbl>
    <w:p w14:paraId="185977AE" w14:textId="77777777" w:rsidR="005D339F" w:rsidRPr="00FF7CCB" w:rsidRDefault="005D339F" w:rsidP="005D339F">
      <w:pPr>
        <w:pStyle w:val="Note"/>
      </w:pPr>
      <w:r w:rsidRPr="00FF7CCB">
        <w:t>Notes:</w:t>
      </w:r>
    </w:p>
    <w:p w14:paraId="3B510DC0" w14:textId="77777777" w:rsidR="005D339F" w:rsidRPr="00FF7CCB" w:rsidRDefault="005D339F" w:rsidP="005D339F">
      <w:pPr>
        <w:pStyle w:val="Note"/>
      </w:pPr>
      <w:r w:rsidRPr="002062CC">
        <w:t>(a)</w:t>
      </w:r>
      <w:r w:rsidRPr="002062CC">
        <w:tab/>
        <w:t>A range of savings and efficiency initiatives will be implemented by the public financial corporations sector. The impact of these initiatives is reflected in the budget and forward estimates.</w:t>
      </w:r>
    </w:p>
    <w:p w14:paraId="2F8959CA" w14:textId="77777777" w:rsidR="005D339F" w:rsidRPr="00FF7CCB" w:rsidRDefault="005D339F" w:rsidP="005D339F">
      <w:pPr>
        <w:pStyle w:val="Note"/>
      </w:pPr>
      <w:r w:rsidRPr="00FF7CCB">
        <w:t>(b)</w:t>
      </w:r>
      <w:r w:rsidRPr="00FF7CCB">
        <w:tab/>
        <w:t>Balances represent actual opening balances at 1 July 202</w:t>
      </w:r>
      <w:r>
        <w:t>4</w:t>
      </w:r>
      <w:r w:rsidRPr="00FF7CCB">
        <w:t xml:space="preserve"> plus 202</w:t>
      </w:r>
      <w:r>
        <w:t>4</w:t>
      </w:r>
      <w:r w:rsidRPr="00FF7CCB">
        <w:t>-2</w:t>
      </w:r>
      <w:r>
        <w:t>5</w:t>
      </w:r>
      <w:r w:rsidRPr="00FF7CCB">
        <w:t xml:space="preserve"> budgeted movements.</w:t>
      </w:r>
    </w:p>
    <w:p w14:paraId="43466875" w14:textId="77777777" w:rsidR="005D339F" w:rsidRPr="00FF7CCB" w:rsidRDefault="005D339F" w:rsidP="005D339F">
      <w:pPr>
        <w:pStyle w:val="Note"/>
      </w:pPr>
    </w:p>
    <w:p w14:paraId="7F2234AE" w14:textId="77777777" w:rsidR="005D339F" w:rsidRPr="006F5510" w:rsidRDefault="005D339F" w:rsidP="005D339F">
      <w:pPr>
        <w:pStyle w:val="TableHeading"/>
      </w:pPr>
      <w:r w:rsidRPr="00921F69">
        <w:t>Table 5.15</w:t>
      </w:r>
      <w:r w:rsidRPr="00921F69">
        <w:tab/>
        <w:t xml:space="preserve">Net acquisition of non-financial assets – </w:t>
      </w:r>
      <w:r w:rsidRPr="00921F69">
        <w:br/>
        <w:t>Public financial corporations sector</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PNFC_PFC.xlsx|Table:PFC_NFA|MergedHeadingRow:1"/>
      </w:tblPr>
      <w:tblGrid>
        <w:gridCol w:w="3740"/>
        <w:gridCol w:w="794"/>
        <w:gridCol w:w="794"/>
        <w:gridCol w:w="794"/>
        <w:gridCol w:w="794"/>
        <w:gridCol w:w="794"/>
      </w:tblGrid>
      <w:tr w:rsidR="005D339F" w14:paraId="0D420604"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5E4BF1CB" w14:textId="77777777" w:rsidR="005D339F" w:rsidRDefault="005D339F" w:rsidP="008670FF">
            <w:pPr>
              <w:keepNext/>
            </w:pPr>
          </w:p>
        </w:tc>
        <w:tc>
          <w:tcPr>
            <w:tcW w:w="794" w:type="dxa"/>
          </w:tcPr>
          <w:p w14:paraId="2287D8E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50980B4D"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73F66176"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E05D990"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51784027"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6661000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8ED85DF" w14:textId="3A82E8E4" w:rsidR="005D339F" w:rsidRDefault="005D339F" w:rsidP="008670FF">
            <w:r>
              <w:t>Purchases of non</w:t>
            </w:r>
            <w:r>
              <w:noBreakHyphen/>
              <w:t xml:space="preserve">financial assets less </w:t>
            </w:r>
            <w:r w:rsidR="00E80CE2">
              <w:br/>
            </w:r>
            <w:r>
              <w:t>sale of non</w:t>
            </w:r>
            <w:r>
              <w:noBreakHyphen/>
              <w:t xml:space="preserve">financial assets </w:t>
            </w:r>
            <w:r w:rsidR="00E80CE2">
              <w:br/>
            </w:r>
            <w:r>
              <w:t>(including change in inventories)</w:t>
            </w:r>
          </w:p>
        </w:tc>
        <w:tc>
          <w:tcPr>
            <w:tcW w:w="794" w:type="dxa"/>
          </w:tcPr>
          <w:p w14:paraId="0B357B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w:t>
            </w:r>
          </w:p>
        </w:tc>
        <w:tc>
          <w:tcPr>
            <w:tcW w:w="794" w:type="dxa"/>
          </w:tcPr>
          <w:p w14:paraId="1DC62B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568A4F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39</w:t>
            </w:r>
          </w:p>
        </w:tc>
        <w:tc>
          <w:tcPr>
            <w:tcW w:w="794" w:type="dxa"/>
          </w:tcPr>
          <w:p w14:paraId="132640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33</w:t>
            </w:r>
          </w:p>
        </w:tc>
        <w:tc>
          <w:tcPr>
            <w:tcW w:w="794" w:type="dxa"/>
          </w:tcPr>
          <w:p w14:paraId="3D93B3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w:t>
            </w:r>
          </w:p>
        </w:tc>
      </w:tr>
      <w:tr w:rsidR="005D339F" w14:paraId="3080492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24B53B4" w14:textId="77777777" w:rsidR="005D339F" w:rsidRDefault="005D339F" w:rsidP="008670FF">
            <w:r>
              <w:t>Less: Depreciation and amortisation</w:t>
            </w:r>
          </w:p>
        </w:tc>
        <w:tc>
          <w:tcPr>
            <w:tcW w:w="794" w:type="dxa"/>
          </w:tcPr>
          <w:p w14:paraId="0ED6F2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(82)</w:t>
            </w:r>
          </w:p>
        </w:tc>
        <w:tc>
          <w:tcPr>
            <w:tcW w:w="794" w:type="dxa"/>
          </w:tcPr>
          <w:p w14:paraId="6725484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(84)</w:t>
            </w:r>
          </w:p>
        </w:tc>
        <w:tc>
          <w:tcPr>
            <w:tcW w:w="794" w:type="dxa"/>
          </w:tcPr>
          <w:p w14:paraId="1C53635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(77)</w:t>
            </w:r>
          </w:p>
        </w:tc>
        <w:tc>
          <w:tcPr>
            <w:tcW w:w="794" w:type="dxa"/>
          </w:tcPr>
          <w:p w14:paraId="461742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(70)</w:t>
            </w:r>
          </w:p>
        </w:tc>
        <w:tc>
          <w:tcPr>
            <w:tcW w:w="794" w:type="dxa"/>
          </w:tcPr>
          <w:p w14:paraId="054E86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(64)</w:t>
            </w:r>
          </w:p>
        </w:tc>
      </w:tr>
      <w:tr w:rsidR="005D339F" w14:paraId="4BCE53D5" w14:textId="77777777" w:rsidTr="008670FF">
        <w:trPr>
          <w:trHeight w:val="65"/>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483D841" w14:textId="77777777" w:rsidR="005D339F" w:rsidRDefault="005D339F" w:rsidP="008670FF">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110C03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(65)</w:t>
            </w:r>
          </w:p>
        </w:tc>
        <w:tc>
          <w:tcPr>
            <w:tcW w:w="794" w:type="dxa"/>
            <w:tcBorders>
              <w:top w:val="single" w:sz="6" w:space="0" w:color="auto"/>
              <w:bottom w:val="single" w:sz="12" w:space="0" w:color="auto"/>
            </w:tcBorders>
          </w:tcPr>
          <w:p w14:paraId="14DF5C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(51)</w:t>
            </w:r>
          </w:p>
        </w:tc>
        <w:tc>
          <w:tcPr>
            <w:tcW w:w="794" w:type="dxa"/>
            <w:tcBorders>
              <w:top w:val="single" w:sz="6" w:space="0" w:color="auto"/>
              <w:bottom w:val="single" w:sz="12" w:space="0" w:color="auto"/>
            </w:tcBorders>
          </w:tcPr>
          <w:p w14:paraId="57DF12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(37)</w:t>
            </w:r>
          </w:p>
        </w:tc>
        <w:tc>
          <w:tcPr>
            <w:tcW w:w="794" w:type="dxa"/>
            <w:tcBorders>
              <w:top w:val="single" w:sz="6" w:space="0" w:color="auto"/>
              <w:bottom w:val="single" w:sz="12" w:space="0" w:color="auto"/>
            </w:tcBorders>
          </w:tcPr>
          <w:p w14:paraId="23E8776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(37)</w:t>
            </w:r>
          </w:p>
        </w:tc>
        <w:tc>
          <w:tcPr>
            <w:tcW w:w="794" w:type="dxa"/>
            <w:tcBorders>
              <w:top w:val="single" w:sz="6" w:space="0" w:color="auto"/>
              <w:bottom w:val="single" w:sz="12" w:space="0" w:color="auto"/>
            </w:tcBorders>
          </w:tcPr>
          <w:p w14:paraId="2839C8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(34)</w:t>
            </w:r>
          </w:p>
        </w:tc>
      </w:tr>
    </w:tbl>
    <w:p w14:paraId="4572F117" w14:textId="77777777" w:rsidR="005D339F" w:rsidRDefault="005D339F" w:rsidP="005D339F"/>
    <w:p w14:paraId="6597C99C" w14:textId="77777777" w:rsidR="005D339F" w:rsidRDefault="005D339F" w:rsidP="005D339F"/>
    <w:p w14:paraId="0747B3CB" w14:textId="77777777" w:rsidR="00773CE3" w:rsidRDefault="00773CE3">
      <w:pPr>
        <w:keepLines w:val="0"/>
        <w:rPr>
          <w:rFonts w:asciiTheme="majorHAnsi" w:hAnsiTheme="majorHAnsi" w:cstheme="minorBidi"/>
          <w:b/>
          <w:iCs/>
          <w:sz w:val="20"/>
          <w:szCs w:val="18"/>
        </w:rPr>
      </w:pPr>
      <w:r>
        <w:br w:type="page"/>
      </w:r>
    </w:p>
    <w:p w14:paraId="0B1E3FBD" w14:textId="54882D89" w:rsidR="005D339F" w:rsidRPr="000F40A7" w:rsidRDefault="005D339F" w:rsidP="005D339F">
      <w:pPr>
        <w:pStyle w:val="TableHeading"/>
      </w:pPr>
      <w:r w:rsidRPr="000F40A7">
        <w:t>Table 5.16</w:t>
      </w:r>
      <w:r w:rsidRPr="000F40A7">
        <w:tab/>
        <w:t xml:space="preserve">State of Victoria comprehensive operating statement </w:t>
      </w:r>
      <w:r w:rsidRPr="000F40A7">
        <w:br/>
        <w:t>for the financial year ended 30 June</w:t>
      </w:r>
      <w:r w:rsidRPr="000F40A7">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WoS_OS|MergedHeadingRow:1"/>
      </w:tblPr>
      <w:tblGrid>
        <w:gridCol w:w="3740"/>
        <w:gridCol w:w="794"/>
        <w:gridCol w:w="794"/>
        <w:gridCol w:w="794"/>
        <w:gridCol w:w="794"/>
        <w:gridCol w:w="794"/>
      </w:tblGrid>
      <w:tr w:rsidR="005D339F" w14:paraId="36B6B6CB"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27FF5E0" w14:textId="77777777" w:rsidR="005D339F" w:rsidRDefault="005D339F" w:rsidP="008670FF">
            <w:pPr>
              <w:keepNext/>
            </w:pPr>
          </w:p>
        </w:tc>
        <w:tc>
          <w:tcPr>
            <w:tcW w:w="794" w:type="dxa"/>
          </w:tcPr>
          <w:p w14:paraId="22085F67"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budget</w:t>
            </w:r>
          </w:p>
        </w:tc>
        <w:tc>
          <w:tcPr>
            <w:tcW w:w="794" w:type="dxa"/>
          </w:tcPr>
          <w:p w14:paraId="3640C1C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revised</w:t>
            </w:r>
          </w:p>
        </w:tc>
        <w:tc>
          <w:tcPr>
            <w:tcW w:w="794" w:type="dxa"/>
          </w:tcPr>
          <w:p w14:paraId="6D5663C0"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263DBE01"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c>
          <w:tcPr>
            <w:tcW w:w="794" w:type="dxa"/>
          </w:tcPr>
          <w:p w14:paraId="29AEEC94"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2027</w:t>
            </w:r>
            <w:r>
              <w:rPr>
                <w:sz w:val="16"/>
              </w:rPr>
              <w:noBreakHyphen/>
              <w:t>28</w:t>
            </w:r>
            <w:r>
              <w:br/>
              <w:t>estimate</w:t>
            </w:r>
          </w:p>
        </w:tc>
      </w:tr>
      <w:tr w:rsidR="005D339F" w14:paraId="3A528C4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A8F5919" w14:textId="77777777" w:rsidR="005D339F" w:rsidRDefault="005D339F" w:rsidP="008670FF">
            <w:r>
              <w:rPr>
                <w:b/>
                <w:sz w:val="16"/>
              </w:rPr>
              <w:t>Revenue and income from transactions</w:t>
            </w:r>
          </w:p>
        </w:tc>
        <w:tc>
          <w:tcPr>
            <w:tcW w:w="794" w:type="dxa"/>
          </w:tcPr>
          <w:p w14:paraId="0859D5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95792F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FAD81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E402E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F44B7F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EE8284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BDC118E" w14:textId="77777777" w:rsidR="005D339F" w:rsidRDefault="005D339F" w:rsidP="008670FF">
            <w:r>
              <w:rPr>
                <w:sz w:val="16"/>
              </w:rPr>
              <w:t>Taxation</w:t>
            </w:r>
          </w:p>
        </w:tc>
        <w:tc>
          <w:tcPr>
            <w:tcW w:w="794" w:type="dxa"/>
          </w:tcPr>
          <w:p w14:paraId="149A29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38 418</w:t>
            </w:r>
          </w:p>
        </w:tc>
        <w:tc>
          <w:tcPr>
            <w:tcW w:w="794" w:type="dxa"/>
          </w:tcPr>
          <w:p w14:paraId="79479C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38 576</w:t>
            </w:r>
          </w:p>
        </w:tc>
        <w:tc>
          <w:tcPr>
            <w:tcW w:w="794" w:type="dxa"/>
          </w:tcPr>
          <w:p w14:paraId="4B4228B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40 954</w:t>
            </w:r>
          </w:p>
        </w:tc>
        <w:tc>
          <w:tcPr>
            <w:tcW w:w="794" w:type="dxa"/>
          </w:tcPr>
          <w:p w14:paraId="4420592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43 142</w:t>
            </w:r>
          </w:p>
        </w:tc>
        <w:tc>
          <w:tcPr>
            <w:tcW w:w="794" w:type="dxa"/>
          </w:tcPr>
          <w:p w14:paraId="28083B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45 124</w:t>
            </w:r>
          </w:p>
        </w:tc>
      </w:tr>
      <w:tr w:rsidR="005D339F" w14:paraId="36D48B2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B5D5614" w14:textId="77777777" w:rsidR="005D339F" w:rsidRDefault="005D339F" w:rsidP="008670FF">
            <w:r>
              <w:rPr>
                <w:sz w:val="16"/>
              </w:rPr>
              <w:t>Interest income</w:t>
            </w:r>
          </w:p>
        </w:tc>
        <w:tc>
          <w:tcPr>
            <w:tcW w:w="794" w:type="dxa"/>
          </w:tcPr>
          <w:p w14:paraId="16BBF8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1 624</w:t>
            </w:r>
          </w:p>
        </w:tc>
        <w:tc>
          <w:tcPr>
            <w:tcW w:w="794" w:type="dxa"/>
          </w:tcPr>
          <w:p w14:paraId="443A6D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2 053</w:t>
            </w:r>
          </w:p>
        </w:tc>
        <w:tc>
          <w:tcPr>
            <w:tcW w:w="794" w:type="dxa"/>
          </w:tcPr>
          <w:p w14:paraId="107DDC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1 647</w:t>
            </w:r>
          </w:p>
        </w:tc>
        <w:tc>
          <w:tcPr>
            <w:tcW w:w="794" w:type="dxa"/>
          </w:tcPr>
          <w:p w14:paraId="4787F4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1 691</w:t>
            </w:r>
          </w:p>
        </w:tc>
        <w:tc>
          <w:tcPr>
            <w:tcW w:w="794" w:type="dxa"/>
          </w:tcPr>
          <w:p w14:paraId="45B7CA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1 741</w:t>
            </w:r>
          </w:p>
        </w:tc>
      </w:tr>
      <w:tr w:rsidR="005D339F" w14:paraId="25758DF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2EBFADE" w14:textId="77777777" w:rsidR="005D339F" w:rsidRDefault="005D339F" w:rsidP="008670FF">
            <w:r>
              <w:rPr>
                <w:sz w:val="16"/>
              </w:rPr>
              <w:t>Dividend income</w:t>
            </w:r>
          </w:p>
        </w:tc>
        <w:tc>
          <w:tcPr>
            <w:tcW w:w="794" w:type="dxa"/>
          </w:tcPr>
          <w:p w14:paraId="0203CF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2 692</w:t>
            </w:r>
          </w:p>
        </w:tc>
        <w:tc>
          <w:tcPr>
            <w:tcW w:w="794" w:type="dxa"/>
          </w:tcPr>
          <w:p w14:paraId="6728D6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3 355</w:t>
            </w:r>
          </w:p>
        </w:tc>
        <w:tc>
          <w:tcPr>
            <w:tcW w:w="794" w:type="dxa"/>
          </w:tcPr>
          <w:p w14:paraId="24C8C2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3 575</w:t>
            </w:r>
          </w:p>
        </w:tc>
        <w:tc>
          <w:tcPr>
            <w:tcW w:w="794" w:type="dxa"/>
          </w:tcPr>
          <w:p w14:paraId="44E9A26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3 864</w:t>
            </w:r>
          </w:p>
        </w:tc>
        <w:tc>
          <w:tcPr>
            <w:tcW w:w="794" w:type="dxa"/>
          </w:tcPr>
          <w:p w14:paraId="52085A1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4 033</w:t>
            </w:r>
          </w:p>
        </w:tc>
      </w:tr>
      <w:tr w:rsidR="005D339F" w14:paraId="4C7BB4F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9D4BDA9" w14:textId="77777777" w:rsidR="005D339F" w:rsidRDefault="005D339F" w:rsidP="008670FF">
            <w:r>
              <w:rPr>
                <w:sz w:val="16"/>
              </w:rPr>
              <w:t>Sales of goods and services</w:t>
            </w:r>
          </w:p>
        </w:tc>
        <w:tc>
          <w:tcPr>
            <w:tcW w:w="794" w:type="dxa"/>
          </w:tcPr>
          <w:p w14:paraId="617CD05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21 034</w:t>
            </w:r>
          </w:p>
        </w:tc>
        <w:tc>
          <w:tcPr>
            <w:tcW w:w="794" w:type="dxa"/>
          </w:tcPr>
          <w:p w14:paraId="0C5077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21 476</w:t>
            </w:r>
          </w:p>
        </w:tc>
        <w:tc>
          <w:tcPr>
            <w:tcW w:w="794" w:type="dxa"/>
          </w:tcPr>
          <w:p w14:paraId="060C60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22 454</w:t>
            </w:r>
          </w:p>
        </w:tc>
        <w:tc>
          <w:tcPr>
            <w:tcW w:w="794" w:type="dxa"/>
          </w:tcPr>
          <w:p w14:paraId="23E38A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23 284</w:t>
            </w:r>
          </w:p>
        </w:tc>
        <w:tc>
          <w:tcPr>
            <w:tcW w:w="794" w:type="dxa"/>
          </w:tcPr>
          <w:p w14:paraId="6B4EE38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24 034</w:t>
            </w:r>
          </w:p>
        </w:tc>
      </w:tr>
      <w:tr w:rsidR="005D339F" w14:paraId="0F2C9F2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0D967FA" w14:textId="77777777" w:rsidR="005D339F" w:rsidRDefault="005D339F" w:rsidP="008670FF">
            <w:r>
              <w:rPr>
                <w:sz w:val="16"/>
              </w:rPr>
              <w:t>Grants</w:t>
            </w:r>
          </w:p>
        </w:tc>
        <w:tc>
          <w:tcPr>
            <w:tcW w:w="794" w:type="dxa"/>
          </w:tcPr>
          <w:p w14:paraId="6F76C74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44 284</w:t>
            </w:r>
          </w:p>
        </w:tc>
        <w:tc>
          <w:tcPr>
            <w:tcW w:w="794" w:type="dxa"/>
          </w:tcPr>
          <w:p w14:paraId="3AC7A0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44 994</w:t>
            </w:r>
          </w:p>
        </w:tc>
        <w:tc>
          <w:tcPr>
            <w:tcW w:w="794" w:type="dxa"/>
          </w:tcPr>
          <w:p w14:paraId="1752C6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47 951</w:t>
            </w:r>
          </w:p>
        </w:tc>
        <w:tc>
          <w:tcPr>
            <w:tcW w:w="794" w:type="dxa"/>
          </w:tcPr>
          <w:p w14:paraId="5D9D5D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49 528</w:t>
            </w:r>
          </w:p>
        </w:tc>
        <w:tc>
          <w:tcPr>
            <w:tcW w:w="794" w:type="dxa"/>
          </w:tcPr>
          <w:p w14:paraId="790D52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49 797</w:t>
            </w:r>
          </w:p>
        </w:tc>
      </w:tr>
      <w:tr w:rsidR="005D339F" w14:paraId="660E606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3DE2DB36" w14:textId="77777777" w:rsidR="005D339F" w:rsidRDefault="005D339F" w:rsidP="008670FF">
            <w:r>
              <w:rPr>
                <w:sz w:val="16"/>
              </w:rPr>
              <w:t>Other revenue and income</w:t>
            </w:r>
          </w:p>
        </w:tc>
        <w:tc>
          <w:tcPr>
            <w:tcW w:w="794" w:type="dxa"/>
            <w:tcBorders>
              <w:bottom w:val="single" w:sz="6" w:space="0" w:color="auto"/>
            </w:tcBorders>
          </w:tcPr>
          <w:p w14:paraId="43006F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3 906</w:t>
            </w:r>
          </w:p>
        </w:tc>
        <w:tc>
          <w:tcPr>
            <w:tcW w:w="794" w:type="dxa"/>
            <w:tcBorders>
              <w:bottom w:val="single" w:sz="6" w:space="0" w:color="auto"/>
            </w:tcBorders>
          </w:tcPr>
          <w:p w14:paraId="02AF185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4 458</w:t>
            </w:r>
          </w:p>
        </w:tc>
        <w:tc>
          <w:tcPr>
            <w:tcW w:w="794" w:type="dxa"/>
            <w:tcBorders>
              <w:bottom w:val="single" w:sz="6" w:space="0" w:color="auto"/>
            </w:tcBorders>
          </w:tcPr>
          <w:p w14:paraId="124469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4 075</w:t>
            </w:r>
          </w:p>
        </w:tc>
        <w:tc>
          <w:tcPr>
            <w:tcW w:w="794" w:type="dxa"/>
            <w:tcBorders>
              <w:bottom w:val="single" w:sz="6" w:space="0" w:color="auto"/>
            </w:tcBorders>
          </w:tcPr>
          <w:p w14:paraId="658526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4 333</w:t>
            </w:r>
          </w:p>
        </w:tc>
        <w:tc>
          <w:tcPr>
            <w:tcW w:w="794" w:type="dxa"/>
            <w:tcBorders>
              <w:bottom w:val="single" w:sz="6" w:space="0" w:color="auto"/>
            </w:tcBorders>
          </w:tcPr>
          <w:p w14:paraId="402853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4 415</w:t>
            </w:r>
          </w:p>
        </w:tc>
      </w:tr>
      <w:tr w:rsidR="005D339F" w14:paraId="1A12DE6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095BC1E" w14:textId="77777777" w:rsidR="005D339F" w:rsidRDefault="005D339F" w:rsidP="008670FF">
            <w:r>
              <w:rPr>
                <w:b/>
                <w:sz w:val="16"/>
              </w:rPr>
              <w:t>Total revenue and income from transactions</w:t>
            </w:r>
          </w:p>
        </w:tc>
        <w:tc>
          <w:tcPr>
            <w:tcW w:w="794" w:type="dxa"/>
            <w:tcBorders>
              <w:top w:val="single" w:sz="6" w:space="0" w:color="auto"/>
            </w:tcBorders>
          </w:tcPr>
          <w:p w14:paraId="1B5E9D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111 957</w:t>
            </w:r>
          </w:p>
        </w:tc>
        <w:tc>
          <w:tcPr>
            <w:tcW w:w="794" w:type="dxa"/>
            <w:tcBorders>
              <w:top w:val="single" w:sz="6" w:space="0" w:color="auto"/>
            </w:tcBorders>
          </w:tcPr>
          <w:p w14:paraId="17C0656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114 912</w:t>
            </w:r>
          </w:p>
        </w:tc>
        <w:tc>
          <w:tcPr>
            <w:tcW w:w="794" w:type="dxa"/>
            <w:tcBorders>
              <w:top w:val="single" w:sz="6" w:space="0" w:color="auto"/>
            </w:tcBorders>
          </w:tcPr>
          <w:p w14:paraId="4AFEA75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120 656</w:t>
            </w:r>
          </w:p>
        </w:tc>
        <w:tc>
          <w:tcPr>
            <w:tcW w:w="794" w:type="dxa"/>
            <w:tcBorders>
              <w:top w:val="single" w:sz="6" w:space="0" w:color="auto"/>
            </w:tcBorders>
          </w:tcPr>
          <w:p w14:paraId="266576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125 841</w:t>
            </w:r>
          </w:p>
        </w:tc>
        <w:tc>
          <w:tcPr>
            <w:tcW w:w="794" w:type="dxa"/>
            <w:tcBorders>
              <w:top w:val="single" w:sz="6" w:space="0" w:color="auto"/>
            </w:tcBorders>
          </w:tcPr>
          <w:p w14:paraId="1D8BDF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129 144</w:t>
            </w:r>
          </w:p>
        </w:tc>
      </w:tr>
      <w:tr w:rsidR="005D339F" w14:paraId="68EAB41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0EBDF1A" w14:textId="77777777" w:rsidR="005D339F" w:rsidRDefault="005D339F" w:rsidP="008670FF">
            <w:r>
              <w:rPr>
                <w:b/>
                <w:sz w:val="16"/>
              </w:rPr>
              <w:t>Expenses from transactions</w:t>
            </w:r>
          </w:p>
        </w:tc>
        <w:tc>
          <w:tcPr>
            <w:tcW w:w="794" w:type="dxa"/>
          </w:tcPr>
          <w:p w14:paraId="53DACA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B9E2D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E4C50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0CA25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616849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02DCD0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F0C62AD" w14:textId="77777777" w:rsidR="005D339F" w:rsidRDefault="005D339F" w:rsidP="008670FF">
            <w:r>
              <w:rPr>
                <w:sz w:val="16"/>
              </w:rPr>
              <w:t>Employee expenses</w:t>
            </w:r>
          </w:p>
        </w:tc>
        <w:tc>
          <w:tcPr>
            <w:tcW w:w="794" w:type="dxa"/>
          </w:tcPr>
          <w:p w14:paraId="69324B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37 974</w:t>
            </w:r>
          </w:p>
        </w:tc>
        <w:tc>
          <w:tcPr>
            <w:tcW w:w="794" w:type="dxa"/>
          </w:tcPr>
          <w:p w14:paraId="499215B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39 047</w:t>
            </w:r>
          </w:p>
        </w:tc>
        <w:tc>
          <w:tcPr>
            <w:tcW w:w="794" w:type="dxa"/>
          </w:tcPr>
          <w:p w14:paraId="0456FF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40 057</w:t>
            </w:r>
          </w:p>
        </w:tc>
        <w:tc>
          <w:tcPr>
            <w:tcW w:w="794" w:type="dxa"/>
          </w:tcPr>
          <w:p w14:paraId="189736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41 736</w:t>
            </w:r>
          </w:p>
        </w:tc>
        <w:tc>
          <w:tcPr>
            <w:tcW w:w="794" w:type="dxa"/>
          </w:tcPr>
          <w:p w14:paraId="7C1156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42 976</w:t>
            </w:r>
          </w:p>
        </w:tc>
      </w:tr>
      <w:tr w:rsidR="005D339F" w14:paraId="67A661A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8200E6A" w14:textId="77777777" w:rsidR="005D339F" w:rsidRDefault="005D339F" w:rsidP="008670FF">
            <w:r>
              <w:rPr>
                <w:sz w:val="16"/>
              </w:rPr>
              <w:t>Net superannuation interest expense</w:t>
            </w:r>
          </w:p>
        </w:tc>
        <w:tc>
          <w:tcPr>
            <w:tcW w:w="794" w:type="dxa"/>
          </w:tcPr>
          <w:p w14:paraId="40D5D62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778</w:t>
            </w:r>
          </w:p>
        </w:tc>
        <w:tc>
          <w:tcPr>
            <w:tcW w:w="794" w:type="dxa"/>
          </w:tcPr>
          <w:p w14:paraId="66860B6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788</w:t>
            </w:r>
          </w:p>
        </w:tc>
        <w:tc>
          <w:tcPr>
            <w:tcW w:w="794" w:type="dxa"/>
          </w:tcPr>
          <w:p w14:paraId="3F7082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791</w:t>
            </w:r>
          </w:p>
        </w:tc>
        <w:tc>
          <w:tcPr>
            <w:tcW w:w="794" w:type="dxa"/>
          </w:tcPr>
          <w:p w14:paraId="5A3ED9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800</w:t>
            </w:r>
          </w:p>
        </w:tc>
        <w:tc>
          <w:tcPr>
            <w:tcW w:w="794" w:type="dxa"/>
          </w:tcPr>
          <w:p w14:paraId="3831C0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789</w:t>
            </w:r>
          </w:p>
        </w:tc>
      </w:tr>
      <w:tr w:rsidR="005D339F" w14:paraId="70242D0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4FC2AD0" w14:textId="77777777" w:rsidR="005D339F" w:rsidRDefault="005D339F" w:rsidP="008670FF">
            <w:r>
              <w:rPr>
                <w:sz w:val="16"/>
              </w:rPr>
              <w:t>Other superannuation</w:t>
            </w:r>
          </w:p>
        </w:tc>
        <w:tc>
          <w:tcPr>
            <w:tcW w:w="794" w:type="dxa"/>
          </w:tcPr>
          <w:p w14:paraId="090358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4 131</w:t>
            </w:r>
          </w:p>
        </w:tc>
        <w:tc>
          <w:tcPr>
            <w:tcW w:w="794" w:type="dxa"/>
          </w:tcPr>
          <w:p w14:paraId="6071EE2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4 368</w:t>
            </w:r>
          </w:p>
        </w:tc>
        <w:tc>
          <w:tcPr>
            <w:tcW w:w="794" w:type="dxa"/>
          </w:tcPr>
          <w:p w14:paraId="0DCA7E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4 425</w:t>
            </w:r>
          </w:p>
        </w:tc>
        <w:tc>
          <w:tcPr>
            <w:tcW w:w="794" w:type="dxa"/>
          </w:tcPr>
          <w:p w14:paraId="2C5A318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4 552</w:t>
            </w:r>
          </w:p>
        </w:tc>
        <w:tc>
          <w:tcPr>
            <w:tcW w:w="794" w:type="dxa"/>
          </w:tcPr>
          <w:p w14:paraId="1B2B88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4 724</w:t>
            </w:r>
          </w:p>
        </w:tc>
      </w:tr>
      <w:tr w:rsidR="005D339F" w14:paraId="68614D89"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6E0180C" w14:textId="77777777" w:rsidR="005D339F" w:rsidRDefault="005D339F" w:rsidP="008670FF">
            <w:r>
              <w:rPr>
                <w:sz w:val="16"/>
              </w:rPr>
              <w:t>Depreciation</w:t>
            </w:r>
          </w:p>
        </w:tc>
        <w:tc>
          <w:tcPr>
            <w:tcW w:w="794" w:type="dxa"/>
          </w:tcPr>
          <w:p w14:paraId="4E07485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8 782</w:t>
            </w:r>
          </w:p>
        </w:tc>
        <w:tc>
          <w:tcPr>
            <w:tcW w:w="794" w:type="dxa"/>
          </w:tcPr>
          <w:p w14:paraId="086E41F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8 971</w:t>
            </w:r>
          </w:p>
        </w:tc>
        <w:tc>
          <w:tcPr>
            <w:tcW w:w="794" w:type="dxa"/>
          </w:tcPr>
          <w:p w14:paraId="08E561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9 622</w:t>
            </w:r>
          </w:p>
        </w:tc>
        <w:tc>
          <w:tcPr>
            <w:tcW w:w="794" w:type="dxa"/>
          </w:tcPr>
          <w:p w14:paraId="62E76F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10 009</w:t>
            </w:r>
          </w:p>
        </w:tc>
        <w:tc>
          <w:tcPr>
            <w:tcW w:w="794" w:type="dxa"/>
          </w:tcPr>
          <w:p w14:paraId="63A913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10 189</w:t>
            </w:r>
          </w:p>
        </w:tc>
      </w:tr>
      <w:tr w:rsidR="005D339F" w14:paraId="729A6AB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7E87E1F" w14:textId="77777777" w:rsidR="005D339F" w:rsidRDefault="005D339F" w:rsidP="008670FF">
            <w:r>
              <w:rPr>
                <w:sz w:val="16"/>
              </w:rPr>
              <w:t>Interest expense</w:t>
            </w:r>
          </w:p>
        </w:tc>
        <w:tc>
          <w:tcPr>
            <w:tcW w:w="794" w:type="dxa"/>
          </w:tcPr>
          <w:p w14:paraId="2D3B67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7 665</w:t>
            </w:r>
          </w:p>
        </w:tc>
        <w:tc>
          <w:tcPr>
            <w:tcW w:w="794" w:type="dxa"/>
          </w:tcPr>
          <w:p w14:paraId="5AECED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7 924</w:t>
            </w:r>
          </w:p>
        </w:tc>
        <w:tc>
          <w:tcPr>
            <w:tcW w:w="794" w:type="dxa"/>
          </w:tcPr>
          <w:p w14:paraId="4E6160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8 881</w:t>
            </w:r>
          </w:p>
        </w:tc>
        <w:tc>
          <w:tcPr>
            <w:tcW w:w="794" w:type="dxa"/>
          </w:tcPr>
          <w:p w14:paraId="08C9D0F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9 962</w:t>
            </w:r>
          </w:p>
        </w:tc>
        <w:tc>
          <w:tcPr>
            <w:tcW w:w="794" w:type="dxa"/>
          </w:tcPr>
          <w:p w14:paraId="416249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11 074</w:t>
            </w:r>
          </w:p>
        </w:tc>
      </w:tr>
      <w:tr w:rsidR="005D339F" w14:paraId="173A3B8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8FBEDC1" w14:textId="77777777" w:rsidR="005D339F" w:rsidRDefault="005D339F" w:rsidP="008670FF">
            <w:r>
              <w:rPr>
                <w:sz w:val="16"/>
              </w:rPr>
              <w:t>Grant expense</w:t>
            </w:r>
          </w:p>
        </w:tc>
        <w:tc>
          <w:tcPr>
            <w:tcW w:w="794" w:type="dxa"/>
          </w:tcPr>
          <w:p w14:paraId="63DCDC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15 729</w:t>
            </w:r>
          </w:p>
        </w:tc>
        <w:tc>
          <w:tcPr>
            <w:tcW w:w="794" w:type="dxa"/>
          </w:tcPr>
          <w:p w14:paraId="2B118BE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15 403</w:t>
            </w:r>
          </w:p>
        </w:tc>
        <w:tc>
          <w:tcPr>
            <w:tcW w:w="794" w:type="dxa"/>
          </w:tcPr>
          <w:p w14:paraId="5B32298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15 671</w:t>
            </w:r>
          </w:p>
        </w:tc>
        <w:tc>
          <w:tcPr>
            <w:tcW w:w="794" w:type="dxa"/>
          </w:tcPr>
          <w:p w14:paraId="2E6F70B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15 641</w:t>
            </w:r>
          </w:p>
        </w:tc>
        <w:tc>
          <w:tcPr>
            <w:tcW w:w="794" w:type="dxa"/>
          </w:tcPr>
          <w:p w14:paraId="0442F1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15 765</w:t>
            </w:r>
          </w:p>
        </w:tc>
      </w:tr>
      <w:tr w:rsidR="005D339F" w14:paraId="32D8E17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00A09C0" w14:textId="77777777" w:rsidR="005D339F" w:rsidRDefault="005D339F" w:rsidP="008670FF">
            <w:r>
              <w:rPr>
                <w:sz w:val="16"/>
              </w:rPr>
              <w:t>Other operating expenses</w:t>
            </w:r>
          </w:p>
        </w:tc>
        <w:tc>
          <w:tcPr>
            <w:tcW w:w="794" w:type="dxa"/>
          </w:tcPr>
          <w:p w14:paraId="0C24D9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44 343</w:t>
            </w:r>
          </w:p>
        </w:tc>
        <w:tc>
          <w:tcPr>
            <w:tcW w:w="794" w:type="dxa"/>
          </w:tcPr>
          <w:p w14:paraId="7CBBB9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45 353</w:t>
            </w:r>
          </w:p>
        </w:tc>
        <w:tc>
          <w:tcPr>
            <w:tcW w:w="794" w:type="dxa"/>
          </w:tcPr>
          <w:p w14:paraId="48C9B4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44 115</w:t>
            </w:r>
          </w:p>
        </w:tc>
        <w:tc>
          <w:tcPr>
            <w:tcW w:w="794" w:type="dxa"/>
          </w:tcPr>
          <w:p w14:paraId="7D1E9CE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45 403</w:t>
            </w:r>
          </w:p>
        </w:tc>
        <w:tc>
          <w:tcPr>
            <w:tcW w:w="794" w:type="dxa"/>
          </w:tcPr>
          <w:p w14:paraId="1A75C37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47 059</w:t>
            </w:r>
          </w:p>
        </w:tc>
      </w:tr>
      <w:tr w:rsidR="005D339F" w14:paraId="78C6D11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454F146F" w14:textId="77777777" w:rsidR="005D339F" w:rsidRDefault="005D339F" w:rsidP="008670FF">
            <w:r>
              <w:rPr>
                <w:b/>
                <w:sz w:val="16"/>
              </w:rPr>
              <w:t>Total expenses from transactions</w:t>
            </w:r>
          </w:p>
        </w:tc>
        <w:tc>
          <w:tcPr>
            <w:tcW w:w="794" w:type="dxa"/>
            <w:tcBorders>
              <w:top w:val="single" w:sz="6" w:space="0" w:color="auto"/>
              <w:bottom w:val="single" w:sz="6" w:space="0" w:color="auto"/>
            </w:tcBorders>
          </w:tcPr>
          <w:p w14:paraId="05CFBD9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119 402</w:t>
            </w:r>
          </w:p>
        </w:tc>
        <w:tc>
          <w:tcPr>
            <w:tcW w:w="794" w:type="dxa"/>
            <w:tcBorders>
              <w:top w:val="single" w:sz="6" w:space="0" w:color="auto"/>
              <w:bottom w:val="single" w:sz="6" w:space="0" w:color="auto"/>
            </w:tcBorders>
          </w:tcPr>
          <w:p w14:paraId="0DAA21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121 855</w:t>
            </w:r>
          </w:p>
        </w:tc>
        <w:tc>
          <w:tcPr>
            <w:tcW w:w="794" w:type="dxa"/>
            <w:tcBorders>
              <w:top w:val="single" w:sz="6" w:space="0" w:color="auto"/>
              <w:bottom w:val="single" w:sz="6" w:space="0" w:color="auto"/>
            </w:tcBorders>
          </w:tcPr>
          <w:p w14:paraId="52CD5F9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123 562</w:t>
            </w:r>
          </w:p>
        </w:tc>
        <w:tc>
          <w:tcPr>
            <w:tcW w:w="794" w:type="dxa"/>
            <w:tcBorders>
              <w:top w:val="single" w:sz="6" w:space="0" w:color="auto"/>
              <w:bottom w:val="single" w:sz="6" w:space="0" w:color="auto"/>
            </w:tcBorders>
          </w:tcPr>
          <w:p w14:paraId="2BD8258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128 102</w:t>
            </w:r>
          </w:p>
        </w:tc>
        <w:tc>
          <w:tcPr>
            <w:tcW w:w="794" w:type="dxa"/>
            <w:tcBorders>
              <w:top w:val="single" w:sz="6" w:space="0" w:color="auto"/>
              <w:bottom w:val="single" w:sz="6" w:space="0" w:color="auto"/>
            </w:tcBorders>
          </w:tcPr>
          <w:p w14:paraId="1E247C7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132 576</w:t>
            </w:r>
          </w:p>
        </w:tc>
      </w:tr>
      <w:tr w:rsidR="005D339F" w14:paraId="6ED9A74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7E4F6718" w14:textId="3BBF532A" w:rsidR="005D339F" w:rsidRDefault="005D339F" w:rsidP="008670FF">
            <w:r>
              <w:rPr>
                <w:b/>
                <w:sz w:val="16"/>
              </w:rPr>
              <w:t xml:space="preserve">Net result from transactions – </w:t>
            </w:r>
            <w:r w:rsidR="00773CE3">
              <w:rPr>
                <w:b/>
                <w:sz w:val="16"/>
              </w:rPr>
              <w:t xml:space="preserve">Net </w:t>
            </w:r>
            <w:r>
              <w:rPr>
                <w:b/>
                <w:sz w:val="16"/>
              </w:rPr>
              <w:t>operating balance</w:t>
            </w:r>
          </w:p>
        </w:tc>
        <w:tc>
          <w:tcPr>
            <w:tcW w:w="794" w:type="dxa"/>
            <w:tcBorders>
              <w:top w:val="single" w:sz="6" w:space="0" w:color="auto"/>
              <w:bottom w:val="single" w:sz="12" w:space="0" w:color="auto"/>
            </w:tcBorders>
          </w:tcPr>
          <w:p w14:paraId="4732EF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(7 445)</w:t>
            </w:r>
          </w:p>
        </w:tc>
        <w:tc>
          <w:tcPr>
            <w:tcW w:w="794" w:type="dxa"/>
            <w:tcBorders>
              <w:top w:val="single" w:sz="6" w:space="0" w:color="auto"/>
              <w:bottom w:val="single" w:sz="12" w:space="0" w:color="auto"/>
            </w:tcBorders>
          </w:tcPr>
          <w:p w14:paraId="081C69A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(6 943)</w:t>
            </w:r>
          </w:p>
        </w:tc>
        <w:tc>
          <w:tcPr>
            <w:tcW w:w="794" w:type="dxa"/>
            <w:tcBorders>
              <w:top w:val="single" w:sz="6" w:space="0" w:color="auto"/>
              <w:bottom w:val="single" w:sz="12" w:space="0" w:color="auto"/>
            </w:tcBorders>
          </w:tcPr>
          <w:p w14:paraId="450E3A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(2 907)</w:t>
            </w:r>
          </w:p>
        </w:tc>
        <w:tc>
          <w:tcPr>
            <w:tcW w:w="794" w:type="dxa"/>
            <w:tcBorders>
              <w:top w:val="single" w:sz="6" w:space="0" w:color="auto"/>
              <w:bottom w:val="single" w:sz="12" w:space="0" w:color="auto"/>
            </w:tcBorders>
          </w:tcPr>
          <w:p w14:paraId="4DF1E1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(2 261)</w:t>
            </w:r>
          </w:p>
        </w:tc>
        <w:tc>
          <w:tcPr>
            <w:tcW w:w="794" w:type="dxa"/>
            <w:tcBorders>
              <w:top w:val="single" w:sz="6" w:space="0" w:color="auto"/>
              <w:bottom w:val="single" w:sz="12" w:space="0" w:color="auto"/>
            </w:tcBorders>
          </w:tcPr>
          <w:p w14:paraId="5375F2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(3 432)</w:t>
            </w:r>
          </w:p>
        </w:tc>
      </w:tr>
      <w:tr w:rsidR="005D339F" w14:paraId="28CF4CB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2EF44330" w14:textId="77777777" w:rsidR="005D339F" w:rsidRDefault="005D339F" w:rsidP="008670FF">
            <w:r>
              <w:rPr>
                <w:b/>
                <w:sz w:val="16"/>
              </w:rPr>
              <w:t>Other economic flows included in net result</w:t>
            </w:r>
          </w:p>
        </w:tc>
        <w:tc>
          <w:tcPr>
            <w:tcW w:w="794" w:type="dxa"/>
            <w:tcBorders>
              <w:top w:val="single" w:sz="6" w:space="0" w:color="auto"/>
            </w:tcBorders>
          </w:tcPr>
          <w:p w14:paraId="6BC258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DC9F8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FDFD7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95485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A959DB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A30E78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3BFECC4" w14:textId="77777777" w:rsidR="005D339F" w:rsidRDefault="005D339F" w:rsidP="008670FF">
            <w:r>
              <w:rPr>
                <w:sz w:val="16"/>
              </w:rPr>
              <w:t>Net gain/(loss) on disposal of non</w:t>
            </w:r>
            <w:r>
              <w:rPr>
                <w:sz w:val="16"/>
              </w:rPr>
              <w:noBreakHyphen/>
              <w:t>financial assets</w:t>
            </w:r>
          </w:p>
        </w:tc>
        <w:tc>
          <w:tcPr>
            <w:tcW w:w="794" w:type="dxa"/>
          </w:tcPr>
          <w:p w14:paraId="64EAE99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63</w:t>
            </w:r>
          </w:p>
        </w:tc>
        <w:tc>
          <w:tcPr>
            <w:tcW w:w="794" w:type="dxa"/>
          </w:tcPr>
          <w:p w14:paraId="230FAC7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62</w:t>
            </w:r>
          </w:p>
        </w:tc>
        <w:tc>
          <w:tcPr>
            <w:tcW w:w="794" w:type="dxa"/>
          </w:tcPr>
          <w:p w14:paraId="2B57C83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67</w:t>
            </w:r>
          </w:p>
        </w:tc>
        <w:tc>
          <w:tcPr>
            <w:tcW w:w="794" w:type="dxa"/>
          </w:tcPr>
          <w:p w14:paraId="61A9AD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43</w:t>
            </w:r>
          </w:p>
        </w:tc>
        <w:tc>
          <w:tcPr>
            <w:tcW w:w="794" w:type="dxa"/>
          </w:tcPr>
          <w:p w14:paraId="457D123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305</w:t>
            </w:r>
          </w:p>
        </w:tc>
      </w:tr>
      <w:tr w:rsidR="005D339F" w14:paraId="52704B7D"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12E0EAF" w14:textId="77777777" w:rsidR="005D339F" w:rsidRDefault="005D339F" w:rsidP="008670FF">
            <w:r>
              <w:rPr>
                <w:sz w:val="16"/>
              </w:rPr>
              <w:t>Net gain/(loss) on financial assets or liabilities at fair value</w:t>
            </w:r>
          </w:p>
        </w:tc>
        <w:tc>
          <w:tcPr>
            <w:tcW w:w="794" w:type="dxa"/>
          </w:tcPr>
          <w:p w14:paraId="0EF653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481</w:t>
            </w:r>
          </w:p>
        </w:tc>
        <w:tc>
          <w:tcPr>
            <w:tcW w:w="794" w:type="dxa"/>
          </w:tcPr>
          <w:p w14:paraId="1ADDD15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(2 218)</w:t>
            </w:r>
          </w:p>
        </w:tc>
        <w:tc>
          <w:tcPr>
            <w:tcW w:w="794" w:type="dxa"/>
          </w:tcPr>
          <w:p w14:paraId="4AB52E2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655</w:t>
            </w:r>
          </w:p>
        </w:tc>
        <w:tc>
          <w:tcPr>
            <w:tcW w:w="794" w:type="dxa"/>
          </w:tcPr>
          <w:p w14:paraId="23B975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768</w:t>
            </w:r>
          </w:p>
        </w:tc>
        <w:tc>
          <w:tcPr>
            <w:tcW w:w="794" w:type="dxa"/>
          </w:tcPr>
          <w:p w14:paraId="1CD5D59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1 412</w:t>
            </w:r>
          </w:p>
        </w:tc>
      </w:tr>
      <w:tr w:rsidR="005D339F" w14:paraId="628B5C2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90CCC62" w14:textId="77777777" w:rsidR="005D339F" w:rsidRDefault="005D339F" w:rsidP="008670FF">
            <w:r>
              <w:rPr>
                <w:sz w:val="16"/>
              </w:rPr>
              <w:t>Share of net profit/(loss) from associates/joint venture entities</w:t>
            </w:r>
          </w:p>
        </w:tc>
        <w:tc>
          <w:tcPr>
            <w:tcW w:w="794" w:type="dxa"/>
          </w:tcPr>
          <w:p w14:paraId="3B099A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32</w:t>
            </w:r>
          </w:p>
        </w:tc>
        <w:tc>
          <w:tcPr>
            <w:tcW w:w="794" w:type="dxa"/>
          </w:tcPr>
          <w:p w14:paraId="7A7904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(45)</w:t>
            </w:r>
          </w:p>
        </w:tc>
        <w:tc>
          <w:tcPr>
            <w:tcW w:w="794" w:type="dxa"/>
          </w:tcPr>
          <w:p w14:paraId="0FB27B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(29)</w:t>
            </w:r>
          </w:p>
        </w:tc>
        <w:tc>
          <w:tcPr>
            <w:tcW w:w="794" w:type="dxa"/>
          </w:tcPr>
          <w:p w14:paraId="4D3B014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(32)</w:t>
            </w:r>
          </w:p>
        </w:tc>
        <w:tc>
          <w:tcPr>
            <w:tcW w:w="794" w:type="dxa"/>
          </w:tcPr>
          <w:p w14:paraId="6BACE2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(32)</w:t>
            </w:r>
          </w:p>
        </w:tc>
      </w:tr>
      <w:tr w:rsidR="005D339F" w14:paraId="29E7580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175BBA03" w14:textId="77777777" w:rsidR="005D339F" w:rsidRDefault="005D339F" w:rsidP="008670FF">
            <w:r>
              <w:rPr>
                <w:sz w:val="16"/>
              </w:rPr>
              <w:t>Other gains/(losses) from other economic flows</w:t>
            </w:r>
          </w:p>
        </w:tc>
        <w:tc>
          <w:tcPr>
            <w:tcW w:w="794" w:type="dxa"/>
            <w:tcBorders>
              <w:bottom w:val="single" w:sz="6" w:space="0" w:color="auto"/>
            </w:tcBorders>
          </w:tcPr>
          <w:p w14:paraId="34FBB7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593</w:t>
            </w:r>
          </w:p>
        </w:tc>
        <w:tc>
          <w:tcPr>
            <w:tcW w:w="794" w:type="dxa"/>
            <w:tcBorders>
              <w:bottom w:val="single" w:sz="6" w:space="0" w:color="auto"/>
            </w:tcBorders>
          </w:tcPr>
          <w:p w14:paraId="37ADC6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294</w:t>
            </w:r>
          </w:p>
        </w:tc>
        <w:tc>
          <w:tcPr>
            <w:tcW w:w="794" w:type="dxa"/>
            <w:tcBorders>
              <w:bottom w:val="single" w:sz="6" w:space="0" w:color="auto"/>
            </w:tcBorders>
          </w:tcPr>
          <w:p w14:paraId="20B0A7C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760</w:t>
            </w:r>
          </w:p>
        </w:tc>
        <w:tc>
          <w:tcPr>
            <w:tcW w:w="794" w:type="dxa"/>
            <w:tcBorders>
              <w:bottom w:val="single" w:sz="6" w:space="0" w:color="auto"/>
            </w:tcBorders>
          </w:tcPr>
          <w:p w14:paraId="34222A9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864</w:t>
            </w:r>
          </w:p>
        </w:tc>
        <w:tc>
          <w:tcPr>
            <w:tcW w:w="794" w:type="dxa"/>
            <w:tcBorders>
              <w:bottom w:val="single" w:sz="6" w:space="0" w:color="auto"/>
            </w:tcBorders>
          </w:tcPr>
          <w:p w14:paraId="1DC858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1 038</w:t>
            </w:r>
          </w:p>
        </w:tc>
      </w:tr>
      <w:tr w:rsidR="005D339F" w14:paraId="610DD5A0"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2B289B79" w14:textId="77777777" w:rsidR="005D339F" w:rsidRDefault="005D339F" w:rsidP="008670FF">
            <w:r>
              <w:rPr>
                <w:b/>
                <w:sz w:val="16"/>
              </w:rPr>
              <w:t>Total other economic flows included in net result</w:t>
            </w:r>
          </w:p>
        </w:tc>
        <w:tc>
          <w:tcPr>
            <w:tcW w:w="794" w:type="dxa"/>
            <w:tcBorders>
              <w:top w:val="single" w:sz="6" w:space="0" w:color="auto"/>
              <w:bottom w:val="single" w:sz="6" w:space="0" w:color="auto"/>
            </w:tcBorders>
          </w:tcPr>
          <w:p w14:paraId="4FE13A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1 169</w:t>
            </w:r>
          </w:p>
        </w:tc>
        <w:tc>
          <w:tcPr>
            <w:tcW w:w="794" w:type="dxa"/>
            <w:tcBorders>
              <w:top w:val="single" w:sz="6" w:space="0" w:color="auto"/>
              <w:bottom w:val="single" w:sz="6" w:space="0" w:color="auto"/>
            </w:tcBorders>
          </w:tcPr>
          <w:p w14:paraId="0E9821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(1 907)</w:t>
            </w:r>
          </w:p>
        </w:tc>
        <w:tc>
          <w:tcPr>
            <w:tcW w:w="794" w:type="dxa"/>
            <w:tcBorders>
              <w:top w:val="single" w:sz="6" w:space="0" w:color="auto"/>
              <w:bottom w:val="single" w:sz="6" w:space="0" w:color="auto"/>
            </w:tcBorders>
          </w:tcPr>
          <w:p w14:paraId="7D485E7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1 452</w:t>
            </w:r>
          </w:p>
        </w:tc>
        <w:tc>
          <w:tcPr>
            <w:tcW w:w="794" w:type="dxa"/>
            <w:tcBorders>
              <w:top w:val="single" w:sz="6" w:space="0" w:color="auto"/>
              <w:bottom w:val="single" w:sz="6" w:space="0" w:color="auto"/>
            </w:tcBorders>
          </w:tcPr>
          <w:p w14:paraId="5C5C06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1 643</w:t>
            </w:r>
          </w:p>
        </w:tc>
        <w:tc>
          <w:tcPr>
            <w:tcW w:w="794" w:type="dxa"/>
            <w:tcBorders>
              <w:top w:val="single" w:sz="6" w:space="0" w:color="auto"/>
              <w:bottom w:val="single" w:sz="6" w:space="0" w:color="auto"/>
            </w:tcBorders>
          </w:tcPr>
          <w:p w14:paraId="51666A6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2 722</w:t>
            </w:r>
          </w:p>
        </w:tc>
      </w:tr>
      <w:tr w:rsidR="005D339F" w14:paraId="50648D74"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AC948E5" w14:textId="77777777" w:rsidR="005D339F" w:rsidRDefault="005D339F" w:rsidP="008670FF">
            <w:r>
              <w:rPr>
                <w:b/>
                <w:sz w:val="16"/>
              </w:rPr>
              <w:t>Net result</w:t>
            </w:r>
          </w:p>
        </w:tc>
        <w:tc>
          <w:tcPr>
            <w:tcW w:w="794" w:type="dxa"/>
            <w:tcBorders>
              <w:top w:val="single" w:sz="6" w:space="0" w:color="auto"/>
              <w:bottom w:val="single" w:sz="12" w:space="0" w:color="auto"/>
            </w:tcBorders>
          </w:tcPr>
          <w:p w14:paraId="46FE57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(6 277)</w:t>
            </w:r>
          </w:p>
        </w:tc>
        <w:tc>
          <w:tcPr>
            <w:tcW w:w="794" w:type="dxa"/>
            <w:tcBorders>
              <w:top w:val="single" w:sz="6" w:space="0" w:color="auto"/>
              <w:bottom w:val="single" w:sz="12" w:space="0" w:color="auto"/>
            </w:tcBorders>
          </w:tcPr>
          <w:p w14:paraId="265C84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(8 850)</w:t>
            </w:r>
          </w:p>
        </w:tc>
        <w:tc>
          <w:tcPr>
            <w:tcW w:w="794" w:type="dxa"/>
            <w:tcBorders>
              <w:top w:val="single" w:sz="6" w:space="0" w:color="auto"/>
              <w:bottom w:val="single" w:sz="12" w:space="0" w:color="auto"/>
            </w:tcBorders>
          </w:tcPr>
          <w:p w14:paraId="465C925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(1 454)</w:t>
            </w:r>
          </w:p>
        </w:tc>
        <w:tc>
          <w:tcPr>
            <w:tcW w:w="794" w:type="dxa"/>
            <w:tcBorders>
              <w:top w:val="single" w:sz="6" w:space="0" w:color="auto"/>
              <w:bottom w:val="single" w:sz="12" w:space="0" w:color="auto"/>
            </w:tcBorders>
          </w:tcPr>
          <w:p w14:paraId="6867B5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(619)</w:t>
            </w:r>
          </w:p>
        </w:tc>
        <w:tc>
          <w:tcPr>
            <w:tcW w:w="794" w:type="dxa"/>
            <w:tcBorders>
              <w:top w:val="single" w:sz="6" w:space="0" w:color="auto"/>
              <w:bottom w:val="single" w:sz="12" w:space="0" w:color="auto"/>
            </w:tcBorders>
          </w:tcPr>
          <w:p w14:paraId="6DAAE6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(710)</w:t>
            </w:r>
          </w:p>
        </w:tc>
      </w:tr>
      <w:tr w:rsidR="005D339F" w14:paraId="5BD80CEF"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C936C4A" w14:textId="6B1DADEC" w:rsidR="005D339F" w:rsidRDefault="005D339F" w:rsidP="008670FF">
            <w:r>
              <w:rPr>
                <w:b/>
                <w:sz w:val="16"/>
              </w:rPr>
              <w:t xml:space="preserve">Other economic flows – </w:t>
            </w:r>
            <w:r w:rsidR="00773CE3">
              <w:rPr>
                <w:b/>
                <w:sz w:val="16"/>
              </w:rPr>
              <w:t xml:space="preserve">Other </w:t>
            </w:r>
            <w:r>
              <w:rPr>
                <w:b/>
                <w:sz w:val="16"/>
              </w:rPr>
              <w:t>comprehensive income</w:t>
            </w:r>
          </w:p>
        </w:tc>
        <w:tc>
          <w:tcPr>
            <w:tcW w:w="794" w:type="dxa"/>
            <w:tcBorders>
              <w:top w:val="single" w:sz="6" w:space="0" w:color="auto"/>
            </w:tcBorders>
          </w:tcPr>
          <w:p w14:paraId="7EAE21D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955B9A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8BF45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CC915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9548DF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D277A6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A75077E" w14:textId="77777777" w:rsidR="005D339F" w:rsidRDefault="005D339F" w:rsidP="008670FF">
            <w:r>
              <w:rPr>
                <w:b/>
                <w:sz w:val="16"/>
              </w:rPr>
              <w:t>Items that will not be reclassified to net result</w:t>
            </w:r>
          </w:p>
        </w:tc>
        <w:tc>
          <w:tcPr>
            <w:tcW w:w="794" w:type="dxa"/>
          </w:tcPr>
          <w:p w14:paraId="46AD180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97ED72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2109F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2B6669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A8BB8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4C6B4B6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E90EDB6" w14:textId="77777777" w:rsidR="005D339F" w:rsidRDefault="005D339F" w:rsidP="008670FF">
            <w:r>
              <w:rPr>
                <w:sz w:val="16"/>
              </w:rPr>
              <w:t>Changes in non</w:t>
            </w:r>
            <w:r>
              <w:rPr>
                <w:sz w:val="16"/>
              </w:rPr>
              <w:noBreakHyphen/>
              <w:t>financial assets revaluation surplus</w:t>
            </w:r>
          </w:p>
        </w:tc>
        <w:tc>
          <w:tcPr>
            <w:tcW w:w="794" w:type="dxa"/>
          </w:tcPr>
          <w:p w14:paraId="38FC1C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6 843</w:t>
            </w:r>
          </w:p>
        </w:tc>
        <w:tc>
          <w:tcPr>
            <w:tcW w:w="794" w:type="dxa"/>
          </w:tcPr>
          <w:p w14:paraId="3ADD91D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6 754</w:t>
            </w:r>
          </w:p>
        </w:tc>
        <w:tc>
          <w:tcPr>
            <w:tcW w:w="794" w:type="dxa"/>
          </w:tcPr>
          <w:p w14:paraId="612FF7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9 569</w:t>
            </w:r>
          </w:p>
        </w:tc>
        <w:tc>
          <w:tcPr>
            <w:tcW w:w="794" w:type="dxa"/>
          </w:tcPr>
          <w:p w14:paraId="0841B3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6 070</w:t>
            </w:r>
          </w:p>
        </w:tc>
        <w:tc>
          <w:tcPr>
            <w:tcW w:w="794" w:type="dxa"/>
          </w:tcPr>
          <w:p w14:paraId="5B89B1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9 031</w:t>
            </w:r>
          </w:p>
        </w:tc>
      </w:tr>
      <w:tr w:rsidR="005D339F" w14:paraId="596F2FC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B376D7A" w14:textId="77777777" w:rsidR="005D339F" w:rsidRDefault="005D339F" w:rsidP="008670FF">
            <w:r>
              <w:rPr>
                <w:sz w:val="16"/>
              </w:rPr>
              <w:t>Remeasurement of superannuation defined benefit plans</w:t>
            </w:r>
          </w:p>
        </w:tc>
        <w:tc>
          <w:tcPr>
            <w:tcW w:w="794" w:type="dxa"/>
          </w:tcPr>
          <w:p w14:paraId="286FC5B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725</w:t>
            </w:r>
          </w:p>
        </w:tc>
        <w:tc>
          <w:tcPr>
            <w:tcW w:w="794" w:type="dxa"/>
          </w:tcPr>
          <w:p w14:paraId="630133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(511)</w:t>
            </w:r>
          </w:p>
        </w:tc>
        <w:tc>
          <w:tcPr>
            <w:tcW w:w="794" w:type="dxa"/>
          </w:tcPr>
          <w:p w14:paraId="401B17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718</w:t>
            </w:r>
          </w:p>
        </w:tc>
        <w:tc>
          <w:tcPr>
            <w:tcW w:w="794" w:type="dxa"/>
          </w:tcPr>
          <w:p w14:paraId="6A6717F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702</w:t>
            </w:r>
          </w:p>
        </w:tc>
        <w:tc>
          <w:tcPr>
            <w:tcW w:w="794" w:type="dxa"/>
          </w:tcPr>
          <w:p w14:paraId="1010393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702</w:t>
            </w:r>
          </w:p>
        </w:tc>
      </w:tr>
      <w:tr w:rsidR="005D339F" w14:paraId="2AF8F9CF"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9887508" w14:textId="77777777" w:rsidR="005D339F" w:rsidRDefault="005D339F" w:rsidP="008670FF">
            <w:r>
              <w:rPr>
                <w:sz w:val="16"/>
              </w:rPr>
              <w:t>Other movements in equity</w:t>
            </w:r>
          </w:p>
        </w:tc>
        <w:tc>
          <w:tcPr>
            <w:tcW w:w="794" w:type="dxa"/>
          </w:tcPr>
          <w:p w14:paraId="22FE6CE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16</w:t>
            </w:r>
          </w:p>
        </w:tc>
        <w:tc>
          <w:tcPr>
            <w:tcW w:w="794" w:type="dxa"/>
          </w:tcPr>
          <w:p w14:paraId="15A5A2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255</w:t>
            </w:r>
          </w:p>
        </w:tc>
        <w:tc>
          <w:tcPr>
            <w:tcW w:w="794" w:type="dxa"/>
          </w:tcPr>
          <w:p w14:paraId="0E5FAEB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w:t>
            </w:r>
          </w:p>
        </w:tc>
        <w:tc>
          <w:tcPr>
            <w:tcW w:w="794" w:type="dxa"/>
          </w:tcPr>
          <w:p w14:paraId="07BEFF8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w:t>
            </w:r>
          </w:p>
        </w:tc>
        <w:tc>
          <w:tcPr>
            <w:tcW w:w="794" w:type="dxa"/>
          </w:tcPr>
          <w:p w14:paraId="455D650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w:t>
            </w:r>
          </w:p>
        </w:tc>
      </w:tr>
      <w:tr w:rsidR="005D339F" w14:paraId="2B5E2D1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C944C3F" w14:textId="77777777" w:rsidR="005D339F" w:rsidRDefault="005D339F" w:rsidP="008670FF">
            <w:r>
              <w:rPr>
                <w:b/>
                <w:sz w:val="16"/>
              </w:rPr>
              <w:t>Items that may be reclassified subsequently to net result</w:t>
            </w:r>
          </w:p>
        </w:tc>
        <w:tc>
          <w:tcPr>
            <w:tcW w:w="794" w:type="dxa"/>
          </w:tcPr>
          <w:p w14:paraId="503DE2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130E6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BF81AB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82572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FA5EC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00382C5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6F531FC" w14:textId="77777777" w:rsidR="005D339F" w:rsidRDefault="005D339F" w:rsidP="008670FF">
            <w:r>
              <w:rPr>
                <w:sz w:val="16"/>
              </w:rPr>
              <w:t>Net gain/(loss) on financial assets at fair value</w:t>
            </w:r>
          </w:p>
        </w:tc>
        <w:tc>
          <w:tcPr>
            <w:tcW w:w="794" w:type="dxa"/>
          </w:tcPr>
          <w:p w14:paraId="178B6D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21</w:t>
            </w:r>
          </w:p>
        </w:tc>
        <w:tc>
          <w:tcPr>
            <w:tcW w:w="794" w:type="dxa"/>
          </w:tcPr>
          <w:p w14:paraId="5B0163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w:t>
            </w:r>
          </w:p>
        </w:tc>
        <w:tc>
          <w:tcPr>
            <w:tcW w:w="794" w:type="dxa"/>
          </w:tcPr>
          <w:p w14:paraId="5F5A32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w:t>
            </w:r>
          </w:p>
        </w:tc>
        <w:tc>
          <w:tcPr>
            <w:tcW w:w="794" w:type="dxa"/>
          </w:tcPr>
          <w:p w14:paraId="225310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w:t>
            </w:r>
          </w:p>
        </w:tc>
        <w:tc>
          <w:tcPr>
            <w:tcW w:w="794" w:type="dxa"/>
          </w:tcPr>
          <w:p w14:paraId="67BAB17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w:t>
            </w:r>
          </w:p>
        </w:tc>
      </w:tr>
      <w:tr w:rsidR="005D339F" w14:paraId="39BB4B3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60A6306" w14:textId="707181DE" w:rsidR="005D339F" w:rsidRDefault="005D339F" w:rsidP="008670FF">
            <w:r>
              <w:rPr>
                <w:b/>
                <w:sz w:val="16"/>
              </w:rPr>
              <w:t xml:space="preserve">Total other economic flows – </w:t>
            </w:r>
            <w:r w:rsidR="00E80CE2">
              <w:rPr>
                <w:b/>
                <w:sz w:val="16"/>
              </w:rPr>
              <w:br/>
            </w:r>
            <w:r w:rsidR="00773CE3">
              <w:rPr>
                <w:b/>
                <w:sz w:val="16"/>
              </w:rPr>
              <w:t xml:space="preserve">Other </w:t>
            </w:r>
            <w:r>
              <w:rPr>
                <w:b/>
                <w:sz w:val="16"/>
              </w:rPr>
              <w:t>comprehensive income</w:t>
            </w:r>
          </w:p>
        </w:tc>
        <w:tc>
          <w:tcPr>
            <w:tcW w:w="794" w:type="dxa"/>
            <w:tcBorders>
              <w:top w:val="single" w:sz="6" w:space="0" w:color="auto"/>
              <w:bottom w:val="single" w:sz="6" w:space="0" w:color="auto"/>
            </w:tcBorders>
          </w:tcPr>
          <w:p w14:paraId="578586F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7 605</w:t>
            </w:r>
          </w:p>
        </w:tc>
        <w:tc>
          <w:tcPr>
            <w:tcW w:w="794" w:type="dxa"/>
            <w:tcBorders>
              <w:top w:val="single" w:sz="6" w:space="0" w:color="auto"/>
              <w:bottom w:val="single" w:sz="6" w:space="0" w:color="auto"/>
            </w:tcBorders>
          </w:tcPr>
          <w:p w14:paraId="38988D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6 488</w:t>
            </w:r>
          </w:p>
        </w:tc>
        <w:tc>
          <w:tcPr>
            <w:tcW w:w="794" w:type="dxa"/>
            <w:tcBorders>
              <w:top w:val="single" w:sz="6" w:space="0" w:color="auto"/>
              <w:bottom w:val="single" w:sz="6" w:space="0" w:color="auto"/>
            </w:tcBorders>
          </w:tcPr>
          <w:p w14:paraId="4F832A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10 298</w:t>
            </w:r>
          </w:p>
        </w:tc>
        <w:tc>
          <w:tcPr>
            <w:tcW w:w="794" w:type="dxa"/>
            <w:tcBorders>
              <w:top w:val="single" w:sz="6" w:space="0" w:color="auto"/>
              <w:bottom w:val="single" w:sz="6" w:space="0" w:color="auto"/>
            </w:tcBorders>
          </w:tcPr>
          <w:p w14:paraId="75F35D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6 778</w:t>
            </w:r>
          </w:p>
        </w:tc>
        <w:tc>
          <w:tcPr>
            <w:tcW w:w="794" w:type="dxa"/>
            <w:tcBorders>
              <w:top w:val="single" w:sz="6" w:space="0" w:color="auto"/>
              <w:bottom w:val="single" w:sz="6" w:space="0" w:color="auto"/>
            </w:tcBorders>
          </w:tcPr>
          <w:p w14:paraId="14631F7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9 741</w:t>
            </w:r>
          </w:p>
        </w:tc>
      </w:tr>
      <w:tr w:rsidR="005D339F" w14:paraId="1CD7696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61421450" w14:textId="1C04D6C4" w:rsidR="005D339F" w:rsidRDefault="005D339F" w:rsidP="008670FF">
            <w:r>
              <w:rPr>
                <w:b/>
                <w:sz w:val="16"/>
              </w:rPr>
              <w:t xml:space="preserve">Comprehensive result – </w:t>
            </w:r>
            <w:r w:rsidR="00773CE3">
              <w:rPr>
                <w:b/>
                <w:sz w:val="16"/>
              </w:rPr>
              <w:t xml:space="preserve">Total </w:t>
            </w:r>
            <w:r>
              <w:rPr>
                <w:b/>
                <w:sz w:val="16"/>
              </w:rPr>
              <w:t>change in net worth</w:t>
            </w:r>
          </w:p>
        </w:tc>
        <w:tc>
          <w:tcPr>
            <w:tcW w:w="794" w:type="dxa"/>
            <w:tcBorders>
              <w:top w:val="single" w:sz="6" w:space="0" w:color="auto"/>
              <w:bottom w:val="single" w:sz="12" w:space="0" w:color="auto"/>
            </w:tcBorders>
          </w:tcPr>
          <w:p w14:paraId="3F1220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1 329</w:t>
            </w:r>
          </w:p>
        </w:tc>
        <w:tc>
          <w:tcPr>
            <w:tcW w:w="794" w:type="dxa"/>
            <w:tcBorders>
              <w:top w:val="single" w:sz="6" w:space="0" w:color="auto"/>
              <w:bottom w:val="single" w:sz="12" w:space="0" w:color="auto"/>
            </w:tcBorders>
          </w:tcPr>
          <w:p w14:paraId="3584D7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(2 362)</w:t>
            </w:r>
          </w:p>
        </w:tc>
        <w:tc>
          <w:tcPr>
            <w:tcW w:w="794" w:type="dxa"/>
            <w:tcBorders>
              <w:top w:val="single" w:sz="6" w:space="0" w:color="auto"/>
              <w:bottom w:val="single" w:sz="12" w:space="0" w:color="auto"/>
            </w:tcBorders>
          </w:tcPr>
          <w:p w14:paraId="44424E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8 844</w:t>
            </w:r>
          </w:p>
        </w:tc>
        <w:tc>
          <w:tcPr>
            <w:tcW w:w="794" w:type="dxa"/>
            <w:tcBorders>
              <w:top w:val="single" w:sz="6" w:space="0" w:color="auto"/>
              <w:bottom w:val="single" w:sz="12" w:space="0" w:color="auto"/>
            </w:tcBorders>
          </w:tcPr>
          <w:p w14:paraId="3ECA4A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6 159</w:t>
            </w:r>
          </w:p>
        </w:tc>
        <w:tc>
          <w:tcPr>
            <w:tcW w:w="794" w:type="dxa"/>
            <w:tcBorders>
              <w:top w:val="single" w:sz="6" w:space="0" w:color="auto"/>
              <w:bottom w:val="single" w:sz="12" w:space="0" w:color="auto"/>
            </w:tcBorders>
          </w:tcPr>
          <w:p w14:paraId="719283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9 032</w:t>
            </w:r>
          </w:p>
        </w:tc>
      </w:tr>
      <w:tr w:rsidR="005D339F" w14:paraId="3CDA4A88"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0EF26550" w14:textId="77777777" w:rsidR="005D339F" w:rsidRDefault="005D339F" w:rsidP="008670FF"/>
        </w:tc>
        <w:tc>
          <w:tcPr>
            <w:tcW w:w="794" w:type="dxa"/>
            <w:tcBorders>
              <w:top w:val="single" w:sz="6" w:space="0" w:color="auto"/>
            </w:tcBorders>
          </w:tcPr>
          <w:p w14:paraId="042574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C043B5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396425E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20F17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28115AE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4A0C5F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D6A16BB" w14:textId="77777777" w:rsidR="005D339F" w:rsidRDefault="005D339F" w:rsidP="008670FF">
            <w:r>
              <w:rPr>
                <w:b/>
                <w:sz w:val="16"/>
              </w:rPr>
              <w:t>KEY FISCAL AGGREGATES</w:t>
            </w:r>
          </w:p>
        </w:tc>
        <w:tc>
          <w:tcPr>
            <w:tcW w:w="794" w:type="dxa"/>
          </w:tcPr>
          <w:p w14:paraId="09F6B6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8D009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016C4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47157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B248F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DC1E54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6D74044" w14:textId="77777777" w:rsidR="005D339F" w:rsidRDefault="005D339F" w:rsidP="008670FF">
            <w:r>
              <w:rPr>
                <w:b/>
                <w:sz w:val="16"/>
              </w:rPr>
              <w:t>Net operating balance</w:t>
            </w:r>
          </w:p>
        </w:tc>
        <w:tc>
          <w:tcPr>
            <w:tcW w:w="794" w:type="dxa"/>
          </w:tcPr>
          <w:p w14:paraId="7AC938A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(7 445)</w:t>
            </w:r>
          </w:p>
        </w:tc>
        <w:tc>
          <w:tcPr>
            <w:tcW w:w="794" w:type="dxa"/>
          </w:tcPr>
          <w:p w14:paraId="148E87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(6 943)</w:t>
            </w:r>
          </w:p>
        </w:tc>
        <w:tc>
          <w:tcPr>
            <w:tcW w:w="794" w:type="dxa"/>
          </w:tcPr>
          <w:p w14:paraId="3AE0D7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(2 907)</w:t>
            </w:r>
          </w:p>
        </w:tc>
        <w:tc>
          <w:tcPr>
            <w:tcW w:w="794" w:type="dxa"/>
          </w:tcPr>
          <w:p w14:paraId="5EAD47B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(2 261)</w:t>
            </w:r>
          </w:p>
        </w:tc>
        <w:tc>
          <w:tcPr>
            <w:tcW w:w="794" w:type="dxa"/>
          </w:tcPr>
          <w:p w14:paraId="38A56F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(3 432)</w:t>
            </w:r>
          </w:p>
        </w:tc>
      </w:tr>
      <w:tr w:rsidR="005D339F" w14:paraId="61EEADD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5284B246" w14:textId="77777777" w:rsidR="005D339F" w:rsidRDefault="005D339F" w:rsidP="008670FF">
            <w:r>
              <w:rPr>
                <w:sz w:val="16"/>
              </w:rPr>
              <w:t>Less: Net acquisition of non</w:t>
            </w:r>
            <w:r>
              <w:rPr>
                <w:sz w:val="16"/>
              </w:rPr>
              <w:noBreakHyphen/>
              <w:t>financial assets from transactions</w:t>
            </w:r>
          </w:p>
        </w:tc>
        <w:tc>
          <w:tcPr>
            <w:tcW w:w="794" w:type="dxa"/>
            <w:tcBorders>
              <w:bottom w:val="single" w:sz="6" w:space="0" w:color="auto"/>
            </w:tcBorders>
          </w:tcPr>
          <w:p w14:paraId="47B8021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19 287</w:t>
            </w:r>
          </w:p>
        </w:tc>
        <w:tc>
          <w:tcPr>
            <w:tcW w:w="794" w:type="dxa"/>
            <w:tcBorders>
              <w:bottom w:val="single" w:sz="6" w:space="0" w:color="auto"/>
            </w:tcBorders>
          </w:tcPr>
          <w:p w14:paraId="7935245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20 281</w:t>
            </w:r>
          </w:p>
        </w:tc>
        <w:tc>
          <w:tcPr>
            <w:tcW w:w="794" w:type="dxa"/>
            <w:tcBorders>
              <w:bottom w:val="single" w:sz="6" w:space="0" w:color="auto"/>
            </w:tcBorders>
          </w:tcPr>
          <w:p w14:paraId="06BF09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16 866</w:t>
            </w:r>
          </w:p>
        </w:tc>
        <w:tc>
          <w:tcPr>
            <w:tcW w:w="794" w:type="dxa"/>
            <w:tcBorders>
              <w:bottom w:val="single" w:sz="6" w:space="0" w:color="auto"/>
            </w:tcBorders>
          </w:tcPr>
          <w:p w14:paraId="69E99C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13 256</w:t>
            </w:r>
          </w:p>
        </w:tc>
        <w:tc>
          <w:tcPr>
            <w:tcW w:w="794" w:type="dxa"/>
            <w:tcBorders>
              <w:bottom w:val="single" w:sz="6" w:space="0" w:color="auto"/>
            </w:tcBorders>
          </w:tcPr>
          <w:p w14:paraId="42195C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9 365</w:t>
            </w:r>
          </w:p>
        </w:tc>
      </w:tr>
      <w:tr w:rsidR="005D339F" w14:paraId="3882208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C9079AF" w14:textId="77777777" w:rsidR="005D339F" w:rsidRDefault="005D339F" w:rsidP="008670FF">
            <w:r>
              <w:rPr>
                <w:b/>
                <w:sz w:val="16"/>
              </w:rPr>
              <w:t>Net lending/(borrowing)</w:t>
            </w:r>
          </w:p>
        </w:tc>
        <w:tc>
          <w:tcPr>
            <w:tcW w:w="794" w:type="dxa"/>
            <w:tcBorders>
              <w:top w:val="single" w:sz="6" w:space="0" w:color="auto"/>
              <w:bottom w:val="single" w:sz="12" w:space="0" w:color="auto"/>
            </w:tcBorders>
          </w:tcPr>
          <w:p w14:paraId="6D9901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(26 733)</w:t>
            </w:r>
          </w:p>
        </w:tc>
        <w:tc>
          <w:tcPr>
            <w:tcW w:w="794" w:type="dxa"/>
            <w:tcBorders>
              <w:top w:val="single" w:sz="6" w:space="0" w:color="auto"/>
              <w:bottom w:val="single" w:sz="12" w:space="0" w:color="auto"/>
            </w:tcBorders>
          </w:tcPr>
          <w:p w14:paraId="21D0A89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(27 223)</w:t>
            </w:r>
          </w:p>
        </w:tc>
        <w:tc>
          <w:tcPr>
            <w:tcW w:w="794" w:type="dxa"/>
            <w:tcBorders>
              <w:top w:val="single" w:sz="6" w:space="0" w:color="auto"/>
              <w:bottom w:val="single" w:sz="12" w:space="0" w:color="auto"/>
            </w:tcBorders>
          </w:tcPr>
          <w:p w14:paraId="5CE0B4B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(19 773)</w:t>
            </w:r>
          </w:p>
        </w:tc>
        <w:tc>
          <w:tcPr>
            <w:tcW w:w="794" w:type="dxa"/>
            <w:tcBorders>
              <w:top w:val="single" w:sz="6" w:space="0" w:color="auto"/>
              <w:bottom w:val="single" w:sz="12" w:space="0" w:color="auto"/>
            </w:tcBorders>
          </w:tcPr>
          <w:p w14:paraId="3382E1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(15 518)</w:t>
            </w:r>
          </w:p>
        </w:tc>
        <w:tc>
          <w:tcPr>
            <w:tcW w:w="794" w:type="dxa"/>
            <w:tcBorders>
              <w:top w:val="single" w:sz="6" w:space="0" w:color="auto"/>
              <w:bottom w:val="single" w:sz="12" w:space="0" w:color="auto"/>
            </w:tcBorders>
          </w:tcPr>
          <w:p w14:paraId="3F22E3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(12 797)</w:t>
            </w:r>
          </w:p>
        </w:tc>
      </w:tr>
    </w:tbl>
    <w:p w14:paraId="73269A81" w14:textId="77777777" w:rsidR="005D339F" w:rsidRDefault="005D339F" w:rsidP="005D339F">
      <w:pPr>
        <w:pStyle w:val="TableHeading"/>
      </w:pPr>
      <w:r w:rsidRPr="00921F69">
        <w:t>Table 5.17</w:t>
      </w:r>
      <w:r w:rsidRPr="00921F69">
        <w:tab/>
        <w:t>State of Victoria balance sheet as at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BS.xlsx|Table:Manual_WoS_BS"/>
      </w:tblPr>
      <w:tblGrid>
        <w:gridCol w:w="3740"/>
        <w:gridCol w:w="794"/>
        <w:gridCol w:w="794"/>
        <w:gridCol w:w="794"/>
        <w:gridCol w:w="794"/>
        <w:gridCol w:w="794"/>
      </w:tblGrid>
      <w:tr w:rsidR="005D339F" w14:paraId="2A73ECB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2B02414C" w14:textId="77777777" w:rsidR="005D339F" w:rsidRDefault="005D339F" w:rsidP="008670FF">
            <w:pPr>
              <w:keepNext/>
            </w:pPr>
          </w:p>
        </w:tc>
        <w:tc>
          <w:tcPr>
            <w:tcW w:w="794" w:type="dxa"/>
          </w:tcPr>
          <w:p w14:paraId="108FD2F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789CCC61"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p>
        </w:tc>
        <w:tc>
          <w:tcPr>
            <w:tcW w:w="794" w:type="dxa"/>
          </w:tcPr>
          <w:p w14:paraId="32599B1A"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p>
        </w:tc>
        <w:tc>
          <w:tcPr>
            <w:tcW w:w="794" w:type="dxa"/>
          </w:tcPr>
          <w:p w14:paraId="32A003A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p>
        </w:tc>
        <w:tc>
          <w:tcPr>
            <w:tcW w:w="794" w:type="dxa"/>
          </w:tcPr>
          <w:p w14:paraId="3FB8AA8E"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2028</w:t>
            </w:r>
          </w:p>
        </w:tc>
      </w:tr>
      <w:tr w:rsidR="005D339F" w14:paraId="1FBDFA8E"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C4D0E3C" w14:textId="77777777" w:rsidR="005D339F" w:rsidRDefault="005D339F" w:rsidP="008670FF">
            <w:pPr>
              <w:keepNext/>
            </w:pPr>
          </w:p>
        </w:tc>
        <w:tc>
          <w:tcPr>
            <w:tcW w:w="794" w:type="dxa"/>
          </w:tcPr>
          <w:p w14:paraId="7327E0E5"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budget</w:t>
            </w:r>
            <w:r>
              <w:rPr>
                <w:vertAlign w:val="superscript"/>
              </w:rPr>
              <w:t xml:space="preserve"> (a)</w:t>
            </w:r>
          </w:p>
        </w:tc>
        <w:tc>
          <w:tcPr>
            <w:tcW w:w="794" w:type="dxa"/>
          </w:tcPr>
          <w:p w14:paraId="5BEBADD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revised</w:t>
            </w:r>
          </w:p>
        </w:tc>
        <w:tc>
          <w:tcPr>
            <w:tcW w:w="794" w:type="dxa"/>
          </w:tcPr>
          <w:p w14:paraId="7B7A2770"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847F551"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c>
          <w:tcPr>
            <w:tcW w:w="794" w:type="dxa"/>
          </w:tcPr>
          <w:p w14:paraId="1B9AE13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estimate</w:t>
            </w:r>
          </w:p>
        </w:tc>
      </w:tr>
      <w:tr w:rsidR="005D339F" w14:paraId="45E5C3A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641E6B0" w14:textId="77777777" w:rsidR="005D339F" w:rsidRDefault="005D339F" w:rsidP="008670FF">
            <w:r>
              <w:rPr>
                <w:b/>
              </w:rPr>
              <w:t>Assets</w:t>
            </w:r>
          </w:p>
        </w:tc>
        <w:tc>
          <w:tcPr>
            <w:tcW w:w="794" w:type="dxa"/>
          </w:tcPr>
          <w:p w14:paraId="393BC4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4E4D5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9CDE2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A6DE0F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45BEED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EA5A99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A8EF36C" w14:textId="77777777" w:rsidR="005D339F" w:rsidRDefault="005D339F" w:rsidP="008670FF">
            <w:r>
              <w:rPr>
                <w:b/>
              </w:rPr>
              <w:t>Financial assets</w:t>
            </w:r>
          </w:p>
        </w:tc>
        <w:tc>
          <w:tcPr>
            <w:tcW w:w="794" w:type="dxa"/>
          </w:tcPr>
          <w:p w14:paraId="791D3A5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15420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35F7E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184C93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E293A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E156CD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468ED83" w14:textId="77777777" w:rsidR="005D339F" w:rsidRDefault="005D339F" w:rsidP="008670FF">
            <w:r>
              <w:t>Cash and deposits</w:t>
            </w:r>
          </w:p>
        </w:tc>
        <w:tc>
          <w:tcPr>
            <w:tcW w:w="794" w:type="dxa"/>
          </w:tcPr>
          <w:p w14:paraId="686C8FA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19 053</w:t>
            </w:r>
          </w:p>
        </w:tc>
        <w:tc>
          <w:tcPr>
            <w:tcW w:w="794" w:type="dxa"/>
          </w:tcPr>
          <w:p w14:paraId="27CF19E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15 662</w:t>
            </w:r>
          </w:p>
        </w:tc>
        <w:tc>
          <w:tcPr>
            <w:tcW w:w="794" w:type="dxa"/>
          </w:tcPr>
          <w:p w14:paraId="4F21D43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15 908</w:t>
            </w:r>
          </w:p>
        </w:tc>
        <w:tc>
          <w:tcPr>
            <w:tcW w:w="794" w:type="dxa"/>
          </w:tcPr>
          <w:p w14:paraId="5FD804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16 596</w:t>
            </w:r>
          </w:p>
        </w:tc>
        <w:tc>
          <w:tcPr>
            <w:tcW w:w="794" w:type="dxa"/>
          </w:tcPr>
          <w:p w14:paraId="7D3BE6E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17 592</w:t>
            </w:r>
          </w:p>
        </w:tc>
      </w:tr>
      <w:tr w:rsidR="005D339F" w14:paraId="45B43FE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6FCDD41" w14:textId="77777777" w:rsidR="005D339F" w:rsidRDefault="005D339F" w:rsidP="008670FF">
            <w:r>
              <w:t>Advances paid</w:t>
            </w:r>
          </w:p>
        </w:tc>
        <w:tc>
          <w:tcPr>
            <w:tcW w:w="794" w:type="dxa"/>
          </w:tcPr>
          <w:p w14:paraId="7DC0D12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400</w:t>
            </w:r>
          </w:p>
        </w:tc>
        <w:tc>
          <w:tcPr>
            <w:tcW w:w="794" w:type="dxa"/>
          </w:tcPr>
          <w:p w14:paraId="69252E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386</w:t>
            </w:r>
          </w:p>
        </w:tc>
        <w:tc>
          <w:tcPr>
            <w:tcW w:w="794" w:type="dxa"/>
          </w:tcPr>
          <w:p w14:paraId="526A0A6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366</w:t>
            </w:r>
          </w:p>
        </w:tc>
        <w:tc>
          <w:tcPr>
            <w:tcW w:w="794" w:type="dxa"/>
          </w:tcPr>
          <w:p w14:paraId="491E143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368</w:t>
            </w:r>
          </w:p>
        </w:tc>
        <w:tc>
          <w:tcPr>
            <w:tcW w:w="794" w:type="dxa"/>
          </w:tcPr>
          <w:p w14:paraId="21FB6DE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378</w:t>
            </w:r>
          </w:p>
        </w:tc>
      </w:tr>
      <w:tr w:rsidR="005D339F" w14:paraId="03682BD4"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F03C2CE" w14:textId="77777777" w:rsidR="005D339F" w:rsidRDefault="005D339F" w:rsidP="008670FF">
            <w:r>
              <w:t>Receivables and contract assets</w:t>
            </w:r>
          </w:p>
        </w:tc>
        <w:tc>
          <w:tcPr>
            <w:tcW w:w="794" w:type="dxa"/>
          </w:tcPr>
          <w:p w14:paraId="3E551C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14 839</w:t>
            </w:r>
          </w:p>
        </w:tc>
        <w:tc>
          <w:tcPr>
            <w:tcW w:w="794" w:type="dxa"/>
          </w:tcPr>
          <w:p w14:paraId="62302EE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14 088</w:t>
            </w:r>
          </w:p>
        </w:tc>
        <w:tc>
          <w:tcPr>
            <w:tcW w:w="794" w:type="dxa"/>
          </w:tcPr>
          <w:p w14:paraId="6D8536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14 739</w:t>
            </w:r>
          </w:p>
        </w:tc>
        <w:tc>
          <w:tcPr>
            <w:tcW w:w="794" w:type="dxa"/>
          </w:tcPr>
          <w:p w14:paraId="2A7C54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15 341</w:t>
            </w:r>
          </w:p>
        </w:tc>
        <w:tc>
          <w:tcPr>
            <w:tcW w:w="794" w:type="dxa"/>
          </w:tcPr>
          <w:p w14:paraId="7ECC6C6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15 934</w:t>
            </w:r>
          </w:p>
        </w:tc>
      </w:tr>
      <w:tr w:rsidR="005D339F" w14:paraId="09D5923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E66074E" w14:textId="77777777" w:rsidR="005D339F" w:rsidRDefault="005D339F" w:rsidP="008670FF">
            <w:r>
              <w:t>Investments, loans and placements</w:t>
            </w:r>
          </w:p>
        </w:tc>
        <w:tc>
          <w:tcPr>
            <w:tcW w:w="794" w:type="dxa"/>
          </w:tcPr>
          <w:p w14:paraId="3B332A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85 687</w:t>
            </w:r>
          </w:p>
        </w:tc>
        <w:tc>
          <w:tcPr>
            <w:tcW w:w="794" w:type="dxa"/>
          </w:tcPr>
          <w:p w14:paraId="34EDAC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87 800</w:t>
            </w:r>
          </w:p>
        </w:tc>
        <w:tc>
          <w:tcPr>
            <w:tcW w:w="794" w:type="dxa"/>
          </w:tcPr>
          <w:p w14:paraId="1CFC754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92 330</w:t>
            </w:r>
          </w:p>
        </w:tc>
        <w:tc>
          <w:tcPr>
            <w:tcW w:w="794" w:type="dxa"/>
          </w:tcPr>
          <w:p w14:paraId="1C2B76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98 013</w:t>
            </w:r>
          </w:p>
        </w:tc>
        <w:tc>
          <w:tcPr>
            <w:tcW w:w="794" w:type="dxa"/>
          </w:tcPr>
          <w:p w14:paraId="4A7BC8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103 202</w:t>
            </w:r>
          </w:p>
        </w:tc>
      </w:tr>
      <w:tr w:rsidR="005D339F" w14:paraId="3D34588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156155A" w14:textId="77777777" w:rsidR="005D339F" w:rsidRDefault="005D339F" w:rsidP="008670FF">
            <w:r>
              <w:t>Investments accounted for using equity method</w:t>
            </w:r>
          </w:p>
        </w:tc>
        <w:tc>
          <w:tcPr>
            <w:tcW w:w="794" w:type="dxa"/>
          </w:tcPr>
          <w:p w14:paraId="3E7DF6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1 845</w:t>
            </w:r>
          </w:p>
        </w:tc>
        <w:tc>
          <w:tcPr>
            <w:tcW w:w="794" w:type="dxa"/>
          </w:tcPr>
          <w:p w14:paraId="0160168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1 391</w:t>
            </w:r>
          </w:p>
        </w:tc>
        <w:tc>
          <w:tcPr>
            <w:tcW w:w="794" w:type="dxa"/>
          </w:tcPr>
          <w:p w14:paraId="5E4C6E3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1 416</w:t>
            </w:r>
          </w:p>
        </w:tc>
        <w:tc>
          <w:tcPr>
            <w:tcW w:w="794" w:type="dxa"/>
          </w:tcPr>
          <w:p w14:paraId="352C160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1 343</w:t>
            </w:r>
          </w:p>
        </w:tc>
        <w:tc>
          <w:tcPr>
            <w:tcW w:w="794" w:type="dxa"/>
          </w:tcPr>
          <w:p w14:paraId="77561A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1 269</w:t>
            </w:r>
          </w:p>
        </w:tc>
      </w:tr>
      <w:tr w:rsidR="005D339F" w14:paraId="6F18734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1C35CB81" w14:textId="77777777" w:rsidR="005D339F" w:rsidRDefault="005D339F" w:rsidP="008670FF">
            <w:r>
              <w:rPr>
                <w:b/>
              </w:rPr>
              <w:t>Total financial assets</w:t>
            </w:r>
          </w:p>
        </w:tc>
        <w:tc>
          <w:tcPr>
            <w:tcW w:w="794" w:type="dxa"/>
            <w:tcBorders>
              <w:top w:val="single" w:sz="6" w:space="0" w:color="auto"/>
              <w:bottom w:val="single" w:sz="6" w:space="0" w:color="auto"/>
            </w:tcBorders>
          </w:tcPr>
          <w:p w14:paraId="56CCC2C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121 824</w:t>
            </w:r>
          </w:p>
        </w:tc>
        <w:tc>
          <w:tcPr>
            <w:tcW w:w="794" w:type="dxa"/>
            <w:tcBorders>
              <w:top w:val="single" w:sz="6" w:space="0" w:color="auto"/>
              <w:bottom w:val="single" w:sz="6" w:space="0" w:color="auto"/>
            </w:tcBorders>
          </w:tcPr>
          <w:p w14:paraId="0858CE2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119 325</w:t>
            </w:r>
          </w:p>
        </w:tc>
        <w:tc>
          <w:tcPr>
            <w:tcW w:w="794" w:type="dxa"/>
            <w:tcBorders>
              <w:top w:val="single" w:sz="6" w:space="0" w:color="auto"/>
              <w:bottom w:val="single" w:sz="6" w:space="0" w:color="auto"/>
            </w:tcBorders>
          </w:tcPr>
          <w:p w14:paraId="51EA0F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124 758</w:t>
            </w:r>
          </w:p>
        </w:tc>
        <w:tc>
          <w:tcPr>
            <w:tcW w:w="794" w:type="dxa"/>
            <w:tcBorders>
              <w:top w:val="single" w:sz="6" w:space="0" w:color="auto"/>
              <w:bottom w:val="single" w:sz="6" w:space="0" w:color="auto"/>
            </w:tcBorders>
          </w:tcPr>
          <w:p w14:paraId="1B6EFBE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131 661</w:t>
            </w:r>
          </w:p>
        </w:tc>
        <w:tc>
          <w:tcPr>
            <w:tcW w:w="794" w:type="dxa"/>
            <w:tcBorders>
              <w:top w:val="single" w:sz="6" w:space="0" w:color="auto"/>
              <w:bottom w:val="single" w:sz="6" w:space="0" w:color="auto"/>
            </w:tcBorders>
          </w:tcPr>
          <w:p w14:paraId="0BC3BC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138 375</w:t>
            </w:r>
          </w:p>
        </w:tc>
      </w:tr>
      <w:tr w:rsidR="005D339F" w14:paraId="6F5B51C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180A6653" w14:textId="77777777" w:rsidR="005D339F" w:rsidRDefault="005D339F" w:rsidP="008670FF">
            <w:r>
              <w:rPr>
                <w:b/>
              </w:rPr>
              <w:t>Non</w:t>
            </w:r>
            <w:r>
              <w:rPr>
                <w:b/>
              </w:rPr>
              <w:noBreakHyphen/>
              <w:t>financial assets</w:t>
            </w:r>
          </w:p>
        </w:tc>
        <w:tc>
          <w:tcPr>
            <w:tcW w:w="794" w:type="dxa"/>
            <w:tcBorders>
              <w:top w:val="single" w:sz="6" w:space="0" w:color="auto"/>
            </w:tcBorders>
          </w:tcPr>
          <w:p w14:paraId="62042C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5521C8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C14992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D446D2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51C07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0B1279D8"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D5DA5DA" w14:textId="77777777" w:rsidR="005D339F" w:rsidRDefault="005D339F" w:rsidP="008670FF">
            <w:r>
              <w:t>Inventories</w:t>
            </w:r>
          </w:p>
        </w:tc>
        <w:tc>
          <w:tcPr>
            <w:tcW w:w="794" w:type="dxa"/>
          </w:tcPr>
          <w:p w14:paraId="2CB04C3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1 725</w:t>
            </w:r>
          </w:p>
        </w:tc>
        <w:tc>
          <w:tcPr>
            <w:tcW w:w="794" w:type="dxa"/>
          </w:tcPr>
          <w:p w14:paraId="026911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1 852</w:t>
            </w:r>
          </w:p>
        </w:tc>
        <w:tc>
          <w:tcPr>
            <w:tcW w:w="794" w:type="dxa"/>
          </w:tcPr>
          <w:p w14:paraId="13C20FF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1 857</w:t>
            </w:r>
          </w:p>
        </w:tc>
        <w:tc>
          <w:tcPr>
            <w:tcW w:w="794" w:type="dxa"/>
          </w:tcPr>
          <w:p w14:paraId="16EAC0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1 988</w:t>
            </w:r>
          </w:p>
        </w:tc>
        <w:tc>
          <w:tcPr>
            <w:tcW w:w="794" w:type="dxa"/>
          </w:tcPr>
          <w:p w14:paraId="46ECF22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1 795</w:t>
            </w:r>
          </w:p>
        </w:tc>
      </w:tr>
      <w:tr w:rsidR="005D339F" w14:paraId="1FAF92A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ED9055F" w14:textId="77777777" w:rsidR="005D339F" w:rsidRDefault="005D339F" w:rsidP="008670FF">
            <w:r>
              <w:t>Non</w:t>
            </w:r>
            <w:r>
              <w:noBreakHyphen/>
              <w:t>financial assets held for sale</w:t>
            </w:r>
          </w:p>
        </w:tc>
        <w:tc>
          <w:tcPr>
            <w:tcW w:w="794" w:type="dxa"/>
          </w:tcPr>
          <w:p w14:paraId="46AFE6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241</w:t>
            </w:r>
          </w:p>
        </w:tc>
        <w:tc>
          <w:tcPr>
            <w:tcW w:w="794" w:type="dxa"/>
          </w:tcPr>
          <w:p w14:paraId="6522FB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241</w:t>
            </w:r>
          </w:p>
        </w:tc>
        <w:tc>
          <w:tcPr>
            <w:tcW w:w="794" w:type="dxa"/>
          </w:tcPr>
          <w:p w14:paraId="0A0ADA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242</w:t>
            </w:r>
          </w:p>
        </w:tc>
        <w:tc>
          <w:tcPr>
            <w:tcW w:w="794" w:type="dxa"/>
          </w:tcPr>
          <w:p w14:paraId="5D5CAD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234</w:t>
            </w:r>
          </w:p>
        </w:tc>
        <w:tc>
          <w:tcPr>
            <w:tcW w:w="794" w:type="dxa"/>
          </w:tcPr>
          <w:p w14:paraId="47799E0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227</w:t>
            </w:r>
          </w:p>
        </w:tc>
      </w:tr>
      <w:tr w:rsidR="005D339F" w14:paraId="64797B4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D993DE0" w14:textId="77777777" w:rsidR="005D339F" w:rsidRDefault="005D339F" w:rsidP="008670FF">
            <w:r>
              <w:t>Land, buildings, infrastructure, plant and equipment</w:t>
            </w:r>
          </w:p>
        </w:tc>
        <w:tc>
          <w:tcPr>
            <w:tcW w:w="794" w:type="dxa"/>
          </w:tcPr>
          <w:p w14:paraId="6AE778D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462 966</w:t>
            </w:r>
          </w:p>
        </w:tc>
        <w:tc>
          <w:tcPr>
            <w:tcW w:w="794" w:type="dxa"/>
          </w:tcPr>
          <w:p w14:paraId="4D14A2D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463 553</w:t>
            </w:r>
          </w:p>
        </w:tc>
        <w:tc>
          <w:tcPr>
            <w:tcW w:w="794" w:type="dxa"/>
          </w:tcPr>
          <w:p w14:paraId="2BB88D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490 313</w:t>
            </w:r>
          </w:p>
        </w:tc>
        <w:tc>
          <w:tcPr>
            <w:tcW w:w="794" w:type="dxa"/>
          </w:tcPr>
          <w:p w14:paraId="62079E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509 725</w:t>
            </w:r>
          </w:p>
        </w:tc>
        <w:tc>
          <w:tcPr>
            <w:tcW w:w="794" w:type="dxa"/>
          </w:tcPr>
          <w:p w14:paraId="5959C8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528 729</w:t>
            </w:r>
          </w:p>
        </w:tc>
      </w:tr>
      <w:tr w:rsidR="005D339F" w14:paraId="0B841E15"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37B109C" w14:textId="77777777" w:rsidR="005D339F" w:rsidRDefault="005D339F" w:rsidP="008670FF">
            <w:r>
              <w:t>Other non</w:t>
            </w:r>
            <w:r>
              <w:noBreakHyphen/>
              <w:t>financial assets</w:t>
            </w:r>
          </w:p>
        </w:tc>
        <w:tc>
          <w:tcPr>
            <w:tcW w:w="794" w:type="dxa"/>
            <w:tcBorders>
              <w:bottom w:val="single" w:sz="6" w:space="0" w:color="auto"/>
            </w:tcBorders>
          </w:tcPr>
          <w:p w14:paraId="433904E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7 177</w:t>
            </w:r>
          </w:p>
        </w:tc>
        <w:tc>
          <w:tcPr>
            <w:tcW w:w="794" w:type="dxa"/>
            <w:tcBorders>
              <w:bottom w:val="single" w:sz="6" w:space="0" w:color="auto"/>
            </w:tcBorders>
          </w:tcPr>
          <w:p w14:paraId="7D7D7EF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7 391</w:t>
            </w:r>
          </w:p>
        </w:tc>
        <w:tc>
          <w:tcPr>
            <w:tcW w:w="794" w:type="dxa"/>
            <w:tcBorders>
              <w:bottom w:val="single" w:sz="6" w:space="0" w:color="auto"/>
            </w:tcBorders>
          </w:tcPr>
          <w:p w14:paraId="527C7EE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7 220</w:t>
            </w:r>
          </w:p>
        </w:tc>
        <w:tc>
          <w:tcPr>
            <w:tcW w:w="794" w:type="dxa"/>
            <w:tcBorders>
              <w:bottom w:val="single" w:sz="6" w:space="0" w:color="auto"/>
            </w:tcBorders>
          </w:tcPr>
          <w:p w14:paraId="0D1E491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6 948</w:t>
            </w:r>
          </w:p>
        </w:tc>
        <w:tc>
          <w:tcPr>
            <w:tcW w:w="794" w:type="dxa"/>
            <w:tcBorders>
              <w:bottom w:val="single" w:sz="6" w:space="0" w:color="auto"/>
            </w:tcBorders>
          </w:tcPr>
          <w:p w14:paraId="5DE73FB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6 756</w:t>
            </w:r>
          </w:p>
        </w:tc>
      </w:tr>
      <w:tr w:rsidR="005D339F" w14:paraId="64588CA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682D3DC" w14:textId="77777777" w:rsidR="005D339F" w:rsidRDefault="005D339F" w:rsidP="008670FF">
            <w:r>
              <w:rPr>
                <w:b/>
              </w:rPr>
              <w:t>Total non</w:t>
            </w:r>
            <w:r>
              <w:rPr>
                <w:b/>
              </w:rPr>
              <w:noBreakHyphen/>
              <w:t>financial assets</w:t>
            </w:r>
          </w:p>
        </w:tc>
        <w:tc>
          <w:tcPr>
            <w:tcW w:w="794" w:type="dxa"/>
            <w:tcBorders>
              <w:top w:val="single" w:sz="6" w:space="0" w:color="auto"/>
              <w:bottom w:val="single" w:sz="6" w:space="0" w:color="auto"/>
            </w:tcBorders>
          </w:tcPr>
          <w:p w14:paraId="44067CA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472 109</w:t>
            </w:r>
          </w:p>
        </w:tc>
        <w:tc>
          <w:tcPr>
            <w:tcW w:w="794" w:type="dxa"/>
            <w:tcBorders>
              <w:top w:val="single" w:sz="6" w:space="0" w:color="auto"/>
              <w:bottom w:val="single" w:sz="6" w:space="0" w:color="auto"/>
            </w:tcBorders>
          </w:tcPr>
          <w:p w14:paraId="47E91B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473 037</w:t>
            </w:r>
          </w:p>
        </w:tc>
        <w:tc>
          <w:tcPr>
            <w:tcW w:w="794" w:type="dxa"/>
            <w:tcBorders>
              <w:top w:val="single" w:sz="6" w:space="0" w:color="auto"/>
              <w:bottom w:val="single" w:sz="6" w:space="0" w:color="auto"/>
            </w:tcBorders>
          </w:tcPr>
          <w:p w14:paraId="54DBD74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499 632</w:t>
            </w:r>
          </w:p>
        </w:tc>
        <w:tc>
          <w:tcPr>
            <w:tcW w:w="794" w:type="dxa"/>
            <w:tcBorders>
              <w:top w:val="single" w:sz="6" w:space="0" w:color="auto"/>
              <w:bottom w:val="single" w:sz="6" w:space="0" w:color="auto"/>
            </w:tcBorders>
          </w:tcPr>
          <w:p w14:paraId="10DF39F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518 895</w:t>
            </w:r>
          </w:p>
        </w:tc>
        <w:tc>
          <w:tcPr>
            <w:tcW w:w="794" w:type="dxa"/>
            <w:tcBorders>
              <w:top w:val="single" w:sz="6" w:space="0" w:color="auto"/>
              <w:bottom w:val="single" w:sz="6" w:space="0" w:color="auto"/>
            </w:tcBorders>
          </w:tcPr>
          <w:p w14:paraId="5EBF1A1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537 507</w:t>
            </w:r>
          </w:p>
        </w:tc>
      </w:tr>
      <w:tr w:rsidR="005D339F" w14:paraId="436FB75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4194B52" w14:textId="77777777" w:rsidR="005D339F" w:rsidRDefault="005D339F" w:rsidP="008670FF">
            <w:r>
              <w:rPr>
                <w:b/>
              </w:rPr>
              <w:t>Total assets</w:t>
            </w:r>
          </w:p>
        </w:tc>
        <w:tc>
          <w:tcPr>
            <w:tcW w:w="794" w:type="dxa"/>
            <w:tcBorders>
              <w:top w:val="single" w:sz="6" w:space="0" w:color="auto"/>
            </w:tcBorders>
          </w:tcPr>
          <w:p w14:paraId="496B62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593 934</w:t>
            </w:r>
          </w:p>
        </w:tc>
        <w:tc>
          <w:tcPr>
            <w:tcW w:w="794" w:type="dxa"/>
            <w:tcBorders>
              <w:top w:val="single" w:sz="6" w:space="0" w:color="auto"/>
            </w:tcBorders>
          </w:tcPr>
          <w:p w14:paraId="37AAEC8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592 363</w:t>
            </w:r>
          </w:p>
        </w:tc>
        <w:tc>
          <w:tcPr>
            <w:tcW w:w="794" w:type="dxa"/>
            <w:tcBorders>
              <w:top w:val="single" w:sz="6" w:space="0" w:color="auto"/>
            </w:tcBorders>
          </w:tcPr>
          <w:p w14:paraId="33419C9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624 390</w:t>
            </w:r>
          </w:p>
        </w:tc>
        <w:tc>
          <w:tcPr>
            <w:tcW w:w="794" w:type="dxa"/>
            <w:tcBorders>
              <w:top w:val="single" w:sz="6" w:space="0" w:color="auto"/>
            </w:tcBorders>
          </w:tcPr>
          <w:p w14:paraId="7722002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650 556</w:t>
            </w:r>
          </w:p>
        </w:tc>
        <w:tc>
          <w:tcPr>
            <w:tcW w:w="794" w:type="dxa"/>
            <w:tcBorders>
              <w:top w:val="single" w:sz="6" w:space="0" w:color="auto"/>
            </w:tcBorders>
          </w:tcPr>
          <w:p w14:paraId="6E6C150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675 882</w:t>
            </w:r>
          </w:p>
        </w:tc>
      </w:tr>
      <w:tr w:rsidR="005D339F" w14:paraId="5225754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FD93995" w14:textId="77777777" w:rsidR="005D339F" w:rsidRDefault="005D339F" w:rsidP="008670FF">
            <w:r>
              <w:rPr>
                <w:b/>
              </w:rPr>
              <w:t>Liabilities</w:t>
            </w:r>
          </w:p>
        </w:tc>
        <w:tc>
          <w:tcPr>
            <w:tcW w:w="794" w:type="dxa"/>
          </w:tcPr>
          <w:p w14:paraId="3B82CC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3F45C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081001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FEC5E3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9E786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5426F120"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02102E7C" w14:textId="77777777" w:rsidR="005D339F" w:rsidRDefault="005D339F" w:rsidP="008670FF">
            <w:r>
              <w:t>Deposits held and advances received</w:t>
            </w:r>
          </w:p>
        </w:tc>
        <w:tc>
          <w:tcPr>
            <w:tcW w:w="794" w:type="dxa"/>
          </w:tcPr>
          <w:p w14:paraId="41D405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1 916</w:t>
            </w:r>
          </w:p>
        </w:tc>
        <w:tc>
          <w:tcPr>
            <w:tcW w:w="794" w:type="dxa"/>
          </w:tcPr>
          <w:p w14:paraId="7DEEFFC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1 854</w:t>
            </w:r>
          </w:p>
        </w:tc>
        <w:tc>
          <w:tcPr>
            <w:tcW w:w="794" w:type="dxa"/>
          </w:tcPr>
          <w:p w14:paraId="54D8887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1 788</w:t>
            </w:r>
          </w:p>
        </w:tc>
        <w:tc>
          <w:tcPr>
            <w:tcW w:w="794" w:type="dxa"/>
          </w:tcPr>
          <w:p w14:paraId="11F8C0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1 775</w:t>
            </w:r>
          </w:p>
        </w:tc>
        <w:tc>
          <w:tcPr>
            <w:tcW w:w="794" w:type="dxa"/>
          </w:tcPr>
          <w:p w14:paraId="0EF47B3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1 774</w:t>
            </w:r>
          </w:p>
        </w:tc>
      </w:tr>
      <w:tr w:rsidR="005D339F" w14:paraId="5E8F892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4FD28CC" w14:textId="77777777" w:rsidR="005D339F" w:rsidRDefault="005D339F" w:rsidP="008670FF">
            <w:r>
              <w:t>Payables</w:t>
            </w:r>
          </w:p>
        </w:tc>
        <w:tc>
          <w:tcPr>
            <w:tcW w:w="794" w:type="dxa"/>
          </w:tcPr>
          <w:p w14:paraId="2F1301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10 130</w:t>
            </w:r>
          </w:p>
        </w:tc>
        <w:tc>
          <w:tcPr>
            <w:tcW w:w="794" w:type="dxa"/>
          </w:tcPr>
          <w:p w14:paraId="0730AB7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9 385</w:t>
            </w:r>
          </w:p>
        </w:tc>
        <w:tc>
          <w:tcPr>
            <w:tcW w:w="794" w:type="dxa"/>
          </w:tcPr>
          <w:p w14:paraId="712FA5A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9 499</w:t>
            </w:r>
          </w:p>
        </w:tc>
        <w:tc>
          <w:tcPr>
            <w:tcW w:w="794" w:type="dxa"/>
          </w:tcPr>
          <w:p w14:paraId="4BF246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9 444</w:t>
            </w:r>
          </w:p>
        </w:tc>
        <w:tc>
          <w:tcPr>
            <w:tcW w:w="794" w:type="dxa"/>
          </w:tcPr>
          <w:p w14:paraId="2879AA8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9 501</w:t>
            </w:r>
          </w:p>
        </w:tc>
      </w:tr>
      <w:tr w:rsidR="005D339F" w14:paraId="138D12B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38E93E2" w14:textId="77777777" w:rsidR="005D339F" w:rsidRDefault="005D339F" w:rsidP="008670FF">
            <w:r>
              <w:t>Borrowings</w:t>
            </w:r>
          </w:p>
        </w:tc>
        <w:tc>
          <w:tcPr>
            <w:tcW w:w="794" w:type="dxa"/>
          </w:tcPr>
          <w:p w14:paraId="4FCC2DB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220 072</w:t>
            </w:r>
          </w:p>
        </w:tc>
        <w:tc>
          <w:tcPr>
            <w:tcW w:w="794" w:type="dxa"/>
          </w:tcPr>
          <w:p w14:paraId="67021BB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222 291</w:t>
            </w:r>
          </w:p>
        </w:tc>
        <w:tc>
          <w:tcPr>
            <w:tcW w:w="794" w:type="dxa"/>
          </w:tcPr>
          <w:p w14:paraId="56EF418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241 401</w:t>
            </w:r>
          </w:p>
        </w:tc>
        <w:tc>
          <w:tcPr>
            <w:tcW w:w="794" w:type="dxa"/>
          </w:tcPr>
          <w:p w14:paraId="33B2D6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257 798</w:t>
            </w:r>
          </w:p>
        </w:tc>
        <w:tc>
          <w:tcPr>
            <w:tcW w:w="794" w:type="dxa"/>
          </w:tcPr>
          <w:p w14:paraId="6ED244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271 366</w:t>
            </w:r>
          </w:p>
        </w:tc>
      </w:tr>
      <w:tr w:rsidR="005D339F" w14:paraId="5901C73B"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2612BC49" w14:textId="77777777" w:rsidR="005D339F" w:rsidRDefault="005D339F" w:rsidP="008670FF">
            <w:r>
              <w:t>Employee benefits</w:t>
            </w:r>
          </w:p>
        </w:tc>
        <w:tc>
          <w:tcPr>
            <w:tcW w:w="794" w:type="dxa"/>
          </w:tcPr>
          <w:p w14:paraId="37CE07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11 848</w:t>
            </w:r>
          </w:p>
        </w:tc>
        <w:tc>
          <w:tcPr>
            <w:tcW w:w="794" w:type="dxa"/>
          </w:tcPr>
          <w:p w14:paraId="7611D20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12 209</w:t>
            </w:r>
          </w:p>
        </w:tc>
        <w:tc>
          <w:tcPr>
            <w:tcW w:w="794" w:type="dxa"/>
          </w:tcPr>
          <w:p w14:paraId="24B4323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12 583</w:t>
            </w:r>
          </w:p>
        </w:tc>
        <w:tc>
          <w:tcPr>
            <w:tcW w:w="794" w:type="dxa"/>
          </w:tcPr>
          <w:p w14:paraId="2FF7144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12 960</w:t>
            </w:r>
          </w:p>
        </w:tc>
        <w:tc>
          <w:tcPr>
            <w:tcW w:w="794" w:type="dxa"/>
          </w:tcPr>
          <w:p w14:paraId="34D135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13 345</w:t>
            </w:r>
          </w:p>
        </w:tc>
      </w:tr>
      <w:tr w:rsidR="005D339F" w14:paraId="20B7D0EE"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445196C" w14:textId="77777777" w:rsidR="005D339F" w:rsidRDefault="005D339F" w:rsidP="008670FF">
            <w:r>
              <w:t>Superannuation</w:t>
            </w:r>
          </w:p>
        </w:tc>
        <w:tc>
          <w:tcPr>
            <w:tcW w:w="794" w:type="dxa"/>
          </w:tcPr>
          <w:p w14:paraId="59ED08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18 122</w:t>
            </w:r>
          </w:p>
        </w:tc>
        <w:tc>
          <w:tcPr>
            <w:tcW w:w="794" w:type="dxa"/>
          </w:tcPr>
          <w:p w14:paraId="757735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19 349</w:t>
            </w:r>
          </w:p>
        </w:tc>
        <w:tc>
          <w:tcPr>
            <w:tcW w:w="794" w:type="dxa"/>
          </w:tcPr>
          <w:p w14:paraId="7944B7D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19 644</w:t>
            </w:r>
          </w:p>
        </w:tc>
        <w:tc>
          <w:tcPr>
            <w:tcW w:w="794" w:type="dxa"/>
          </w:tcPr>
          <w:p w14:paraId="5C4DB0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19 794</w:t>
            </w:r>
          </w:p>
        </w:tc>
        <w:tc>
          <w:tcPr>
            <w:tcW w:w="794" w:type="dxa"/>
          </w:tcPr>
          <w:p w14:paraId="2B7774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18 658</w:t>
            </w:r>
          </w:p>
        </w:tc>
      </w:tr>
      <w:tr w:rsidR="005D339F" w14:paraId="6EEA35D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6D6F654" w14:textId="77777777" w:rsidR="005D339F" w:rsidRDefault="005D339F" w:rsidP="008670FF">
            <w:r>
              <w:t>Other provisions</w:t>
            </w:r>
          </w:p>
        </w:tc>
        <w:tc>
          <w:tcPr>
            <w:tcW w:w="794" w:type="dxa"/>
          </w:tcPr>
          <w:p w14:paraId="3FB4D36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58 376</w:t>
            </w:r>
          </w:p>
        </w:tc>
        <w:tc>
          <w:tcPr>
            <w:tcW w:w="794" w:type="dxa"/>
          </w:tcPr>
          <w:p w14:paraId="171DE2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57 314</w:t>
            </w:r>
          </w:p>
        </w:tc>
        <w:tc>
          <w:tcPr>
            <w:tcW w:w="794" w:type="dxa"/>
          </w:tcPr>
          <w:p w14:paraId="707677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61 264</w:t>
            </w:r>
          </w:p>
        </w:tc>
        <w:tc>
          <w:tcPr>
            <w:tcW w:w="794" w:type="dxa"/>
          </w:tcPr>
          <w:p w14:paraId="0BE658F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65 443</w:t>
            </w:r>
          </w:p>
        </w:tc>
        <w:tc>
          <w:tcPr>
            <w:tcW w:w="794" w:type="dxa"/>
          </w:tcPr>
          <w:p w14:paraId="1EEFC1C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69 782</w:t>
            </w:r>
          </w:p>
        </w:tc>
      </w:tr>
      <w:tr w:rsidR="005D339F" w14:paraId="556E8D99"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A20D360" w14:textId="77777777" w:rsidR="005D339F" w:rsidRDefault="005D339F" w:rsidP="008670FF">
            <w:r>
              <w:t>Other liabilities</w:t>
            </w:r>
          </w:p>
        </w:tc>
        <w:tc>
          <w:tcPr>
            <w:tcW w:w="794" w:type="dxa"/>
            <w:tcBorders>
              <w:bottom w:val="single" w:sz="6" w:space="0" w:color="auto"/>
            </w:tcBorders>
          </w:tcPr>
          <w:p w14:paraId="4859C1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32 233</w:t>
            </w:r>
          </w:p>
        </w:tc>
        <w:tc>
          <w:tcPr>
            <w:tcW w:w="794" w:type="dxa"/>
            <w:tcBorders>
              <w:bottom w:val="single" w:sz="6" w:space="0" w:color="auto"/>
            </w:tcBorders>
          </w:tcPr>
          <w:p w14:paraId="36742F5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32 414</w:t>
            </w:r>
          </w:p>
        </w:tc>
        <w:tc>
          <w:tcPr>
            <w:tcW w:w="794" w:type="dxa"/>
            <w:tcBorders>
              <w:bottom w:val="single" w:sz="6" w:space="0" w:color="auto"/>
            </w:tcBorders>
          </w:tcPr>
          <w:p w14:paraId="22494F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31 821</w:t>
            </w:r>
          </w:p>
        </w:tc>
        <w:tc>
          <w:tcPr>
            <w:tcW w:w="794" w:type="dxa"/>
            <w:tcBorders>
              <w:bottom w:val="single" w:sz="6" w:space="0" w:color="auto"/>
            </w:tcBorders>
          </w:tcPr>
          <w:p w14:paraId="7185AAE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30 792</w:t>
            </w:r>
          </w:p>
        </w:tc>
        <w:tc>
          <w:tcPr>
            <w:tcW w:w="794" w:type="dxa"/>
            <w:tcBorders>
              <w:bottom w:val="single" w:sz="6" w:space="0" w:color="auto"/>
            </w:tcBorders>
          </w:tcPr>
          <w:p w14:paraId="2FFB44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29 875</w:t>
            </w:r>
          </w:p>
        </w:tc>
      </w:tr>
      <w:tr w:rsidR="005D339F" w14:paraId="5254B1D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0D3B0F7C" w14:textId="77777777" w:rsidR="005D339F" w:rsidRDefault="005D339F" w:rsidP="008670FF">
            <w:r>
              <w:rPr>
                <w:b/>
              </w:rPr>
              <w:t>Total liabilities</w:t>
            </w:r>
          </w:p>
        </w:tc>
        <w:tc>
          <w:tcPr>
            <w:tcW w:w="794" w:type="dxa"/>
            <w:tcBorders>
              <w:top w:val="single" w:sz="6" w:space="0" w:color="auto"/>
              <w:bottom w:val="single" w:sz="6" w:space="0" w:color="auto"/>
            </w:tcBorders>
          </w:tcPr>
          <w:p w14:paraId="2DCDC6E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352 697</w:t>
            </w:r>
          </w:p>
        </w:tc>
        <w:tc>
          <w:tcPr>
            <w:tcW w:w="794" w:type="dxa"/>
            <w:tcBorders>
              <w:top w:val="single" w:sz="6" w:space="0" w:color="auto"/>
              <w:bottom w:val="single" w:sz="6" w:space="0" w:color="auto"/>
            </w:tcBorders>
          </w:tcPr>
          <w:p w14:paraId="4A54C1B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354 817</w:t>
            </w:r>
          </w:p>
        </w:tc>
        <w:tc>
          <w:tcPr>
            <w:tcW w:w="794" w:type="dxa"/>
            <w:tcBorders>
              <w:top w:val="single" w:sz="6" w:space="0" w:color="auto"/>
              <w:bottom w:val="single" w:sz="6" w:space="0" w:color="auto"/>
            </w:tcBorders>
          </w:tcPr>
          <w:p w14:paraId="309796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378 000</w:t>
            </w:r>
          </w:p>
        </w:tc>
        <w:tc>
          <w:tcPr>
            <w:tcW w:w="794" w:type="dxa"/>
            <w:tcBorders>
              <w:top w:val="single" w:sz="6" w:space="0" w:color="auto"/>
              <w:bottom w:val="single" w:sz="6" w:space="0" w:color="auto"/>
            </w:tcBorders>
          </w:tcPr>
          <w:p w14:paraId="4274340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398 007</w:t>
            </w:r>
          </w:p>
        </w:tc>
        <w:tc>
          <w:tcPr>
            <w:tcW w:w="794" w:type="dxa"/>
            <w:tcBorders>
              <w:top w:val="single" w:sz="6" w:space="0" w:color="auto"/>
              <w:bottom w:val="single" w:sz="6" w:space="0" w:color="auto"/>
            </w:tcBorders>
          </w:tcPr>
          <w:p w14:paraId="7EFD312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414 301</w:t>
            </w:r>
          </w:p>
        </w:tc>
      </w:tr>
      <w:tr w:rsidR="005D339F" w14:paraId="57E3CEF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6374FF6" w14:textId="77777777" w:rsidR="005D339F" w:rsidRDefault="005D339F" w:rsidP="008670FF">
            <w:r>
              <w:rPr>
                <w:b/>
              </w:rPr>
              <w:t>Net assets</w:t>
            </w:r>
          </w:p>
        </w:tc>
        <w:tc>
          <w:tcPr>
            <w:tcW w:w="794" w:type="dxa"/>
            <w:tcBorders>
              <w:top w:val="single" w:sz="6" w:space="0" w:color="auto"/>
              <w:bottom w:val="single" w:sz="12" w:space="0" w:color="auto"/>
            </w:tcBorders>
          </w:tcPr>
          <w:p w14:paraId="630355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241 236</w:t>
            </w:r>
          </w:p>
        </w:tc>
        <w:tc>
          <w:tcPr>
            <w:tcW w:w="794" w:type="dxa"/>
            <w:tcBorders>
              <w:top w:val="single" w:sz="6" w:space="0" w:color="auto"/>
              <w:bottom w:val="single" w:sz="12" w:space="0" w:color="auto"/>
            </w:tcBorders>
          </w:tcPr>
          <w:p w14:paraId="11F208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237 545</w:t>
            </w:r>
          </w:p>
        </w:tc>
        <w:tc>
          <w:tcPr>
            <w:tcW w:w="794" w:type="dxa"/>
            <w:tcBorders>
              <w:top w:val="single" w:sz="6" w:space="0" w:color="auto"/>
              <w:bottom w:val="single" w:sz="12" w:space="0" w:color="auto"/>
            </w:tcBorders>
          </w:tcPr>
          <w:p w14:paraId="0D467D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246 390</w:t>
            </w:r>
          </w:p>
        </w:tc>
        <w:tc>
          <w:tcPr>
            <w:tcW w:w="794" w:type="dxa"/>
            <w:tcBorders>
              <w:top w:val="single" w:sz="6" w:space="0" w:color="auto"/>
              <w:bottom w:val="single" w:sz="12" w:space="0" w:color="auto"/>
            </w:tcBorders>
          </w:tcPr>
          <w:p w14:paraId="6453EE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252 549</w:t>
            </w:r>
          </w:p>
        </w:tc>
        <w:tc>
          <w:tcPr>
            <w:tcW w:w="794" w:type="dxa"/>
            <w:tcBorders>
              <w:top w:val="single" w:sz="6" w:space="0" w:color="auto"/>
              <w:bottom w:val="single" w:sz="12" w:space="0" w:color="auto"/>
            </w:tcBorders>
          </w:tcPr>
          <w:p w14:paraId="02F04DC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261 581</w:t>
            </w:r>
          </w:p>
        </w:tc>
      </w:tr>
      <w:tr w:rsidR="005D339F" w14:paraId="7748ED3D"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9888CA3" w14:textId="77777777" w:rsidR="005D339F" w:rsidRDefault="005D339F" w:rsidP="008670FF">
            <w:r>
              <w:t>Accumulated surplus/(deficit)</w:t>
            </w:r>
          </w:p>
        </w:tc>
        <w:tc>
          <w:tcPr>
            <w:tcW w:w="794" w:type="dxa"/>
            <w:tcBorders>
              <w:top w:val="single" w:sz="6" w:space="0" w:color="auto"/>
            </w:tcBorders>
          </w:tcPr>
          <w:p w14:paraId="66883A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70 941</w:t>
            </w:r>
          </w:p>
        </w:tc>
        <w:tc>
          <w:tcPr>
            <w:tcW w:w="794" w:type="dxa"/>
            <w:tcBorders>
              <w:top w:val="single" w:sz="6" w:space="0" w:color="auto"/>
            </w:tcBorders>
          </w:tcPr>
          <w:p w14:paraId="13281A0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67 380</w:t>
            </w:r>
          </w:p>
        </w:tc>
        <w:tc>
          <w:tcPr>
            <w:tcW w:w="794" w:type="dxa"/>
            <w:tcBorders>
              <w:top w:val="single" w:sz="6" w:space="0" w:color="auto"/>
            </w:tcBorders>
          </w:tcPr>
          <w:p w14:paraId="047C654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66 991</w:t>
            </w:r>
          </w:p>
        </w:tc>
        <w:tc>
          <w:tcPr>
            <w:tcW w:w="794" w:type="dxa"/>
            <w:tcBorders>
              <w:top w:val="single" w:sz="6" w:space="0" w:color="auto"/>
            </w:tcBorders>
          </w:tcPr>
          <w:p w14:paraId="334709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67 083</w:t>
            </w:r>
          </w:p>
        </w:tc>
        <w:tc>
          <w:tcPr>
            <w:tcW w:w="794" w:type="dxa"/>
            <w:tcBorders>
              <w:top w:val="single" w:sz="6" w:space="0" w:color="auto"/>
            </w:tcBorders>
          </w:tcPr>
          <w:p w14:paraId="4735D56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67 089</w:t>
            </w:r>
          </w:p>
        </w:tc>
      </w:tr>
      <w:tr w:rsidR="005D339F" w14:paraId="632E6426"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43C24408" w14:textId="77777777" w:rsidR="005D339F" w:rsidRDefault="005D339F" w:rsidP="008670FF">
            <w:r>
              <w:t>Reserves</w:t>
            </w:r>
          </w:p>
        </w:tc>
        <w:tc>
          <w:tcPr>
            <w:tcW w:w="794" w:type="dxa"/>
            <w:tcBorders>
              <w:bottom w:val="single" w:sz="6" w:space="0" w:color="auto"/>
            </w:tcBorders>
          </w:tcPr>
          <w:p w14:paraId="0EB8BE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170 296</w:t>
            </w:r>
          </w:p>
        </w:tc>
        <w:tc>
          <w:tcPr>
            <w:tcW w:w="794" w:type="dxa"/>
            <w:tcBorders>
              <w:bottom w:val="single" w:sz="6" w:space="0" w:color="auto"/>
            </w:tcBorders>
          </w:tcPr>
          <w:p w14:paraId="6082342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170 165</w:t>
            </w:r>
          </w:p>
        </w:tc>
        <w:tc>
          <w:tcPr>
            <w:tcW w:w="794" w:type="dxa"/>
            <w:tcBorders>
              <w:bottom w:val="single" w:sz="6" w:space="0" w:color="auto"/>
            </w:tcBorders>
          </w:tcPr>
          <w:p w14:paraId="7E17F8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179 399</w:t>
            </w:r>
          </w:p>
        </w:tc>
        <w:tc>
          <w:tcPr>
            <w:tcW w:w="794" w:type="dxa"/>
            <w:tcBorders>
              <w:bottom w:val="single" w:sz="6" w:space="0" w:color="auto"/>
            </w:tcBorders>
          </w:tcPr>
          <w:p w14:paraId="78A3B2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185 466</w:t>
            </w:r>
          </w:p>
        </w:tc>
        <w:tc>
          <w:tcPr>
            <w:tcW w:w="794" w:type="dxa"/>
            <w:tcBorders>
              <w:bottom w:val="single" w:sz="6" w:space="0" w:color="auto"/>
            </w:tcBorders>
          </w:tcPr>
          <w:p w14:paraId="3B0252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194 492</w:t>
            </w:r>
          </w:p>
        </w:tc>
      </w:tr>
      <w:tr w:rsidR="005D339F" w14:paraId="65C8A88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05C4E711" w14:textId="77777777" w:rsidR="005D339F" w:rsidRDefault="005D339F" w:rsidP="008670FF">
            <w:r>
              <w:rPr>
                <w:b/>
              </w:rPr>
              <w:t>Net worth</w:t>
            </w:r>
          </w:p>
        </w:tc>
        <w:tc>
          <w:tcPr>
            <w:tcW w:w="794" w:type="dxa"/>
            <w:tcBorders>
              <w:top w:val="single" w:sz="6" w:space="0" w:color="auto"/>
              <w:bottom w:val="single" w:sz="12" w:space="0" w:color="auto"/>
            </w:tcBorders>
          </w:tcPr>
          <w:p w14:paraId="6DE121C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241 236</w:t>
            </w:r>
          </w:p>
        </w:tc>
        <w:tc>
          <w:tcPr>
            <w:tcW w:w="794" w:type="dxa"/>
            <w:tcBorders>
              <w:top w:val="single" w:sz="6" w:space="0" w:color="auto"/>
              <w:bottom w:val="single" w:sz="12" w:space="0" w:color="auto"/>
            </w:tcBorders>
          </w:tcPr>
          <w:p w14:paraId="70DAE99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237 545</w:t>
            </w:r>
          </w:p>
        </w:tc>
        <w:tc>
          <w:tcPr>
            <w:tcW w:w="794" w:type="dxa"/>
            <w:tcBorders>
              <w:top w:val="single" w:sz="6" w:space="0" w:color="auto"/>
              <w:bottom w:val="single" w:sz="12" w:space="0" w:color="auto"/>
            </w:tcBorders>
          </w:tcPr>
          <w:p w14:paraId="194085E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246 390</w:t>
            </w:r>
          </w:p>
        </w:tc>
        <w:tc>
          <w:tcPr>
            <w:tcW w:w="794" w:type="dxa"/>
            <w:tcBorders>
              <w:top w:val="single" w:sz="6" w:space="0" w:color="auto"/>
              <w:bottom w:val="single" w:sz="12" w:space="0" w:color="auto"/>
            </w:tcBorders>
          </w:tcPr>
          <w:p w14:paraId="5B5D910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252 549</w:t>
            </w:r>
          </w:p>
        </w:tc>
        <w:tc>
          <w:tcPr>
            <w:tcW w:w="794" w:type="dxa"/>
            <w:tcBorders>
              <w:top w:val="single" w:sz="6" w:space="0" w:color="auto"/>
              <w:bottom w:val="single" w:sz="12" w:space="0" w:color="auto"/>
            </w:tcBorders>
          </w:tcPr>
          <w:p w14:paraId="2F90EC5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261 581</w:t>
            </w:r>
          </w:p>
        </w:tc>
      </w:tr>
      <w:tr w:rsidR="005D339F" w14:paraId="272849B3" w14:textId="77777777" w:rsidTr="008670FF">
        <w:trPr>
          <w:trHeight w:hRule="exact" w:val="113"/>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5DF6A088" w14:textId="77777777" w:rsidR="005D339F" w:rsidRDefault="005D339F" w:rsidP="008670FF"/>
        </w:tc>
        <w:tc>
          <w:tcPr>
            <w:tcW w:w="794" w:type="dxa"/>
            <w:tcBorders>
              <w:top w:val="single" w:sz="6" w:space="0" w:color="auto"/>
            </w:tcBorders>
          </w:tcPr>
          <w:p w14:paraId="5979588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F46D6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7B94D0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706F4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00DFDC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77E4C0A"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FA01BD7" w14:textId="77777777" w:rsidR="005D339F" w:rsidRDefault="005D339F" w:rsidP="008670FF">
            <w:r>
              <w:rPr>
                <w:b/>
              </w:rPr>
              <w:t>FISCAL AGGREGATES</w:t>
            </w:r>
          </w:p>
        </w:tc>
        <w:tc>
          <w:tcPr>
            <w:tcW w:w="794" w:type="dxa"/>
          </w:tcPr>
          <w:p w14:paraId="4C58D4D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6EA3A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2D097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754E2A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E874C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1317992"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4338255A" w14:textId="77777777" w:rsidR="005D339F" w:rsidRDefault="005D339F" w:rsidP="008670FF">
            <w:r>
              <w:t>Net financial worth</w:t>
            </w:r>
          </w:p>
        </w:tc>
        <w:tc>
          <w:tcPr>
            <w:tcW w:w="794" w:type="dxa"/>
          </w:tcPr>
          <w:p w14:paraId="5BFDC22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(230 873)</w:t>
            </w:r>
          </w:p>
        </w:tc>
        <w:tc>
          <w:tcPr>
            <w:tcW w:w="794" w:type="dxa"/>
          </w:tcPr>
          <w:p w14:paraId="310DAD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(235 492)</w:t>
            </w:r>
          </w:p>
        </w:tc>
        <w:tc>
          <w:tcPr>
            <w:tcW w:w="794" w:type="dxa"/>
          </w:tcPr>
          <w:p w14:paraId="74CF944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(253 242)</w:t>
            </w:r>
          </w:p>
        </w:tc>
        <w:tc>
          <w:tcPr>
            <w:tcW w:w="794" w:type="dxa"/>
          </w:tcPr>
          <w:p w14:paraId="5A799AA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(266 346)</w:t>
            </w:r>
          </w:p>
        </w:tc>
        <w:tc>
          <w:tcPr>
            <w:tcW w:w="794" w:type="dxa"/>
          </w:tcPr>
          <w:p w14:paraId="062FC1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(275 926)</w:t>
            </w:r>
          </w:p>
        </w:tc>
      </w:tr>
      <w:tr w:rsidR="005D339F" w14:paraId="3077FCF3"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1211C982" w14:textId="77777777" w:rsidR="005D339F" w:rsidRDefault="005D339F" w:rsidP="008670FF">
            <w:r>
              <w:t>Net financial liabilities</w:t>
            </w:r>
          </w:p>
        </w:tc>
        <w:tc>
          <w:tcPr>
            <w:tcW w:w="794" w:type="dxa"/>
          </w:tcPr>
          <w:p w14:paraId="4F6C30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230 873</w:t>
            </w:r>
          </w:p>
        </w:tc>
        <w:tc>
          <w:tcPr>
            <w:tcW w:w="794" w:type="dxa"/>
          </w:tcPr>
          <w:p w14:paraId="0484180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235 492</w:t>
            </w:r>
          </w:p>
        </w:tc>
        <w:tc>
          <w:tcPr>
            <w:tcW w:w="794" w:type="dxa"/>
          </w:tcPr>
          <w:p w14:paraId="5A9A02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253 242</w:t>
            </w:r>
          </w:p>
        </w:tc>
        <w:tc>
          <w:tcPr>
            <w:tcW w:w="794" w:type="dxa"/>
          </w:tcPr>
          <w:p w14:paraId="615474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266 346</w:t>
            </w:r>
          </w:p>
        </w:tc>
        <w:tc>
          <w:tcPr>
            <w:tcW w:w="794" w:type="dxa"/>
          </w:tcPr>
          <w:p w14:paraId="00113D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275 926</w:t>
            </w:r>
          </w:p>
        </w:tc>
      </w:tr>
      <w:tr w:rsidR="005D339F" w14:paraId="40949768"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12" w:space="0" w:color="auto"/>
            </w:tcBorders>
          </w:tcPr>
          <w:p w14:paraId="062FCDB9" w14:textId="77777777" w:rsidR="005D339F" w:rsidRDefault="005D339F" w:rsidP="008670FF">
            <w:r>
              <w:t>Net debt</w:t>
            </w:r>
          </w:p>
        </w:tc>
        <w:tc>
          <w:tcPr>
            <w:tcW w:w="794" w:type="dxa"/>
            <w:tcBorders>
              <w:bottom w:val="single" w:sz="12" w:space="0" w:color="auto"/>
            </w:tcBorders>
          </w:tcPr>
          <w:p w14:paraId="72F3F25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116 848</w:t>
            </w:r>
          </w:p>
        </w:tc>
        <w:tc>
          <w:tcPr>
            <w:tcW w:w="794" w:type="dxa"/>
            <w:tcBorders>
              <w:bottom w:val="single" w:sz="12" w:space="0" w:color="auto"/>
            </w:tcBorders>
          </w:tcPr>
          <w:p w14:paraId="13A506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120 298</w:t>
            </w:r>
          </w:p>
        </w:tc>
        <w:tc>
          <w:tcPr>
            <w:tcW w:w="794" w:type="dxa"/>
            <w:tcBorders>
              <w:bottom w:val="single" w:sz="12" w:space="0" w:color="auto"/>
            </w:tcBorders>
          </w:tcPr>
          <w:p w14:paraId="3CF2FDE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134 585</w:t>
            </w:r>
          </w:p>
        </w:tc>
        <w:tc>
          <w:tcPr>
            <w:tcW w:w="794" w:type="dxa"/>
            <w:tcBorders>
              <w:bottom w:val="single" w:sz="12" w:space="0" w:color="auto"/>
            </w:tcBorders>
          </w:tcPr>
          <w:p w14:paraId="5102422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144 597</w:t>
            </w:r>
          </w:p>
        </w:tc>
        <w:tc>
          <w:tcPr>
            <w:tcW w:w="794" w:type="dxa"/>
            <w:tcBorders>
              <w:bottom w:val="single" w:sz="12" w:space="0" w:color="auto"/>
            </w:tcBorders>
          </w:tcPr>
          <w:p w14:paraId="5EB0D2D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151 968</w:t>
            </w:r>
          </w:p>
        </w:tc>
      </w:tr>
    </w:tbl>
    <w:p w14:paraId="1F8157CF" w14:textId="77777777" w:rsidR="005D339F" w:rsidRPr="00921F69" w:rsidRDefault="005D339F" w:rsidP="005D339F">
      <w:pPr>
        <w:pStyle w:val="Note"/>
        <w:ind w:left="0" w:firstLine="0"/>
      </w:pPr>
      <w:r w:rsidRPr="00921F69">
        <w:t>Note:</w:t>
      </w:r>
    </w:p>
    <w:p w14:paraId="401270AC" w14:textId="77777777" w:rsidR="005D339F" w:rsidRPr="00921F69" w:rsidRDefault="005D339F" w:rsidP="005D339F">
      <w:pPr>
        <w:pStyle w:val="Note"/>
      </w:pPr>
      <w:r w:rsidRPr="00921F69">
        <w:t>(a)</w:t>
      </w:r>
      <w:r w:rsidRPr="00921F69">
        <w:tab/>
        <w:t>Balances represent actual opening balances at 1 July 20</w:t>
      </w:r>
      <w:r>
        <w:t>24</w:t>
      </w:r>
      <w:r w:rsidRPr="00921F69">
        <w:t xml:space="preserve"> plus 20</w:t>
      </w:r>
      <w:r>
        <w:t>24</w:t>
      </w:r>
      <w:r w:rsidRPr="00921F69">
        <w:t>-2</w:t>
      </w:r>
      <w:r>
        <w:t>5</w:t>
      </w:r>
      <w:r w:rsidRPr="00921F69">
        <w:t xml:space="preserve"> budgeted movements.</w:t>
      </w:r>
    </w:p>
    <w:p w14:paraId="7310BE73" w14:textId="77777777" w:rsidR="00773CE3" w:rsidRDefault="00773CE3">
      <w:pPr>
        <w:keepLines w:val="0"/>
        <w:rPr>
          <w:rFonts w:asciiTheme="majorHAnsi" w:hAnsiTheme="majorHAnsi" w:cstheme="minorBidi"/>
          <w:b/>
          <w:iCs/>
          <w:sz w:val="20"/>
          <w:szCs w:val="18"/>
        </w:rPr>
      </w:pPr>
      <w:r>
        <w:br w:type="page"/>
      </w:r>
    </w:p>
    <w:p w14:paraId="1E795379" w14:textId="00AFCB23" w:rsidR="005D339F" w:rsidRDefault="005D339F" w:rsidP="005D339F">
      <w:pPr>
        <w:pStyle w:val="TableHeading"/>
      </w:pPr>
      <w:r w:rsidRPr="00921F69">
        <w:t>Table 5.18</w:t>
      </w:r>
      <w:r w:rsidRPr="00921F69">
        <w:tab/>
        <w:t xml:space="preserve">State of Victoria cash flow statement for the financial year </w:t>
      </w:r>
      <w:r w:rsidRPr="00921F69">
        <w:br/>
        <w:t>ended 30 June</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WoS_CF|MergedHeadingRow:1"/>
      </w:tblPr>
      <w:tblGrid>
        <w:gridCol w:w="3766"/>
        <w:gridCol w:w="126"/>
        <w:gridCol w:w="642"/>
        <w:gridCol w:w="794"/>
        <w:gridCol w:w="794"/>
        <w:gridCol w:w="794"/>
        <w:gridCol w:w="794"/>
      </w:tblGrid>
      <w:tr w:rsidR="005D339F" w14:paraId="15586065" w14:textId="77777777" w:rsidTr="00B51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66" w:type="dxa"/>
          </w:tcPr>
          <w:p w14:paraId="2F840C65" w14:textId="77777777" w:rsidR="005D339F" w:rsidRDefault="005D339F" w:rsidP="008670FF">
            <w:pPr>
              <w:keepNext/>
            </w:pPr>
          </w:p>
        </w:tc>
        <w:tc>
          <w:tcPr>
            <w:tcW w:w="768" w:type="dxa"/>
            <w:gridSpan w:val="2"/>
          </w:tcPr>
          <w:p w14:paraId="77DC4472"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budget</w:t>
            </w:r>
          </w:p>
        </w:tc>
        <w:tc>
          <w:tcPr>
            <w:tcW w:w="794" w:type="dxa"/>
          </w:tcPr>
          <w:p w14:paraId="583ACDBC"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revised</w:t>
            </w:r>
          </w:p>
        </w:tc>
        <w:tc>
          <w:tcPr>
            <w:tcW w:w="794" w:type="dxa"/>
          </w:tcPr>
          <w:p w14:paraId="62F39D1B"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36DEFFA8"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c>
          <w:tcPr>
            <w:tcW w:w="794" w:type="dxa"/>
          </w:tcPr>
          <w:p w14:paraId="2402AA9F"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rPr>
                <w:sz w:val="16"/>
              </w:rPr>
              <w:t>2027</w:t>
            </w:r>
            <w:r>
              <w:rPr>
                <w:sz w:val="16"/>
              </w:rPr>
              <w:noBreakHyphen/>
              <w:t>28</w:t>
            </w:r>
            <w:r>
              <w:br/>
              <w:t>estimate</w:t>
            </w:r>
          </w:p>
        </w:tc>
      </w:tr>
      <w:tr w:rsidR="005D339F" w14:paraId="40023E51"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7A76B2DE" w14:textId="77777777" w:rsidR="005D339F" w:rsidRDefault="005D339F" w:rsidP="008670FF">
            <w:r>
              <w:rPr>
                <w:b/>
                <w:sz w:val="16"/>
              </w:rPr>
              <w:t>Cash flows from operating activities</w:t>
            </w:r>
          </w:p>
        </w:tc>
        <w:tc>
          <w:tcPr>
            <w:tcW w:w="768" w:type="dxa"/>
            <w:gridSpan w:val="2"/>
          </w:tcPr>
          <w:p w14:paraId="36B8E6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E8220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12959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A52247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4F0F1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E91B2F5"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311D9147" w14:textId="77777777" w:rsidR="005D339F" w:rsidRDefault="005D339F" w:rsidP="008670FF">
            <w:r>
              <w:rPr>
                <w:b/>
                <w:sz w:val="16"/>
              </w:rPr>
              <w:t>Receipts</w:t>
            </w:r>
          </w:p>
        </w:tc>
        <w:tc>
          <w:tcPr>
            <w:tcW w:w="768" w:type="dxa"/>
            <w:gridSpan w:val="2"/>
          </w:tcPr>
          <w:p w14:paraId="565B213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1152A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41881D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B3A27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0FF55F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B77D90A"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768B2CC1" w14:textId="77777777" w:rsidR="005D339F" w:rsidRDefault="005D339F" w:rsidP="008670FF">
            <w:r>
              <w:rPr>
                <w:sz w:val="16"/>
              </w:rPr>
              <w:t>Taxes received</w:t>
            </w:r>
          </w:p>
        </w:tc>
        <w:tc>
          <w:tcPr>
            <w:tcW w:w="768" w:type="dxa"/>
            <w:gridSpan w:val="2"/>
          </w:tcPr>
          <w:p w14:paraId="5440DA7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37 927</w:t>
            </w:r>
          </w:p>
        </w:tc>
        <w:tc>
          <w:tcPr>
            <w:tcW w:w="794" w:type="dxa"/>
          </w:tcPr>
          <w:p w14:paraId="5709752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38 893</w:t>
            </w:r>
          </w:p>
        </w:tc>
        <w:tc>
          <w:tcPr>
            <w:tcW w:w="794" w:type="dxa"/>
          </w:tcPr>
          <w:p w14:paraId="20E0FB7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40 449</w:t>
            </w:r>
          </w:p>
        </w:tc>
        <w:tc>
          <w:tcPr>
            <w:tcW w:w="794" w:type="dxa"/>
          </w:tcPr>
          <w:p w14:paraId="721AEB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42 656</w:t>
            </w:r>
          </w:p>
        </w:tc>
        <w:tc>
          <w:tcPr>
            <w:tcW w:w="794" w:type="dxa"/>
          </w:tcPr>
          <w:p w14:paraId="0DC78CF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44 810</w:t>
            </w:r>
          </w:p>
        </w:tc>
      </w:tr>
      <w:tr w:rsidR="005D339F" w14:paraId="045EFF75"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7FCE3164" w14:textId="77777777" w:rsidR="005D339F" w:rsidRDefault="005D339F" w:rsidP="008670FF">
            <w:r>
              <w:rPr>
                <w:sz w:val="16"/>
              </w:rPr>
              <w:t>Grants</w:t>
            </w:r>
          </w:p>
        </w:tc>
        <w:tc>
          <w:tcPr>
            <w:tcW w:w="768" w:type="dxa"/>
            <w:gridSpan w:val="2"/>
          </w:tcPr>
          <w:p w14:paraId="2449C49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44 283</w:t>
            </w:r>
          </w:p>
        </w:tc>
        <w:tc>
          <w:tcPr>
            <w:tcW w:w="794" w:type="dxa"/>
          </w:tcPr>
          <w:p w14:paraId="3D0780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44 864</w:t>
            </w:r>
          </w:p>
        </w:tc>
        <w:tc>
          <w:tcPr>
            <w:tcW w:w="794" w:type="dxa"/>
          </w:tcPr>
          <w:p w14:paraId="63E0C3B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47 958</w:t>
            </w:r>
          </w:p>
        </w:tc>
        <w:tc>
          <w:tcPr>
            <w:tcW w:w="794" w:type="dxa"/>
          </w:tcPr>
          <w:p w14:paraId="40C227C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49 528</w:t>
            </w:r>
          </w:p>
        </w:tc>
        <w:tc>
          <w:tcPr>
            <w:tcW w:w="794" w:type="dxa"/>
          </w:tcPr>
          <w:p w14:paraId="737C589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49 797</w:t>
            </w:r>
          </w:p>
        </w:tc>
      </w:tr>
      <w:tr w:rsidR="005D339F" w14:paraId="689E3435"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4B7AEF50" w14:textId="77777777" w:rsidR="005D339F" w:rsidRDefault="005D339F" w:rsidP="008670FF">
            <w:r>
              <w:rPr>
                <w:sz w:val="16"/>
              </w:rPr>
              <w:t>Sales of goods and services</w:t>
            </w:r>
            <w:r>
              <w:rPr>
                <w:sz w:val="16"/>
                <w:vertAlign w:val="superscript"/>
              </w:rPr>
              <w:t xml:space="preserve"> (a)</w:t>
            </w:r>
          </w:p>
        </w:tc>
        <w:tc>
          <w:tcPr>
            <w:tcW w:w="768" w:type="dxa"/>
            <w:gridSpan w:val="2"/>
          </w:tcPr>
          <w:p w14:paraId="463BB8A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23 018</w:t>
            </w:r>
          </w:p>
        </w:tc>
        <w:tc>
          <w:tcPr>
            <w:tcW w:w="794" w:type="dxa"/>
          </w:tcPr>
          <w:p w14:paraId="7C281B1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23 737</w:t>
            </w:r>
          </w:p>
        </w:tc>
        <w:tc>
          <w:tcPr>
            <w:tcW w:w="794" w:type="dxa"/>
          </w:tcPr>
          <w:p w14:paraId="29A4FA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24 585</w:t>
            </w:r>
          </w:p>
        </w:tc>
        <w:tc>
          <w:tcPr>
            <w:tcW w:w="794" w:type="dxa"/>
          </w:tcPr>
          <w:p w14:paraId="3932BD3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25 504</w:t>
            </w:r>
          </w:p>
        </w:tc>
        <w:tc>
          <w:tcPr>
            <w:tcW w:w="794" w:type="dxa"/>
          </w:tcPr>
          <w:p w14:paraId="6A9170B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26 325</w:t>
            </w:r>
          </w:p>
        </w:tc>
      </w:tr>
      <w:tr w:rsidR="005D339F" w14:paraId="297CA29E"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1845CEA4" w14:textId="77777777" w:rsidR="005D339F" w:rsidRDefault="005D339F" w:rsidP="008670FF">
            <w:r>
              <w:rPr>
                <w:sz w:val="16"/>
              </w:rPr>
              <w:t>Interest received</w:t>
            </w:r>
          </w:p>
        </w:tc>
        <w:tc>
          <w:tcPr>
            <w:tcW w:w="768" w:type="dxa"/>
            <w:gridSpan w:val="2"/>
          </w:tcPr>
          <w:p w14:paraId="491526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1 208</w:t>
            </w:r>
          </w:p>
        </w:tc>
        <w:tc>
          <w:tcPr>
            <w:tcW w:w="794" w:type="dxa"/>
          </w:tcPr>
          <w:p w14:paraId="4B83E2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1 478</w:t>
            </w:r>
          </w:p>
        </w:tc>
        <w:tc>
          <w:tcPr>
            <w:tcW w:w="794" w:type="dxa"/>
          </w:tcPr>
          <w:p w14:paraId="1D9C4C7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1 063</w:t>
            </w:r>
          </w:p>
        </w:tc>
        <w:tc>
          <w:tcPr>
            <w:tcW w:w="794" w:type="dxa"/>
          </w:tcPr>
          <w:p w14:paraId="102D17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1 097</w:t>
            </w:r>
          </w:p>
        </w:tc>
        <w:tc>
          <w:tcPr>
            <w:tcW w:w="794" w:type="dxa"/>
          </w:tcPr>
          <w:p w14:paraId="2CF0B5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1 128</w:t>
            </w:r>
          </w:p>
        </w:tc>
      </w:tr>
      <w:tr w:rsidR="005D339F" w14:paraId="62C779DB"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2D775301" w14:textId="77777777" w:rsidR="005D339F" w:rsidRDefault="005D339F" w:rsidP="008670FF">
            <w:r>
              <w:rPr>
                <w:sz w:val="16"/>
              </w:rPr>
              <w:t>Dividend receipts</w:t>
            </w:r>
          </w:p>
        </w:tc>
        <w:tc>
          <w:tcPr>
            <w:tcW w:w="768" w:type="dxa"/>
            <w:gridSpan w:val="2"/>
          </w:tcPr>
          <w:p w14:paraId="55B80B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2 687</w:t>
            </w:r>
          </w:p>
        </w:tc>
        <w:tc>
          <w:tcPr>
            <w:tcW w:w="794" w:type="dxa"/>
          </w:tcPr>
          <w:p w14:paraId="109A578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3 383</w:t>
            </w:r>
          </w:p>
        </w:tc>
        <w:tc>
          <w:tcPr>
            <w:tcW w:w="794" w:type="dxa"/>
          </w:tcPr>
          <w:p w14:paraId="0C1D434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3 607</w:t>
            </w:r>
          </w:p>
        </w:tc>
        <w:tc>
          <w:tcPr>
            <w:tcW w:w="794" w:type="dxa"/>
          </w:tcPr>
          <w:p w14:paraId="59AA646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3 896</w:t>
            </w:r>
          </w:p>
        </w:tc>
        <w:tc>
          <w:tcPr>
            <w:tcW w:w="794" w:type="dxa"/>
          </w:tcPr>
          <w:p w14:paraId="78DA1E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4 065</w:t>
            </w:r>
          </w:p>
        </w:tc>
      </w:tr>
      <w:tr w:rsidR="005D339F" w14:paraId="3A2897EB"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bottom w:val="single" w:sz="6" w:space="0" w:color="auto"/>
            </w:tcBorders>
          </w:tcPr>
          <w:p w14:paraId="199AA319" w14:textId="77777777" w:rsidR="005D339F" w:rsidRDefault="005D339F" w:rsidP="008670FF">
            <w:r>
              <w:rPr>
                <w:sz w:val="16"/>
              </w:rPr>
              <w:t>Other receipts</w:t>
            </w:r>
          </w:p>
        </w:tc>
        <w:tc>
          <w:tcPr>
            <w:tcW w:w="768" w:type="dxa"/>
            <w:gridSpan w:val="2"/>
            <w:tcBorders>
              <w:bottom w:val="single" w:sz="6" w:space="0" w:color="auto"/>
            </w:tcBorders>
          </w:tcPr>
          <w:p w14:paraId="5C6FB61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2 436</w:t>
            </w:r>
          </w:p>
        </w:tc>
        <w:tc>
          <w:tcPr>
            <w:tcW w:w="794" w:type="dxa"/>
            <w:tcBorders>
              <w:bottom w:val="single" w:sz="6" w:space="0" w:color="auto"/>
            </w:tcBorders>
          </w:tcPr>
          <w:p w14:paraId="44A8AF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2 563</w:t>
            </w:r>
          </w:p>
        </w:tc>
        <w:tc>
          <w:tcPr>
            <w:tcW w:w="794" w:type="dxa"/>
            <w:tcBorders>
              <w:bottom w:val="single" w:sz="6" w:space="0" w:color="auto"/>
            </w:tcBorders>
          </w:tcPr>
          <w:p w14:paraId="164F54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2 691</w:t>
            </w:r>
          </w:p>
        </w:tc>
        <w:tc>
          <w:tcPr>
            <w:tcW w:w="794" w:type="dxa"/>
            <w:tcBorders>
              <w:bottom w:val="single" w:sz="6" w:space="0" w:color="auto"/>
            </w:tcBorders>
          </w:tcPr>
          <w:p w14:paraId="7C7895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2 783</w:t>
            </w:r>
          </w:p>
        </w:tc>
        <w:tc>
          <w:tcPr>
            <w:tcW w:w="794" w:type="dxa"/>
            <w:tcBorders>
              <w:bottom w:val="single" w:sz="6" w:space="0" w:color="auto"/>
            </w:tcBorders>
          </w:tcPr>
          <w:p w14:paraId="3902C4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2 821</w:t>
            </w:r>
          </w:p>
        </w:tc>
      </w:tr>
      <w:tr w:rsidR="005D339F" w14:paraId="055B8BC8"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tcBorders>
          </w:tcPr>
          <w:p w14:paraId="4258E0BF" w14:textId="77777777" w:rsidR="005D339F" w:rsidRDefault="005D339F" w:rsidP="008670FF">
            <w:r>
              <w:rPr>
                <w:b/>
                <w:sz w:val="16"/>
              </w:rPr>
              <w:t>Total receipts</w:t>
            </w:r>
          </w:p>
        </w:tc>
        <w:tc>
          <w:tcPr>
            <w:tcW w:w="768" w:type="dxa"/>
            <w:gridSpan w:val="2"/>
            <w:tcBorders>
              <w:top w:val="single" w:sz="6" w:space="0" w:color="auto"/>
            </w:tcBorders>
          </w:tcPr>
          <w:p w14:paraId="66B2D9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111 558</w:t>
            </w:r>
          </w:p>
        </w:tc>
        <w:tc>
          <w:tcPr>
            <w:tcW w:w="794" w:type="dxa"/>
            <w:tcBorders>
              <w:top w:val="single" w:sz="6" w:space="0" w:color="auto"/>
            </w:tcBorders>
          </w:tcPr>
          <w:p w14:paraId="763E97F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114 919</w:t>
            </w:r>
          </w:p>
        </w:tc>
        <w:tc>
          <w:tcPr>
            <w:tcW w:w="794" w:type="dxa"/>
            <w:tcBorders>
              <w:top w:val="single" w:sz="6" w:space="0" w:color="auto"/>
            </w:tcBorders>
          </w:tcPr>
          <w:p w14:paraId="5A5A19A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120 355</w:t>
            </w:r>
          </w:p>
        </w:tc>
        <w:tc>
          <w:tcPr>
            <w:tcW w:w="794" w:type="dxa"/>
            <w:tcBorders>
              <w:top w:val="single" w:sz="6" w:space="0" w:color="auto"/>
            </w:tcBorders>
          </w:tcPr>
          <w:p w14:paraId="4D9629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125 464</w:t>
            </w:r>
          </w:p>
        </w:tc>
        <w:tc>
          <w:tcPr>
            <w:tcW w:w="794" w:type="dxa"/>
            <w:tcBorders>
              <w:top w:val="single" w:sz="6" w:space="0" w:color="auto"/>
            </w:tcBorders>
          </w:tcPr>
          <w:p w14:paraId="14BF2E2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128 948</w:t>
            </w:r>
          </w:p>
        </w:tc>
      </w:tr>
      <w:tr w:rsidR="005D339F" w14:paraId="43E3A622"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240E2ECE" w14:textId="77777777" w:rsidR="005D339F" w:rsidRDefault="005D339F" w:rsidP="008670FF">
            <w:r>
              <w:rPr>
                <w:b/>
                <w:sz w:val="16"/>
              </w:rPr>
              <w:t>Payments</w:t>
            </w:r>
          </w:p>
        </w:tc>
        <w:tc>
          <w:tcPr>
            <w:tcW w:w="768" w:type="dxa"/>
            <w:gridSpan w:val="2"/>
          </w:tcPr>
          <w:p w14:paraId="4F2662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EA4C93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2C7FD3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D496C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4D5A9E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66473AAF"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0F694E95" w14:textId="77777777" w:rsidR="005D339F" w:rsidRDefault="005D339F" w:rsidP="008670FF">
            <w:r>
              <w:rPr>
                <w:sz w:val="16"/>
              </w:rPr>
              <w:t>Payments for employees</w:t>
            </w:r>
          </w:p>
        </w:tc>
        <w:tc>
          <w:tcPr>
            <w:tcW w:w="768" w:type="dxa"/>
            <w:gridSpan w:val="2"/>
          </w:tcPr>
          <w:p w14:paraId="55F850A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(37 997)</w:t>
            </w:r>
          </w:p>
        </w:tc>
        <w:tc>
          <w:tcPr>
            <w:tcW w:w="794" w:type="dxa"/>
          </w:tcPr>
          <w:p w14:paraId="323A8B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(38 709)</w:t>
            </w:r>
          </w:p>
        </w:tc>
        <w:tc>
          <w:tcPr>
            <w:tcW w:w="794" w:type="dxa"/>
          </w:tcPr>
          <w:p w14:paraId="0B00EB7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(39 698)</w:t>
            </w:r>
          </w:p>
        </w:tc>
        <w:tc>
          <w:tcPr>
            <w:tcW w:w="794" w:type="dxa"/>
          </w:tcPr>
          <w:p w14:paraId="3D56F48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(41 373)</w:t>
            </w:r>
          </w:p>
        </w:tc>
        <w:tc>
          <w:tcPr>
            <w:tcW w:w="794" w:type="dxa"/>
          </w:tcPr>
          <w:p w14:paraId="4BF08C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(42 606)</w:t>
            </w:r>
          </w:p>
        </w:tc>
      </w:tr>
      <w:tr w:rsidR="005D339F" w14:paraId="47616A3C"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55A341A9" w14:textId="77777777" w:rsidR="005D339F" w:rsidRDefault="005D339F" w:rsidP="008670FF">
            <w:r>
              <w:rPr>
                <w:sz w:val="16"/>
              </w:rPr>
              <w:t>Superannuation</w:t>
            </w:r>
          </w:p>
        </w:tc>
        <w:tc>
          <w:tcPr>
            <w:tcW w:w="768" w:type="dxa"/>
            <w:gridSpan w:val="2"/>
          </w:tcPr>
          <w:p w14:paraId="731AD4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(4 289)</w:t>
            </w:r>
          </w:p>
        </w:tc>
        <w:tc>
          <w:tcPr>
            <w:tcW w:w="794" w:type="dxa"/>
          </w:tcPr>
          <w:p w14:paraId="67541FE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(4 545)</w:t>
            </w:r>
          </w:p>
        </w:tc>
        <w:tc>
          <w:tcPr>
            <w:tcW w:w="794" w:type="dxa"/>
          </w:tcPr>
          <w:p w14:paraId="2157E34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(4 203)</w:t>
            </w:r>
          </w:p>
        </w:tc>
        <w:tc>
          <w:tcPr>
            <w:tcW w:w="794" w:type="dxa"/>
          </w:tcPr>
          <w:p w14:paraId="43B66A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(4 500)</w:t>
            </w:r>
          </w:p>
        </w:tc>
        <w:tc>
          <w:tcPr>
            <w:tcW w:w="794" w:type="dxa"/>
          </w:tcPr>
          <w:p w14:paraId="4810CB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(5 946)</w:t>
            </w:r>
          </w:p>
        </w:tc>
      </w:tr>
      <w:tr w:rsidR="005D339F" w14:paraId="7CE3CB7A"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7F354BD8" w14:textId="77777777" w:rsidR="005D339F" w:rsidRDefault="005D339F" w:rsidP="008670FF">
            <w:r>
              <w:rPr>
                <w:sz w:val="16"/>
              </w:rPr>
              <w:t>Interest paid</w:t>
            </w:r>
          </w:p>
        </w:tc>
        <w:tc>
          <w:tcPr>
            <w:tcW w:w="768" w:type="dxa"/>
            <w:gridSpan w:val="2"/>
          </w:tcPr>
          <w:p w14:paraId="3AABABA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(6 914)</w:t>
            </w:r>
          </w:p>
        </w:tc>
        <w:tc>
          <w:tcPr>
            <w:tcW w:w="794" w:type="dxa"/>
          </w:tcPr>
          <w:p w14:paraId="66E6291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(6 754)</w:t>
            </w:r>
          </w:p>
        </w:tc>
        <w:tc>
          <w:tcPr>
            <w:tcW w:w="794" w:type="dxa"/>
          </w:tcPr>
          <w:p w14:paraId="26C46E3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(7 787)</w:t>
            </w:r>
          </w:p>
        </w:tc>
        <w:tc>
          <w:tcPr>
            <w:tcW w:w="794" w:type="dxa"/>
          </w:tcPr>
          <w:p w14:paraId="58C519A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(9 013)</w:t>
            </w:r>
          </w:p>
        </w:tc>
        <w:tc>
          <w:tcPr>
            <w:tcW w:w="794" w:type="dxa"/>
          </w:tcPr>
          <w:p w14:paraId="1C762E8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(10 118)</w:t>
            </w:r>
          </w:p>
        </w:tc>
      </w:tr>
      <w:tr w:rsidR="005D339F" w14:paraId="70857D24"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4A0210BD" w14:textId="77777777" w:rsidR="005D339F" w:rsidRDefault="005D339F" w:rsidP="008670FF">
            <w:r>
              <w:rPr>
                <w:sz w:val="16"/>
              </w:rPr>
              <w:t>Grants and subsidies</w:t>
            </w:r>
          </w:p>
        </w:tc>
        <w:tc>
          <w:tcPr>
            <w:tcW w:w="768" w:type="dxa"/>
            <w:gridSpan w:val="2"/>
          </w:tcPr>
          <w:p w14:paraId="4C49019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(15 561)</w:t>
            </w:r>
          </w:p>
        </w:tc>
        <w:tc>
          <w:tcPr>
            <w:tcW w:w="794" w:type="dxa"/>
          </w:tcPr>
          <w:p w14:paraId="27CF036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(15 915)</w:t>
            </w:r>
          </w:p>
        </w:tc>
        <w:tc>
          <w:tcPr>
            <w:tcW w:w="794" w:type="dxa"/>
          </w:tcPr>
          <w:p w14:paraId="4BC16D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(15 545)</w:t>
            </w:r>
          </w:p>
        </w:tc>
        <w:tc>
          <w:tcPr>
            <w:tcW w:w="794" w:type="dxa"/>
          </w:tcPr>
          <w:p w14:paraId="56A377E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(15 584)</w:t>
            </w:r>
          </w:p>
        </w:tc>
        <w:tc>
          <w:tcPr>
            <w:tcW w:w="794" w:type="dxa"/>
          </w:tcPr>
          <w:p w14:paraId="583B28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(15 721)</w:t>
            </w:r>
          </w:p>
        </w:tc>
      </w:tr>
      <w:tr w:rsidR="005D339F" w14:paraId="57AD08B1"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4C1EBB40" w14:textId="77777777" w:rsidR="005D339F" w:rsidRDefault="005D339F" w:rsidP="008670FF">
            <w:r>
              <w:rPr>
                <w:sz w:val="16"/>
              </w:rPr>
              <w:t>Goods and services</w:t>
            </w:r>
            <w:r>
              <w:rPr>
                <w:sz w:val="16"/>
                <w:vertAlign w:val="superscript"/>
              </w:rPr>
              <w:t xml:space="preserve"> (a)</w:t>
            </w:r>
          </w:p>
        </w:tc>
        <w:tc>
          <w:tcPr>
            <w:tcW w:w="768" w:type="dxa"/>
            <w:gridSpan w:val="2"/>
          </w:tcPr>
          <w:p w14:paraId="520252C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(40 048)</w:t>
            </w:r>
          </w:p>
        </w:tc>
        <w:tc>
          <w:tcPr>
            <w:tcW w:w="794" w:type="dxa"/>
          </w:tcPr>
          <w:p w14:paraId="3E2D7B0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(41 604)</w:t>
            </w:r>
          </w:p>
        </w:tc>
        <w:tc>
          <w:tcPr>
            <w:tcW w:w="794" w:type="dxa"/>
          </w:tcPr>
          <w:p w14:paraId="71D6596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(40 041)</w:t>
            </w:r>
          </w:p>
        </w:tc>
        <w:tc>
          <w:tcPr>
            <w:tcW w:w="794" w:type="dxa"/>
          </w:tcPr>
          <w:p w14:paraId="47304FF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(41 339)</w:t>
            </w:r>
          </w:p>
        </w:tc>
        <w:tc>
          <w:tcPr>
            <w:tcW w:w="794" w:type="dxa"/>
          </w:tcPr>
          <w:p w14:paraId="237842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(42 699)</w:t>
            </w:r>
          </w:p>
        </w:tc>
      </w:tr>
      <w:tr w:rsidR="005D339F" w14:paraId="4FA8E9B2"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bottom w:val="single" w:sz="6" w:space="0" w:color="auto"/>
            </w:tcBorders>
          </w:tcPr>
          <w:p w14:paraId="243352C8" w14:textId="77777777" w:rsidR="005D339F" w:rsidRDefault="005D339F" w:rsidP="008670FF">
            <w:r>
              <w:rPr>
                <w:sz w:val="16"/>
              </w:rPr>
              <w:t>Other payments</w:t>
            </w:r>
          </w:p>
        </w:tc>
        <w:tc>
          <w:tcPr>
            <w:tcW w:w="768" w:type="dxa"/>
            <w:gridSpan w:val="2"/>
            <w:tcBorders>
              <w:bottom w:val="single" w:sz="6" w:space="0" w:color="auto"/>
            </w:tcBorders>
          </w:tcPr>
          <w:p w14:paraId="5FFB8C6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(1 067)</w:t>
            </w:r>
          </w:p>
        </w:tc>
        <w:tc>
          <w:tcPr>
            <w:tcW w:w="794" w:type="dxa"/>
            <w:tcBorders>
              <w:bottom w:val="single" w:sz="6" w:space="0" w:color="auto"/>
            </w:tcBorders>
          </w:tcPr>
          <w:p w14:paraId="5045819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(1 733)</w:t>
            </w:r>
          </w:p>
        </w:tc>
        <w:tc>
          <w:tcPr>
            <w:tcW w:w="794" w:type="dxa"/>
            <w:tcBorders>
              <w:bottom w:val="single" w:sz="6" w:space="0" w:color="auto"/>
            </w:tcBorders>
          </w:tcPr>
          <w:p w14:paraId="158A411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(1 236)</w:t>
            </w:r>
          </w:p>
        </w:tc>
        <w:tc>
          <w:tcPr>
            <w:tcW w:w="794" w:type="dxa"/>
            <w:tcBorders>
              <w:bottom w:val="single" w:sz="6" w:space="0" w:color="auto"/>
            </w:tcBorders>
          </w:tcPr>
          <w:p w14:paraId="73F026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(1 067)</w:t>
            </w:r>
          </w:p>
        </w:tc>
        <w:tc>
          <w:tcPr>
            <w:tcW w:w="794" w:type="dxa"/>
            <w:tcBorders>
              <w:bottom w:val="single" w:sz="6" w:space="0" w:color="auto"/>
            </w:tcBorders>
          </w:tcPr>
          <w:p w14:paraId="5F014B0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(1 117)</w:t>
            </w:r>
          </w:p>
        </w:tc>
      </w:tr>
      <w:tr w:rsidR="005D339F" w14:paraId="5DB23EF9"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bottom w:val="single" w:sz="6" w:space="0" w:color="auto"/>
            </w:tcBorders>
          </w:tcPr>
          <w:p w14:paraId="1E1A1F71" w14:textId="77777777" w:rsidR="005D339F" w:rsidRDefault="005D339F" w:rsidP="008670FF">
            <w:r>
              <w:rPr>
                <w:b/>
                <w:sz w:val="16"/>
              </w:rPr>
              <w:t>Total payments</w:t>
            </w:r>
          </w:p>
        </w:tc>
        <w:tc>
          <w:tcPr>
            <w:tcW w:w="768" w:type="dxa"/>
            <w:gridSpan w:val="2"/>
            <w:tcBorders>
              <w:top w:val="single" w:sz="6" w:space="0" w:color="auto"/>
              <w:bottom w:val="single" w:sz="6" w:space="0" w:color="auto"/>
            </w:tcBorders>
          </w:tcPr>
          <w:p w14:paraId="6B34FA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(105 875)</w:t>
            </w:r>
          </w:p>
        </w:tc>
        <w:tc>
          <w:tcPr>
            <w:tcW w:w="794" w:type="dxa"/>
            <w:tcBorders>
              <w:top w:val="single" w:sz="6" w:space="0" w:color="auto"/>
              <w:bottom w:val="single" w:sz="6" w:space="0" w:color="auto"/>
            </w:tcBorders>
          </w:tcPr>
          <w:p w14:paraId="6A7559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(109 259)</w:t>
            </w:r>
          </w:p>
        </w:tc>
        <w:tc>
          <w:tcPr>
            <w:tcW w:w="794" w:type="dxa"/>
            <w:tcBorders>
              <w:top w:val="single" w:sz="6" w:space="0" w:color="auto"/>
              <w:bottom w:val="single" w:sz="6" w:space="0" w:color="auto"/>
            </w:tcBorders>
          </w:tcPr>
          <w:p w14:paraId="33016C7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(108 511)</w:t>
            </w:r>
          </w:p>
        </w:tc>
        <w:tc>
          <w:tcPr>
            <w:tcW w:w="794" w:type="dxa"/>
            <w:tcBorders>
              <w:top w:val="single" w:sz="6" w:space="0" w:color="auto"/>
              <w:bottom w:val="single" w:sz="6" w:space="0" w:color="auto"/>
            </w:tcBorders>
          </w:tcPr>
          <w:p w14:paraId="58AB479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(112 875)</w:t>
            </w:r>
          </w:p>
        </w:tc>
        <w:tc>
          <w:tcPr>
            <w:tcW w:w="794" w:type="dxa"/>
            <w:tcBorders>
              <w:top w:val="single" w:sz="6" w:space="0" w:color="auto"/>
              <w:bottom w:val="single" w:sz="6" w:space="0" w:color="auto"/>
            </w:tcBorders>
          </w:tcPr>
          <w:p w14:paraId="3DE6E37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(118 208)</w:t>
            </w:r>
          </w:p>
        </w:tc>
      </w:tr>
      <w:tr w:rsidR="005D339F" w14:paraId="5BCA1B77"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tcBorders>
          </w:tcPr>
          <w:p w14:paraId="1A26CD5F" w14:textId="77777777" w:rsidR="005D339F" w:rsidRDefault="005D339F" w:rsidP="008670FF">
            <w:r>
              <w:rPr>
                <w:b/>
                <w:sz w:val="16"/>
              </w:rPr>
              <w:t>Net cash flows from operating activities</w:t>
            </w:r>
          </w:p>
        </w:tc>
        <w:tc>
          <w:tcPr>
            <w:tcW w:w="768" w:type="dxa"/>
            <w:gridSpan w:val="2"/>
            <w:tcBorders>
              <w:top w:val="single" w:sz="6" w:space="0" w:color="auto"/>
            </w:tcBorders>
          </w:tcPr>
          <w:p w14:paraId="5DA173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5 683</w:t>
            </w:r>
          </w:p>
        </w:tc>
        <w:tc>
          <w:tcPr>
            <w:tcW w:w="794" w:type="dxa"/>
            <w:tcBorders>
              <w:top w:val="single" w:sz="6" w:space="0" w:color="auto"/>
            </w:tcBorders>
          </w:tcPr>
          <w:p w14:paraId="15C9922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5 660</w:t>
            </w:r>
          </w:p>
        </w:tc>
        <w:tc>
          <w:tcPr>
            <w:tcW w:w="794" w:type="dxa"/>
            <w:tcBorders>
              <w:top w:val="single" w:sz="6" w:space="0" w:color="auto"/>
            </w:tcBorders>
          </w:tcPr>
          <w:p w14:paraId="70F79B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11 844</w:t>
            </w:r>
          </w:p>
        </w:tc>
        <w:tc>
          <w:tcPr>
            <w:tcW w:w="794" w:type="dxa"/>
            <w:tcBorders>
              <w:top w:val="single" w:sz="6" w:space="0" w:color="auto"/>
            </w:tcBorders>
          </w:tcPr>
          <w:p w14:paraId="661F3BE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12 589</w:t>
            </w:r>
          </w:p>
        </w:tc>
        <w:tc>
          <w:tcPr>
            <w:tcW w:w="794" w:type="dxa"/>
            <w:tcBorders>
              <w:top w:val="single" w:sz="6" w:space="0" w:color="auto"/>
            </w:tcBorders>
          </w:tcPr>
          <w:p w14:paraId="574A632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10 740</w:t>
            </w:r>
          </w:p>
        </w:tc>
      </w:tr>
      <w:tr w:rsidR="005D339F" w14:paraId="63591408"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738C97B1" w14:textId="77777777" w:rsidR="005D339F" w:rsidRDefault="005D339F" w:rsidP="008670FF">
            <w:r>
              <w:rPr>
                <w:b/>
                <w:sz w:val="16"/>
              </w:rPr>
              <w:t>Cash flows from investing activities</w:t>
            </w:r>
          </w:p>
        </w:tc>
        <w:tc>
          <w:tcPr>
            <w:tcW w:w="768" w:type="dxa"/>
            <w:gridSpan w:val="2"/>
          </w:tcPr>
          <w:p w14:paraId="73A45DF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3B6499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332E76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2E311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C21AF9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35DFD5FE"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6B626653" w14:textId="77777777" w:rsidR="005D339F" w:rsidRDefault="005D339F" w:rsidP="008670FF">
            <w:r>
              <w:rPr>
                <w:b/>
                <w:sz w:val="16"/>
              </w:rPr>
              <w:t>Cash flows from investments in non</w:t>
            </w:r>
            <w:r>
              <w:rPr>
                <w:b/>
                <w:sz w:val="16"/>
              </w:rPr>
              <w:noBreakHyphen/>
              <w:t>financial assets</w:t>
            </w:r>
          </w:p>
        </w:tc>
        <w:tc>
          <w:tcPr>
            <w:tcW w:w="768" w:type="dxa"/>
            <w:gridSpan w:val="2"/>
          </w:tcPr>
          <w:p w14:paraId="38FC5BD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45B16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57B017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AF431B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522DF5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20E830EE"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672137A1" w14:textId="77777777" w:rsidR="005D339F" w:rsidRDefault="005D339F" w:rsidP="008670FF">
            <w:r>
              <w:rPr>
                <w:sz w:val="16"/>
              </w:rPr>
              <w:t>Purchases of non</w:t>
            </w:r>
            <w:r>
              <w:rPr>
                <w:sz w:val="16"/>
              </w:rPr>
              <w:noBreakHyphen/>
              <w:t>financial assets</w:t>
            </w:r>
          </w:p>
        </w:tc>
        <w:tc>
          <w:tcPr>
            <w:tcW w:w="768" w:type="dxa"/>
            <w:gridSpan w:val="2"/>
          </w:tcPr>
          <w:p w14:paraId="00600AD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(25 729)</w:t>
            </w:r>
          </w:p>
        </w:tc>
        <w:tc>
          <w:tcPr>
            <w:tcW w:w="794" w:type="dxa"/>
          </w:tcPr>
          <w:p w14:paraId="7F8C64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(25 453)</w:t>
            </w:r>
          </w:p>
        </w:tc>
        <w:tc>
          <w:tcPr>
            <w:tcW w:w="794" w:type="dxa"/>
          </w:tcPr>
          <w:p w14:paraId="47E7E6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(25 160)</w:t>
            </w:r>
          </w:p>
        </w:tc>
        <w:tc>
          <w:tcPr>
            <w:tcW w:w="794" w:type="dxa"/>
          </w:tcPr>
          <w:p w14:paraId="26809ED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(22 649)</w:t>
            </w:r>
          </w:p>
        </w:tc>
        <w:tc>
          <w:tcPr>
            <w:tcW w:w="794" w:type="dxa"/>
          </w:tcPr>
          <w:p w14:paraId="2F59BE5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(19 402)</w:t>
            </w:r>
          </w:p>
        </w:tc>
      </w:tr>
      <w:tr w:rsidR="005D339F" w14:paraId="516AEA66"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bottom w:val="single" w:sz="6" w:space="0" w:color="auto"/>
            </w:tcBorders>
          </w:tcPr>
          <w:p w14:paraId="06A9D0B6" w14:textId="77777777" w:rsidR="005D339F" w:rsidRDefault="005D339F" w:rsidP="008670FF">
            <w:r>
              <w:rPr>
                <w:sz w:val="16"/>
              </w:rPr>
              <w:t>Sales of non</w:t>
            </w:r>
            <w:r>
              <w:rPr>
                <w:sz w:val="16"/>
              </w:rPr>
              <w:noBreakHyphen/>
              <w:t>financial assets</w:t>
            </w:r>
          </w:p>
        </w:tc>
        <w:tc>
          <w:tcPr>
            <w:tcW w:w="768" w:type="dxa"/>
            <w:gridSpan w:val="2"/>
            <w:tcBorders>
              <w:bottom w:val="single" w:sz="6" w:space="0" w:color="auto"/>
            </w:tcBorders>
          </w:tcPr>
          <w:p w14:paraId="3BB89D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896</w:t>
            </w:r>
          </w:p>
        </w:tc>
        <w:tc>
          <w:tcPr>
            <w:tcW w:w="794" w:type="dxa"/>
            <w:tcBorders>
              <w:bottom w:val="single" w:sz="6" w:space="0" w:color="auto"/>
            </w:tcBorders>
          </w:tcPr>
          <w:p w14:paraId="346EBC4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846</w:t>
            </w:r>
          </w:p>
        </w:tc>
        <w:tc>
          <w:tcPr>
            <w:tcW w:w="794" w:type="dxa"/>
            <w:tcBorders>
              <w:bottom w:val="single" w:sz="6" w:space="0" w:color="auto"/>
            </w:tcBorders>
          </w:tcPr>
          <w:p w14:paraId="173958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1 280</w:t>
            </w:r>
          </w:p>
        </w:tc>
        <w:tc>
          <w:tcPr>
            <w:tcW w:w="794" w:type="dxa"/>
            <w:tcBorders>
              <w:bottom w:val="single" w:sz="6" w:space="0" w:color="auto"/>
            </w:tcBorders>
          </w:tcPr>
          <w:p w14:paraId="0E10204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891</w:t>
            </w:r>
          </w:p>
        </w:tc>
        <w:tc>
          <w:tcPr>
            <w:tcW w:w="794" w:type="dxa"/>
            <w:tcBorders>
              <w:bottom w:val="single" w:sz="6" w:space="0" w:color="auto"/>
            </w:tcBorders>
          </w:tcPr>
          <w:p w14:paraId="1BB387B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1 157</w:t>
            </w:r>
          </w:p>
        </w:tc>
      </w:tr>
      <w:tr w:rsidR="005D339F" w14:paraId="27DA2909"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tcBorders>
          </w:tcPr>
          <w:p w14:paraId="0DAF2040" w14:textId="77777777" w:rsidR="005D339F" w:rsidRDefault="005D339F" w:rsidP="008670FF">
            <w:r>
              <w:rPr>
                <w:b/>
                <w:sz w:val="16"/>
              </w:rPr>
              <w:t>Net cash flows from investments in non</w:t>
            </w:r>
            <w:r>
              <w:rPr>
                <w:b/>
                <w:sz w:val="16"/>
              </w:rPr>
              <w:noBreakHyphen/>
              <w:t>financial assets</w:t>
            </w:r>
          </w:p>
        </w:tc>
        <w:tc>
          <w:tcPr>
            <w:tcW w:w="768" w:type="dxa"/>
            <w:gridSpan w:val="2"/>
            <w:tcBorders>
              <w:top w:val="single" w:sz="6" w:space="0" w:color="auto"/>
            </w:tcBorders>
          </w:tcPr>
          <w:p w14:paraId="1274FEE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(24 834)</w:t>
            </w:r>
          </w:p>
        </w:tc>
        <w:tc>
          <w:tcPr>
            <w:tcW w:w="794" w:type="dxa"/>
            <w:tcBorders>
              <w:top w:val="single" w:sz="6" w:space="0" w:color="auto"/>
            </w:tcBorders>
          </w:tcPr>
          <w:p w14:paraId="2D62F07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(24 607)</w:t>
            </w:r>
          </w:p>
        </w:tc>
        <w:tc>
          <w:tcPr>
            <w:tcW w:w="794" w:type="dxa"/>
            <w:tcBorders>
              <w:top w:val="single" w:sz="6" w:space="0" w:color="auto"/>
            </w:tcBorders>
          </w:tcPr>
          <w:p w14:paraId="47AF6F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(23 881)</w:t>
            </w:r>
          </w:p>
        </w:tc>
        <w:tc>
          <w:tcPr>
            <w:tcW w:w="794" w:type="dxa"/>
            <w:tcBorders>
              <w:top w:val="single" w:sz="6" w:space="0" w:color="auto"/>
            </w:tcBorders>
          </w:tcPr>
          <w:p w14:paraId="305567C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(21 758)</w:t>
            </w:r>
          </w:p>
        </w:tc>
        <w:tc>
          <w:tcPr>
            <w:tcW w:w="794" w:type="dxa"/>
            <w:tcBorders>
              <w:top w:val="single" w:sz="6" w:space="0" w:color="auto"/>
            </w:tcBorders>
          </w:tcPr>
          <w:p w14:paraId="577B14C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(18 245)</w:t>
            </w:r>
          </w:p>
        </w:tc>
      </w:tr>
      <w:tr w:rsidR="005D339F" w14:paraId="0D7854A6"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bottom w:val="single" w:sz="6" w:space="0" w:color="auto"/>
            </w:tcBorders>
          </w:tcPr>
          <w:p w14:paraId="7764FDF5" w14:textId="77777777" w:rsidR="005D339F" w:rsidRDefault="005D339F" w:rsidP="008670FF">
            <w:r>
              <w:rPr>
                <w:sz w:val="16"/>
              </w:rPr>
              <w:t>Net cash flows from investments in financial assets for policy purposes</w:t>
            </w:r>
          </w:p>
        </w:tc>
        <w:tc>
          <w:tcPr>
            <w:tcW w:w="768" w:type="dxa"/>
            <w:gridSpan w:val="2"/>
            <w:tcBorders>
              <w:bottom w:val="single" w:sz="6" w:space="0" w:color="auto"/>
            </w:tcBorders>
          </w:tcPr>
          <w:p w14:paraId="786F88F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(458)</w:t>
            </w:r>
          </w:p>
        </w:tc>
        <w:tc>
          <w:tcPr>
            <w:tcW w:w="794" w:type="dxa"/>
            <w:tcBorders>
              <w:bottom w:val="single" w:sz="6" w:space="0" w:color="auto"/>
            </w:tcBorders>
          </w:tcPr>
          <w:p w14:paraId="69E6CB1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(82)</w:t>
            </w:r>
          </w:p>
        </w:tc>
        <w:tc>
          <w:tcPr>
            <w:tcW w:w="794" w:type="dxa"/>
            <w:tcBorders>
              <w:bottom w:val="single" w:sz="6" w:space="0" w:color="auto"/>
            </w:tcBorders>
          </w:tcPr>
          <w:p w14:paraId="560A1D5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(59)</w:t>
            </w:r>
          </w:p>
        </w:tc>
        <w:tc>
          <w:tcPr>
            <w:tcW w:w="794" w:type="dxa"/>
            <w:tcBorders>
              <w:bottom w:val="single" w:sz="6" w:space="0" w:color="auto"/>
            </w:tcBorders>
          </w:tcPr>
          <w:p w14:paraId="5D13EF8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w:t>
            </w:r>
          </w:p>
        </w:tc>
        <w:tc>
          <w:tcPr>
            <w:tcW w:w="794" w:type="dxa"/>
            <w:tcBorders>
              <w:bottom w:val="single" w:sz="6" w:space="0" w:color="auto"/>
            </w:tcBorders>
          </w:tcPr>
          <w:p w14:paraId="60D95AA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w:t>
            </w:r>
          </w:p>
        </w:tc>
      </w:tr>
      <w:tr w:rsidR="005D339F" w14:paraId="219C7BD5"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tcBorders>
          </w:tcPr>
          <w:p w14:paraId="5C5427D0" w14:textId="77777777" w:rsidR="005D339F" w:rsidRDefault="005D339F" w:rsidP="008670FF">
            <w:r>
              <w:rPr>
                <w:b/>
                <w:sz w:val="16"/>
              </w:rPr>
              <w:t>Subtotal</w:t>
            </w:r>
          </w:p>
        </w:tc>
        <w:tc>
          <w:tcPr>
            <w:tcW w:w="768" w:type="dxa"/>
            <w:gridSpan w:val="2"/>
            <w:tcBorders>
              <w:top w:val="single" w:sz="6" w:space="0" w:color="auto"/>
            </w:tcBorders>
          </w:tcPr>
          <w:p w14:paraId="238849A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(25 291)</w:t>
            </w:r>
          </w:p>
        </w:tc>
        <w:tc>
          <w:tcPr>
            <w:tcW w:w="794" w:type="dxa"/>
            <w:tcBorders>
              <w:top w:val="single" w:sz="6" w:space="0" w:color="auto"/>
            </w:tcBorders>
          </w:tcPr>
          <w:p w14:paraId="3E7E658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(24 689)</w:t>
            </w:r>
          </w:p>
        </w:tc>
        <w:tc>
          <w:tcPr>
            <w:tcW w:w="794" w:type="dxa"/>
            <w:tcBorders>
              <w:top w:val="single" w:sz="6" w:space="0" w:color="auto"/>
            </w:tcBorders>
          </w:tcPr>
          <w:p w14:paraId="1208FDE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(23 940)</w:t>
            </w:r>
          </w:p>
        </w:tc>
        <w:tc>
          <w:tcPr>
            <w:tcW w:w="794" w:type="dxa"/>
            <w:tcBorders>
              <w:top w:val="single" w:sz="6" w:space="0" w:color="auto"/>
            </w:tcBorders>
          </w:tcPr>
          <w:p w14:paraId="7E0139F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(21 749)</w:t>
            </w:r>
          </w:p>
        </w:tc>
        <w:tc>
          <w:tcPr>
            <w:tcW w:w="794" w:type="dxa"/>
            <w:tcBorders>
              <w:top w:val="single" w:sz="6" w:space="0" w:color="auto"/>
            </w:tcBorders>
          </w:tcPr>
          <w:p w14:paraId="1018C7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(18 242)</w:t>
            </w:r>
          </w:p>
        </w:tc>
      </w:tr>
      <w:tr w:rsidR="005D339F" w14:paraId="63540523"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bottom w:val="single" w:sz="6" w:space="0" w:color="auto"/>
            </w:tcBorders>
          </w:tcPr>
          <w:p w14:paraId="0B47665C" w14:textId="77777777" w:rsidR="005D339F" w:rsidRDefault="005D339F" w:rsidP="008670FF">
            <w:r>
              <w:rPr>
                <w:sz w:val="16"/>
              </w:rPr>
              <w:t>Net cash flows from investment in financial assets for liquidity management purposes</w:t>
            </w:r>
          </w:p>
        </w:tc>
        <w:tc>
          <w:tcPr>
            <w:tcW w:w="768" w:type="dxa"/>
            <w:gridSpan w:val="2"/>
            <w:tcBorders>
              <w:bottom w:val="single" w:sz="6" w:space="0" w:color="auto"/>
            </w:tcBorders>
          </w:tcPr>
          <w:p w14:paraId="4D2E91F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(3 828)</w:t>
            </w:r>
          </w:p>
        </w:tc>
        <w:tc>
          <w:tcPr>
            <w:tcW w:w="794" w:type="dxa"/>
            <w:tcBorders>
              <w:bottom w:val="single" w:sz="6" w:space="0" w:color="auto"/>
            </w:tcBorders>
          </w:tcPr>
          <w:p w14:paraId="0EA19F1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(5 304)</w:t>
            </w:r>
          </w:p>
        </w:tc>
        <w:tc>
          <w:tcPr>
            <w:tcW w:w="794" w:type="dxa"/>
            <w:tcBorders>
              <w:bottom w:val="single" w:sz="6" w:space="0" w:color="auto"/>
            </w:tcBorders>
          </w:tcPr>
          <w:p w14:paraId="69604B2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(3 298)</w:t>
            </w:r>
          </w:p>
        </w:tc>
        <w:tc>
          <w:tcPr>
            <w:tcW w:w="794" w:type="dxa"/>
            <w:tcBorders>
              <w:bottom w:val="single" w:sz="6" w:space="0" w:color="auto"/>
            </w:tcBorders>
          </w:tcPr>
          <w:p w14:paraId="2E3115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(4 468)</w:t>
            </w:r>
          </w:p>
        </w:tc>
        <w:tc>
          <w:tcPr>
            <w:tcW w:w="794" w:type="dxa"/>
            <w:tcBorders>
              <w:bottom w:val="single" w:sz="6" w:space="0" w:color="auto"/>
            </w:tcBorders>
          </w:tcPr>
          <w:p w14:paraId="2C05532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(3 270)</w:t>
            </w:r>
          </w:p>
        </w:tc>
      </w:tr>
      <w:tr w:rsidR="005D339F" w14:paraId="65D9746D"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tcBorders>
          </w:tcPr>
          <w:p w14:paraId="2956073A" w14:textId="77777777" w:rsidR="005D339F" w:rsidRDefault="005D339F" w:rsidP="008670FF">
            <w:r>
              <w:rPr>
                <w:b/>
                <w:sz w:val="16"/>
              </w:rPr>
              <w:t>Net cash flows from investing activities</w:t>
            </w:r>
          </w:p>
        </w:tc>
        <w:tc>
          <w:tcPr>
            <w:tcW w:w="768" w:type="dxa"/>
            <w:gridSpan w:val="2"/>
            <w:tcBorders>
              <w:top w:val="single" w:sz="6" w:space="0" w:color="auto"/>
            </w:tcBorders>
          </w:tcPr>
          <w:p w14:paraId="64600B0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(29 120)</w:t>
            </w:r>
          </w:p>
        </w:tc>
        <w:tc>
          <w:tcPr>
            <w:tcW w:w="794" w:type="dxa"/>
            <w:tcBorders>
              <w:top w:val="single" w:sz="6" w:space="0" w:color="auto"/>
            </w:tcBorders>
          </w:tcPr>
          <w:p w14:paraId="5394901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(29 993)</w:t>
            </w:r>
          </w:p>
        </w:tc>
        <w:tc>
          <w:tcPr>
            <w:tcW w:w="794" w:type="dxa"/>
            <w:tcBorders>
              <w:top w:val="single" w:sz="6" w:space="0" w:color="auto"/>
            </w:tcBorders>
          </w:tcPr>
          <w:p w14:paraId="0567CBA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(27 237)</w:t>
            </w:r>
          </w:p>
        </w:tc>
        <w:tc>
          <w:tcPr>
            <w:tcW w:w="794" w:type="dxa"/>
            <w:tcBorders>
              <w:top w:val="single" w:sz="6" w:space="0" w:color="auto"/>
            </w:tcBorders>
          </w:tcPr>
          <w:p w14:paraId="79FD43B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(26 217)</w:t>
            </w:r>
          </w:p>
        </w:tc>
        <w:tc>
          <w:tcPr>
            <w:tcW w:w="794" w:type="dxa"/>
            <w:tcBorders>
              <w:top w:val="single" w:sz="6" w:space="0" w:color="auto"/>
            </w:tcBorders>
          </w:tcPr>
          <w:p w14:paraId="041CF4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(21 512)</w:t>
            </w:r>
          </w:p>
        </w:tc>
      </w:tr>
      <w:tr w:rsidR="005D339F" w14:paraId="4B699319"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62546558" w14:textId="77777777" w:rsidR="005D339F" w:rsidRDefault="005D339F" w:rsidP="008670FF">
            <w:r>
              <w:rPr>
                <w:b/>
                <w:sz w:val="16"/>
              </w:rPr>
              <w:t>Cash flows from financing activities</w:t>
            </w:r>
          </w:p>
        </w:tc>
        <w:tc>
          <w:tcPr>
            <w:tcW w:w="768" w:type="dxa"/>
            <w:gridSpan w:val="2"/>
          </w:tcPr>
          <w:p w14:paraId="5AC0C27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FF09B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913D4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AE78E5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04BEA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625B322"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2C3D0637" w14:textId="77777777" w:rsidR="005D339F" w:rsidRDefault="005D339F" w:rsidP="008670FF">
            <w:r>
              <w:rPr>
                <w:sz w:val="16"/>
              </w:rPr>
              <w:t>Advances received (net)</w:t>
            </w:r>
          </w:p>
        </w:tc>
        <w:tc>
          <w:tcPr>
            <w:tcW w:w="768" w:type="dxa"/>
            <w:gridSpan w:val="2"/>
          </w:tcPr>
          <w:p w14:paraId="3C24478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(13)</w:t>
            </w:r>
          </w:p>
        </w:tc>
        <w:tc>
          <w:tcPr>
            <w:tcW w:w="794" w:type="dxa"/>
          </w:tcPr>
          <w:p w14:paraId="56D977F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(22)</w:t>
            </w:r>
          </w:p>
        </w:tc>
        <w:tc>
          <w:tcPr>
            <w:tcW w:w="794" w:type="dxa"/>
          </w:tcPr>
          <w:p w14:paraId="6FDCEC3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(66)</w:t>
            </w:r>
          </w:p>
        </w:tc>
        <w:tc>
          <w:tcPr>
            <w:tcW w:w="794" w:type="dxa"/>
          </w:tcPr>
          <w:p w14:paraId="095FDD5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(14)</w:t>
            </w:r>
          </w:p>
        </w:tc>
        <w:tc>
          <w:tcPr>
            <w:tcW w:w="794" w:type="dxa"/>
          </w:tcPr>
          <w:p w14:paraId="3DBC26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(11)</w:t>
            </w:r>
          </w:p>
        </w:tc>
      </w:tr>
      <w:tr w:rsidR="005D339F" w14:paraId="14504FC7"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1F562733" w14:textId="77777777" w:rsidR="005D339F" w:rsidRDefault="005D339F" w:rsidP="008670FF">
            <w:r>
              <w:rPr>
                <w:sz w:val="16"/>
              </w:rPr>
              <w:t>Net borrowings</w:t>
            </w:r>
          </w:p>
        </w:tc>
        <w:tc>
          <w:tcPr>
            <w:tcW w:w="768" w:type="dxa"/>
            <w:gridSpan w:val="2"/>
          </w:tcPr>
          <w:p w14:paraId="472A8F2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22 777</w:t>
            </w:r>
          </w:p>
        </w:tc>
        <w:tc>
          <w:tcPr>
            <w:tcW w:w="794" w:type="dxa"/>
          </w:tcPr>
          <w:p w14:paraId="46C23A1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20 413</w:t>
            </w:r>
          </w:p>
        </w:tc>
        <w:tc>
          <w:tcPr>
            <w:tcW w:w="794" w:type="dxa"/>
          </w:tcPr>
          <w:p w14:paraId="243B27F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15 683</w:t>
            </w:r>
          </w:p>
        </w:tc>
        <w:tc>
          <w:tcPr>
            <w:tcW w:w="794" w:type="dxa"/>
          </w:tcPr>
          <w:p w14:paraId="0C78537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14 229</w:t>
            </w:r>
          </w:p>
        </w:tc>
        <w:tc>
          <w:tcPr>
            <w:tcW w:w="794" w:type="dxa"/>
          </w:tcPr>
          <w:p w14:paraId="7F26F34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11 649</w:t>
            </w:r>
          </w:p>
        </w:tc>
      </w:tr>
      <w:tr w:rsidR="005D339F" w14:paraId="652AFB19" w14:textId="77777777" w:rsidTr="00B51426">
        <w:tc>
          <w:tcPr>
            <w:cnfStyle w:val="001000000000" w:firstRow="0" w:lastRow="0" w:firstColumn="1" w:lastColumn="0" w:oddVBand="0" w:evenVBand="0" w:oddHBand="0" w:evenHBand="0" w:firstRowFirstColumn="0" w:firstRowLastColumn="0" w:lastRowFirstColumn="0" w:lastRowLastColumn="0"/>
            <w:tcW w:w="3766" w:type="dxa"/>
          </w:tcPr>
          <w:p w14:paraId="68113C5D" w14:textId="77777777" w:rsidR="005D339F" w:rsidRDefault="005D339F" w:rsidP="008670FF">
            <w:r>
              <w:rPr>
                <w:sz w:val="16"/>
              </w:rPr>
              <w:t>Deposits received (net)</w:t>
            </w:r>
          </w:p>
        </w:tc>
        <w:tc>
          <w:tcPr>
            <w:tcW w:w="768" w:type="dxa"/>
            <w:gridSpan w:val="2"/>
          </w:tcPr>
          <w:p w14:paraId="7845A9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(9)</w:t>
            </w:r>
          </w:p>
        </w:tc>
        <w:tc>
          <w:tcPr>
            <w:tcW w:w="794" w:type="dxa"/>
          </w:tcPr>
          <w:p w14:paraId="23726B4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(61)</w:t>
            </w:r>
          </w:p>
        </w:tc>
        <w:tc>
          <w:tcPr>
            <w:tcW w:w="794" w:type="dxa"/>
          </w:tcPr>
          <w:p w14:paraId="778B494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w:t>
            </w:r>
          </w:p>
        </w:tc>
        <w:tc>
          <w:tcPr>
            <w:tcW w:w="794" w:type="dxa"/>
          </w:tcPr>
          <w:p w14:paraId="35862C1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w:t>
            </w:r>
          </w:p>
        </w:tc>
        <w:tc>
          <w:tcPr>
            <w:tcW w:w="794" w:type="dxa"/>
          </w:tcPr>
          <w:p w14:paraId="775724C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w:t>
            </w:r>
          </w:p>
        </w:tc>
      </w:tr>
      <w:tr w:rsidR="005D339F" w14:paraId="121688FD"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bottom w:val="single" w:sz="6" w:space="0" w:color="auto"/>
            </w:tcBorders>
          </w:tcPr>
          <w:p w14:paraId="3CEFE465" w14:textId="77777777" w:rsidR="005D339F" w:rsidRDefault="005D339F" w:rsidP="008670FF">
            <w:r>
              <w:rPr>
                <w:b/>
                <w:sz w:val="16"/>
              </w:rPr>
              <w:t>Net cash flows from financing activities</w:t>
            </w:r>
          </w:p>
        </w:tc>
        <w:tc>
          <w:tcPr>
            <w:tcW w:w="768" w:type="dxa"/>
            <w:gridSpan w:val="2"/>
            <w:tcBorders>
              <w:top w:val="single" w:sz="6" w:space="0" w:color="auto"/>
              <w:bottom w:val="single" w:sz="6" w:space="0" w:color="auto"/>
            </w:tcBorders>
          </w:tcPr>
          <w:p w14:paraId="5A19C9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22 755</w:t>
            </w:r>
          </w:p>
        </w:tc>
        <w:tc>
          <w:tcPr>
            <w:tcW w:w="794" w:type="dxa"/>
            <w:tcBorders>
              <w:top w:val="single" w:sz="6" w:space="0" w:color="auto"/>
              <w:bottom w:val="single" w:sz="6" w:space="0" w:color="auto"/>
            </w:tcBorders>
          </w:tcPr>
          <w:p w14:paraId="2A4AEFA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20 330</w:t>
            </w:r>
          </w:p>
        </w:tc>
        <w:tc>
          <w:tcPr>
            <w:tcW w:w="794" w:type="dxa"/>
            <w:tcBorders>
              <w:top w:val="single" w:sz="6" w:space="0" w:color="auto"/>
              <w:bottom w:val="single" w:sz="6" w:space="0" w:color="auto"/>
            </w:tcBorders>
          </w:tcPr>
          <w:p w14:paraId="17D7904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15 617</w:t>
            </w:r>
          </w:p>
        </w:tc>
        <w:tc>
          <w:tcPr>
            <w:tcW w:w="794" w:type="dxa"/>
            <w:tcBorders>
              <w:top w:val="single" w:sz="6" w:space="0" w:color="auto"/>
              <w:bottom w:val="single" w:sz="6" w:space="0" w:color="auto"/>
            </w:tcBorders>
          </w:tcPr>
          <w:p w14:paraId="43C62A9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14 216</w:t>
            </w:r>
          </w:p>
        </w:tc>
        <w:tc>
          <w:tcPr>
            <w:tcW w:w="794" w:type="dxa"/>
            <w:tcBorders>
              <w:top w:val="single" w:sz="6" w:space="0" w:color="auto"/>
              <w:bottom w:val="single" w:sz="6" w:space="0" w:color="auto"/>
            </w:tcBorders>
          </w:tcPr>
          <w:p w14:paraId="245CAAF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11 648</w:t>
            </w:r>
          </w:p>
        </w:tc>
      </w:tr>
      <w:tr w:rsidR="005D339F" w14:paraId="2574E24A"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top w:val="single" w:sz="6" w:space="0" w:color="auto"/>
            </w:tcBorders>
          </w:tcPr>
          <w:p w14:paraId="0592168C" w14:textId="77777777" w:rsidR="005D339F" w:rsidRDefault="005D339F" w:rsidP="008670FF">
            <w:r>
              <w:rPr>
                <w:b/>
                <w:sz w:val="16"/>
              </w:rPr>
              <w:t>Net increase/(decrease) in cash and cash equivalents</w:t>
            </w:r>
          </w:p>
        </w:tc>
        <w:tc>
          <w:tcPr>
            <w:tcW w:w="768" w:type="dxa"/>
            <w:gridSpan w:val="2"/>
            <w:tcBorders>
              <w:top w:val="single" w:sz="6" w:space="0" w:color="auto"/>
            </w:tcBorders>
          </w:tcPr>
          <w:p w14:paraId="5077BB0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(682)</w:t>
            </w:r>
          </w:p>
        </w:tc>
        <w:tc>
          <w:tcPr>
            <w:tcW w:w="794" w:type="dxa"/>
            <w:tcBorders>
              <w:top w:val="single" w:sz="6" w:space="0" w:color="auto"/>
            </w:tcBorders>
          </w:tcPr>
          <w:p w14:paraId="1C4E97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(4 004)</w:t>
            </w:r>
          </w:p>
        </w:tc>
        <w:tc>
          <w:tcPr>
            <w:tcW w:w="794" w:type="dxa"/>
            <w:tcBorders>
              <w:top w:val="single" w:sz="6" w:space="0" w:color="auto"/>
            </w:tcBorders>
          </w:tcPr>
          <w:p w14:paraId="0E196CF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223</w:t>
            </w:r>
          </w:p>
        </w:tc>
        <w:tc>
          <w:tcPr>
            <w:tcW w:w="794" w:type="dxa"/>
            <w:tcBorders>
              <w:top w:val="single" w:sz="6" w:space="0" w:color="auto"/>
            </w:tcBorders>
          </w:tcPr>
          <w:p w14:paraId="0076310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588</w:t>
            </w:r>
          </w:p>
        </w:tc>
        <w:tc>
          <w:tcPr>
            <w:tcW w:w="794" w:type="dxa"/>
            <w:tcBorders>
              <w:top w:val="single" w:sz="6" w:space="0" w:color="auto"/>
            </w:tcBorders>
          </w:tcPr>
          <w:p w14:paraId="51437F3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876</w:t>
            </w:r>
          </w:p>
        </w:tc>
      </w:tr>
      <w:tr w:rsidR="005D339F" w14:paraId="36E15967" w14:textId="77777777" w:rsidTr="00B51426">
        <w:tc>
          <w:tcPr>
            <w:cnfStyle w:val="001000000000" w:firstRow="0" w:lastRow="0" w:firstColumn="1" w:lastColumn="0" w:oddVBand="0" w:evenVBand="0" w:oddHBand="0" w:evenHBand="0" w:firstRowFirstColumn="0" w:firstRowLastColumn="0" w:lastRowFirstColumn="0" w:lastRowLastColumn="0"/>
            <w:tcW w:w="3766" w:type="dxa"/>
            <w:tcBorders>
              <w:bottom w:val="single" w:sz="6" w:space="0" w:color="auto"/>
            </w:tcBorders>
          </w:tcPr>
          <w:p w14:paraId="1019E663" w14:textId="77777777" w:rsidR="005D339F" w:rsidRDefault="005D339F" w:rsidP="008670FF">
            <w:r>
              <w:rPr>
                <w:sz w:val="16"/>
              </w:rPr>
              <w:t>Cash and cash equivalents at beginning of reporting period</w:t>
            </w:r>
            <w:r>
              <w:rPr>
                <w:sz w:val="16"/>
                <w:vertAlign w:val="superscript"/>
              </w:rPr>
              <w:t xml:space="preserve"> (b)(c)</w:t>
            </w:r>
          </w:p>
        </w:tc>
        <w:tc>
          <w:tcPr>
            <w:tcW w:w="768" w:type="dxa"/>
            <w:gridSpan w:val="2"/>
            <w:tcBorders>
              <w:bottom w:val="single" w:sz="6" w:space="0" w:color="auto"/>
            </w:tcBorders>
          </w:tcPr>
          <w:p w14:paraId="4CA80B9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19 595</w:t>
            </w:r>
          </w:p>
        </w:tc>
        <w:tc>
          <w:tcPr>
            <w:tcW w:w="794" w:type="dxa"/>
            <w:tcBorders>
              <w:bottom w:val="single" w:sz="6" w:space="0" w:color="auto"/>
            </w:tcBorders>
          </w:tcPr>
          <w:p w14:paraId="65D1F02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19 595</w:t>
            </w:r>
          </w:p>
        </w:tc>
        <w:tc>
          <w:tcPr>
            <w:tcW w:w="794" w:type="dxa"/>
            <w:tcBorders>
              <w:bottom w:val="single" w:sz="6" w:space="0" w:color="auto"/>
            </w:tcBorders>
          </w:tcPr>
          <w:p w14:paraId="41F706D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15 591</w:t>
            </w:r>
          </w:p>
        </w:tc>
        <w:tc>
          <w:tcPr>
            <w:tcW w:w="794" w:type="dxa"/>
            <w:tcBorders>
              <w:bottom w:val="single" w:sz="6" w:space="0" w:color="auto"/>
            </w:tcBorders>
          </w:tcPr>
          <w:p w14:paraId="3CCF78C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15 815</w:t>
            </w:r>
          </w:p>
        </w:tc>
        <w:tc>
          <w:tcPr>
            <w:tcW w:w="794" w:type="dxa"/>
            <w:tcBorders>
              <w:bottom w:val="single" w:sz="6" w:space="0" w:color="auto"/>
            </w:tcBorders>
          </w:tcPr>
          <w:p w14:paraId="7E58FCA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16 403</w:t>
            </w:r>
          </w:p>
        </w:tc>
      </w:tr>
      <w:tr w:rsidR="005D339F" w14:paraId="2EA3EAB0" w14:textId="77777777" w:rsidTr="00B51426">
        <w:tc>
          <w:tcPr>
            <w:cnfStyle w:val="001000000000" w:firstRow="0" w:lastRow="0" w:firstColumn="1" w:lastColumn="0" w:oddVBand="0" w:evenVBand="0" w:oddHBand="0" w:evenHBand="0" w:firstRowFirstColumn="0" w:firstRowLastColumn="0" w:lastRowFirstColumn="0" w:lastRowLastColumn="0"/>
            <w:tcW w:w="3892" w:type="dxa"/>
            <w:gridSpan w:val="2"/>
            <w:tcBorders>
              <w:top w:val="single" w:sz="6" w:space="0" w:color="auto"/>
              <w:bottom w:val="single" w:sz="6" w:space="0" w:color="auto"/>
            </w:tcBorders>
          </w:tcPr>
          <w:p w14:paraId="7E2F89DF" w14:textId="77777777" w:rsidR="005D339F" w:rsidRDefault="005D339F" w:rsidP="008670FF">
            <w:r>
              <w:rPr>
                <w:b/>
                <w:sz w:val="16"/>
              </w:rPr>
              <w:t>Cash and cash equivalents at end of reporting period</w:t>
            </w:r>
            <w:r>
              <w:rPr>
                <w:b/>
                <w:sz w:val="16"/>
                <w:vertAlign w:val="superscript"/>
              </w:rPr>
              <w:t xml:space="preserve"> (b)(c)</w:t>
            </w:r>
          </w:p>
        </w:tc>
        <w:tc>
          <w:tcPr>
            <w:tcW w:w="642" w:type="dxa"/>
            <w:tcBorders>
              <w:top w:val="single" w:sz="6" w:space="0" w:color="auto"/>
              <w:bottom w:val="single" w:sz="6" w:space="0" w:color="auto"/>
            </w:tcBorders>
          </w:tcPr>
          <w:p w14:paraId="00C93ED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18 913</w:t>
            </w:r>
          </w:p>
        </w:tc>
        <w:tc>
          <w:tcPr>
            <w:tcW w:w="794" w:type="dxa"/>
            <w:tcBorders>
              <w:top w:val="single" w:sz="6" w:space="0" w:color="auto"/>
              <w:bottom w:val="single" w:sz="6" w:space="0" w:color="auto"/>
            </w:tcBorders>
          </w:tcPr>
          <w:p w14:paraId="437C069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15 591</w:t>
            </w:r>
          </w:p>
        </w:tc>
        <w:tc>
          <w:tcPr>
            <w:tcW w:w="794" w:type="dxa"/>
            <w:tcBorders>
              <w:top w:val="single" w:sz="6" w:space="0" w:color="auto"/>
              <w:bottom w:val="single" w:sz="6" w:space="0" w:color="auto"/>
            </w:tcBorders>
          </w:tcPr>
          <w:p w14:paraId="08156B7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15 815</w:t>
            </w:r>
          </w:p>
        </w:tc>
        <w:tc>
          <w:tcPr>
            <w:tcW w:w="794" w:type="dxa"/>
            <w:tcBorders>
              <w:top w:val="single" w:sz="6" w:space="0" w:color="auto"/>
              <w:bottom w:val="single" w:sz="6" w:space="0" w:color="auto"/>
            </w:tcBorders>
          </w:tcPr>
          <w:p w14:paraId="38C91B7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16 403</w:t>
            </w:r>
          </w:p>
        </w:tc>
        <w:tc>
          <w:tcPr>
            <w:tcW w:w="794" w:type="dxa"/>
            <w:tcBorders>
              <w:top w:val="single" w:sz="6" w:space="0" w:color="auto"/>
              <w:bottom w:val="single" w:sz="6" w:space="0" w:color="auto"/>
            </w:tcBorders>
          </w:tcPr>
          <w:p w14:paraId="162F46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17 278</w:t>
            </w:r>
          </w:p>
        </w:tc>
      </w:tr>
    </w:tbl>
    <w:p w14:paraId="3EA8BB9D" w14:textId="77777777" w:rsidR="00B51426" w:rsidRDefault="00B51426" w:rsidP="00B51426">
      <w:pPr>
        <w:pStyle w:val="TableHeading"/>
      </w:pPr>
    </w:p>
    <w:p w14:paraId="23CAFD1B" w14:textId="77777777" w:rsidR="00B51426" w:rsidRDefault="00B51426">
      <w:pPr>
        <w:keepLines w:val="0"/>
        <w:rPr>
          <w:rFonts w:asciiTheme="majorHAnsi" w:hAnsiTheme="majorHAnsi" w:cstheme="minorBidi"/>
          <w:b/>
          <w:iCs/>
          <w:sz w:val="20"/>
          <w:szCs w:val="18"/>
        </w:rPr>
      </w:pPr>
      <w:r>
        <w:br w:type="page"/>
      </w:r>
    </w:p>
    <w:p w14:paraId="4A692229" w14:textId="5B08A271" w:rsidR="00B51426" w:rsidRDefault="00B51426" w:rsidP="00B51426">
      <w:pPr>
        <w:pStyle w:val="TableHeading"/>
      </w:pPr>
      <w:r w:rsidRPr="00921F69">
        <w:t>Table 5.18</w:t>
      </w:r>
      <w:r w:rsidRPr="00921F69">
        <w:tab/>
        <w:t xml:space="preserve">State of Victoria cash flow statement for the financial year </w:t>
      </w:r>
      <w:r w:rsidRPr="00921F69">
        <w:br/>
        <w:t>ended 30 June</w:t>
      </w:r>
      <w:r>
        <w:t xml:space="preserve"> </w:t>
      </w:r>
      <w:r w:rsidRPr="00B51426">
        <w:rPr>
          <w:i/>
          <w:iCs w:val="0"/>
          <w:sz w:val="18"/>
          <w:szCs w:val="16"/>
        </w:rPr>
        <w:t>(continued)</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WoS_CF|MergedHeadingRow:1"/>
      </w:tblPr>
      <w:tblGrid>
        <w:gridCol w:w="3740"/>
        <w:gridCol w:w="794"/>
        <w:gridCol w:w="794"/>
        <w:gridCol w:w="794"/>
        <w:gridCol w:w="794"/>
        <w:gridCol w:w="794"/>
      </w:tblGrid>
      <w:tr w:rsidR="00B51426" w14:paraId="50411793"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3E504B9F" w14:textId="77777777" w:rsidR="00B51426" w:rsidRDefault="00B51426" w:rsidP="008670FF">
            <w:pPr>
              <w:keepNext/>
            </w:pPr>
          </w:p>
        </w:tc>
        <w:tc>
          <w:tcPr>
            <w:tcW w:w="794" w:type="dxa"/>
          </w:tcPr>
          <w:p w14:paraId="2971EC9A" w14:textId="77777777" w:rsidR="00B51426" w:rsidRDefault="00B51426"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budget</w:t>
            </w:r>
          </w:p>
        </w:tc>
        <w:tc>
          <w:tcPr>
            <w:tcW w:w="794" w:type="dxa"/>
          </w:tcPr>
          <w:p w14:paraId="128EA19F" w14:textId="77777777" w:rsidR="00B51426" w:rsidRDefault="00B51426" w:rsidP="008670FF">
            <w:pPr>
              <w:keepNext/>
              <w:cnfStyle w:val="100000000000" w:firstRow="1" w:lastRow="0" w:firstColumn="0" w:lastColumn="0" w:oddVBand="0" w:evenVBand="0" w:oddHBand="0" w:evenHBand="0" w:firstRowFirstColumn="0" w:firstRowLastColumn="0" w:lastRowFirstColumn="0" w:lastRowLastColumn="0"/>
            </w:pPr>
            <w:r>
              <w:rPr>
                <w:sz w:val="16"/>
              </w:rPr>
              <w:t>2024</w:t>
            </w:r>
            <w:r>
              <w:rPr>
                <w:sz w:val="16"/>
              </w:rPr>
              <w:noBreakHyphen/>
              <w:t>25</w:t>
            </w:r>
            <w:r>
              <w:br/>
              <w:t>revised</w:t>
            </w:r>
          </w:p>
        </w:tc>
        <w:tc>
          <w:tcPr>
            <w:tcW w:w="794" w:type="dxa"/>
          </w:tcPr>
          <w:p w14:paraId="04DB03CB" w14:textId="77777777" w:rsidR="00B51426" w:rsidRDefault="00B51426" w:rsidP="008670FF">
            <w:pPr>
              <w:keepNext/>
              <w:cnfStyle w:val="100000000000" w:firstRow="1" w:lastRow="0" w:firstColumn="0" w:lastColumn="0" w:oddVBand="0" w:evenVBand="0" w:oddHBand="0" w:evenHBand="0" w:firstRowFirstColumn="0" w:firstRowLastColumn="0" w:lastRowFirstColumn="0" w:lastRowLastColumn="0"/>
            </w:pPr>
            <w:r>
              <w:rPr>
                <w:sz w:val="16"/>
              </w:rPr>
              <w:t>2025</w:t>
            </w:r>
            <w:r>
              <w:rPr>
                <w:sz w:val="16"/>
              </w:rPr>
              <w:noBreakHyphen/>
              <w:t>26</w:t>
            </w:r>
            <w:r>
              <w:br/>
              <w:t>estimate</w:t>
            </w:r>
          </w:p>
        </w:tc>
        <w:tc>
          <w:tcPr>
            <w:tcW w:w="794" w:type="dxa"/>
          </w:tcPr>
          <w:p w14:paraId="612D2A9B" w14:textId="77777777" w:rsidR="00B51426" w:rsidRDefault="00B51426" w:rsidP="008670FF">
            <w:pPr>
              <w:keepNext/>
              <w:cnfStyle w:val="100000000000" w:firstRow="1" w:lastRow="0" w:firstColumn="0" w:lastColumn="0" w:oddVBand="0" w:evenVBand="0" w:oddHBand="0" w:evenHBand="0" w:firstRowFirstColumn="0" w:firstRowLastColumn="0" w:lastRowFirstColumn="0" w:lastRowLastColumn="0"/>
            </w:pPr>
            <w:r>
              <w:rPr>
                <w:sz w:val="16"/>
              </w:rPr>
              <w:t>2026</w:t>
            </w:r>
            <w:r>
              <w:rPr>
                <w:sz w:val="16"/>
              </w:rPr>
              <w:noBreakHyphen/>
              <w:t>27</w:t>
            </w:r>
            <w:r>
              <w:br/>
              <w:t>estimate</w:t>
            </w:r>
          </w:p>
        </w:tc>
        <w:tc>
          <w:tcPr>
            <w:tcW w:w="794" w:type="dxa"/>
          </w:tcPr>
          <w:p w14:paraId="1CC86E6D" w14:textId="77777777" w:rsidR="00B51426" w:rsidRDefault="00B51426" w:rsidP="008670FF">
            <w:pPr>
              <w:keepNext/>
              <w:cnfStyle w:val="100000000000" w:firstRow="1" w:lastRow="0" w:firstColumn="0" w:lastColumn="0" w:oddVBand="0" w:evenVBand="0" w:oddHBand="0" w:evenHBand="0" w:firstRowFirstColumn="0" w:firstRowLastColumn="0" w:lastRowFirstColumn="0" w:lastRowLastColumn="0"/>
            </w:pPr>
            <w:r>
              <w:rPr>
                <w:sz w:val="16"/>
              </w:rPr>
              <w:t>2027</w:t>
            </w:r>
            <w:r>
              <w:rPr>
                <w:sz w:val="16"/>
              </w:rPr>
              <w:noBreakHyphen/>
              <w:t>28</w:t>
            </w:r>
            <w:r>
              <w:br/>
              <w:t>estimate</w:t>
            </w:r>
          </w:p>
        </w:tc>
      </w:tr>
      <w:tr w:rsidR="005D339F" w14:paraId="49C8C197"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1EDB8D0" w14:textId="77777777" w:rsidR="005D339F" w:rsidRDefault="005D339F" w:rsidP="008670FF">
            <w:r>
              <w:rPr>
                <w:b/>
                <w:sz w:val="16"/>
              </w:rPr>
              <w:t>FISCAL AGGREGATES</w:t>
            </w:r>
          </w:p>
        </w:tc>
        <w:tc>
          <w:tcPr>
            <w:tcW w:w="794" w:type="dxa"/>
          </w:tcPr>
          <w:p w14:paraId="07D7CEB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D22236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1B65B2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BD49EF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6E27C5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p>
        </w:tc>
      </w:tr>
      <w:tr w:rsidR="005D339F" w14:paraId="72D69AD1"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35B7893C" w14:textId="77777777" w:rsidR="005D339F" w:rsidRDefault="005D339F" w:rsidP="008670FF">
            <w:r>
              <w:rPr>
                <w:sz w:val="16"/>
              </w:rPr>
              <w:t>Net cash flows from operating activities</w:t>
            </w:r>
          </w:p>
        </w:tc>
        <w:tc>
          <w:tcPr>
            <w:tcW w:w="794" w:type="dxa"/>
          </w:tcPr>
          <w:p w14:paraId="5D18924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5 683</w:t>
            </w:r>
          </w:p>
        </w:tc>
        <w:tc>
          <w:tcPr>
            <w:tcW w:w="794" w:type="dxa"/>
          </w:tcPr>
          <w:p w14:paraId="12B13CB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5 660</w:t>
            </w:r>
          </w:p>
        </w:tc>
        <w:tc>
          <w:tcPr>
            <w:tcW w:w="794" w:type="dxa"/>
          </w:tcPr>
          <w:p w14:paraId="3473CAF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11 844</w:t>
            </w:r>
          </w:p>
        </w:tc>
        <w:tc>
          <w:tcPr>
            <w:tcW w:w="794" w:type="dxa"/>
          </w:tcPr>
          <w:p w14:paraId="593D66C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12 589</w:t>
            </w:r>
          </w:p>
        </w:tc>
        <w:tc>
          <w:tcPr>
            <w:tcW w:w="794" w:type="dxa"/>
          </w:tcPr>
          <w:p w14:paraId="239DABD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10 740</w:t>
            </w:r>
          </w:p>
        </w:tc>
      </w:tr>
      <w:tr w:rsidR="005D339F" w14:paraId="2F889683"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DFE2EDA" w14:textId="77777777" w:rsidR="005D339F" w:rsidRDefault="005D339F" w:rsidP="008670FF">
            <w:r>
              <w:rPr>
                <w:sz w:val="16"/>
              </w:rPr>
              <w:t>Net cash flows from investments in non</w:t>
            </w:r>
            <w:r>
              <w:rPr>
                <w:sz w:val="16"/>
              </w:rPr>
              <w:noBreakHyphen/>
              <w:t>financial assets</w:t>
            </w:r>
          </w:p>
        </w:tc>
        <w:tc>
          <w:tcPr>
            <w:tcW w:w="794" w:type="dxa"/>
            <w:tcBorders>
              <w:bottom w:val="single" w:sz="6" w:space="0" w:color="auto"/>
            </w:tcBorders>
          </w:tcPr>
          <w:p w14:paraId="0B581C7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(24 834)</w:t>
            </w:r>
          </w:p>
        </w:tc>
        <w:tc>
          <w:tcPr>
            <w:tcW w:w="794" w:type="dxa"/>
            <w:tcBorders>
              <w:bottom w:val="single" w:sz="6" w:space="0" w:color="auto"/>
            </w:tcBorders>
          </w:tcPr>
          <w:p w14:paraId="4E48CE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(24 607)</w:t>
            </w:r>
          </w:p>
        </w:tc>
        <w:tc>
          <w:tcPr>
            <w:tcW w:w="794" w:type="dxa"/>
            <w:tcBorders>
              <w:bottom w:val="single" w:sz="6" w:space="0" w:color="auto"/>
            </w:tcBorders>
          </w:tcPr>
          <w:p w14:paraId="5A2EC88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(23 881)</w:t>
            </w:r>
          </w:p>
        </w:tc>
        <w:tc>
          <w:tcPr>
            <w:tcW w:w="794" w:type="dxa"/>
            <w:tcBorders>
              <w:bottom w:val="single" w:sz="6" w:space="0" w:color="auto"/>
            </w:tcBorders>
          </w:tcPr>
          <w:p w14:paraId="4FD0980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(21 758)</w:t>
            </w:r>
          </w:p>
        </w:tc>
        <w:tc>
          <w:tcPr>
            <w:tcW w:w="794" w:type="dxa"/>
            <w:tcBorders>
              <w:bottom w:val="single" w:sz="6" w:space="0" w:color="auto"/>
            </w:tcBorders>
          </w:tcPr>
          <w:p w14:paraId="1065E18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sz w:val="16"/>
              </w:rPr>
              <w:t>(18 245)</w:t>
            </w:r>
          </w:p>
        </w:tc>
      </w:tr>
      <w:tr w:rsidR="005D339F" w14:paraId="4E49099A"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2602DD1C" w14:textId="77777777" w:rsidR="005D339F" w:rsidRDefault="005D339F" w:rsidP="008670FF">
            <w:r>
              <w:rPr>
                <w:b/>
                <w:sz w:val="16"/>
              </w:rPr>
              <w:t>Cash surplus/(deficit)</w:t>
            </w:r>
          </w:p>
        </w:tc>
        <w:tc>
          <w:tcPr>
            <w:tcW w:w="794" w:type="dxa"/>
            <w:tcBorders>
              <w:top w:val="single" w:sz="6" w:space="0" w:color="auto"/>
              <w:bottom w:val="single" w:sz="12" w:space="0" w:color="auto"/>
            </w:tcBorders>
          </w:tcPr>
          <w:p w14:paraId="56E9338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(19 151)</w:t>
            </w:r>
          </w:p>
        </w:tc>
        <w:tc>
          <w:tcPr>
            <w:tcW w:w="794" w:type="dxa"/>
            <w:tcBorders>
              <w:top w:val="single" w:sz="6" w:space="0" w:color="auto"/>
              <w:bottom w:val="single" w:sz="12" w:space="0" w:color="auto"/>
            </w:tcBorders>
          </w:tcPr>
          <w:p w14:paraId="4B6A3F92"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(18 947)</w:t>
            </w:r>
          </w:p>
        </w:tc>
        <w:tc>
          <w:tcPr>
            <w:tcW w:w="794" w:type="dxa"/>
            <w:tcBorders>
              <w:top w:val="single" w:sz="6" w:space="0" w:color="auto"/>
              <w:bottom w:val="single" w:sz="12" w:space="0" w:color="auto"/>
            </w:tcBorders>
          </w:tcPr>
          <w:p w14:paraId="46159E1A"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(12 037)</w:t>
            </w:r>
          </w:p>
        </w:tc>
        <w:tc>
          <w:tcPr>
            <w:tcW w:w="794" w:type="dxa"/>
            <w:tcBorders>
              <w:top w:val="single" w:sz="6" w:space="0" w:color="auto"/>
              <w:bottom w:val="single" w:sz="12" w:space="0" w:color="auto"/>
            </w:tcBorders>
          </w:tcPr>
          <w:p w14:paraId="465F320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(9 169)</w:t>
            </w:r>
          </w:p>
        </w:tc>
        <w:tc>
          <w:tcPr>
            <w:tcW w:w="794" w:type="dxa"/>
            <w:tcBorders>
              <w:top w:val="single" w:sz="6" w:space="0" w:color="auto"/>
              <w:bottom w:val="single" w:sz="12" w:space="0" w:color="auto"/>
            </w:tcBorders>
          </w:tcPr>
          <w:p w14:paraId="4D0EDD3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sz w:val="16"/>
              </w:rPr>
              <w:t>(7 505)</w:t>
            </w:r>
          </w:p>
        </w:tc>
      </w:tr>
    </w:tbl>
    <w:p w14:paraId="6302407F" w14:textId="77777777" w:rsidR="005D339F" w:rsidRPr="00921F69" w:rsidRDefault="005D339F" w:rsidP="005D339F">
      <w:pPr>
        <w:pStyle w:val="Note"/>
      </w:pPr>
      <w:r w:rsidRPr="00921F69">
        <w:t>Notes:</w:t>
      </w:r>
    </w:p>
    <w:p w14:paraId="68712306" w14:textId="77777777" w:rsidR="005D339F" w:rsidRPr="004E4FD2" w:rsidRDefault="005D339F" w:rsidP="005D339F">
      <w:pPr>
        <w:pStyle w:val="Note"/>
      </w:pPr>
      <w:r w:rsidRPr="00921F69">
        <w:t>(a)</w:t>
      </w:r>
      <w:r w:rsidRPr="00921F69">
        <w:tab/>
      </w:r>
      <w:r>
        <w:t>Sales of goods and services and payments for goods and services are i</w:t>
      </w:r>
      <w:r w:rsidRPr="00E77C7E">
        <w:t>nclusive of goods and services tax.</w:t>
      </w:r>
    </w:p>
    <w:p w14:paraId="575983AE" w14:textId="5C976537" w:rsidR="005D339F" w:rsidRPr="00921F69" w:rsidRDefault="005D339F" w:rsidP="005D339F">
      <w:pPr>
        <w:pStyle w:val="Note"/>
      </w:pPr>
      <w:r w:rsidRPr="00921F69">
        <w:t>(b)</w:t>
      </w:r>
      <w:r w:rsidRPr="00921F69">
        <w:tab/>
      </w:r>
      <w:r w:rsidRPr="00B7055D">
        <w:t xml:space="preserve">2024-25 </w:t>
      </w:r>
      <w:r w:rsidR="00B7055D" w:rsidRPr="00B7055D">
        <w:rPr>
          <w:iCs/>
        </w:rPr>
        <w:t>b</w:t>
      </w:r>
      <w:r w:rsidRPr="00B7055D">
        <w:rPr>
          <w:iCs/>
        </w:rPr>
        <w:t>udget</w:t>
      </w:r>
      <w:r w:rsidRPr="00921F69">
        <w:t xml:space="preserve"> figures have been restated to represent actual opening balances at 1 July 20</w:t>
      </w:r>
      <w:r>
        <w:t>24</w:t>
      </w:r>
      <w:r w:rsidRPr="00921F69">
        <w:t>.</w:t>
      </w:r>
    </w:p>
    <w:p w14:paraId="201D96A2" w14:textId="4312D621" w:rsidR="005D339F" w:rsidRPr="000F40A7" w:rsidRDefault="005D339F" w:rsidP="005D339F">
      <w:pPr>
        <w:pStyle w:val="Note"/>
      </w:pPr>
      <w:r w:rsidRPr="009E38F8">
        <w:rPr>
          <w:iCs/>
        </w:rPr>
        <w:t>(</w:t>
      </w:r>
      <w:r>
        <w:rPr>
          <w:iCs/>
        </w:rPr>
        <w:t>c</w:t>
      </w:r>
      <w:r w:rsidRPr="009E38F8">
        <w:rPr>
          <w:iCs/>
        </w:rPr>
        <w:t>)</w:t>
      </w:r>
      <w:r w:rsidRPr="009E38F8">
        <w:rPr>
          <w:iCs/>
        </w:rPr>
        <w:tab/>
      </w:r>
      <w:r>
        <w:t xml:space="preserve">Cash and cash equivalents at the end of the reporting period does not equal cash and deposits on the balance sheet. </w:t>
      </w:r>
      <w:r w:rsidR="002867C2">
        <w:br/>
      </w:r>
      <w:r>
        <w:t>This is due to overdrafts being included in the cash flow statement balances.</w:t>
      </w:r>
    </w:p>
    <w:p w14:paraId="18B88F00" w14:textId="77777777" w:rsidR="00B51426" w:rsidRDefault="00B51426">
      <w:pPr>
        <w:keepLines w:val="0"/>
        <w:rPr>
          <w:rFonts w:asciiTheme="majorHAnsi" w:hAnsiTheme="majorHAnsi" w:cstheme="minorBidi"/>
          <w:b/>
          <w:iCs/>
          <w:sz w:val="20"/>
          <w:szCs w:val="18"/>
        </w:rPr>
      </w:pPr>
      <w:r>
        <w:br w:type="page"/>
      </w:r>
    </w:p>
    <w:p w14:paraId="2A289853" w14:textId="754CA73C" w:rsidR="005D339F" w:rsidRDefault="005D339F" w:rsidP="005D339F">
      <w:pPr>
        <w:pStyle w:val="TableHeading"/>
      </w:pPr>
      <w:r w:rsidRPr="00921F69">
        <w:t>Table 5.19</w:t>
      </w:r>
      <w:r w:rsidRPr="00921F69">
        <w:tab/>
        <w:t xml:space="preserve">State of Victoria statement of changes in equity </w:t>
      </w:r>
      <w:r w:rsidRPr="00921F69">
        <w:br/>
        <w:t>for the financial year ended 30 June</w:t>
      </w:r>
      <w:r w:rsidRPr="00921F69">
        <w:tab/>
        <w:t>($ million)</w:t>
      </w:r>
    </w:p>
    <w:tbl>
      <w:tblPr>
        <w:tblStyle w:val="DTFTableNumeric"/>
        <w:tblW w:w="7655" w:type="dxa"/>
        <w:tblLayout w:type="fixed"/>
        <w:tblLook w:val="06A0" w:firstRow="1" w:lastRow="0" w:firstColumn="1" w:lastColumn="0" w:noHBand="1" w:noVBand="1"/>
        <w:tblDescription w:val="Type:DtfTable|Workbook:https://vicgov.sharepoint.com/sites/VG002735/Budget%20Update/Financial%20Statements/Manual%20reports/Link_BU_SOCIE.xlsx|Table:Manual_WoS_SOCIE"/>
      </w:tblPr>
      <w:tblGrid>
        <w:gridCol w:w="2946"/>
        <w:gridCol w:w="1165"/>
        <w:gridCol w:w="1559"/>
        <w:gridCol w:w="851"/>
        <w:gridCol w:w="1134"/>
      </w:tblGrid>
      <w:tr w:rsidR="005D339F" w14:paraId="6ACB8A79" w14:textId="77777777" w:rsidTr="00B51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6" w:type="dxa"/>
          </w:tcPr>
          <w:p w14:paraId="726868F6" w14:textId="77777777" w:rsidR="005D339F" w:rsidRPr="009F215F" w:rsidRDefault="005D339F" w:rsidP="008670FF">
            <w:pPr>
              <w:keepNext/>
              <w:rPr>
                <w:sz w:val="16"/>
                <w:szCs w:val="20"/>
              </w:rPr>
            </w:pPr>
          </w:p>
        </w:tc>
        <w:tc>
          <w:tcPr>
            <w:tcW w:w="1165" w:type="dxa"/>
          </w:tcPr>
          <w:p w14:paraId="2A8FAA24" w14:textId="77777777" w:rsidR="005D339F" w:rsidRPr="009F215F"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20"/>
              </w:rPr>
            </w:pPr>
            <w:r w:rsidRPr="009F215F">
              <w:rPr>
                <w:sz w:val="16"/>
                <w:szCs w:val="20"/>
              </w:rPr>
              <w:t>Accumulated surplus/(deficit)</w:t>
            </w:r>
          </w:p>
        </w:tc>
        <w:tc>
          <w:tcPr>
            <w:tcW w:w="1559" w:type="dxa"/>
          </w:tcPr>
          <w:p w14:paraId="647EFBD2" w14:textId="77777777" w:rsidR="005D339F" w:rsidRPr="009F215F"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20"/>
              </w:rPr>
            </w:pPr>
            <w:r w:rsidRPr="009F215F">
              <w:rPr>
                <w:sz w:val="16"/>
                <w:szCs w:val="20"/>
              </w:rPr>
              <w:t>Non</w:t>
            </w:r>
            <w:r w:rsidRPr="009F215F">
              <w:rPr>
                <w:sz w:val="16"/>
                <w:szCs w:val="20"/>
              </w:rPr>
              <w:noBreakHyphen/>
              <w:t>financial assets revaluation surplus</w:t>
            </w:r>
          </w:p>
        </w:tc>
        <w:tc>
          <w:tcPr>
            <w:tcW w:w="851" w:type="dxa"/>
          </w:tcPr>
          <w:p w14:paraId="768F91D6" w14:textId="77777777" w:rsidR="005D339F" w:rsidRPr="009F215F"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20"/>
              </w:rPr>
            </w:pPr>
            <w:r w:rsidRPr="009F215F">
              <w:rPr>
                <w:sz w:val="16"/>
                <w:szCs w:val="20"/>
              </w:rPr>
              <w:t>Other reserves</w:t>
            </w:r>
          </w:p>
        </w:tc>
        <w:tc>
          <w:tcPr>
            <w:tcW w:w="1134" w:type="dxa"/>
          </w:tcPr>
          <w:p w14:paraId="7CDAA3D1" w14:textId="77777777" w:rsidR="005D339F" w:rsidRPr="009F215F" w:rsidRDefault="005D339F" w:rsidP="008670FF">
            <w:pPr>
              <w:keepNext/>
              <w:cnfStyle w:val="100000000000" w:firstRow="1" w:lastRow="0" w:firstColumn="0" w:lastColumn="0" w:oddVBand="0" w:evenVBand="0" w:oddHBand="0" w:evenHBand="0" w:firstRowFirstColumn="0" w:firstRowLastColumn="0" w:lastRowFirstColumn="0" w:lastRowLastColumn="0"/>
              <w:rPr>
                <w:sz w:val="16"/>
                <w:szCs w:val="20"/>
              </w:rPr>
            </w:pPr>
            <w:r w:rsidRPr="009F215F">
              <w:rPr>
                <w:sz w:val="16"/>
                <w:szCs w:val="20"/>
              </w:rPr>
              <w:t>Total</w:t>
            </w:r>
          </w:p>
        </w:tc>
      </w:tr>
      <w:tr w:rsidR="005D339F" w14:paraId="79BFD985"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1D8C4669" w14:textId="77777777" w:rsidR="005D339F" w:rsidRPr="009F215F" w:rsidRDefault="005D339F" w:rsidP="008670FF">
            <w:pPr>
              <w:rPr>
                <w:sz w:val="16"/>
                <w:szCs w:val="20"/>
              </w:rPr>
            </w:pPr>
            <w:r w:rsidRPr="009F215F">
              <w:rPr>
                <w:b/>
                <w:sz w:val="16"/>
                <w:szCs w:val="20"/>
              </w:rPr>
              <w:t>2024</w:t>
            </w:r>
            <w:r w:rsidRPr="009F215F">
              <w:rPr>
                <w:b/>
                <w:sz w:val="16"/>
                <w:szCs w:val="20"/>
              </w:rPr>
              <w:noBreakHyphen/>
              <w:t>25 budget</w:t>
            </w:r>
            <w:r w:rsidRPr="009F215F">
              <w:rPr>
                <w:b/>
                <w:sz w:val="16"/>
                <w:szCs w:val="20"/>
                <w:vertAlign w:val="superscript"/>
              </w:rPr>
              <w:t xml:space="preserve"> (a)</w:t>
            </w:r>
          </w:p>
        </w:tc>
        <w:tc>
          <w:tcPr>
            <w:tcW w:w="1165" w:type="dxa"/>
          </w:tcPr>
          <w:p w14:paraId="2975E6C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559" w:type="dxa"/>
          </w:tcPr>
          <w:p w14:paraId="2B229EA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851" w:type="dxa"/>
          </w:tcPr>
          <w:p w14:paraId="6A2D685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134" w:type="dxa"/>
          </w:tcPr>
          <w:p w14:paraId="6B0A007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r>
      <w:tr w:rsidR="005D339F" w14:paraId="7C40A313"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5008C7DD" w14:textId="77777777" w:rsidR="005D339F" w:rsidRPr="009F215F" w:rsidRDefault="005D339F" w:rsidP="008670FF">
            <w:pPr>
              <w:rPr>
                <w:sz w:val="16"/>
                <w:szCs w:val="20"/>
              </w:rPr>
            </w:pPr>
            <w:r w:rsidRPr="009F215F">
              <w:rPr>
                <w:sz w:val="16"/>
                <w:szCs w:val="20"/>
              </w:rPr>
              <w:t>Balance at 1 July 2024</w:t>
            </w:r>
          </w:p>
        </w:tc>
        <w:tc>
          <w:tcPr>
            <w:tcW w:w="1165" w:type="dxa"/>
          </w:tcPr>
          <w:p w14:paraId="7BE84F8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76 281</w:t>
            </w:r>
          </w:p>
        </w:tc>
        <w:tc>
          <w:tcPr>
            <w:tcW w:w="1559" w:type="dxa"/>
          </w:tcPr>
          <w:p w14:paraId="1A411ED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161 192</w:t>
            </w:r>
          </w:p>
        </w:tc>
        <w:tc>
          <w:tcPr>
            <w:tcW w:w="851" w:type="dxa"/>
          </w:tcPr>
          <w:p w14:paraId="4F488AD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2 432</w:t>
            </w:r>
          </w:p>
        </w:tc>
        <w:tc>
          <w:tcPr>
            <w:tcW w:w="1134" w:type="dxa"/>
          </w:tcPr>
          <w:p w14:paraId="2D038CE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239 904</w:t>
            </w:r>
          </w:p>
        </w:tc>
      </w:tr>
      <w:tr w:rsidR="005D339F" w14:paraId="4CE9E9FB"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56BCFC19" w14:textId="77777777" w:rsidR="005D339F" w:rsidRPr="009F215F" w:rsidRDefault="005D339F" w:rsidP="008670FF">
            <w:pPr>
              <w:rPr>
                <w:sz w:val="16"/>
                <w:szCs w:val="20"/>
              </w:rPr>
            </w:pPr>
            <w:r w:rsidRPr="009F215F">
              <w:rPr>
                <w:sz w:val="16"/>
                <w:szCs w:val="20"/>
              </w:rPr>
              <w:t>Opening balance adjustment</w:t>
            </w:r>
            <w:r w:rsidRPr="009F215F">
              <w:rPr>
                <w:sz w:val="16"/>
                <w:szCs w:val="20"/>
                <w:vertAlign w:val="superscript"/>
              </w:rPr>
              <w:t xml:space="preserve"> (b)</w:t>
            </w:r>
          </w:p>
        </w:tc>
        <w:tc>
          <w:tcPr>
            <w:tcW w:w="1165" w:type="dxa"/>
          </w:tcPr>
          <w:p w14:paraId="2B20300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215</w:t>
            </w:r>
          </w:p>
        </w:tc>
        <w:tc>
          <w:tcPr>
            <w:tcW w:w="1559" w:type="dxa"/>
          </w:tcPr>
          <w:p w14:paraId="0CDEB04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(211)</w:t>
            </w:r>
          </w:p>
        </w:tc>
        <w:tc>
          <w:tcPr>
            <w:tcW w:w="851" w:type="dxa"/>
          </w:tcPr>
          <w:p w14:paraId="561CFDF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3148B23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3</w:t>
            </w:r>
          </w:p>
        </w:tc>
      </w:tr>
      <w:tr w:rsidR="005D339F" w14:paraId="59B0C869"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44C221A4" w14:textId="77777777" w:rsidR="005D339F" w:rsidRPr="009F215F" w:rsidRDefault="005D339F" w:rsidP="008670FF">
            <w:pPr>
              <w:rPr>
                <w:sz w:val="16"/>
                <w:szCs w:val="20"/>
              </w:rPr>
            </w:pPr>
            <w:r w:rsidRPr="009F215F">
              <w:rPr>
                <w:b/>
                <w:sz w:val="16"/>
                <w:szCs w:val="20"/>
              </w:rPr>
              <w:t>Restated balance at 1 July 2024</w:t>
            </w:r>
          </w:p>
        </w:tc>
        <w:tc>
          <w:tcPr>
            <w:tcW w:w="1165" w:type="dxa"/>
          </w:tcPr>
          <w:p w14:paraId="66917A26"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76 495</w:t>
            </w:r>
          </w:p>
        </w:tc>
        <w:tc>
          <w:tcPr>
            <w:tcW w:w="1559" w:type="dxa"/>
          </w:tcPr>
          <w:p w14:paraId="7608016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160 980</w:t>
            </w:r>
          </w:p>
        </w:tc>
        <w:tc>
          <w:tcPr>
            <w:tcW w:w="851" w:type="dxa"/>
          </w:tcPr>
          <w:p w14:paraId="2C29F6E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2 432</w:t>
            </w:r>
          </w:p>
        </w:tc>
        <w:tc>
          <w:tcPr>
            <w:tcW w:w="1134" w:type="dxa"/>
          </w:tcPr>
          <w:p w14:paraId="60F2B25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239 908</w:t>
            </w:r>
          </w:p>
        </w:tc>
      </w:tr>
      <w:tr w:rsidR="005D339F" w14:paraId="160231F0"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6E055A4E" w14:textId="77777777" w:rsidR="005D339F" w:rsidRPr="009F215F" w:rsidRDefault="005D339F" w:rsidP="008670FF">
            <w:pPr>
              <w:rPr>
                <w:sz w:val="16"/>
                <w:szCs w:val="20"/>
              </w:rPr>
            </w:pPr>
            <w:r w:rsidRPr="009F215F">
              <w:rPr>
                <w:sz w:val="16"/>
                <w:szCs w:val="20"/>
              </w:rPr>
              <w:t>Net result for the year</w:t>
            </w:r>
          </w:p>
        </w:tc>
        <w:tc>
          <w:tcPr>
            <w:tcW w:w="1165" w:type="dxa"/>
          </w:tcPr>
          <w:p w14:paraId="5E664D5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(6 277)</w:t>
            </w:r>
          </w:p>
        </w:tc>
        <w:tc>
          <w:tcPr>
            <w:tcW w:w="1559" w:type="dxa"/>
          </w:tcPr>
          <w:p w14:paraId="15B19E6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5A16BE2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358A4EE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(6 277)</w:t>
            </w:r>
          </w:p>
        </w:tc>
      </w:tr>
      <w:tr w:rsidR="005D339F" w14:paraId="1CEFEF1C"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6D42903D" w14:textId="77777777" w:rsidR="005D339F" w:rsidRPr="009F215F" w:rsidRDefault="005D339F" w:rsidP="008670FF">
            <w:pPr>
              <w:rPr>
                <w:sz w:val="16"/>
                <w:szCs w:val="20"/>
              </w:rPr>
            </w:pPr>
            <w:r w:rsidRPr="009F215F">
              <w:rPr>
                <w:sz w:val="16"/>
                <w:szCs w:val="20"/>
              </w:rPr>
              <w:t>Other comprehensive income for the year</w:t>
            </w:r>
          </w:p>
        </w:tc>
        <w:tc>
          <w:tcPr>
            <w:tcW w:w="1165" w:type="dxa"/>
          </w:tcPr>
          <w:p w14:paraId="2DA45C0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722</w:t>
            </w:r>
          </w:p>
        </w:tc>
        <w:tc>
          <w:tcPr>
            <w:tcW w:w="1559" w:type="dxa"/>
          </w:tcPr>
          <w:p w14:paraId="156AAFA4"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6 843</w:t>
            </w:r>
          </w:p>
        </w:tc>
        <w:tc>
          <w:tcPr>
            <w:tcW w:w="851" w:type="dxa"/>
          </w:tcPr>
          <w:p w14:paraId="38E0E42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40</w:t>
            </w:r>
          </w:p>
        </w:tc>
        <w:tc>
          <w:tcPr>
            <w:tcW w:w="1134" w:type="dxa"/>
          </w:tcPr>
          <w:p w14:paraId="269E2B4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7 605</w:t>
            </w:r>
          </w:p>
        </w:tc>
      </w:tr>
      <w:tr w:rsidR="005D339F" w14:paraId="454AE5F0"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3BB4B93F" w14:textId="77777777" w:rsidR="005D339F" w:rsidRPr="009F215F" w:rsidRDefault="005D339F" w:rsidP="008670FF">
            <w:pPr>
              <w:rPr>
                <w:sz w:val="16"/>
                <w:szCs w:val="20"/>
              </w:rPr>
            </w:pPr>
            <w:r w:rsidRPr="009F215F">
              <w:rPr>
                <w:sz w:val="16"/>
                <w:szCs w:val="20"/>
              </w:rPr>
              <w:t>Transfer to/(from) accumulated surplus</w:t>
            </w:r>
          </w:p>
        </w:tc>
        <w:tc>
          <w:tcPr>
            <w:tcW w:w="1165" w:type="dxa"/>
          </w:tcPr>
          <w:p w14:paraId="1F3388F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559" w:type="dxa"/>
          </w:tcPr>
          <w:p w14:paraId="17196457"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442B0877"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41F0932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r>
      <w:tr w:rsidR="005D339F" w14:paraId="2D1BFFE2"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bottom w:val="single" w:sz="6" w:space="0" w:color="auto"/>
            </w:tcBorders>
          </w:tcPr>
          <w:p w14:paraId="6563F1B1" w14:textId="77777777" w:rsidR="005D339F" w:rsidRPr="009F215F" w:rsidRDefault="005D339F" w:rsidP="008670FF">
            <w:pPr>
              <w:rPr>
                <w:sz w:val="16"/>
                <w:szCs w:val="20"/>
              </w:rPr>
            </w:pPr>
            <w:r w:rsidRPr="009F215F">
              <w:rPr>
                <w:b/>
                <w:sz w:val="16"/>
                <w:szCs w:val="20"/>
              </w:rPr>
              <w:t>Total equity as at 30 June 2025</w:t>
            </w:r>
          </w:p>
        </w:tc>
        <w:tc>
          <w:tcPr>
            <w:tcW w:w="1165" w:type="dxa"/>
            <w:tcBorders>
              <w:top w:val="single" w:sz="6" w:space="0" w:color="auto"/>
              <w:bottom w:val="single" w:sz="6" w:space="0" w:color="auto"/>
            </w:tcBorders>
          </w:tcPr>
          <w:p w14:paraId="463BF46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70 941</w:t>
            </w:r>
          </w:p>
        </w:tc>
        <w:tc>
          <w:tcPr>
            <w:tcW w:w="1559" w:type="dxa"/>
            <w:tcBorders>
              <w:top w:val="single" w:sz="6" w:space="0" w:color="auto"/>
              <w:bottom w:val="single" w:sz="6" w:space="0" w:color="auto"/>
            </w:tcBorders>
          </w:tcPr>
          <w:p w14:paraId="051C2336"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167 824</w:t>
            </w:r>
          </w:p>
        </w:tc>
        <w:tc>
          <w:tcPr>
            <w:tcW w:w="851" w:type="dxa"/>
            <w:tcBorders>
              <w:top w:val="single" w:sz="6" w:space="0" w:color="auto"/>
              <w:bottom w:val="single" w:sz="6" w:space="0" w:color="auto"/>
            </w:tcBorders>
          </w:tcPr>
          <w:p w14:paraId="237F718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2 472</w:t>
            </w:r>
          </w:p>
        </w:tc>
        <w:tc>
          <w:tcPr>
            <w:tcW w:w="1134" w:type="dxa"/>
            <w:tcBorders>
              <w:top w:val="single" w:sz="6" w:space="0" w:color="auto"/>
              <w:bottom w:val="single" w:sz="6" w:space="0" w:color="auto"/>
            </w:tcBorders>
          </w:tcPr>
          <w:p w14:paraId="6B3360F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241 236</w:t>
            </w:r>
          </w:p>
        </w:tc>
      </w:tr>
      <w:tr w:rsidR="005D339F" w14:paraId="71257432"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tcBorders>
          </w:tcPr>
          <w:p w14:paraId="26344942" w14:textId="77777777" w:rsidR="005D339F" w:rsidRPr="009F215F" w:rsidRDefault="005D339F" w:rsidP="008670FF">
            <w:pPr>
              <w:rPr>
                <w:sz w:val="16"/>
                <w:szCs w:val="20"/>
              </w:rPr>
            </w:pPr>
            <w:r w:rsidRPr="009F215F">
              <w:rPr>
                <w:b/>
                <w:sz w:val="16"/>
                <w:szCs w:val="20"/>
              </w:rPr>
              <w:t>2024</w:t>
            </w:r>
            <w:r w:rsidRPr="009F215F">
              <w:rPr>
                <w:b/>
                <w:sz w:val="16"/>
                <w:szCs w:val="20"/>
              </w:rPr>
              <w:noBreakHyphen/>
              <w:t>25 revised</w:t>
            </w:r>
          </w:p>
        </w:tc>
        <w:tc>
          <w:tcPr>
            <w:tcW w:w="1165" w:type="dxa"/>
            <w:tcBorders>
              <w:top w:val="single" w:sz="6" w:space="0" w:color="auto"/>
            </w:tcBorders>
          </w:tcPr>
          <w:p w14:paraId="3EEB3FBE"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559" w:type="dxa"/>
            <w:tcBorders>
              <w:top w:val="single" w:sz="6" w:space="0" w:color="auto"/>
            </w:tcBorders>
          </w:tcPr>
          <w:p w14:paraId="61F942E6"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851" w:type="dxa"/>
            <w:tcBorders>
              <w:top w:val="single" w:sz="6" w:space="0" w:color="auto"/>
            </w:tcBorders>
          </w:tcPr>
          <w:p w14:paraId="32885A7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134" w:type="dxa"/>
            <w:tcBorders>
              <w:top w:val="single" w:sz="6" w:space="0" w:color="auto"/>
            </w:tcBorders>
          </w:tcPr>
          <w:p w14:paraId="3402F95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r>
      <w:tr w:rsidR="005D339F" w14:paraId="4E108B8C"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44E79554" w14:textId="77777777" w:rsidR="005D339F" w:rsidRPr="009F215F" w:rsidRDefault="005D339F" w:rsidP="008670FF">
            <w:pPr>
              <w:rPr>
                <w:sz w:val="16"/>
                <w:szCs w:val="20"/>
              </w:rPr>
            </w:pPr>
            <w:r w:rsidRPr="009F215F">
              <w:rPr>
                <w:sz w:val="16"/>
                <w:szCs w:val="20"/>
              </w:rPr>
              <w:t>Balance at 1 July 2024</w:t>
            </w:r>
          </w:p>
        </w:tc>
        <w:tc>
          <w:tcPr>
            <w:tcW w:w="1165" w:type="dxa"/>
          </w:tcPr>
          <w:p w14:paraId="03589867"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76 281</w:t>
            </w:r>
          </w:p>
        </w:tc>
        <w:tc>
          <w:tcPr>
            <w:tcW w:w="1559" w:type="dxa"/>
          </w:tcPr>
          <w:p w14:paraId="78DB559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161 192</w:t>
            </w:r>
          </w:p>
        </w:tc>
        <w:tc>
          <w:tcPr>
            <w:tcW w:w="851" w:type="dxa"/>
          </w:tcPr>
          <w:p w14:paraId="116EBE0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2 432</w:t>
            </w:r>
          </w:p>
        </w:tc>
        <w:tc>
          <w:tcPr>
            <w:tcW w:w="1134" w:type="dxa"/>
          </w:tcPr>
          <w:p w14:paraId="607D9D8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239 904</w:t>
            </w:r>
          </w:p>
        </w:tc>
      </w:tr>
      <w:tr w:rsidR="005D339F" w14:paraId="58E2A5A9"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6BC65558" w14:textId="77777777" w:rsidR="005D339F" w:rsidRPr="009F215F" w:rsidRDefault="005D339F" w:rsidP="008670FF">
            <w:pPr>
              <w:rPr>
                <w:sz w:val="16"/>
                <w:szCs w:val="20"/>
              </w:rPr>
            </w:pPr>
            <w:r w:rsidRPr="009F215F">
              <w:rPr>
                <w:sz w:val="16"/>
                <w:szCs w:val="20"/>
              </w:rPr>
              <w:t>Opening balance adjustment</w:t>
            </w:r>
            <w:r w:rsidRPr="009F215F">
              <w:rPr>
                <w:sz w:val="16"/>
                <w:szCs w:val="20"/>
                <w:vertAlign w:val="superscript"/>
              </w:rPr>
              <w:t xml:space="preserve"> (b)</w:t>
            </w:r>
          </w:p>
        </w:tc>
        <w:tc>
          <w:tcPr>
            <w:tcW w:w="1165" w:type="dxa"/>
          </w:tcPr>
          <w:p w14:paraId="32C508D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215</w:t>
            </w:r>
          </w:p>
        </w:tc>
        <w:tc>
          <w:tcPr>
            <w:tcW w:w="1559" w:type="dxa"/>
          </w:tcPr>
          <w:p w14:paraId="4BF1850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(211)</w:t>
            </w:r>
          </w:p>
        </w:tc>
        <w:tc>
          <w:tcPr>
            <w:tcW w:w="851" w:type="dxa"/>
          </w:tcPr>
          <w:p w14:paraId="0B889A9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129E2AF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3</w:t>
            </w:r>
          </w:p>
        </w:tc>
      </w:tr>
      <w:tr w:rsidR="005D339F" w14:paraId="65A08233"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09FA2821" w14:textId="77777777" w:rsidR="005D339F" w:rsidRPr="009F215F" w:rsidRDefault="005D339F" w:rsidP="008670FF">
            <w:pPr>
              <w:rPr>
                <w:sz w:val="16"/>
                <w:szCs w:val="20"/>
              </w:rPr>
            </w:pPr>
            <w:r w:rsidRPr="009F215F">
              <w:rPr>
                <w:b/>
                <w:sz w:val="16"/>
                <w:szCs w:val="20"/>
              </w:rPr>
              <w:t>Restated balance at 1 July 2024</w:t>
            </w:r>
          </w:p>
        </w:tc>
        <w:tc>
          <w:tcPr>
            <w:tcW w:w="1165" w:type="dxa"/>
          </w:tcPr>
          <w:p w14:paraId="5CE2246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76 495</w:t>
            </w:r>
          </w:p>
        </w:tc>
        <w:tc>
          <w:tcPr>
            <w:tcW w:w="1559" w:type="dxa"/>
          </w:tcPr>
          <w:p w14:paraId="6A9B2F8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160 980</w:t>
            </w:r>
          </w:p>
        </w:tc>
        <w:tc>
          <w:tcPr>
            <w:tcW w:w="851" w:type="dxa"/>
          </w:tcPr>
          <w:p w14:paraId="5E7C0D8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2 432</w:t>
            </w:r>
          </w:p>
        </w:tc>
        <w:tc>
          <w:tcPr>
            <w:tcW w:w="1134" w:type="dxa"/>
          </w:tcPr>
          <w:p w14:paraId="58202E6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239 908</w:t>
            </w:r>
          </w:p>
        </w:tc>
      </w:tr>
      <w:tr w:rsidR="005D339F" w14:paraId="2EF2D3E7"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59AFD07E" w14:textId="77777777" w:rsidR="005D339F" w:rsidRPr="009F215F" w:rsidRDefault="005D339F" w:rsidP="008670FF">
            <w:pPr>
              <w:rPr>
                <w:sz w:val="16"/>
                <w:szCs w:val="20"/>
              </w:rPr>
            </w:pPr>
            <w:r w:rsidRPr="009F215F">
              <w:rPr>
                <w:sz w:val="16"/>
                <w:szCs w:val="20"/>
              </w:rPr>
              <w:t>Net result for the year</w:t>
            </w:r>
          </w:p>
        </w:tc>
        <w:tc>
          <w:tcPr>
            <w:tcW w:w="1165" w:type="dxa"/>
          </w:tcPr>
          <w:p w14:paraId="48DE562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(8 850)</w:t>
            </w:r>
          </w:p>
        </w:tc>
        <w:tc>
          <w:tcPr>
            <w:tcW w:w="1559" w:type="dxa"/>
          </w:tcPr>
          <w:p w14:paraId="149CE57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621C26B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6D068A4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(8 850)</w:t>
            </w:r>
          </w:p>
        </w:tc>
      </w:tr>
      <w:tr w:rsidR="005D339F" w14:paraId="79165B18"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34B81B29" w14:textId="77777777" w:rsidR="005D339F" w:rsidRPr="009F215F" w:rsidRDefault="005D339F" w:rsidP="008670FF">
            <w:pPr>
              <w:rPr>
                <w:sz w:val="16"/>
                <w:szCs w:val="20"/>
              </w:rPr>
            </w:pPr>
            <w:r w:rsidRPr="009F215F">
              <w:rPr>
                <w:sz w:val="16"/>
                <w:szCs w:val="20"/>
              </w:rPr>
              <w:t>Other comprehensive income for the year</w:t>
            </w:r>
          </w:p>
        </w:tc>
        <w:tc>
          <w:tcPr>
            <w:tcW w:w="1165" w:type="dxa"/>
          </w:tcPr>
          <w:p w14:paraId="15F6D05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(265)</w:t>
            </w:r>
          </w:p>
        </w:tc>
        <w:tc>
          <w:tcPr>
            <w:tcW w:w="1559" w:type="dxa"/>
          </w:tcPr>
          <w:p w14:paraId="38A4127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6 754</w:t>
            </w:r>
          </w:p>
        </w:tc>
        <w:tc>
          <w:tcPr>
            <w:tcW w:w="851" w:type="dxa"/>
          </w:tcPr>
          <w:p w14:paraId="09645BA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w:t>
            </w:r>
          </w:p>
        </w:tc>
        <w:tc>
          <w:tcPr>
            <w:tcW w:w="1134" w:type="dxa"/>
          </w:tcPr>
          <w:p w14:paraId="6A1D175E"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6 488</w:t>
            </w:r>
          </w:p>
        </w:tc>
      </w:tr>
      <w:tr w:rsidR="005D339F" w14:paraId="126D2388"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69B1A1C6" w14:textId="77777777" w:rsidR="005D339F" w:rsidRPr="009F215F" w:rsidRDefault="005D339F" w:rsidP="008670FF">
            <w:pPr>
              <w:rPr>
                <w:sz w:val="16"/>
                <w:szCs w:val="20"/>
              </w:rPr>
            </w:pPr>
            <w:r w:rsidRPr="009F215F">
              <w:rPr>
                <w:sz w:val="16"/>
                <w:szCs w:val="20"/>
              </w:rPr>
              <w:t>Transfer to/(from) accumulated surplus</w:t>
            </w:r>
          </w:p>
        </w:tc>
        <w:tc>
          <w:tcPr>
            <w:tcW w:w="1165" w:type="dxa"/>
          </w:tcPr>
          <w:p w14:paraId="5E982516"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559" w:type="dxa"/>
          </w:tcPr>
          <w:p w14:paraId="0DD3960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092E9C7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5C35AE5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r>
      <w:tr w:rsidR="005D339F" w14:paraId="10BEF9A8"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bottom w:val="single" w:sz="6" w:space="0" w:color="auto"/>
            </w:tcBorders>
          </w:tcPr>
          <w:p w14:paraId="7FF8E488" w14:textId="77777777" w:rsidR="005D339F" w:rsidRPr="009F215F" w:rsidRDefault="005D339F" w:rsidP="008670FF">
            <w:pPr>
              <w:rPr>
                <w:sz w:val="16"/>
                <w:szCs w:val="20"/>
              </w:rPr>
            </w:pPr>
            <w:r w:rsidRPr="009F215F">
              <w:rPr>
                <w:b/>
                <w:sz w:val="16"/>
                <w:szCs w:val="20"/>
              </w:rPr>
              <w:t>Total equity as at 30 June 2025</w:t>
            </w:r>
          </w:p>
        </w:tc>
        <w:tc>
          <w:tcPr>
            <w:tcW w:w="1165" w:type="dxa"/>
            <w:tcBorders>
              <w:top w:val="single" w:sz="6" w:space="0" w:color="auto"/>
              <w:bottom w:val="single" w:sz="6" w:space="0" w:color="auto"/>
            </w:tcBorders>
          </w:tcPr>
          <w:p w14:paraId="0A64243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67 380</w:t>
            </w:r>
          </w:p>
        </w:tc>
        <w:tc>
          <w:tcPr>
            <w:tcW w:w="1559" w:type="dxa"/>
            <w:tcBorders>
              <w:top w:val="single" w:sz="6" w:space="0" w:color="auto"/>
              <w:bottom w:val="single" w:sz="6" w:space="0" w:color="auto"/>
            </w:tcBorders>
          </w:tcPr>
          <w:p w14:paraId="3ECE916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167 734</w:t>
            </w:r>
          </w:p>
        </w:tc>
        <w:tc>
          <w:tcPr>
            <w:tcW w:w="851" w:type="dxa"/>
            <w:tcBorders>
              <w:top w:val="single" w:sz="6" w:space="0" w:color="auto"/>
              <w:bottom w:val="single" w:sz="6" w:space="0" w:color="auto"/>
            </w:tcBorders>
          </w:tcPr>
          <w:p w14:paraId="15ADB99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2 431</w:t>
            </w:r>
          </w:p>
        </w:tc>
        <w:tc>
          <w:tcPr>
            <w:tcW w:w="1134" w:type="dxa"/>
            <w:tcBorders>
              <w:top w:val="single" w:sz="6" w:space="0" w:color="auto"/>
              <w:bottom w:val="single" w:sz="6" w:space="0" w:color="auto"/>
            </w:tcBorders>
          </w:tcPr>
          <w:p w14:paraId="44B5E27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237 545</w:t>
            </w:r>
          </w:p>
        </w:tc>
      </w:tr>
      <w:tr w:rsidR="005D339F" w14:paraId="3805F72B"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tcBorders>
          </w:tcPr>
          <w:p w14:paraId="097C5B81" w14:textId="77777777" w:rsidR="005D339F" w:rsidRPr="009F215F" w:rsidRDefault="005D339F" w:rsidP="008670FF">
            <w:pPr>
              <w:rPr>
                <w:sz w:val="16"/>
                <w:szCs w:val="20"/>
              </w:rPr>
            </w:pPr>
            <w:r w:rsidRPr="009F215F">
              <w:rPr>
                <w:b/>
                <w:sz w:val="16"/>
                <w:szCs w:val="20"/>
              </w:rPr>
              <w:t>2025</w:t>
            </w:r>
            <w:r w:rsidRPr="009F215F">
              <w:rPr>
                <w:b/>
                <w:sz w:val="16"/>
                <w:szCs w:val="20"/>
              </w:rPr>
              <w:noBreakHyphen/>
              <w:t>26 estimate</w:t>
            </w:r>
          </w:p>
        </w:tc>
        <w:tc>
          <w:tcPr>
            <w:tcW w:w="1165" w:type="dxa"/>
            <w:tcBorders>
              <w:top w:val="single" w:sz="6" w:space="0" w:color="auto"/>
            </w:tcBorders>
          </w:tcPr>
          <w:p w14:paraId="02CF238E"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559" w:type="dxa"/>
            <w:tcBorders>
              <w:top w:val="single" w:sz="6" w:space="0" w:color="auto"/>
            </w:tcBorders>
          </w:tcPr>
          <w:p w14:paraId="5F93C13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851" w:type="dxa"/>
            <w:tcBorders>
              <w:top w:val="single" w:sz="6" w:space="0" w:color="auto"/>
            </w:tcBorders>
          </w:tcPr>
          <w:p w14:paraId="4267875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134" w:type="dxa"/>
            <w:tcBorders>
              <w:top w:val="single" w:sz="6" w:space="0" w:color="auto"/>
            </w:tcBorders>
          </w:tcPr>
          <w:p w14:paraId="18C0D05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r>
      <w:tr w:rsidR="005D339F" w14:paraId="796E51B1"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57E80ABB" w14:textId="77777777" w:rsidR="005D339F" w:rsidRPr="009F215F" w:rsidRDefault="005D339F" w:rsidP="008670FF">
            <w:pPr>
              <w:rPr>
                <w:sz w:val="16"/>
                <w:szCs w:val="20"/>
              </w:rPr>
            </w:pPr>
            <w:r w:rsidRPr="009F215F">
              <w:rPr>
                <w:sz w:val="16"/>
                <w:szCs w:val="20"/>
              </w:rPr>
              <w:t>Balance at 1 July 2025</w:t>
            </w:r>
          </w:p>
        </w:tc>
        <w:tc>
          <w:tcPr>
            <w:tcW w:w="1165" w:type="dxa"/>
          </w:tcPr>
          <w:p w14:paraId="7BF0872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67 380</w:t>
            </w:r>
          </w:p>
        </w:tc>
        <w:tc>
          <w:tcPr>
            <w:tcW w:w="1559" w:type="dxa"/>
          </w:tcPr>
          <w:p w14:paraId="557E514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167 734</w:t>
            </w:r>
          </w:p>
        </w:tc>
        <w:tc>
          <w:tcPr>
            <w:tcW w:w="851" w:type="dxa"/>
          </w:tcPr>
          <w:p w14:paraId="6A01679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2 431</w:t>
            </w:r>
          </w:p>
        </w:tc>
        <w:tc>
          <w:tcPr>
            <w:tcW w:w="1134" w:type="dxa"/>
          </w:tcPr>
          <w:p w14:paraId="52F0C2C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237 545</w:t>
            </w:r>
          </w:p>
        </w:tc>
      </w:tr>
      <w:tr w:rsidR="005D339F" w14:paraId="4C326217"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1840F2FB" w14:textId="77777777" w:rsidR="005D339F" w:rsidRPr="009F215F" w:rsidRDefault="005D339F" w:rsidP="008670FF">
            <w:pPr>
              <w:rPr>
                <w:sz w:val="16"/>
                <w:szCs w:val="20"/>
              </w:rPr>
            </w:pPr>
            <w:r w:rsidRPr="009F215F">
              <w:rPr>
                <w:sz w:val="16"/>
                <w:szCs w:val="20"/>
              </w:rPr>
              <w:t>Net result for the year</w:t>
            </w:r>
          </w:p>
        </w:tc>
        <w:tc>
          <w:tcPr>
            <w:tcW w:w="1165" w:type="dxa"/>
          </w:tcPr>
          <w:p w14:paraId="0EB64E7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(1 454)</w:t>
            </w:r>
          </w:p>
        </w:tc>
        <w:tc>
          <w:tcPr>
            <w:tcW w:w="1559" w:type="dxa"/>
          </w:tcPr>
          <w:p w14:paraId="02EC14EE"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35EB93B4"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298E1E6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(1 454)</w:t>
            </w:r>
          </w:p>
        </w:tc>
      </w:tr>
      <w:tr w:rsidR="005D339F" w14:paraId="77846815"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43E9D70F" w14:textId="77777777" w:rsidR="005D339F" w:rsidRPr="009F215F" w:rsidRDefault="005D339F" w:rsidP="008670FF">
            <w:pPr>
              <w:rPr>
                <w:sz w:val="16"/>
                <w:szCs w:val="20"/>
              </w:rPr>
            </w:pPr>
            <w:r w:rsidRPr="009F215F">
              <w:rPr>
                <w:sz w:val="16"/>
                <w:szCs w:val="20"/>
              </w:rPr>
              <w:t>Other comprehensive income for the year</w:t>
            </w:r>
          </w:p>
        </w:tc>
        <w:tc>
          <w:tcPr>
            <w:tcW w:w="1165" w:type="dxa"/>
          </w:tcPr>
          <w:p w14:paraId="7CEC37F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719</w:t>
            </w:r>
          </w:p>
        </w:tc>
        <w:tc>
          <w:tcPr>
            <w:tcW w:w="1559" w:type="dxa"/>
          </w:tcPr>
          <w:p w14:paraId="0D2BA63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9 569</w:t>
            </w:r>
          </w:p>
        </w:tc>
        <w:tc>
          <w:tcPr>
            <w:tcW w:w="851" w:type="dxa"/>
          </w:tcPr>
          <w:p w14:paraId="5E9481B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10</w:t>
            </w:r>
          </w:p>
        </w:tc>
        <w:tc>
          <w:tcPr>
            <w:tcW w:w="1134" w:type="dxa"/>
          </w:tcPr>
          <w:p w14:paraId="02404AD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10 298</w:t>
            </w:r>
          </w:p>
        </w:tc>
      </w:tr>
      <w:tr w:rsidR="005D339F" w14:paraId="5584440C"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2D99D422" w14:textId="77777777" w:rsidR="005D339F" w:rsidRPr="009F215F" w:rsidRDefault="005D339F" w:rsidP="008670FF">
            <w:pPr>
              <w:rPr>
                <w:sz w:val="16"/>
                <w:szCs w:val="20"/>
              </w:rPr>
            </w:pPr>
            <w:r w:rsidRPr="009F215F">
              <w:rPr>
                <w:sz w:val="16"/>
                <w:szCs w:val="20"/>
              </w:rPr>
              <w:t>Transfer to/(from) accumulated surplus</w:t>
            </w:r>
          </w:p>
        </w:tc>
        <w:tc>
          <w:tcPr>
            <w:tcW w:w="1165" w:type="dxa"/>
          </w:tcPr>
          <w:p w14:paraId="016BF97E"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345</w:t>
            </w:r>
          </w:p>
        </w:tc>
        <w:tc>
          <w:tcPr>
            <w:tcW w:w="1559" w:type="dxa"/>
          </w:tcPr>
          <w:p w14:paraId="264F01C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(345)</w:t>
            </w:r>
          </w:p>
        </w:tc>
        <w:tc>
          <w:tcPr>
            <w:tcW w:w="851" w:type="dxa"/>
          </w:tcPr>
          <w:p w14:paraId="4004398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7D2026F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r>
      <w:tr w:rsidR="005D339F" w14:paraId="72AF69A2"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bottom w:val="single" w:sz="6" w:space="0" w:color="auto"/>
            </w:tcBorders>
          </w:tcPr>
          <w:p w14:paraId="4E336AAF" w14:textId="77777777" w:rsidR="005D339F" w:rsidRPr="009F215F" w:rsidRDefault="005D339F" w:rsidP="008670FF">
            <w:pPr>
              <w:rPr>
                <w:sz w:val="16"/>
                <w:szCs w:val="20"/>
              </w:rPr>
            </w:pPr>
            <w:r w:rsidRPr="009F215F">
              <w:rPr>
                <w:b/>
                <w:sz w:val="16"/>
                <w:szCs w:val="20"/>
              </w:rPr>
              <w:t>Total equity as at 30 June 2026</w:t>
            </w:r>
          </w:p>
        </w:tc>
        <w:tc>
          <w:tcPr>
            <w:tcW w:w="1165" w:type="dxa"/>
            <w:tcBorders>
              <w:top w:val="single" w:sz="6" w:space="0" w:color="auto"/>
              <w:bottom w:val="single" w:sz="6" w:space="0" w:color="auto"/>
            </w:tcBorders>
          </w:tcPr>
          <w:p w14:paraId="25908BC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66 991</w:t>
            </w:r>
          </w:p>
        </w:tc>
        <w:tc>
          <w:tcPr>
            <w:tcW w:w="1559" w:type="dxa"/>
            <w:tcBorders>
              <w:top w:val="single" w:sz="6" w:space="0" w:color="auto"/>
              <w:bottom w:val="single" w:sz="6" w:space="0" w:color="auto"/>
            </w:tcBorders>
          </w:tcPr>
          <w:p w14:paraId="354E05D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176 958</w:t>
            </w:r>
          </w:p>
        </w:tc>
        <w:tc>
          <w:tcPr>
            <w:tcW w:w="851" w:type="dxa"/>
            <w:tcBorders>
              <w:top w:val="single" w:sz="6" w:space="0" w:color="auto"/>
              <w:bottom w:val="single" w:sz="6" w:space="0" w:color="auto"/>
            </w:tcBorders>
          </w:tcPr>
          <w:p w14:paraId="0D43C33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2 441</w:t>
            </w:r>
          </w:p>
        </w:tc>
        <w:tc>
          <w:tcPr>
            <w:tcW w:w="1134" w:type="dxa"/>
            <w:tcBorders>
              <w:top w:val="single" w:sz="6" w:space="0" w:color="auto"/>
              <w:bottom w:val="single" w:sz="6" w:space="0" w:color="auto"/>
            </w:tcBorders>
          </w:tcPr>
          <w:p w14:paraId="7BA48C8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246 390</w:t>
            </w:r>
          </w:p>
        </w:tc>
      </w:tr>
      <w:tr w:rsidR="005D339F" w14:paraId="5641B4B4"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tcBorders>
          </w:tcPr>
          <w:p w14:paraId="4E74695B" w14:textId="77777777" w:rsidR="005D339F" w:rsidRPr="009F215F" w:rsidRDefault="005D339F" w:rsidP="008670FF">
            <w:pPr>
              <w:rPr>
                <w:sz w:val="16"/>
                <w:szCs w:val="20"/>
              </w:rPr>
            </w:pPr>
            <w:r w:rsidRPr="009F215F">
              <w:rPr>
                <w:b/>
                <w:sz w:val="16"/>
                <w:szCs w:val="20"/>
              </w:rPr>
              <w:t>2026</w:t>
            </w:r>
            <w:r w:rsidRPr="009F215F">
              <w:rPr>
                <w:b/>
                <w:sz w:val="16"/>
                <w:szCs w:val="20"/>
              </w:rPr>
              <w:noBreakHyphen/>
              <w:t>27 estimate</w:t>
            </w:r>
          </w:p>
        </w:tc>
        <w:tc>
          <w:tcPr>
            <w:tcW w:w="1165" w:type="dxa"/>
            <w:tcBorders>
              <w:top w:val="single" w:sz="6" w:space="0" w:color="auto"/>
            </w:tcBorders>
          </w:tcPr>
          <w:p w14:paraId="62FAAB7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559" w:type="dxa"/>
            <w:tcBorders>
              <w:top w:val="single" w:sz="6" w:space="0" w:color="auto"/>
            </w:tcBorders>
          </w:tcPr>
          <w:p w14:paraId="4591B5A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851" w:type="dxa"/>
            <w:tcBorders>
              <w:top w:val="single" w:sz="6" w:space="0" w:color="auto"/>
            </w:tcBorders>
          </w:tcPr>
          <w:p w14:paraId="01F36A7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134" w:type="dxa"/>
            <w:tcBorders>
              <w:top w:val="single" w:sz="6" w:space="0" w:color="auto"/>
            </w:tcBorders>
          </w:tcPr>
          <w:p w14:paraId="72482F0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r>
      <w:tr w:rsidR="005D339F" w14:paraId="42422B47"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31BE49F7" w14:textId="77777777" w:rsidR="005D339F" w:rsidRPr="009F215F" w:rsidRDefault="005D339F" w:rsidP="008670FF">
            <w:pPr>
              <w:rPr>
                <w:sz w:val="16"/>
                <w:szCs w:val="20"/>
              </w:rPr>
            </w:pPr>
            <w:r w:rsidRPr="009F215F">
              <w:rPr>
                <w:sz w:val="16"/>
                <w:szCs w:val="20"/>
              </w:rPr>
              <w:t>Balance at 1 July 2026</w:t>
            </w:r>
          </w:p>
        </w:tc>
        <w:tc>
          <w:tcPr>
            <w:tcW w:w="1165" w:type="dxa"/>
          </w:tcPr>
          <w:p w14:paraId="6C2843C6"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66 991</w:t>
            </w:r>
          </w:p>
        </w:tc>
        <w:tc>
          <w:tcPr>
            <w:tcW w:w="1559" w:type="dxa"/>
          </w:tcPr>
          <w:p w14:paraId="5FBCE1D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176 958</w:t>
            </w:r>
          </w:p>
        </w:tc>
        <w:tc>
          <w:tcPr>
            <w:tcW w:w="851" w:type="dxa"/>
          </w:tcPr>
          <w:p w14:paraId="6C31BA84"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2 441</w:t>
            </w:r>
          </w:p>
        </w:tc>
        <w:tc>
          <w:tcPr>
            <w:tcW w:w="1134" w:type="dxa"/>
          </w:tcPr>
          <w:p w14:paraId="4ACD54F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246 390</w:t>
            </w:r>
          </w:p>
        </w:tc>
      </w:tr>
      <w:tr w:rsidR="005D339F" w14:paraId="15D71F82"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7F831390" w14:textId="77777777" w:rsidR="005D339F" w:rsidRPr="009F215F" w:rsidRDefault="005D339F" w:rsidP="008670FF">
            <w:pPr>
              <w:rPr>
                <w:sz w:val="16"/>
                <w:szCs w:val="20"/>
              </w:rPr>
            </w:pPr>
            <w:r w:rsidRPr="009F215F">
              <w:rPr>
                <w:sz w:val="16"/>
                <w:szCs w:val="20"/>
              </w:rPr>
              <w:t>Net result for the year</w:t>
            </w:r>
          </w:p>
        </w:tc>
        <w:tc>
          <w:tcPr>
            <w:tcW w:w="1165" w:type="dxa"/>
          </w:tcPr>
          <w:p w14:paraId="6292742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(619)</w:t>
            </w:r>
          </w:p>
        </w:tc>
        <w:tc>
          <w:tcPr>
            <w:tcW w:w="1559" w:type="dxa"/>
          </w:tcPr>
          <w:p w14:paraId="277F956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6492521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5C647B3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(619)</w:t>
            </w:r>
          </w:p>
        </w:tc>
      </w:tr>
      <w:tr w:rsidR="005D339F" w14:paraId="2A89F9DA"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78E078BE" w14:textId="77777777" w:rsidR="005D339F" w:rsidRPr="009F215F" w:rsidRDefault="005D339F" w:rsidP="008670FF">
            <w:pPr>
              <w:rPr>
                <w:sz w:val="16"/>
                <w:szCs w:val="20"/>
              </w:rPr>
            </w:pPr>
            <w:r w:rsidRPr="009F215F">
              <w:rPr>
                <w:sz w:val="16"/>
                <w:szCs w:val="20"/>
              </w:rPr>
              <w:t>Other comprehensive income for the year</w:t>
            </w:r>
          </w:p>
        </w:tc>
        <w:tc>
          <w:tcPr>
            <w:tcW w:w="1165" w:type="dxa"/>
          </w:tcPr>
          <w:p w14:paraId="56850BE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711</w:t>
            </w:r>
          </w:p>
        </w:tc>
        <w:tc>
          <w:tcPr>
            <w:tcW w:w="1559" w:type="dxa"/>
          </w:tcPr>
          <w:p w14:paraId="492698ED"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6 070</w:t>
            </w:r>
          </w:p>
        </w:tc>
        <w:tc>
          <w:tcPr>
            <w:tcW w:w="851" w:type="dxa"/>
          </w:tcPr>
          <w:p w14:paraId="68C5872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(3)</w:t>
            </w:r>
          </w:p>
        </w:tc>
        <w:tc>
          <w:tcPr>
            <w:tcW w:w="1134" w:type="dxa"/>
          </w:tcPr>
          <w:p w14:paraId="7CDFA35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6 778</w:t>
            </w:r>
          </w:p>
        </w:tc>
      </w:tr>
      <w:tr w:rsidR="005D339F" w14:paraId="79C3BA30"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0A42F159" w14:textId="77777777" w:rsidR="005D339F" w:rsidRPr="009F215F" w:rsidRDefault="005D339F" w:rsidP="008670FF">
            <w:pPr>
              <w:rPr>
                <w:sz w:val="16"/>
                <w:szCs w:val="20"/>
              </w:rPr>
            </w:pPr>
            <w:r w:rsidRPr="009F215F">
              <w:rPr>
                <w:sz w:val="16"/>
                <w:szCs w:val="20"/>
              </w:rPr>
              <w:t>Transfer to/(from) accumulated surplus</w:t>
            </w:r>
          </w:p>
        </w:tc>
        <w:tc>
          <w:tcPr>
            <w:tcW w:w="1165" w:type="dxa"/>
          </w:tcPr>
          <w:p w14:paraId="45318BF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559" w:type="dxa"/>
          </w:tcPr>
          <w:p w14:paraId="18D287A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5FA9CE4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105A783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r>
      <w:tr w:rsidR="005D339F" w14:paraId="26941038"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bottom w:val="single" w:sz="6" w:space="0" w:color="auto"/>
            </w:tcBorders>
          </w:tcPr>
          <w:p w14:paraId="64CAB135" w14:textId="77777777" w:rsidR="005D339F" w:rsidRPr="009F215F" w:rsidRDefault="005D339F" w:rsidP="008670FF">
            <w:pPr>
              <w:rPr>
                <w:sz w:val="16"/>
                <w:szCs w:val="20"/>
              </w:rPr>
            </w:pPr>
            <w:r w:rsidRPr="009F215F">
              <w:rPr>
                <w:b/>
                <w:sz w:val="16"/>
                <w:szCs w:val="20"/>
              </w:rPr>
              <w:t>Total equity as at 30 June 2027</w:t>
            </w:r>
          </w:p>
        </w:tc>
        <w:tc>
          <w:tcPr>
            <w:tcW w:w="1165" w:type="dxa"/>
            <w:tcBorders>
              <w:top w:val="single" w:sz="6" w:space="0" w:color="auto"/>
              <w:bottom w:val="single" w:sz="6" w:space="0" w:color="auto"/>
            </w:tcBorders>
          </w:tcPr>
          <w:p w14:paraId="4EFD1C23"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67 083</w:t>
            </w:r>
          </w:p>
        </w:tc>
        <w:tc>
          <w:tcPr>
            <w:tcW w:w="1559" w:type="dxa"/>
            <w:tcBorders>
              <w:top w:val="single" w:sz="6" w:space="0" w:color="auto"/>
              <w:bottom w:val="single" w:sz="6" w:space="0" w:color="auto"/>
            </w:tcBorders>
          </w:tcPr>
          <w:p w14:paraId="5F2D5B6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183 028</w:t>
            </w:r>
          </w:p>
        </w:tc>
        <w:tc>
          <w:tcPr>
            <w:tcW w:w="851" w:type="dxa"/>
            <w:tcBorders>
              <w:top w:val="single" w:sz="6" w:space="0" w:color="auto"/>
              <w:bottom w:val="single" w:sz="6" w:space="0" w:color="auto"/>
            </w:tcBorders>
          </w:tcPr>
          <w:p w14:paraId="6A1885D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2 438</w:t>
            </w:r>
          </w:p>
        </w:tc>
        <w:tc>
          <w:tcPr>
            <w:tcW w:w="1134" w:type="dxa"/>
            <w:tcBorders>
              <w:top w:val="single" w:sz="6" w:space="0" w:color="auto"/>
              <w:bottom w:val="single" w:sz="6" w:space="0" w:color="auto"/>
            </w:tcBorders>
          </w:tcPr>
          <w:p w14:paraId="49D25F0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252 549</w:t>
            </w:r>
          </w:p>
        </w:tc>
      </w:tr>
      <w:tr w:rsidR="005D339F" w14:paraId="3B65BB03"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tcBorders>
          </w:tcPr>
          <w:p w14:paraId="193F002D" w14:textId="77777777" w:rsidR="005D339F" w:rsidRPr="009F215F" w:rsidRDefault="005D339F" w:rsidP="008670FF">
            <w:pPr>
              <w:rPr>
                <w:sz w:val="16"/>
                <w:szCs w:val="20"/>
              </w:rPr>
            </w:pPr>
            <w:r w:rsidRPr="009F215F">
              <w:rPr>
                <w:b/>
                <w:sz w:val="16"/>
                <w:szCs w:val="20"/>
              </w:rPr>
              <w:t>2027</w:t>
            </w:r>
            <w:r w:rsidRPr="009F215F">
              <w:rPr>
                <w:b/>
                <w:sz w:val="16"/>
                <w:szCs w:val="20"/>
              </w:rPr>
              <w:noBreakHyphen/>
              <w:t>28 estimate</w:t>
            </w:r>
          </w:p>
        </w:tc>
        <w:tc>
          <w:tcPr>
            <w:tcW w:w="1165" w:type="dxa"/>
            <w:tcBorders>
              <w:top w:val="single" w:sz="6" w:space="0" w:color="auto"/>
            </w:tcBorders>
          </w:tcPr>
          <w:p w14:paraId="20F66AEF"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559" w:type="dxa"/>
            <w:tcBorders>
              <w:top w:val="single" w:sz="6" w:space="0" w:color="auto"/>
            </w:tcBorders>
          </w:tcPr>
          <w:p w14:paraId="28710939"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851" w:type="dxa"/>
            <w:tcBorders>
              <w:top w:val="single" w:sz="6" w:space="0" w:color="auto"/>
            </w:tcBorders>
          </w:tcPr>
          <w:p w14:paraId="137BA49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c>
          <w:tcPr>
            <w:tcW w:w="1134" w:type="dxa"/>
            <w:tcBorders>
              <w:top w:val="single" w:sz="6" w:space="0" w:color="auto"/>
            </w:tcBorders>
          </w:tcPr>
          <w:p w14:paraId="09667A1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p>
        </w:tc>
      </w:tr>
      <w:tr w:rsidR="005D339F" w14:paraId="239746F7"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48C43DF4" w14:textId="77777777" w:rsidR="005D339F" w:rsidRPr="009F215F" w:rsidRDefault="005D339F" w:rsidP="008670FF">
            <w:pPr>
              <w:rPr>
                <w:sz w:val="16"/>
                <w:szCs w:val="20"/>
              </w:rPr>
            </w:pPr>
            <w:r w:rsidRPr="009F215F">
              <w:rPr>
                <w:sz w:val="16"/>
                <w:szCs w:val="20"/>
              </w:rPr>
              <w:t>Balance at 1 July 2027</w:t>
            </w:r>
          </w:p>
        </w:tc>
        <w:tc>
          <w:tcPr>
            <w:tcW w:w="1165" w:type="dxa"/>
          </w:tcPr>
          <w:p w14:paraId="2B8987A4"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67 083</w:t>
            </w:r>
          </w:p>
        </w:tc>
        <w:tc>
          <w:tcPr>
            <w:tcW w:w="1559" w:type="dxa"/>
          </w:tcPr>
          <w:p w14:paraId="56257BC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183 028</w:t>
            </w:r>
          </w:p>
        </w:tc>
        <w:tc>
          <w:tcPr>
            <w:tcW w:w="851" w:type="dxa"/>
          </w:tcPr>
          <w:p w14:paraId="770ACCB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2 438</w:t>
            </w:r>
          </w:p>
        </w:tc>
        <w:tc>
          <w:tcPr>
            <w:tcW w:w="1134" w:type="dxa"/>
          </w:tcPr>
          <w:p w14:paraId="745CB4F6"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252 549</w:t>
            </w:r>
          </w:p>
        </w:tc>
      </w:tr>
      <w:tr w:rsidR="005D339F" w14:paraId="6093BDAD"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7D8A4679" w14:textId="77777777" w:rsidR="005D339F" w:rsidRPr="009F215F" w:rsidRDefault="005D339F" w:rsidP="008670FF">
            <w:pPr>
              <w:rPr>
                <w:sz w:val="16"/>
                <w:szCs w:val="20"/>
              </w:rPr>
            </w:pPr>
            <w:r w:rsidRPr="009F215F">
              <w:rPr>
                <w:sz w:val="16"/>
                <w:szCs w:val="20"/>
              </w:rPr>
              <w:t>Net result for the year</w:t>
            </w:r>
          </w:p>
        </w:tc>
        <w:tc>
          <w:tcPr>
            <w:tcW w:w="1165" w:type="dxa"/>
          </w:tcPr>
          <w:p w14:paraId="3CBE7A8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(710)</w:t>
            </w:r>
          </w:p>
        </w:tc>
        <w:tc>
          <w:tcPr>
            <w:tcW w:w="1559" w:type="dxa"/>
          </w:tcPr>
          <w:p w14:paraId="726E8C17"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16013768"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47B75DB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(710)</w:t>
            </w:r>
          </w:p>
        </w:tc>
      </w:tr>
      <w:tr w:rsidR="005D339F" w14:paraId="2DDACEAD"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1EE08186" w14:textId="77777777" w:rsidR="005D339F" w:rsidRPr="009F215F" w:rsidRDefault="005D339F" w:rsidP="008670FF">
            <w:pPr>
              <w:rPr>
                <w:sz w:val="16"/>
                <w:szCs w:val="20"/>
              </w:rPr>
            </w:pPr>
            <w:r w:rsidRPr="009F215F">
              <w:rPr>
                <w:sz w:val="16"/>
                <w:szCs w:val="20"/>
              </w:rPr>
              <w:t>Other comprehensive income for the year</w:t>
            </w:r>
          </w:p>
        </w:tc>
        <w:tc>
          <w:tcPr>
            <w:tcW w:w="1165" w:type="dxa"/>
          </w:tcPr>
          <w:p w14:paraId="25D5A5D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716</w:t>
            </w:r>
          </w:p>
        </w:tc>
        <w:tc>
          <w:tcPr>
            <w:tcW w:w="1559" w:type="dxa"/>
          </w:tcPr>
          <w:p w14:paraId="1047A00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9 031</w:t>
            </w:r>
          </w:p>
        </w:tc>
        <w:tc>
          <w:tcPr>
            <w:tcW w:w="851" w:type="dxa"/>
          </w:tcPr>
          <w:p w14:paraId="26D37A4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(6)</w:t>
            </w:r>
          </w:p>
        </w:tc>
        <w:tc>
          <w:tcPr>
            <w:tcW w:w="1134" w:type="dxa"/>
          </w:tcPr>
          <w:p w14:paraId="1A078735"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9 741</w:t>
            </w:r>
          </w:p>
        </w:tc>
      </w:tr>
      <w:tr w:rsidR="005D339F" w14:paraId="23DDA232" w14:textId="77777777" w:rsidTr="00B51426">
        <w:tc>
          <w:tcPr>
            <w:cnfStyle w:val="001000000000" w:firstRow="0" w:lastRow="0" w:firstColumn="1" w:lastColumn="0" w:oddVBand="0" w:evenVBand="0" w:oddHBand="0" w:evenHBand="0" w:firstRowFirstColumn="0" w:firstRowLastColumn="0" w:lastRowFirstColumn="0" w:lastRowLastColumn="0"/>
            <w:tcW w:w="2946" w:type="dxa"/>
          </w:tcPr>
          <w:p w14:paraId="3E379532" w14:textId="77777777" w:rsidR="005D339F" w:rsidRPr="009F215F" w:rsidRDefault="005D339F" w:rsidP="008670FF">
            <w:pPr>
              <w:rPr>
                <w:sz w:val="16"/>
                <w:szCs w:val="20"/>
              </w:rPr>
            </w:pPr>
            <w:r w:rsidRPr="009F215F">
              <w:rPr>
                <w:sz w:val="16"/>
                <w:szCs w:val="20"/>
              </w:rPr>
              <w:t>Transfer to/(from) accumulated surplus</w:t>
            </w:r>
          </w:p>
        </w:tc>
        <w:tc>
          <w:tcPr>
            <w:tcW w:w="1165" w:type="dxa"/>
          </w:tcPr>
          <w:p w14:paraId="75636A8A"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559" w:type="dxa"/>
          </w:tcPr>
          <w:p w14:paraId="01FB2600"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851" w:type="dxa"/>
          </w:tcPr>
          <w:p w14:paraId="1AED76D7"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c>
          <w:tcPr>
            <w:tcW w:w="1134" w:type="dxa"/>
          </w:tcPr>
          <w:p w14:paraId="22F4C95C"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sz w:val="16"/>
                <w:szCs w:val="20"/>
              </w:rPr>
              <w:t>..</w:t>
            </w:r>
          </w:p>
        </w:tc>
      </w:tr>
      <w:tr w:rsidR="005D339F" w14:paraId="2272DA19" w14:textId="77777777" w:rsidTr="00B51426">
        <w:tc>
          <w:tcPr>
            <w:cnfStyle w:val="001000000000" w:firstRow="0" w:lastRow="0" w:firstColumn="1" w:lastColumn="0" w:oddVBand="0" w:evenVBand="0" w:oddHBand="0" w:evenHBand="0" w:firstRowFirstColumn="0" w:firstRowLastColumn="0" w:lastRowFirstColumn="0" w:lastRowLastColumn="0"/>
            <w:tcW w:w="2946" w:type="dxa"/>
            <w:tcBorders>
              <w:top w:val="single" w:sz="6" w:space="0" w:color="auto"/>
              <w:bottom w:val="single" w:sz="12" w:space="0" w:color="auto"/>
            </w:tcBorders>
          </w:tcPr>
          <w:p w14:paraId="08A40E7E" w14:textId="77777777" w:rsidR="005D339F" w:rsidRPr="009F215F" w:rsidRDefault="005D339F" w:rsidP="008670FF">
            <w:pPr>
              <w:rPr>
                <w:sz w:val="16"/>
                <w:szCs w:val="20"/>
              </w:rPr>
            </w:pPr>
            <w:r w:rsidRPr="009F215F">
              <w:rPr>
                <w:b/>
                <w:sz w:val="16"/>
                <w:szCs w:val="20"/>
              </w:rPr>
              <w:t>Total equity as at 30 June 2028</w:t>
            </w:r>
          </w:p>
        </w:tc>
        <w:tc>
          <w:tcPr>
            <w:tcW w:w="1165" w:type="dxa"/>
            <w:tcBorders>
              <w:top w:val="single" w:sz="6" w:space="0" w:color="auto"/>
              <w:bottom w:val="single" w:sz="12" w:space="0" w:color="auto"/>
            </w:tcBorders>
          </w:tcPr>
          <w:p w14:paraId="18CC9F57"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67 089</w:t>
            </w:r>
          </w:p>
        </w:tc>
        <w:tc>
          <w:tcPr>
            <w:tcW w:w="1559" w:type="dxa"/>
            <w:tcBorders>
              <w:top w:val="single" w:sz="6" w:space="0" w:color="auto"/>
              <w:bottom w:val="single" w:sz="12" w:space="0" w:color="auto"/>
            </w:tcBorders>
          </w:tcPr>
          <w:p w14:paraId="7D097C7B"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192 059</w:t>
            </w:r>
          </w:p>
        </w:tc>
        <w:tc>
          <w:tcPr>
            <w:tcW w:w="851" w:type="dxa"/>
            <w:tcBorders>
              <w:top w:val="single" w:sz="6" w:space="0" w:color="auto"/>
              <w:bottom w:val="single" w:sz="12" w:space="0" w:color="auto"/>
            </w:tcBorders>
          </w:tcPr>
          <w:p w14:paraId="6FF97D81"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2 433</w:t>
            </w:r>
          </w:p>
        </w:tc>
        <w:tc>
          <w:tcPr>
            <w:tcW w:w="1134" w:type="dxa"/>
            <w:tcBorders>
              <w:top w:val="single" w:sz="6" w:space="0" w:color="auto"/>
              <w:bottom w:val="single" w:sz="12" w:space="0" w:color="auto"/>
            </w:tcBorders>
          </w:tcPr>
          <w:p w14:paraId="5150C3C2" w14:textId="77777777" w:rsidR="005D339F" w:rsidRPr="009F215F" w:rsidRDefault="005D339F" w:rsidP="008670FF">
            <w:pPr>
              <w:cnfStyle w:val="000000000000" w:firstRow="0" w:lastRow="0" w:firstColumn="0" w:lastColumn="0" w:oddVBand="0" w:evenVBand="0" w:oddHBand="0" w:evenHBand="0" w:firstRowFirstColumn="0" w:firstRowLastColumn="0" w:lastRowFirstColumn="0" w:lastRowLastColumn="0"/>
              <w:rPr>
                <w:sz w:val="16"/>
                <w:szCs w:val="20"/>
              </w:rPr>
            </w:pPr>
            <w:r w:rsidRPr="009F215F">
              <w:rPr>
                <w:b/>
                <w:sz w:val="16"/>
                <w:szCs w:val="20"/>
              </w:rPr>
              <w:t>261 581</w:t>
            </w:r>
          </w:p>
        </w:tc>
      </w:tr>
    </w:tbl>
    <w:p w14:paraId="2B25A4C9" w14:textId="77777777" w:rsidR="005D339F" w:rsidRPr="00921F69" w:rsidRDefault="005D339F" w:rsidP="005D339F">
      <w:pPr>
        <w:pStyle w:val="Note"/>
        <w:ind w:left="0" w:firstLine="0"/>
      </w:pPr>
      <w:r w:rsidRPr="00921F69">
        <w:t>Note</w:t>
      </w:r>
      <w:r>
        <w:t>s</w:t>
      </w:r>
      <w:r w:rsidRPr="00921F69">
        <w:t>:</w:t>
      </w:r>
    </w:p>
    <w:p w14:paraId="5E2F733B" w14:textId="77777777" w:rsidR="005D339F" w:rsidRDefault="005D339F" w:rsidP="005D339F">
      <w:pPr>
        <w:pStyle w:val="Note"/>
      </w:pPr>
      <w:r w:rsidRPr="00921F69">
        <w:t>(a)</w:t>
      </w:r>
      <w:r w:rsidRPr="00921F69">
        <w:tab/>
        <w:t>Balances represent actual opening balances at 1 July 20</w:t>
      </w:r>
      <w:r>
        <w:t>24</w:t>
      </w:r>
      <w:r w:rsidRPr="00921F69">
        <w:t xml:space="preserve"> plus 20</w:t>
      </w:r>
      <w:r>
        <w:t>24</w:t>
      </w:r>
      <w:r w:rsidRPr="00921F69">
        <w:t>-2</w:t>
      </w:r>
      <w:r>
        <w:t>5</w:t>
      </w:r>
      <w:r w:rsidRPr="00921F69">
        <w:t xml:space="preserve"> budgeted movements.</w:t>
      </w:r>
    </w:p>
    <w:p w14:paraId="5D6491D2" w14:textId="77777777" w:rsidR="005D339F" w:rsidRDefault="005D339F" w:rsidP="005D339F">
      <w:pPr>
        <w:pStyle w:val="Note"/>
      </w:pPr>
      <w:r>
        <w:t>(b)</w:t>
      </w:r>
      <w:r>
        <w:tab/>
      </w:r>
      <w:r w:rsidRPr="00AE0220">
        <w:t>VicForests ceased operations on 30 June 2024 and the</w:t>
      </w:r>
      <w:r>
        <w:t xml:space="preserve"> residual assets and liabilities together with</w:t>
      </w:r>
      <w:r w:rsidRPr="00AE0220">
        <w:t xml:space="preserve"> residual responsibilities for native forest management </w:t>
      </w:r>
      <w:r>
        <w:t>were</w:t>
      </w:r>
      <w:r w:rsidRPr="00AE0220">
        <w:t xml:space="preserve"> transferred to the Department of Energy, Environment and Climate Action following proclamation of the </w:t>
      </w:r>
      <w:r w:rsidRPr="007D7E77">
        <w:rPr>
          <w:i w:val="0"/>
        </w:rPr>
        <w:t>Sustainable Forests (Timber) Repeal Act 2024</w:t>
      </w:r>
      <w:r w:rsidRPr="00AE0220">
        <w:t>, effective from 1 July 2024. This has resulted in the 1</w:t>
      </w:r>
      <w:r>
        <w:t> </w:t>
      </w:r>
      <w:r w:rsidRPr="00AE0220">
        <w:t>July 2024 opening balance not equalling the 30 June closing balance</w:t>
      </w:r>
      <w:r>
        <w:t>.</w:t>
      </w:r>
    </w:p>
    <w:p w14:paraId="763B1B00" w14:textId="77777777" w:rsidR="005D339F" w:rsidRPr="00921F69" w:rsidRDefault="005D339F" w:rsidP="005D339F"/>
    <w:p w14:paraId="5487B68D" w14:textId="77777777" w:rsidR="005D339F" w:rsidRDefault="005D339F" w:rsidP="005D339F">
      <w:pPr>
        <w:pStyle w:val="TableHeading"/>
      </w:pPr>
      <w:r w:rsidRPr="00921F69">
        <w:t>Table 5.20</w:t>
      </w:r>
      <w:r w:rsidRPr="00921F69">
        <w:tab/>
        <w:t>Net acquisition of non-financial assets – State of Victoria</w:t>
      </w:r>
      <w:r w:rsidRPr="00921F69">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SRIMS%20exports/SRIMS_BU_UPF_NFPS_WoS.xlsx|Table:WoS_NFA|MergedHeadingRow:1"/>
      </w:tblPr>
      <w:tblGrid>
        <w:gridCol w:w="3740"/>
        <w:gridCol w:w="794"/>
        <w:gridCol w:w="794"/>
        <w:gridCol w:w="794"/>
        <w:gridCol w:w="794"/>
        <w:gridCol w:w="794"/>
      </w:tblGrid>
      <w:tr w:rsidR="005D339F" w14:paraId="08D7FFCD"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Pr>
          <w:p w14:paraId="75731A42" w14:textId="77777777" w:rsidR="005D339F" w:rsidRDefault="005D339F" w:rsidP="008670FF">
            <w:pPr>
              <w:keepNext/>
            </w:pPr>
          </w:p>
        </w:tc>
        <w:tc>
          <w:tcPr>
            <w:tcW w:w="794" w:type="dxa"/>
          </w:tcPr>
          <w:p w14:paraId="5BC34A6A"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budget</w:t>
            </w:r>
          </w:p>
        </w:tc>
        <w:tc>
          <w:tcPr>
            <w:tcW w:w="794" w:type="dxa"/>
          </w:tcPr>
          <w:p w14:paraId="6E0AA8D6"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r>
              <w:br/>
              <w:t>revised</w:t>
            </w:r>
          </w:p>
        </w:tc>
        <w:tc>
          <w:tcPr>
            <w:tcW w:w="794" w:type="dxa"/>
          </w:tcPr>
          <w:p w14:paraId="29FBFBE6"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r>
              <w:br/>
              <w:t>estimate</w:t>
            </w:r>
          </w:p>
        </w:tc>
        <w:tc>
          <w:tcPr>
            <w:tcW w:w="794" w:type="dxa"/>
          </w:tcPr>
          <w:p w14:paraId="42FB7E98"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r>
              <w:br/>
              <w:t>estimate</w:t>
            </w:r>
          </w:p>
        </w:tc>
        <w:tc>
          <w:tcPr>
            <w:tcW w:w="794" w:type="dxa"/>
          </w:tcPr>
          <w:p w14:paraId="45347778" w14:textId="77777777" w:rsidR="005D339F" w:rsidRDefault="005D339F"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r>
              <w:br/>
              <w:t>estimate</w:t>
            </w:r>
          </w:p>
        </w:tc>
      </w:tr>
      <w:tr w:rsidR="005D339F" w14:paraId="27A3D296"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617D20B4" w14:textId="53095310" w:rsidR="005D339F" w:rsidRDefault="005D339F" w:rsidP="008670FF">
            <w:r>
              <w:t>Purchases of non</w:t>
            </w:r>
            <w:r>
              <w:noBreakHyphen/>
              <w:t xml:space="preserve">financial assets </w:t>
            </w:r>
            <w:r w:rsidR="004A61FC">
              <w:br/>
            </w:r>
            <w:r>
              <w:t>(including change in inventories)</w:t>
            </w:r>
          </w:p>
        </w:tc>
        <w:tc>
          <w:tcPr>
            <w:tcW w:w="794" w:type="dxa"/>
          </w:tcPr>
          <w:p w14:paraId="185C934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25 697</w:t>
            </w:r>
          </w:p>
        </w:tc>
        <w:tc>
          <w:tcPr>
            <w:tcW w:w="794" w:type="dxa"/>
          </w:tcPr>
          <w:p w14:paraId="328BB8C1"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25 420</w:t>
            </w:r>
          </w:p>
        </w:tc>
        <w:tc>
          <w:tcPr>
            <w:tcW w:w="794" w:type="dxa"/>
          </w:tcPr>
          <w:p w14:paraId="353B9E6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25 134</w:t>
            </w:r>
          </w:p>
        </w:tc>
        <w:tc>
          <w:tcPr>
            <w:tcW w:w="794" w:type="dxa"/>
          </w:tcPr>
          <w:p w14:paraId="4B38AA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22 595</w:t>
            </w:r>
          </w:p>
        </w:tc>
        <w:tc>
          <w:tcPr>
            <w:tcW w:w="794" w:type="dxa"/>
          </w:tcPr>
          <w:p w14:paraId="57F330C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19 402</w:t>
            </w:r>
          </w:p>
        </w:tc>
      </w:tr>
      <w:tr w:rsidR="005D339F" w14:paraId="6C6BD5E5"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52D27B1D" w14:textId="77777777" w:rsidR="005D339F" w:rsidRDefault="005D339F" w:rsidP="008670FF">
            <w:r>
              <w:t>Less: Sales of non</w:t>
            </w:r>
            <w:r>
              <w:noBreakHyphen/>
              <w:t>financial assets</w:t>
            </w:r>
          </w:p>
        </w:tc>
        <w:tc>
          <w:tcPr>
            <w:tcW w:w="794" w:type="dxa"/>
          </w:tcPr>
          <w:p w14:paraId="6FC9F15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(896)</w:t>
            </w:r>
          </w:p>
        </w:tc>
        <w:tc>
          <w:tcPr>
            <w:tcW w:w="794" w:type="dxa"/>
          </w:tcPr>
          <w:p w14:paraId="313C3600"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(846)</w:t>
            </w:r>
          </w:p>
        </w:tc>
        <w:tc>
          <w:tcPr>
            <w:tcW w:w="794" w:type="dxa"/>
          </w:tcPr>
          <w:p w14:paraId="6DF07C0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(1 280)</w:t>
            </w:r>
          </w:p>
        </w:tc>
        <w:tc>
          <w:tcPr>
            <w:tcW w:w="794" w:type="dxa"/>
          </w:tcPr>
          <w:p w14:paraId="3DD33D8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(891)</w:t>
            </w:r>
          </w:p>
        </w:tc>
        <w:tc>
          <w:tcPr>
            <w:tcW w:w="794" w:type="dxa"/>
          </w:tcPr>
          <w:p w14:paraId="6BEC89B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(1 157)</w:t>
            </w:r>
          </w:p>
        </w:tc>
      </w:tr>
      <w:tr w:rsidR="005D339F" w14:paraId="17D3658C" w14:textId="77777777" w:rsidTr="008670FF">
        <w:tc>
          <w:tcPr>
            <w:cnfStyle w:val="001000000000" w:firstRow="0" w:lastRow="0" w:firstColumn="1" w:lastColumn="0" w:oddVBand="0" w:evenVBand="0" w:oddHBand="0" w:evenHBand="0" w:firstRowFirstColumn="0" w:firstRowLastColumn="0" w:lastRowFirstColumn="0" w:lastRowLastColumn="0"/>
            <w:tcW w:w="3740" w:type="dxa"/>
          </w:tcPr>
          <w:p w14:paraId="7FF996D1" w14:textId="77777777" w:rsidR="005D339F" w:rsidRDefault="005D339F" w:rsidP="008670FF">
            <w:r>
              <w:t>Less: Depreciation and amortisation</w:t>
            </w:r>
          </w:p>
        </w:tc>
        <w:tc>
          <w:tcPr>
            <w:tcW w:w="794" w:type="dxa"/>
          </w:tcPr>
          <w:p w14:paraId="251BCE08"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(8 782)</w:t>
            </w:r>
          </w:p>
        </w:tc>
        <w:tc>
          <w:tcPr>
            <w:tcW w:w="794" w:type="dxa"/>
          </w:tcPr>
          <w:p w14:paraId="36BBD7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(8 971)</w:t>
            </w:r>
          </w:p>
        </w:tc>
        <w:tc>
          <w:tcPr>
            <w:tcW w:w="794" w:type="dxa"/>
          </w:tcPr>
          <w:p w14:paraId="5F419EB7"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(9 622)</w:t>
            </w:r>
          </w:p>
        </w:tc>
        <w:tc>
          <w:tcPr>
            <w:tcW w:w="794" w:type="dxa"/>
          </w:tcPr>
          <w:p w14:paraId="7372B874"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(10 009)</w:t>
            </w:r>
          </w:p>
        </w:tc>
        <w:tc>
          <w:tcPr>
            <w:tcW w:w="794" w:type="dxa"/>
          </w:tcPr>
          <w:p w14:paraId="131B428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(10 189)</w:t>
            </w:r>
          </w:p>
        </w:tc>
      </w:tr>
      <w:tr w:rsidR="005D339F" w14:paraId="3B8A8DBC"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23EB6A0D" w14:textId="77777777" w:rsidR="005D339F" w:rsidRDefault="005D339F" w:rsidP="008670FF">
            <w:r>
              <w:t>Plus: Other movements in non</w:t>
            </w:r>
            <w:r>
              <w:noBreakHyphen/>
              <w:t>financial assets</w:t>
            </w:r>
            <w:r>
              <w:rPr>
                <w:vertAlign w:val="superscript"/>
              </w:rPr>
              <w:t xml:space="preserve"> (a)(b)</w:t>
            </w:r>
          </w:p>
        </w:tc>
        <w:tc>
          <w:tcPr>
            <w:tcW w:w="794" w:type="dxa"/>
            <w:tcBorders>
              <w:bottom w:val="single" w:sz="6" w:space="0" w:color="auto"/>
            </w:tcBorders>
          </w:tcPr>
          <w:p w14:paraId="1950456C"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3 268</w:t>
            </w:r>
          </w:p>
        </w:tc>
        <w:tc>
          <w:tcPr>
            <w:tcW w:w="794" w:type="dxa"/>
            <w:tcBorders>
              <w:bottom w:val="single" w:sz="6" w:space="0" w:color="auto"/>
            </w:tcBorders>
          </w:tcPr>
          <w:p w14:paraId="37840BC3"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4 678</w:t>
            </w:r>
          </w:p>
        </w:tc>
        <w:tc>
          <w:tcPr>
            <w:tcW w:w="794" w:type="dxa"/>
            <w:tcBorders>
              <w:bottom w:val="single" w:sz="6" w:space="0" w:color="auto"/>
            </w:tcBorders>
          </w:tcPr>
          <w:p w14:paraId="5FC41546"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2 634</w:t>
            </w:r>
          </w:p>
        </w:tc>
        <w:tc>
          <w:tcPr>
            <w:tcW w:w="794" w:type="dxa"/>
            <w:tcBorders>
              <w:bottom w:val="single" w:sz="6" w:space="0" w:color="auto"/>
            </w:tcBorders>
          </w:tcPr>
          <w:p w14:paraId="00710BA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1 561</w:t>
            </w:r>
          </w:p>
        </w:tc>
        <w:tc>
          <w:tcPr>
            <w:tcW w:w="794" w:type="dxa"/>
            <w:tcBorders>
              <w:bottom w:val="single" w:sz="6" w:space="0" w:color="auto"/>
            </w:tcBorders>
          </w:tcPr>
          <w:p w14:paraId="0BD9BF3F"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t>1 309</w:t>
            </w:r>
          </w:p>
        </w:tc>
      </w:tr>
      <w:tr w:rsidR="005D339F" w14:paraId="6CEE9E87"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4D6C2CF7" w14:textId="77777777" w:rsidR="005D339F" w:rsidRDefault="005D339F" w:rsidP="008670FF">
            <w:r>
              <w:rPr>
                <w:b/>
              </w:rPr>
              <w:t>Total net acquisition of non</w:t>
            </w:r>
            <w:r>
              <w:rPr>
                <w:b/>
              </w:rPr>
              <w:noBreakHyphen/>
              <w:t>financial assets from transactions</w:t>
            </w:r>
          </w:p>
        </w:tc>
        <w:tc>
          <w:tcPr>
            <w:tcW w:w="794" w:type="dxa"/>
            <w:tcBorders>
              <w:top w:val="single" w:sz="6" w:space="0" w:color="auto"/>
              <w:bottom w:val="single" w:sz="12" w:space="0" w:color="auto"/>
            </w:tcBorders>
          </w:tcPr>
          <w:p w14:paraId="4A05E2C9"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19 287</w:t>
            </w:r>
          </w:p>
        </w:tc>
        <w:tc>
          <w:tcPr>
            <w:tcW w:w="794" w:type="dxa"/>
            <w:tcBorders>
              <w:top w:val="single" w:sz="6" w:space="0" w:color="auto"/>
              <w:bottom w:val="single" w:sz="12" w:space="0" w:color="auto"/>
            </w:tcBorders>
          </w:tcPr>
          <w:p w14:paraId="5EDA17CD"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20 281</w:t>
            </w:r>
          </w:p>
        </w:tc>
        <w:tc>
          <w:tcPr>
            <w:tcW w:w="794" w:type="dxa"/>
            <w:tcBorders>
              <w:top w:val="single" w:sz="6" w:space="0" w:color="auto"/>
              <w:bottom w:val="single" w:sz="12" w:space="0" w:color="auto"/>
            </w:tcBorders>
          </w:tcPr>
          <w:p w14:paraId="6FD00B0E"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16 866</w:t>
            </w:r>
          </w:p>
        </w:tc>
        <w:tc>
          <w:tcPr>
            <w:tcW w:w="794" w:type="dxa"/>
            <w:tcBorders>
              <w:top w:val="single" w:sz="6" w:space="0" w:color="auto"/>
              <w:bottom w:val="single" w:sz="12" w:space="0" w:color="auto"/>
            </w:tcBorders>
          </w:tcPr>
          <w:p w14:paraId="1B451465"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13 256</w:t>
            </w:r>
          </w:p>
        </w:tc>
        <w:tc>
          <w:tcPr>
            <w:tcW w:w="794" w:type="dxa"/>
            <w:tcBorders>
              <w:top w:val="single" w:sz="6" w:space="0" w:color="auto"/>
              <w:bottom w:val="single" w:sz="12" w:space="0" w:color="auto"/>
            </w:tcBorders>
          </w:tcPr>
          <w:p w14:paraId="442C275B" w14:textId="77777777" w:rsidR="005D339F" w:rsidRDefault="005D339F" w:rsidP="008670FF">
            <w:pPr>
              <w:cnfStyle w:val="000000000000" w:firstRow="0" w:lastRow="0" w:firstColumn="0" w:lastColumn="0" w:oddVBand="0" w:evenVBand="0" w:oddHBand="0" w:evenHBand="0" w:firstRowFirstColumn="0" w:firstRowLastColumn="0" w:lastRowFirstColumn="0" w:lastRowLastColumn="0"/>
            </w:pPr>
            <w:r>
              <w:rPr>
                <w:b/>
              </w:rPr>
              <w:t>9 365</w:t>
            </w:r>
          </w:p>
        </w:tc>
      </w:tr>
    </w:tbl>
    <w:p w14:paraId="1944A465" w14:textId="77777777" w:rsidR="005D339F" w:rsidRDefault="005D339F" w:rsidP="005D339F">
      <w:pPr>
        <w:pStyle w:val="Note"/>
      </w:pPr>
      <w:r>
        <w:t>Notes:</w:t>
      </w:r>
    </w:p>
    <w:p w14:paraId="79637A33" w14:textId="77777777" w:rsidR="005D339F" w:rsidRDefault="005D339F" w:rsidP="005D339F">
      <w:pPr>
        <w:pStyle w:val="Note"/>
      </w:pPr>
      <w:r w:rsidRPr="00714B66">
        <w:t>(a)</w:t>
      </w:r>
      <w:r w:rsidRPr="00714B66">
        <w:tab/>
        <w:t>The other movements in non-financial assets includes recognising right</w:t>
      </w:r>
      <w:r>
        <w:t>-</w:t>
      </w:r>
      <w:r w:rsidRPr="00714B66">
        <w:t>of</w:t>
      </w:r>
      <w:r>
        <w:t>-</w:t>
      </w:r>
      <w:r w:rsidRPr="00714B66">
        <w:t>use assets under lease arrangements, and recognising service concession arrangements</w:t>
      </w:r>
      <w:r>
        <w:t xml:space="preserve"> arising </w:t>
      </w:r>
      <w:r w:rsidRPr="00714B66">
        <w:t xml:space="preserve">from </w:t>
      </w:r>
      <w:r>
        <w:t>p</w:t>
      </w:r>
      <w:r w:rsidRPr="00714B66">
        <w:t xml:space="preserve">ublic </w:t>
      </w:r>
      <w:r>
        <w:t>p</w:t>
      </w:r>
      <w:r w:rsidRPr="00714B66">
        <w:t xml:space="preserve">rivate </w:t>
      </w:r>
      <w:r>
        <w:t>p</w:t>
      </w:r>
      <w:r w:rsidRPr="00714B66">
        <w:t xml:space="preserve">artnerships. </w:t>
      </w:r>
    </w:p>
    <w:p w14:paraId="7853E99D" w14:textId="77777777" w:rsidR="005D339F" w:rsidRDefault="005D339F" w:rsidP="005D339F">
      <w:pPr>
        <w:pStyle w:val="Note"/>
      </w:pPr>
      <w:r w:rsidRPr="002062CC">
        <w:t>(b)</w:t>
      </w:r>
      <w:r w:rsidRPr="002062CC">
        <w:tab/>
        <w:t xml:space="preserve">The public private partnerships across the budget and forward estimates relate to the Frankston Hospital Redevelopment, the </w:t>
      </w:r>
    </w:p>
    <w:p w14:paraId="46362C3D" w14:textId="41A85079" w:rsidR="005D339F" w:rsidRPr="005766DB" w:rsidRDefault="005D339F" w:rsidP="005D339F">
      <w:pPr>
        <w:pStyle w:val="Note"/>
        <w:ind w:firstLine="0"/>
      </w:pPr>
      <w:r w:rsidRPr="002062CC">
        <w:t>High Capacity Metro Trains, the Homes Victoria Ground Lease Model Project 2, the Metro Tunnel, the new Footscray Hospital, the</w:t>
      </w:r>
      <w:r w:rsidR="001620F2">
        <w:t> </w:t>
      </w:r>
      <w:r w:rsidRPr="002062CC">
        <w:t xml:space="preserve">new Melton Hospital, the North East Link – Primary Package (Tunnels), </w:t>
      </w:r>
      <w:r w:rsidRPr="00AF126C">
        <w:t>the Nyaal Banyul Geelong Convention and Event Centre</w:t>
      </w:r>
      <w:r>
        <w:t xml:space="preserve">, </w:t>
      </w:r>
      <w:r w:rsidRPr="002062CC">
        <w:t>and the West Gate Tunnel.</w:t>
      </w:r>
    </w:p>
    <w:p w14:paraId="700B6EE1" w14:textId="39271D46" w:rsidR="00AB205D" w:rsidRPr="005766DB" w:rsidRDefault="00AB205D" w:rsidP="005D339F"/>
    <w:p w14:paraId="01A9B42A" w14:textId="77777777" w:rsidR="00AB205D" w:rsidRPr="008548B1" w:rsidRDefault="00AB205D"/>
    <w:p w14:paraId="4F68CDCE" w14:textId="5D6DF346" w:rsidR="002E50E8" w:rsidRDefault="002E50E8">
      <w:pPr>
        <w:keepLines w:val="0"/>
      </w:pPr>
      <w:r>
        <w:br w:type="page"/>
      </w:r>
    </w:p>
    <w:p w14:paraId="5E1AB652" w14:textId="77777777" w:rsidR="00341416" w:rsidRDefault="00341416" w:rsidP="00341416">
      <w:pPr>
        <w:keepLines w:val="0"/>
      </w:pPr>
    </w:p>
    <w:p w14:paraId="02AC496F" w14:textId="77777777" w:rsidR="00341416" w:rsidRDefault="00341416" w:rsidP="00341416">
      <w:pPr>
        <w:sectPr w:rsidR="00341416" w:rsidSect="00570639">
          <w:footerReference w:type="even" r:id="rId42"/>
          <w:footerReference w:type="default" r:id="rId43"/>
          <w:pgSz w:w="9979" w:h="14175" w:code="34"/>
          <w:pgMar w:top="1134" w:right="1134" w:bottom="1134" w:left="1134" w:header="624" w:footer="567" w:gutter="0"/>
          <w:cols w:space="708"/>
          <w:docGrid w:linePitch="360"/>
        </w:sectPr>
      </w:pPr>
    </w:p>
    <w:p w14:paraId="4974FC69" w14:textId="273DD265" w:rsidR="00AB205D" w:rsidRDefault="00471A3B">
      <w:pPr>
        <w:pStyle w:val="ChapterHeading"/>
      </w:pPr>
      <w:bookmarkStart w:id="139" w:name="_Toc184299452"/>
      <w:r>
        <w:t xml:space="preserve">Chapter 6 – </w:t>
      </w:r>
      <w:r w:rsidR="00E259F6">
        <w:t xml:space="preserve">Sensitivity </w:t>
      </w:r>
      <w:r w:rsidR="00A713BA">
        <w:t>a</w:t>
      </w:r>
      <w:r w:rsidR="00E259F6">
        <w:t>nalysis</w:t>
      </w:r>
      <w:bookmarkEnd w:id="139"/>
    </w:p>
    <w:p w14:paraId="0221F44A" w14:textId="77777777" w:rsidR="00E259F6" w:rsidRPr="0084168F" w:rsidRDefault="00E259F6" w:rsidP="00E259F6">
      <w:r w:rsidRPr="0084168F">
        <w:t xml:space="preserve">The </w:t>
      </w:r>
      <w:r w:rsidRPr="00F9018B">
        <w:rPr>
          <w:i/>
          <w:iCs/>
        </w:rPr>
        <w:t>202</w:t>
      </w:r>
      <w:r>
        <w:rPr>
          <w:i/>
          <w:iCs/>
        </w:rPr>
        <w:t>4</w:t>
      </w:r>
      <w:r w:rsidRPr="00F9018B">
        <w:rPr>
          <w:i/>
          <w:iCs/>
        </w:rPr>
        <w:noBreakHyphen/>
        <w:t>2</w:t>
      </w:r>
      <w:r>
        <w:rPr>
          <w:i/>
          <w:iCs/>
        </w:rPr>
        <w:t>5</w:t>
      </w:r>
      <w:r w:rsidRPr="00F9018B">
        <w:rPr>
          <w:i/>
          <w:iCs/>
        </w:rPr>
        <w:t> Budget</w:t>
      </w:r>
      <w:r>
        <w:rPr>
          <w:i/>
          <w:iCs/>
        </w:rPr>
        <w:t xml:space="preserve"> Update </w:t>
      </w:r>
      <w:r w:rsidRPr="0084168F">
        <w:t>relies on forecasts and judgements about the economic, operating and</w:t>
      </w:r>
      <w:r>
        <w:t> </w:t>
      </w:r>
      <w:r w:rsidRPr="0084168F">
        <w:t>financial conditions for the Victorian general government sector. Uncertainty in these conditions, for example as a result of international developments and other risks to the national economy, may cause the actual results to differ from budget projections</w:t>
      </w:r>
      <w:r>
        <w:t xml:space="preserve">. </w:t>
      </w:r>
    </w:p>
    <w:p w14:paraId="6BA559E7" w14:textId="77777777" w:rsidR="00E259F6" w:rsidRPr="0084168F" w:rsidRDefault="00E259F6" w:rsidP="00E259F6">
      <w:pPr>
        <w:ind w:right="-119"/>
      </w:pPr>
      <w:r w:rsidRPr="0084168F">
        <w:t xml:space="preserve">This sensitivity analysis explores the </w:t>
      </w:r>
      <w:r>
        <w:t>effects</w:t>
      </w:r>
      <w:r w:rsidRPr="0084168F">
        <w:t xml:space="preserve"> of variations in the macroeconomic outlook on key fiscal aggregates of the general government sector using two alternative approaches. </w:t>
      </w:r>
    </w:p>
    <w:p w14:paraId="4176D467" w14:textId="77777777" w:rsidR="00E259F6" w:rsidRPr="0084168F" w:rsidRDefault="00E259F6" w:rsidP="00E259F6">
      <w:r w:rsidRPr="0084168F">
        <w:t xml:space="preserve">The first approach </w:t>
      </w:r>
      <w:r w:rsidRPr="00F96D31">
        <w:t xml:space="preserve">quantifies the fiscal </w:t>
      </w:r>
      <w:r>
        <w:t>effects</w:t>
      </w:r>
      <w:r w:rsidRPr="00F96D31">
        <w:t xml:space="preserve"> of scenario</w:t>
      </w:r>
      <w:r>
        <w:t>s</w:t>
      </w:r>
      <w:r w:rsidRPr="00F96D31">
        <w:t xml:space="preserve"> involving simultaneous variations in economic parameters that represent key risks to the economic outlook described in </w:t>
      </w:r>
      <w:r w:rsidRPr="00873288">
        <w:t>Chapter 2 </w:t>
      </w:r>
      <w:r w:rsidRPr="00873288">
        <w:rPr>
          <w:i/>
          <w:iCs/>
        </w:rPr>
        <w:t>Economic context</w:t>
      </w:r>
      <w:r w:rsidRPr="00873288">
        <w:t xml:space="preserve">. </w:t>
      </w:r>
      <w:r>
        <w:t>These</w:t>
      </w:r>
      <w:r w:rsidRPr="0084168F">
        <w:t xml:space="preserve"> scenario</w:t>
      </w:r>
      <w:r>
        <w:t>s</w:t>
      </w:r>
      <w:r w:rsidRPr="0084168F">
        <w:t xml:space="preserve"> </w:t>
      </w:r>
      <w:r>
        <w:t>were</w:t>
      </w:r>
      <w:r w:rsidRPr="0084168F">
        <w:t xml:space="preserve"> selected to cover plausible shock</w:t>
      </w:r>
      <w:r>
        <w:t>s</w:t>
      </w:r>
      <w:r w:rsidRPr="0084168F">
        <w:t xml:space="preserve"> that could affect Victoria over the budget period, and the modelling takes account of linkages between key international, Australian and Victorian economic aggregates.</w:t>
      </w:r>
    </w:p>
    <w:p w14:paraId="06BF49F7" w14:textId="77777777" w:rsidR="00E259F6" w:rsidRPr="0084168F" w:rsidRDefault="00E259F6" w:rsidP="00E259F6">
      <w:r w:rsidRPr="0084168F">
        <w:t>The modelled outcomes are intended to be used as a guide and care should be exercised in interpreting the results. In particular, economic shocks tend to be idiosyncratic, with the modelled scenario</w:t>
      </w:r>
      <w:r>
        <w:t>s</w:t>
      </w:r>
      <w:r w:rsidRPr="0084168F">
        <w:t xml:space="preserve"> unlikely to completely reflect any future shock that could occur. Departures from </w:t>
      </w:r>
      <w:r>
        <w:t>these</w:t>
      </w:r>
      <w:r w:rsidRPr="0084168F">
        <w:t xml:space="preserve"> scenario</w:t>
      </w:r>
      <w:r>
        <w:t>s</w:t>
      </w:r>
      <w:r w:rsidRPr="0084168F">
        <w:t xml:space="preserve"> would likely result in different </w:t>
      </w:r>
      <w:r>
        <w:t>effects</w:t>
      </w:r>
      <w:r w:rsidRPr="0084168F">
        <w:t xml:space="preserve"> on the budget. Furthermore, the modelled results of the shocks do not incorporate any policy responses to the shocks and their subsequent effects on the economic or fiscal outlook. </w:t>
      </w:r>
    </w:p>
    <w:p w14:paraId="73853456" w14:textId="77777777" w:rsidR="00E259F6" w:rsidRPr="0084168F" w:rsidRDefault="00E259F6" w:rsidP="00E259F6">
      <w:r w:rsidRPr="0084168F">
        <w:t xml:space="preserve">The second approach considers the fiscal </w:t>
      </w:r>
      <w:r>
        <w:t>effects</w:t>
      </w:r>
      <w:r w:rsidRPr="0084168F">
        <w:t xml:space="preserve"> of independent variations in major macroeconomic parameters, holding constant all parameters other than the indicator of interest. This analysis may be useful for assessing the </w:t>
      </w:r>
      <w:r>
        <w:t>effect</w:t>
      </w:r>
      <w:r w:rsidRPr="0084168F">
        <w:t xml:space="preserve"> on fiscal aggregates of a forecast error in a single economic parameter. In practice, economic variations rarely occur in isolation, and scenario analysis is likely to be more appropriate to illustrate the fiscal impacts of an economic environment materially different from that presented in the</w:t>
      </w:r>
      <w:r>
        <w:t> </w:t>
      </w:r>
      <w:r w:rsidRPr="0084168F">
        <w:t>budget papers.</w:t>
      </w:r>
    </w:p>
    <w:p w14:paraId="5835BC81" w14:textId="77777777" w:rsidR="00E259F6" w:rsidRPr="0084168F" w:rsidRDefault="00E259F6" w:rsidP="00E259F6">
      <w:pPr>
        <w:pStyle w:val="Heading10"/>
        <w:pageBreakBefore/>
      </w:pPr>
      <w:bookmarkStart w:id="140" w:name="_Toc184198774"/>
      <w:bookmarkStart w:id="141" w:name="_Toc184299453"/>
      <w:r w:rsidRPr="0084168F">
        <w:t xml:space="preserve">Fiscal </w:t>
      </w:r>
      <w:r>
        <w:t>effects</w:t>
      </w:r>
      <w:r w:rsidRPr="0084168F">
        <w:t xml:space="preserve"> of variations to the economic outlook</w:t>
      </w:r>
      <w:bookmarkEnd w:id="140"/>
      <w:bookmarkEnd w:id="141"/>
    </w:p>
    <w:p w14:paraId="208D850B" w14:textId="77777777" w:rsidR="00E259F6" w:rsidRPr="00873288" w:rsidRDefault="00E259F6" w:rsidP="00E259F6">
      <w:bookmarkStart w:id="142" w:name="_Hlk182489867"/>
      <w:r>
        <w:t>The</w:t>
      </w:r>
      <w:r w:rsidRPr="00873288">
        <w:t xml:space="preserve"> scenario component of the sensitivity analysis quantifies </w:t>
      </w:r>
      <w:r>
        <w:t>two</w:t>
      </w:r>
      <w:r w:rsidRPr="00873288">
        <w:t xml:space="preserve"> key risk</w:t>
      </w:r>
      <w:r>
        <w:t>s</w:t>
      </w:r>
      <w:r w:rsidRPr="00873288">
        <w:t xml:space="preserve"> identified in </w:t>
      </w:r>
      <w:bookmarkStart w:id="143" w:name="_Hlk132613631"/>
      <w:r w:rsidRPr="00873288">
        <w:t>Chapter 2 </w:t>
      </w:r>
      <w:r w:rsidRPr="00873288">
        <w:rPr>
          <w:i/>
          <w:iCs/>
        </w:rPr>
        <w:t>Economic </w:t>
      </w:r>
      <w:bookmarkEnd w:id="143"/>
      <w:r w:rsidRPr="00873288">
        <w:rPr>
          <w:i/>
          <w:iCs/>
        </w:rPr>
        <w:t>context</w:t>
      </w:r>
      <w:r w:rsidRPr="00873288">
        <w:t xml:space="preserve"> and presents how </w:t>
      </w:r>
      <w:r>
        <w:t>these</w:t>
      </w:r>
      <w:r w:rsidRPr="00873288">
        <w:t xml:space="preserve"> risk</w:t>
      </w:r>
      <w:r>
        <w:t>s</w:t>
      </w:r>
      <w:r w:rsidRPr="00873288">
        <w:t xml:space="preserve"> might affect the </w:t>
      </w:r>
      <w:r>
        <w:t>S</w:t>
      </w:r>
      <w:r w:rsidRPr="00873288">
        <w:t xml:space="preserve">tate’s economic and fiscal aggregates. </w:t>
      </w:r>
    </w:p>
    <w:p w14:paraId="7035CB36" w14:textId="77777777" w:rsidR="00E259F6" w:rsidRDefault="00E259F6" w:rsidP="00E259F6">
      <w:bookmarkStart w:id="144" w:name="_Hlk100137503"/>
      <w:r>
        <w:t>The first</w:t>
      </w:r>
      <w:r w:rsidRPr="00873288">
        <w:t xml:space="preserve"> scenario considers a downturn in Victorian and Australian aggregate demand, partly due to uncertainty around the trajectory for interest rates and inflation. </w:t>
      </w:r>
      <w:bookmarkEnd w:id="144"/>
      <w:r>
        <w:t xml:space="preserve">The second scenario considers the implications of a lower trend unemployment rate, resulting in higher employment and investment activity. </w:t>
      </w:r>
    </w:p>
    <w:p w14:paraId="5AC1DD1D" w14:textId="58F9A31C" w:rsidR="00E259F6" w:rsidRPr="00873288" w:rsidRDefault="00E259F6" w:rsidP="00E259F6">
      <w:r w:rsidRPr="00873288">
        <w:t xml:space="preserve">The economic </w:t>
      </w:r>
      <w:r>
        <w:t>effects</w:t>
      </w:r>
      <w:r w:rsidRPr="00873288">
        <w:t xml:space="preserve"> of the</w:t>
      </w:r>
      <w:r>
        <w:t>se</w:t>
      </w:r>
      <w:r w:rsidRPr="00873288">
        <w:t xml:space="preserve"> scenario</w:t>
      </w:r>
      <w:r>
        <w:t>s</w:t>
      </w:r>
      <w:r w:rsidRPr="00873288">
        <w:t xml:space="preserve"> have been modelled using VURMTAX, a</w:t>
      </w:r>
      <w:r>
        <w:t> </w:t>
      </w:r>
      <w:r w:rsidRPr="00873288">
        <w:t>computable general equilibrium model developed by the Centre of Policy Studies at Victoria University. The results of the scenario</w:t>
      </w:r>
      <w:r>
        <w:t>s</w:t>
      </w:r>
      <w:r w:rsidRPr="00873288">
        <w:t xml:space="preserve"> are </w:t>
      </w:r>
      <w:r>
        <w:t>presented</w:t>
      </w:r>
      <w:r w:rsidRPr="00873288">
        <w:t xml:space="preserve"> as deviation</w:t>
      </w:r>
      <w:r>
        <w:t>s</w:t>
      </w:r>
      <w:r w:rsidRPr="00873288">
        <w:t xml:space="preserve"> from the ‘business as usual’ base case, which reflects the central economic forecasts outlined in Chapter 2 </w:t>
      </w:r>
      <w:r w:rsidRPr="00873288">
        <w:rPr>
          <w:i/>
          <w:iCs/>
        </w:rPr>
        <w:t>Economic context.</w:t>
      </w:r>
    </w:p>
    <w:bookmarkEnd w:id="142"/>
    <w:p w14:paraId="5A4C7D2C" w14:textId="77777777" w:rsidR="00E259F6" w:rsidRDefault="00E259F6" w:rsidP="00E259F6">
      <w:r w:rsidRPr="00873288">
        <w:t>The changes in economic variables resulting from the modelled shocks</w:t>
      </w:r>
      <w:r w:rsidRPr="0084168F">
        <w:t xml:space="preserve"> are then mapped into estimated revenue and expenditure </w:t>
      </w:r>
      <w:r>
        <w:t>effects</w:t>
      </w:r>
      <w:r w:rsidRPr="0084168F">
        <w:t xml:space="preserve"> using elasticities that describe the historical relationship between fiscal outcomes and major macroeconomic parameters.</w:t>
      </w:r>
      <w:r w:rsidRPr="005462C8">
        <w:rPr>
          <w:vertAlign w:val="superscript"/>
        </w:rPr>
        <w:footnoteReference w:id="2"/>
      </w:r>
    </w:p>
    <w:p w14:paraId="436AE071" w14:textId="18C9B076" w:rsidR="00E259F6" w:rsidRPr="002F13B2" w:rsidRDefault="00E259F6" w:rsidP="00E259F6">
      <w:pPr>
        <w:pStyle w:val="Heading20"/>
      </w:pPr>
      <w:r w:rsidRPr="002F13B2">
        <w:t>Scenario</w:t>
      </w:r>
      <w:r>
        <w:t xml:space="preserve"> A</w:t>
      </w:r>
      <w:r w:rsidRPr="002F13B2">
        <w:t xml:space="preserve">: </w:t>
      </w:r>
      <w:r>
        <w:tab/>
      </w:r>
      <w:r w:rsidRPr="002F13B2">
        <w:t>A domestic economic slowdown</w:t>
      </w:r>
    </w:p>
    <w:p w14:paraId="7631389F" w14:textId="77777777" w:rsidR="00E259F6" w:rsidRPr="00CE5A81" w:rsidRDefault="00E259F6" w:rsidP="00E259F6">
      <w:pPr>
        <w:rPr>
          <w:rFonts w:ascii="Garamond" w:hAnsi="Garamond"/>
        </w:rPr>
      </w:pPr>
      <w:r w:rsidRPr="00CE5A81">
        <w:rPr>
          <w:rFonts w:ascii="Garamond" w:hAnsi="Garamond"/>
        </w:rPr>
        <w:t xml:space="preserve">Household consumption is expected to rebound in 2024-25, as real wages growth, easing inflation and income tax cuts support a rise in real household disposable incomes. However, as discussed in the Risks section of Chapter 2 </w:t>
      </w:r>
      <w:r w:rsidRPr="00CE5A81">
        <w:rPr>
          <w:rFonts w:ascii="Garamond" w:hAnsi="Garamond"/>
          <w:i/>
          <w:iCs/>
        </w:rPr>
        <w:t>Economic context</w:t>
      </w:r>
      <w:r w:rsidRPr="00CE5A81">
        <w:rPr>
          <w:rFonts w:ascii="Garamond" w:hAnsi="Garamond"/>
        </w:rPr>
        <w:t xml:space="preserve">, the path of inflation – and hence the outlook for interest rates – is uncertain. Although inflation is easing, services inflation remains high, and if it proves more persistent, the Reserve Bank of Australia (RBA) may </w:t>
      </w:r>
      <w:r>
        <w:rPr>
          <w:rFonts w:ascii="Garamond" w:hAnsi="Garamond"/>
        </w:rPr>
        <w:t>keep</w:t>
      </w:r>
      <w:r w:rsidRPr="00CE5A81">
        <w:rPr>
          <w:rFonts w:ascii="Garamond" w:hAnsi="Garamond"/>
        </w:rPr>
        <w:t xml:space="preserve"> interest rates elevated for longer than expected. As a result, real household disposable income, and hence consumer spending, may not rebound </w:t>
      </w:r>
      <w:r>
        <w:rPr>
          <w:rFonts w:ascii="Garamond" w:hAnsi="Garamond"/>
        </w:rPr>
        <w:t>as much as forecast</w:t>
      </w:r>
      <w:r w:rsidRPr="00CE5A81">
        <w:rPr>
          <w:rFonts w:ascii="Garamond" w:hAnsi="Garamond"/>
        </w:rPr>
        <w:t xml:space="preserve">. Additionally, </w:t>
      </w:r>
      <w:r>
        <w:rPr>
          <w:rFonts w:ascii="Garamond" w:hAnsi="Garamond"/>
        </w:rPr>
        <w:t>as</w:t>
      </w:r>
      <w:r w:rsidRPr="00CE5A81">
        <w:rPr>
          <w:rFonts w:ascii="Garamond" w:hAnsi="Garamond"/>
        </w:rPr>
        <w:t xml:space="preserve"> labour market conditions ease</w:t>
      </w:r>
      <w:r>
        <w:rPr>
          <w:rFonts w:ascii="Garamond" w:hAnsi="Garamond"/>
        </w:rPr>
        <w:t>,</w:t>
      </w:r>
      <w:r w:rsidRPr="00CE5A81">
        <w:rPr>
          <w:rFonts w:ascii="Garamond" w:hAnsi="Garamond"/>
        </w:rPr>
        <w:t xml:space="preserve"> </w:t>
      </w:r>
      <w:r>
        <w:rPr>
          <w:rFonts w:ascii="Garamond" w:hAnsi="Garamond"/>
        </w:rPr>
        <w:t>this</w:t>
      </w:r>
      <w:r w:rsidRPr="00CE5A81">
        <w:rPr>
          <w:rFonts w:ascii="Garamond" w:hAnsi="Garamond"/>
        </w:rPr>
        <w:t xml:space="preserve"> could lead to uncertainty </w:t>
      </w:r>
      <w:r>
        <w:rPr>
          <w:rFonts w:ascii="Garamond" w:hAnsi="Garamond"/>
        </w:rPr>
        <w:t xml:space="preserve">among households </w:t>
      </w:r>
      <w:r w:rsidRPr="00CE5A81">
        <w:rPr>
          <w:rFonts w:ascii="Garamond" w:hAnsi="Garamond"/>
        </w:rPr>
        <w:t>around the jobs outlook</w:t>
      </w:r>
      <w:r>
        <w:rPr>
          <w:rFonts w:ascii="Garamond" w:hAnsi="Garamond"/>
        </w:rPr>
        <w:t xml:space="preserve">, </w:t>
      </w:r>
      <w:r w:rsidRPr="00CE5A81">
        <w:rPr>
          <w:rFonts w:ascii="Garamond" w:hAnsi="Garamond"/>
        </w:rPr>
        <w:t>caus</w:t>
      </w:r>
      <w:r>
        <w:rPr>
          <w:rFonts w:ascii="Garamond" w:hAnsi="Garamond"/>
        </w:rPr>
        <w:t>ing</w:t>
      </w:r>
      <w:r w:rsidRPr="00CE5A81">
        <w:rPr>
          <w:rFonts w:ascii="Garamond" w:hAnsi="Garamond"/>
        </w:rPr>
        <w:t xml:space="preserve"> households to take on less debt, increase precautionary savings and moderate discretionary spending by more than is assumed in the base case.</w:t>
      </w:r>
      <w:r>
        <w:rPr>
          <w:rFonts w:ascii="Garamond" w:hAnsi="Garamond"/>
        </w:rPr>
        <w:t xml:space="preserve"> </w:t>
      </w:r>
      <w:r w:rsidRPr="00343BCC">
        <w:rPr>
          <w:rFonts w:ascii="Garamond" w:hAnsi="Garamond"/>
        </w:rPr>
        <w:t>In this environment, lower consumer demand for goods and services would weigh on business confidence and investment.</w:t>
      </w:r>
    </w:p>
    <w:p w14:paraId="59562957" w14:textId="77777777" w:rsidR="00E259F6" w:rsidRPr="00CE5A81" w:rsidRDefault="00E259F6" w:rsidP="00E259F6">
      <w:pPr>
        <w:rPr>
          <w:rFonts w:ascii="Garamond" w:hAnsi="Garamond"/>
        </w:rPr>
      </w:pPr>
      <w:r w:rsidRPr="00CE5A81">
        <w:rPr>
          <w:rFonts w:ascii="Garamond" w:hAnsi="Garamond"/>
        </w:rPr>
        <w:t>This scenario explores the implications of lower national household and business confidence and spending, which disrupts both the Victorian and Australian economies.</w:t>
      </w:r>
    </w:p>
    <w:p w14:paraId="597CD8ED" w14:textId="77777777" w:rsidR="00E259F6" w:rsidRDefault="00E259F6" w:rsidP="00E259F6">
      <w:pPr>
        <w:rPr>
          <w:rFonts w:ascii="Garamond" w:hAnsi="Garamond"/>
        </w:rPr>
      </w:pPr>
      <w:r>
        <w:rPr>
          <w:rFonts w:ascii="Garamond" w:hAnsi="Garamond"/>
        </w:rPr>
        <w:t>H</w:t>
      </w:r>
      <w:r w:rsidRPr="00CE5A81">
        <w:rPr>
          <w:rFonts w:ascii="Garamond" w:hAnsi="Garamond"/>
        </w:rPr>
        <w:t xml:space="preserve">igher </w:t>
      </w:r>
      <w:r>
        <w:rPr>
          <w:rFonts w:ascii="Garamond" w:hAnsi="Garamond"/>
        </w:rPr>
        <w:t>household</w:t>
      </w:r>
      <w:r w:rsidRPr="00CE5A81">
        <w:rPr>
          <w:rFonts w:ascii="Garamond" w:hAnsi="Garamond"/>
        </w:rPr>
        <w:t xml:space="preserve"> precautionary savings from early 2025</w:t>
      </w:r>
      <w:r>
        <w:rPr>
          <w:rFonts w:ascii="Garamond" w:hAnsi="Garamond"/>
        </w:rPr>
        <w:t xml:space="preserve"> </w:t>
      </w:r>
      <w:r w:rsidRPr="00CE5A81">
        <w:rPr>
          <w:rFonts w:ascii="Garamond" w:hAnsi="Garamond"/>
        </w:rPr>
        <w:t xml:space="preserve">weighs on spending, resulting in household consumption being </w:t>
      </w:r>
      <w:r>
        <w:rPr>
          <w:rFonts w:ascii="Garamond" w:hAnsi="Garamond"/>
        </w:rPr>
        <w:t>0.16</w:t>
      </w:r>
      <w:r w:rsidRPr="00CE5A81">
        <w:rPr>
          <w:rFonts w:ascii="Garamond" w:hAnsi="Garamond"/>
        </w:rPr>
        <w:t xml:space="preserve"> per cent lower than the base case in 2024-25, and remain</w:t>
      </w:r>
      <w:r>
        <w:rPr>
          <w:rFonts w:ascii="Garamond" w:hAnsi="Garamond"/>
        </w:rPr>
        <w:t>ing</w:t>
      </w:r>
      <w:r w:rsidRPr="00CE5A81">
        <w:rPr>
          <w:rFonts w:ascii="Garamond" w:hAnsi="Garamond"/>
        </w:rPr>
        <w:t xml:space="preserve"> </w:t>
      </w:r>
      <w:r>
        <w:rPr>
          <w:rFonts w:ascii="Garamond" w:hAnsi="Garamond"/>
        </w:rPr>
        <w:t>0.71</w:t>
      </w:r>
      <w:r w:rsidRPr="00CE5A81">
        <w:rPr>
          <w:rFonts w:ascii="Garamond" w:hAnsi="Garamond"/>
        </w:rPr>
        <w:t xml:space="preserve"> per cent lower in 2025-26. Lower aggregate demand results in </w:t>
      </w:r>
      <w:r>
        <w:rPr>
          <w:rFonts w:ascii="Garamond" w:hAnsi="Garamond"/>
        </w:rPr>
        <w:t xml:space="preserve">businesses utilising less </w:t>
      </w:r>
      <w:r w:rsidRPr="00CE5A81">
        <w:rPr>
          <w:rFonts w:ascii="Garamond" w:hAnsi="Garamond"/>
        </w:rPr>
        <w:t xml:space="preserve">capital, which is modelled as a decline in the productivity of the capital stock. This lowers the incentive for firms to invest, leading to </w:t>
      </w:r>
      <w:r>
        <w:rPr>
          <w:rFonts w:ascii="Garamond" w:hAnsi="Garamond"/>
        </w:rPr>
        <w:t>0.12</w:t>
      </w:r>
      <w:r w:rsidRPr="00CE5A81">
        <w:rPr>
          <w:rFonts w:ascii="Garamond" w:hAnsi="Garamond"/>
        </w:rPr>
        <w:t xml:space="preserve"> per cent lower </w:t>
      </w:r>
      <w:r>
        <w:rPr>
          <w:rFonts w:ascii="Garamond" w:hAnsi="Garamond"/>
        </w:rPr>
        <w:t>Victorian business investment</w:t>
      </w:r>
      <w:r w:rsidRPr="00CE5A81">
        <w:rPr>
          <w:rFonts w:ascii="Garamond" w:hAnsi="Garamond"/>
        </w:rPr>
        <w:t xml:space="preserve"> than the base case in 2024</w:t>
      </w:r>
      <w:bookmarkStart w:id="145" w:name="_Hlk182494320"/>
      <w:r w:rsidRPr="00CE5A81">
        <w:rPr>
          <w:rFonts w:ascii="Garamond" w:hAnsi="Garamond"/>
        </w:rPr>
        <w:t>-</w:t>
      </w:r>
      <w:bookmarkEnd w:id="145"/>
      <w:r w:rsidRPr="00CE5A81">
        <w:rPr>
          <w:rFonts w:ascii="Garamond" w:hAnsi="Garamond"/>
        </w:rPr>
        <w:t xml:space="preserve">25, </w:t>
      </w:r>
      <w:r>
        <w:rPr>
          <w:rFonts w:ascii="Garamond" w:hAnsi="Garamond"/>
        </w:rPr>
        <w:t xml:space="preserve">with investment </w:t>
      </w:r>
      <w:r w:rsidRPr="00CE5A81">
        <w:rPr>
          <w:rFonts w:ascii="Garamond" w:hAnsi="Garamond"/>
        </w:rPr>
        <w:t xml:space="preserve">remaining </w:t>
      </w:r>
      <w:r>
        <w:rPr>
          <w:rFonts w:ascii="Garamond" w:hAnsi="Garamond"/>
        </w:rPr>
        <w:t>0.</w:t>
      </w:r>
      <w:r w:rsidDel="00AC232A">
        <w:rPr>
          <w:rFonts w:ascii="Garamond" w:hAnsi="Garamond"/>
        </w:rPr>
        <w:t>67</w:t>
      </w:r>
      <w:r>
        <w:rPr>
          <w:rFonts w:ascii="Garamond" w:hAnsi="Garamond"/>
        </w:rPr>
        <w:t> </w:t>
      </w:r>
      <w:r w:rsidRPr="00CE5A81" w:rsidDel="00AC232A">
        <w:rPr>
          <w:rFonts w:ascii="Garamond" w:hAnsi="Garamond"/>
        </w:rPr>
        <w:t>per</w:t>
      </w:r>
      <w:r>
        <w:rPr>
          <w:rFonts w:ascii="Garamond" w:hAnsi="Garamond"/>
        </w:rPr>
        <w:t> </w:t>
      </w:r>
      <w:r w:rsidRPr="00CE5A81">
        <w:rPr>
          <w:rFonts w:ascii="Garamond" w:hAnsi="Garamond"/>
        </w:rPr>
        <w:t>cent lower in 2025</w:t>
      </w:r>
      <w:r>
        <w:t>-</w:t>
      </w:r>
      <w:r w:rsidRPr="00CE5A81">
        <w:rPr>
          <w:rFonts w:ascii="Garamond" w:hAnsi="Garamond"/>
        </w:rPr>
        <w:t>26.</w:t>
      </w:r>
    </w:p>
    <w:p w14:paraId="259AF2A3" w14:textId="77777777" w:rsidR="00E259F6" w:rsidRDefault="00E259F6" w:rsidP="00E259F6">
      <w:pPr>
        <w:ind w:right="-128"/>
      </w:pPr>
      <w:r>
        <w:t xml:space="preserve">Higher prices stemming from lower productivity </w:t>
      </w:r>
      <w:r w:rsidRPr="003A700A">
        <w:t>reduce the international competitiveness of exports, which decline</w:t>
      </w:r>
      <w:r>
        <w:t xml:space="preserve"> in 2025</w:t>
      </w:r>
      <w:r w:rsidRPr="003A700A">
        <w:t xml:space="preserve">. Imports also decline due to lower domestic consumption and </w:t>
      </w:r>
      <w:r>
        <w:t>investment, though to a lesser extent than the decline in exports. Therefore, the shock initially</w:t>
      </w:r>
      <w:r w:rsidRPr="003A700A">
        <w:t xml:space="preserve"> leads to a worsening of the trade balance. </w:t>
      </w:r>
      <w:r>
        <w:t>However, a</w:t>
      </w:r>
      <w:r w:rsidRPr="003A700A">
        <w:t>s the real exchange rate adjusts</w:t>
      </w:r>
      <w:r>
        <w:t>,</w:t>
      </w:r>
      <w:r w:rsidRPr="003A700A">
        <w:t xml:space="preserve"> Victorian exports become more competitive, and the trade balance improves from the </w:t>
      </w:r>
      <w:r>
        <w:t>start</w:t>
      </w:r>
      <w:r w:rsidRPr="003A700A">
        <w:t xml:space="preserve"> of </w:t>
      </w:r>
      <w:r>
        <w:t>2026</w:t>
      </w:r>
      <w:r w:rsidRPr="003A700A">
        <w:t xml:space="preserve"> onwards. This improvement partly offsets the negative impact of the fall in consumption and investment on gross state product (GSP).</w:t>
      </w:r>
    </w:p>
    <w:p w14:paraId="445B1854" w14:textId="77777777" w:rsidR="00E259F6" w:rsidRPr="00D12C8E" w:rsidRDefault="00E259F6" w:rsidP="00E259F6">
      <w:r w:rsidRPr="00D12C8E">
        <w:t xml:space="preserve">Collectively, the shocks to household consumption and investment reduce the level of Victoria’s GSP, compared with the base case, by </w:t>
      </w:r>
      <w:r>
        <w:t>0.14</w:t>
      </w:r>
      <w:r w:rsidRPr="00D12C8E">
        <w:t xml:space="preserve"> per cent in 2024-25, </w:t>
      </w:r>
      <w:r>
        <w:t>0.59</w:t>
      </w:r>
      <w:r w:rsidRPr="00D12C8E">
        <w:t xml:space="preserve"> per cent in 2025-26, </w:t>
      </w:r>
      <w:r>
        <w:t>0.14</w:t>
      </w:r>
      <w:r w:rsidRPr="00D12C8E">
        <w:t> per cent in 2026-2</w:t>
      </w:r>
      <w:r>
        <w:t xml:space="preserve">7, </w:t>
      </w:r>
      <w:r w:rsidRPr="00D12C8E">
        <w:t>and</w:t>
      </w:r>
      <w:r>
        <w:t xml:space="preserve"> 0.08 per cent in</w:t>
      </w:r>
      <w:r w:rsidRPr="00D12C8E" w:rsidDel="0056161F">
        <w:t xml:space="preserve"> </w:t>
      </w:r>
      <w:r w:rsidRPr="00D12C8E">
        <w:t xml:space="preserve">2027-28. The peak economic impact occurs in </w:t>
      </w:r>
      <w:r>
        <w:t>2025-26</w:t>
      </w:r>
      <w:r w:rsidRPr="00D12C8E">
        <w:t>, when consumer and business confidence effects are assumed to have a significant role in lowering household consumption and business investment (see </w:t>
      </w:r>
      <w:r w:rsidRPr="00202D82">
        <w:t>Chart 6.1</w:t>
      </w:r>
      <w:r w:rsidRPr="00D12C8E">
        <w:t>). Consumption and investment largely recover later in the forecast period as these confidence effects dissipate.</w:t>
      </w:r>
    </w:p>
    <w:p w14:paraId="75C1226F" w14:textId="77777777" w:rsidR="00E259F6" w:rsidRDefault="00E259F6" w:rsidP="00E259F6"/>
    <w:p w14:paraId="0D52E6F3" w14:textId="112BF173" w:rsidR="00E259F6" w:rsidRPr="00625FC7" w:rsidRDefault="00E259F6" w:rsidP="00E259F6">
      <w:pPr>
        <w:pStyle w:val="TableHeading"/>
      </w:pPr>
      <w:r w:rsidRPr="00202D82">
        <w:t>Chart 6.1</w:t>
      </w:r>
      <w:r w:rsidRPr="00462806">
        <w:t xml:space="preserve">: </w:t>
      </w:r>
      <w:r>
        <w:tab/>
      </w:r>
      <w:r w:rsidRPr="00462806">
        <w:t xml:space="preserve">The impact of a </w:t>
      </w:r>
      <w:r>
        <w:t>domestic economic slowdown</w:t>
      </w:r>
      <w:r w:rsidRPr="00462806">
        <w:t xml:space="preserve"> on select variables</w:t>
      </w:r>
    </w:p>
    <w:p w14:paraId="4072BE09" w14:textId="77777777" w:rsidR="00E259F6" w:rsidRDefault="00E259F6" w:rsidP="00E259F6">
      <w:r>
        <w:rPr>
          <w:noProof/>
        </w:rPr>
        <w:drawing>
          <wp:inline distT="0" distB="0" distL="0" distR="0" wp14:anchorId="29B81164" wp14:editId="5A7D2330">
            <wp:extent cx="4896485" cy="2470785"/>
            <wp:effectExtent l="0" t="0" r="0" b="5715"/>
            <wp:docPr id="1976510932"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2C950AF" w14:textId="77777777" w:rsidR="00E259F6" w:rsidRDefault="00E259F6" w:rsidP="00E259F6"/>
    <w:p w14:paraId="0CF13D3C" w14:textId="4B120EB6" w:rsidR="00E259F6" w:rsidRPr="003E1249" w:rsidRDefault="00E259F6" w:rsidP="00E259F6">
      <w:pPr>
        <w:ind w:right="-128"/>
      </w:pPr>
      <w:r>
        <w:t>Reduced domestic activity results in less demand for labour, causing employment to be 0.11 per cent lower in 2024-25 and 0.41 per cent lower in 2025-26, compar</w:t>
      </w:r>
      <w:r w:rsidRPr="00D12C8E">
        <w:t xml:space="preserve">ed with the base case. </w:t>
      </w:r>
      <w:r>
        <w:t>This results in more spare capacity in the labour market, with the unemployment rate being 0.11</w:t>
      </w:r>
      <w:r w:rsidRPr="00D12C8E">
        <w:t xml:space="preserve"> percentage points higher in 2024-25</w:t>
      </w:r>
      <w:r>
        <w:t xml:space="preserve"> and 0.38 percentage points higher in 2025</w:t>
      </w:r>
      <w:r>
        <w:noBreakHyphen/>
        <w:t>26</w:t>
      </w:r>
      <w:r w:rsidRPr="00D12C8E">
        <w:t xml:space="preserve">. This </w:t>
      </w:r>
      <w:r>
        <w:t xml:space="preserve">in turn </w:t>
      </w:r>
      <w:r w:rsidRPr="00D12C8E">
        <w:t xml:space="preserve">places downward pressure on wages growth. </w:t>
      </w:r>
    </w:p>
    <w:p w14:paraId="1DC6D1BC" w14:textId="77777777" w:rsidR="00E259F6" w:rsidRPr="00D12C8E" w:rsidRDefault="00E259F6" w:rsidP="00E259F6">
      <w:r w:rsidRPr="00D12C8E">
        <w:t>This scenario assumes that government consumption remains unchanged, with no further discretionary fiscal expenditure in response to the shock. In practice, though, governments and the RBA may intervene to mitigate the shock’s impacts</w:t>
      </w:r>
      <w:r>
        <w:t xml:space="preserve"> </w:t>
      </w:r>
      <w:r w:rsidRPr="00252224">
        <w:t>by responding in a counter</w:t>
      </w:r>
      <w:r>
        <w:noBreakHyphen/>
      </w:r>
      <w:r w:rsidRPr="00252224">
        <w:t>cyclical manner</w:t>
      </w:r>
      <w:r w:rsidRPr="00D12C8E">
        <w:t xml:space="preserve">. </w:t>
      </w:r>
    </w:p>
    <w:p w14:paraId="6F68CFD8" w14:textId="77777777" w:rsidR="00E259F6" w:rsidRDefault="00E259F6" w:rsidP="00E259F6">
      <w:pPr>
        <w:keepNext/>
      </w:pPr>
      <w:r w:rsidRPr="00202D82">
        <w:t>Table 6.1</w:t>
      </w:r>
      <w:r>
        <w:t xml:space="preserve"> summarises the economic effects of this shock.</w:t>
      </w:r>
    </w:p>
    <w:p w14:paraId="22FA744D" w14:textId="25B0C05E" w:rsidR="00E259F6" w:rsidRDefault="00E259F6" w:rsidP="00E259F6">
      <w:pPr>
        <w:pStyle w:val="TableHeading"/>
      </w:pPr>
      <w:r w:rsidRPr="00202D82">
        <w:t>Table 6.1:</w:t>
      </w:r>
      <w:r w:rsidRPr="00821467">
        <w:tab/>
        <w:t xml:space="preserve">Projected impact of a domestic economic slowdown on </w:t>
      </w:r>
      <w:r>
        <w:br/>
      </w:r>
      <w:r w:rsidRPr="00821467">
        <w:t xml:space="preserve">major economic parameters </w:t>
      </w:r>
      <w:r w:rsidRPr="00821467">
        <w:rPr>
          <w:vertAlign w:val="superscript"/>
        </w:rPr>
        <w:t>(a)</w:t>
      </w:r>
      <w:r w:rsidRPr="00821467">
        <w:t xml:space="preserve"> </w:t>
      </w:r>
      <w:r>
        <w:tab/>
      </w:r>
      <w:r w:rsidRPr="00821467">
        <w:t>(per cent)</w:t>
      </w:r>
    </w:p>
    <w:tbl>
      <w:tblPr>
        <w:tblStyle w:val="DTFTable"/>
        <w:tblW w:w="7770" w:type="dxa"/>
        <w:tblLayout w:type="fixed"/>
        <w:tblLook w:val="06E0" w:firstRow="1" w:lastRow="1" w:firstColumn="1" w:lastColumn="0" w:noHBand="1" w:noVBand="1"/>
      </w:tblPr>
      <w:tblGrid>
        <w:gridCol w:w="4083"/>
        <w:gridCol w:w="921"/>
        <w:gridCol w:w="922"/>
        <w:gridCol w:w="922"/>
        <w:gridCol w:w="922"/>
      </w:tblGrid>
      <w:tr w:rsidR="00E259F6" w:rsidRPr="00343BCC" w14:paraId="091429D5" w14:textId="77777777" w:rsidTr="00E259F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083" w:type="dxa"/>
            <w:hideMark/>
          </w:tcPr>
          <w:p w14:paraId="7D4C77EC" w14:textId="77777777" w:rsidR="00E259F6" w:rsidRPr="00343BCC" w:rsidRDefault="00E259F6" w:rsidP="008670FF">
            <w:pPr>
              <w:autoSpaceDE w:val="0"/>
              <w:autoSpaceDN w:val="0"/>
              <w:adjustRightInd w:val="0"/>
              <w:rPr>
                <w:rFonts w:eastAsiaTheme="minorEastAsia" w:cstheme="majorHAnsi"/>
                <w:i w:val="0"/>
                <w:iCs/>
                <w:szCs w:val="17"/>
                <w:lang w:eastAsia="en-AU"/>
              </w:rPr>
            </w:pPr>
          </w:p>
          <w:p w14:paraId="79A1A3A6" w14:textId="77777777" w:rsidR="00E259F6" w:rsidRPr="00343BCC" w:rsidRDefault="00E259F6" w:rsidP="008670FF">
            <w:pPr>
              <w:autoSpaceDE w:val="0"/>
              <w:autoSpaceDN w:val="0"/>
              <w:adjustRightInd w:val="0"/>
              <w:rPr>
                <w:rFonts w:eastAsiaTheme="minorEastAsia" w:cstheme="majorHAnsi"/>
                <w:iCs/>
                <w:szCs w:val="17"/>
                <w:lang w:eastAsia="en-AU"/>
              </w:rPr>
            </w:pPr>
            <w:r w:rsidRPr="00343BCC">
              <w:rPr>
                <w:rFonts w:eastAsiaTheme="minorEastAsia" w:cstheme="majorHAnsi"/>
                <w:iCs/>
                <w:szCs w:val="17"/>
                <w:lang w:eastAsia="en-AU"/>
              </w:rPr>
              <w:t xml:space="preserve"> </w:t>
            </w:r>
          </w:p>
        </w:tc>
        <w:tc>
          <w:tcPr>
            <w:tcW w:w="921" w:type="dxa"/>
            <w:hideMark/>
          </w:tcPr>
          <w:p w14:paraId="49100E84" w14:textId="77777777" w:rsidR="00E259F6" w:rsidRPr="00343BCC"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343BCC">
              <w:rPr>
                <w:rFonts w:eastAsiaTheme="minorEastAsia" w:cs="Calibri"/>
                <w:iCs/>
                <w:szCs w:val="17"/>
                <w:lang w:eastAsia="en-AU"/>
              </w:rPr>
              <w:t>2024-25</w:t>
            </w:r>
            <w:r w:rsidRPr="00343BCC">
              <w:rPr>
                <w:rFonts w:eastAsiaTheme="minorEastAsia" w:cstheme="majorHAnsi"/>
                <w:iCs/>
                <w:szCs w:val="17"/>
                <w:lang w:eastAsia="en-AU"/>
              </w:rPr>
              <w:br/>
              <w:t>estimate</w:t>
            </w:r>
          </w:p>
        </w:tc>
        <w:tc>
          <w:tcPr>
            <w:tcW w:w="922" w:type="dxa"/>
          </w:tcPr>
          <w:p w14:paraId="0809B77F" w14:textId="77777777" w:rsidR="00E259F6" w:rsidRPr="00343BCC"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343BCC">
              <w:rPr>
                <w:rFonts w:eastAsiaTheme="minorEastAsia" w:cs="Calibri"/>
                <w:iCs/>
                <w:szCs w:val="17"/>
                <w:lang w:eastAsia="en-AU"/>
              </w:rPr>
              <w:t>2025-26</w:t>
            </w:r>
            <w:r w:rsidRPr="00343BCC">
              <w:rPr>
                <w:rFonts w:eastAsiaTheme="minorEastAsia" w:cstheme="majorHAnsi"/>
                <w:iCs/>
                <w:szCs w:val="17"/>
                <w:lang w:eastAsia="en-AU"/>
              </w:rPr>
              <w:br/>
              <w:t>estimate</w:t>
            </w:r>
          </w:p>
        </w:tc>
        <w:tc>
          <w:tcPr>
            <w:tcW w:w="922" w:type="dxa"/>
          </w:tcPr>
          <w:p w14:paraId="77D138EF" w14:textId="77777777" w:rsidR="00E259F6" w:rsidRPr="00343BCC"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343BCC">
              <w:rPr>
                <w:rFonts w:eastAsiaTheme="minorEastAsia" w:cstheme="majorHAnsi"/>
                <w:iCs/>
                <w:szCs w:val="17"/>
                <w:lang w:eastAsia="en-AU"/>
              </w:rPr>
              <w:t>2026-27 estimate</w:t>
            </w:r>
          </w:p>
        </w:tc>
        <w:tc>
          <w:tcPr>
            <w:tcW w:w="922" w:type="dxa"/>
          </w:tcPr>
          <w:p w14:paraId="308212B3" w14:textId="77777777" w:rsidR="00E259F6" w:rsidRPr="00343BCC"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343BCC">
              <w:rPr>
                <w:rFonts w:eastAsiaTheme="minorEastAsia" w:cstheme="majorHAnsi"/>
                <w:iCs/>
                <w:szCs w:val="17"/>
                <w:lang w:eastAsia="en-AU"/>
              </w:rPr>
              <w:t>2027-28 estimate</w:t>
            </w:r>
          </w:p>
        </w:tc>
      </w:tr>
      <w:tr w:rsidR="00E259F6" w:rsidRPr="00343BCC" w14:paraId="3C9C290D" w14:textId="77777777" w:rsidTr="00E259F6">
        <w:tc>
          <w:tcPr>
            <w:cnfStyle w:val="001000000000" w:firstRow="0" w:lastRow="0" w:firstColumn="1" w:lastColumn="0" w:oddVBand="0" w:evenVBand="0" w:oddHBand="0" w:evenHBand="0" w:firstRowFirstColumn="0" w:firstRowLastColumn="0" w:lastRowFirstColumn="0" w:lastRowLastColumn="0"/>
            <w:tcW w:w="4083" w:type="dxa"/>
            <w:hideMark/>
          </w:tcPr>
          <w:p w14:paraId="65958AD2" w14:textId="77777777" w:rsidR="00E259F6" w:rsidRPr="00343BCC" w:rsidRDefault="00E259F6" w:rsidP="008670FF">
            <w:pPr>
              <w:autoSpaceDE w:val="0"/>
              <w:autoSpaceDN w:val="0"/>
              <w:adjustRightInd w:val="0"/>
              <w:rPr>
                <w:rFonts w:eastAsiaTheme="minorEastAsia" w:cstheme="majorHAnsi"/>
                <w:szCs w:val="17"/>
                <w:lang w:eastAsia="en-AU"/>
              </w:rPr>
            </w:pPr>
            <w:r w:rsidRPr="00343BCC">
              <w:rPr>
                <w:rFonts w:eastAsiaTheme="minorEastAsia" w:cstheme="majorHAnsi"/>
                <w:szCs w:val="17"/>
                <w:lang w:eastAsia="en-AU"/>
              </w:rPr>
              <w:t>Real GSP</w:t>
            </w:r>
          </w:p>
        </w:tc>
        <w:tc>
          <w:tcPr>
            <w:tcW w:w="921" w:type="dxa"/>
            <w:tcBorders>
              <w:top w:val="nil"/>
              <w:left w:val="nil"/>
              <w:bottom w:val="nil"/>
              <w:right w:val="nil"/>
            </w:tcBorders>
            <w:shd w:val="clear" w:color="auto" w:fill="auto"/>
            <w:vAlign w:val="center"/>
          </w:tcPr>
          <w:p w14:paraId="34FB8E34"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(0.14)</w:t>
            </w:r>
          </w:p>
        </w:tc>
        <w:tc>
          <w:tcPr>
            <w:tcW w:w="922" w:type="dxa"/>
            <w:tcBorders>
              <w:top w:val="nil"/>
              <w:left w:val="nil"/>
              <w:bottom w:val="nil"/>
              <w:right w:val="nil"/>
            </w:tcBorders>
            <w:shd w:val="clear" w:color="auto" w:fill="auto"/>
            <w:vAlign w:val="center"/>
          </w:tcPr>
          <w:p w14:paraId="318B3AA8"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(0.59)</w:t>
            </w:r>
          </w:p>
        </w:tc>
        <w:tc>
          <w:tcPr>
            <w:tcW w:w="922" w:type="dxa"/>
            <w:tcBorders>
              <w:top w:val="nil"/>
              <w:left w:val="nil"/>
              <w:bottom w:val="nil"/>
              <w:right w:val="nil"/>
            </w:tcBorders>
            <w:shd w:val="clear" w:color="auto" w:fill="auto"/>
            <w:vAlign w:val="center"/>
          </w:tcPr>
          <w:p w14:paraId="455609BC"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(0.14)</w:t>
            </w:r>
          </w:p>
        </w:tc>
        <w:tc>
          <w:tcPr>
            <w:tcW w:w="922" w:type="dxa"/>
            <w:tcBorders>
              <w:top w:val="nil"/>
              <w:left w:val="nil"/>
              <w:bottom w:val="nil"/>
              <w:right w:val="nil"/>
            </w:tcBorders>
            <w:shd w:val="clear" w:color="auto" w:fill="auto"/>
            <w:vAlign w:val="center"/>
          </w:tcPr>
          <w:p w14:paraId="10C04ED0"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(0.08)</w:t>
            </w:r>
          </w:p>
        </w:tc>
      </w:tr>
      <w:tr w:rsidR="00E259F6" w:rsidRPr="00343BCC" w14:paraId="1B663D83" w14:textId="77777777" w:rsidTr="00E259F6">
        <w:tc>
          <w:tcPr>
            <w:cnfStyle w:val="001000000000" w:firstRow="0" w:lastRow="0" w:firstColumn="1" w:lastColumn="0" w:oddVBand="0" w:evenVBand="0" w:oddHBand="0" w:evenHBand="0" w:firstRowFirstColumn="0" w:firstRowLastColumn="0" w:lastRowFirstColumn="0" w:lastRowLastColumn="0"/>
            <w:tcW w:w="4083" w:type="dxa"/>
            <w:hideMark/>
          </w:tcPr>
          <w:p w14:paraId="4DDFA6FF" w14:textId="77777777" w:rsidR="00E259F6" w:rsidRPr="00343BCC" w:rsidRDefault="00E259F6" w:rsidP="008670FF">
            <w:pPr>
              <w:autoSpaceDE w:val="0"/>
              <w:autoSpaceDN w:val="0"/>
              <w:adjustRightInd w:val="0"/>
              <w:rPr>
                <w:rFonts w:eastAsiaTheme="minorEastAsia" w:cstheme="majorHAnsi"/>
                <w:szCs w:val="17"/>
                <w:lang w:eastAsia="en-AU"/>
              </w:rPr>
            </w:pPr>
            <w:r w:rsidRPr="00343BCC">
              <w:rPr>
                <w:rFonts w:eastAsiaTheme="minorEastAsia" w:cstheme="majorHAnsi"/>
                <w:szCs w:val="17"/>
                <w:lang w:eastAsia="en-AU"/>
              </w:rPr>
              <w:t>Employment (levels)</w:t>
            </w:r>
          </w:p>
        </w:tc>
        <w:tc>
          <w:tcPr>
            <w:tcW w:w="921" w:type="dxa"/>
            <w:tcBorders>
              <w:top w:val="nil"/>
              <w:left w:val="nil"/>
              <w:bottom w:val="nil"/>
              <w:right w:val="nil"/>
            </w:tcBorders>
            <w:shd w:val="clear" w:color="auto" w:fill="auto"/>
            <w:vAlign w:val="center"/>
          </w:tcPr>
          <w:p w14:paraId="18166539"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(0.11)</w:t>
            </w:r>
          </w:p>
        </w:tc>
        <w:tc>
          <w:tcPr>
            <w:tcW w:w="922" w:type="dxa"/>
            <w:tcBorders>
              <w:top w:val="nil"/>
              <w:left w:val="nil"/>
              <w:bottom w:val="nil"/>
              <w:right w:val="nil"/>
            </w:tcBorders>
            <w:shd w:val="clear" w:color="auto" w:fill="auto"/>
            <w:vAlign w:val="center"/>
          </w:tcPr>
          <w:p w14:paraId="2E35F45B"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(0.41)</w:t>
            </w:r>
          </w:p>
        </w:tc>
        <w:tc>
          <w:tcPr>
            <w:tcW w:w="922" w:type="dxa"/>
            <w:tcBorders>
              <w:top w:val="nil"/>
              <w:left w:val="nil"/>
              <w:bottom w:val="nil"/>
              <w:right w:val="nil"/>
            </w:tcBorders>
            <w:shd w:val="clear" w:color="auto" w:fill="auto"/>
            <w:vAlign w:val="center"/>
          </w:tcPr>
          <w:p w14:paraId="66EC06D2"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(0.03)</w:t>
            </w:r>
          </w:p>
        </w:tc>
        <w:tc>
          <w:tcPr>
            <w:tcW w:w="922" w:type="dxa"/>
            <w:tcBorders>
              <w:top w:val="nil"/>
              <w:left w:val="nil"/>
              <w:bottom w:val="nil"/>
              <w:right w:val="nil"/>
            </w:tcBorders>
            <w:shd w:val="clear" w:color="auto" w:fill="auto"/>
            <w:vAlign w:val="center"/>
          </w:tcPr>
          <w:p w14:paraId="07CE963C"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0.02</w:t>
            </w:r>
          </w:p>
        </w:tc>
      </w:tr>
      <w:tr w:rsidR="00E259F6" w:rsidRPr="00343BCC" w14:paraId="0FFB236E" w14:textId="77777777" w:rsidTr="00E259F6">
        <w:tc>
          <w:tcPr>
            <w:cnfStyle w:val="001000000000" w:firstRow="0" w:lastRow="0" w:firstColumn="1" w:lastColumn="0" w:oddVBand="0" w:evenVBand="0" w:oddHBand="0" w:evenHBand="0" w:firstRowFirstColumn="0" w:firstRowLastColumn="0" w:lastRowFirstColumn="0" w:lastRowLastColumn="0"/>
            <w:tcW w:w="4083" w:type="dxa"/>
            <w:tcBorders>
              <w:bottom w:val="nil"/>
            </w:tcBorders>
            <w:hideMark/>
          </w:tcPr>
          <w:p w14:paraId="3C528988" w14:textId="77777777" w:rsidR="00E259F6" w:rsidRPr="00343BCC" w:rsidRDefault="00E259F6" w:rsidP="008670FF">
            <w:pPr>
              <w:autoSpaceDE w:val="0"/>
              <w:autoSpaceDN w:val="0"/>
              <w:adjustRightInd w:val="0"/>
              <w:rPr>
                <w:rFonts w:eastAsiaTheme="minorEastAsia" w:cstheme="majorHAnsi"/>
                <w:szCs w:val="17"/>
                <w:lang w:eastAsia="en-AU"/>
              </w:rPr>
            </w:pPr>
            <w:r w:rsidRPr="00343BCC">
              <w:rPr>
                <w:rFonts w:eastAsiaTheme="minorEastAsia" w:cstheme="majorHAnsi"/>
                <w:szCs w:val="17"/>
                <w:lang w:eastAsia="en-AU"/>
              </w:rPr>
              <w:t>Consumer price index</w:t>
            </w:r>
          </w:p>
        </w:tc>
        <w:tc>
          <w:tcPr>
            <w:tcW w:w="921" w:type="dxa"/>
            <w:tcBorders>
              <w:top w:val="nil"/>
              <w:left w:val="nil"/>
              <w:bottom w:val="nil"/>
              <w:right w:val="nil"/>
            </w:tcBorders>
            <w:shd w:val="clear" w:color="auto" w:fill="auto"/>
            <w:vAlign w:val="center"/>
          </w:tcPr>
          <w:p w14:paraId="4572F010"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0.00</w:t>
            </w:r>
          </w:p>
        </w:tc>
        <w:tc>
          <w:tcPr>
            <w:tcW w:w="922" w:type="dxa"/>
            <w:tcBorders>
              <w:top w:val="nil"/>
              <w:left w:val="nil"/>
              <w:bottom w:val="nil"/>
              <w:right w:val="nil"/>
            </w:tcBorders>
            <w:shd w:val="clear" w:color="auto" w:fill="auto"/>
            <w:vAlign w:val="center"/>
          </w:tcPr>
          <w:p w14:paraId="65705E7E"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0.04</w:t>
            </w:r>
          </w:p>
        </w:tc>
        <w:tc>
          <w:tcPr>
            <w:tcW w:w="922" w:type="dxa"/>
            <w:tcBorders>
              <w:top w:val="nil"/>
              <w:left w:val="nil"/>
              <w:bottom w:val="nil"/>
              <w:right w:val="nil"/>
            </w:tcBorders>
            <w:shd w:val="clear" w:color="auto" w:fill="auto"/>
            <w:vAlign w:val="center"/>
          </w:tcPr>
          <w:p w14:paraId="22E5E8F5"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0.07</w:t>
            </w:r>
          </w:p>
        </w:tc>
        <w:tc>
          <w:tcPr>
            <w:tcW w:w="922" w:type="dxa"/>
            <w:tcBorders>
              <w:top w:val="nil"/>
              <w:left w:val="nil"/>
              <w:bottom w:val="nil"/>
              <w:right w:val="nil"/>
            </w:tcBorders>
            <w:shd w:val="clear" w:color="auto" w:fill="auto"/>
            <w:vAlign w:val="center"/>
          </w:tcPr>
          <w:p w14:paraId="6926C908" w14:textId="77777777" w:rsidR="00E259F6" w:rsidRPr="00F311DC"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F311DC">
              <w:rPr>
                <w:rFonts w:cstheme="majorHAnsi"/>
                <w:color w:val="232B39"/>
                <w:szCs w:val="17"/>
              </w:rPr>
              <w:t>0.05</w:t>
            </w:r>
          </w:p>
        </w:tc>
      </w:tr>
      <w:tr w:rsidR="00E259F6" w:rsidRPr="00343BCC" w14:paraId="1D1F185A" w14:textId="77777777" w:rsidTr="00E259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3" w:type="dxa"/>
            <w:tcBorders>
              <w:top w:val="nil"/>
            </w:tcBorders>
            <w:hideMark/>
          </w:tcPr>
          <w:p w14:paraId="308AFF8A" w14:textId="77777777" w:rsidR="00E259F6" w:rsidRPr="00343BCC" w:rsidRDefault="00E259F6" w:rsidP="008670FF">
            <w:pPr>
              <w:autoSpaceDE w:val="0"/>
              <w:autoSpaceDN w:val="0"/>
              <w:adjustRightInd w:val="0"/>
              <w:rPr>
                <w:rFonts w:eastAsiaTheme="minorEastAsia" w:cstheme="majorHAnsi"/>
                <w:b w:val="0"/>
                <w:szCs w:val="17"/>
                <w:lang w:eastAsia="en-AU"/>
              </w:rPr>
            </w:pPr>
            <w:r w:rsidRPr="00343BCC">
              <w:rPr>
                <w:rFonts w:eastAsiaTheme="minorEastAsia" w:cstheme="majorHAnsi"/>
                <w:b w:val="0"/>
                <w:szCs w:val="17"/>
                <w:lang w:eastAsia="en-AU"/>
              </w:rPr>
              <w:t>Wage price index</w:t>
            </w:r>
          </w:p>
        </w:tc>
        <w:tc>
          <w:tcPr>
            <w:tcW w:w="921" w:type="dxa"/>
            <w:tcBorders>
              <w:top w:val="nil"/>
              <w:bottom w:val="single" w:sz="12" w:space="0" w:color="auto"/>
            </w:tcBorders>
            <w:shd w:val="clear" w:color="auto" w:fill="auto"/>
            <w:vAlign w:val="center"/>
          </w:tcPr>
          <w:p w14:paraId="5F7A1D09" w14:textId="77777777" w:rsidR="00E259F6" w:rsidRPr="00F311DC"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b w:val="0"/>
                <w:szCs w:val="17"/>
              </w:rPr>
            </w:pPr>
            <w:r w:rsidRPr="00F311DC">
              <w:rPr>
                <w:rFonts w:cstheme="majorHAnsi"/>
                <w:b w:val="0"/>
                <w:bCs/>
                <w:color w:val="232B39"/>
                <w:szCs w:val="17"/>
              </w:rPr>
              <w:t>(0.01)</w:t>
            </w:r>
          </w:p>
        </w:tc>
        <w:tc>
          <w:tcPr>
            <w:tcW w:w="922" w:type="dxa"/>
            <w:tcBorders>
              <w:top w:val="nil"/>
              <w:bottom w:val="single" w:sz="12" w:space="0" w:color="auto"/>
            </w:tcBorders>
            <w:shd w:val="clear" w:color="auto" w:fill="auto"/>
            <w:vAlign w:val="center"/>
          </w:tcPr>
          <w:p w14:paraId="6AB8BC2E" w14:textId="77777777" w:rsidR="00E259F6" w:rsidRPr="00F311DC"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b w:val="0"/>
                <w:szCs w:val="17"/>
              </w:rPr>
            </w:pPr>
            <w:r w:rsidRPr="00F311DC">
              <w:rPr>
                <w:rFonts w:cstheme="majorHAnsi"/>
                <w:b w:val="0"/>
                <w:bCs/>
                <w:color w:val="232B39"/>
                <w:szCs w:val="17"/>
              </w:rPr>
              <w:t>(0.15)</w:t>
            </w:r>
          </w:p>
        </w:tc>
        <w:tc>
          <w:tcPr>
            <w:tcW w:w="922" w:type="dxa"/>
            <w:tcBorders>
              <w:top w:val="nil"/>
              <w:bottom w:val="single" w:sz="12" w:space="0" w:color="auto"/>
            </w:tcBorders>
            <w:shd w:val="clear" w:color="auto" w:fill="auto"/>
            <w:vAlign w:val="center"/>
          </w:tcPr>
          <w:p w14:paraId="4C182FB7" w14:textId="77777777" w:rsidR="00E259F6" w:rsidRPr="00F311DC"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b w:val="0"/>
                <w:szCs w:val="17"/>
              </w:rPr>
            </w:pPr>
            <w:r w:rsidRPr="00F311DC">
              <w:rPr>
                <w:rFonts w:cstheme="majorHAnsi"/>
                <w:b w:val="0"/>
                <w:bCs/>
                <w:color w:val="232B39"/>
                <w:szCs w:val="17"/>
              </w:rPr>
              <w:t>(0.19)</w:t>
            </w:r>
          </w:p>
        </w:tc>
        <w:tc>
          <w:tcPr>
            <w:tcW w:w="922" w:type="dxa"/>
            <w:tcBorders>
              <w:top w:val="nil"/>
              <w:bottom w:val="single" w:sz="12" w:space="0" w:color="auto"/>
            </w:tcBorders>
            <w:shd w:val="clear" w:color="auto" w:fill="auto"/>
            <w:vAlign w:val="center"/>
          </w:tcPr>
          <w:p w14:paraId="56EB54BF" w14:textId="77777777" w:rsidR="00E259F6" w:rsidRPr="00F311DC"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b w:val="0"/>
                <w:szCs w:val="17"/>
              </w:rPr>
            </w:pPr>
            <w:r w:rsidRPr="00F311DC">
              <w:rPr>
                <w:rFonts w:cstheme="majorHAnsi"/>
                <w:b w:val="0"/>
                <w:bCs/>
                <w:color w:val="232B39"/>
                <w:szCs w:val="17"/>
              </w:rPr>
              <w:t>(0.18)</w:t>
            </w:r>
          </w:p>
        </w:tc>
      </w:tr>
    </w:tbl>
    <w:p w14:paraId="4CF5FCED" w14:textId="77777777" w:rsidR="00E259F6" w:rsidRDefault="00E259F6" w:rsidP="00E259F6">
      <w:pPr>
        <w:pStyle w:val="Note"/>
      </w:pPr>
      <w:r w:rsidRPr="001232A3">
        <w:t>Note:</w:t>
      </w:r>
      <w:r>
        <w:t xml:space="preserve"> </w:t>
      </w:r>
    </w:p>
    <w:p w14:paraId="13F4EDD6" w14:textId="77777777" w:rsidR="00E259F6" w:rsidRDefault="00E259F6" w:rsidP="00E259F6">
      <w:pPr>
        <w:pStyle w:val="Note"/>
      </w:pPr>
      <w:r w:rsidRPr="00C7341B">
        <w:t>(a)</w:t>
      </w:r>
      <w:r w:rsidRPr="00C7341B">
        <w:tab/>
        <w:t xml:space="preserve">Figures reported are the change in the level of each parameter relative to the baseline forecasts as presented in Chapter 2 </w:t>
      </w:r>
      <w:r w:rsidRPr="005A0E88">
        <w:rPr>
          <w:i w:val="0"/>
        </w:rPr>
        <w:t>Economic context</w:t>
      </w:r>
      <w:r w:rsidRPr="00C7341B">
        <w:t>.</w:t>
      </w:r>
    </w:p>
    <w:p w14:paraId="3654E723" w14:textId="77777777" w:rsidR="00E259F6" w:rsidRPr="00C7341B" w:rsidRDefault="00E259F6" w:rsidP="00E259F6"/>
    <w:p w14:paraId="7233ECA0" w14:textId="69445896" w:rsidR="00E259F6" w:rsidRDefault="00E259F6" w:rsidP="00E259F6">
      <w:r w:rsidRPr="00202D82">
        <w:t>Table 6.2</w:t>
      </w:r>
      <w:r>
        <w:t xml:space="preserve"> details the projected negative impact of the shock on the State’s finances. Lower domestic spending and investment lead to lower property-related taxation revenue, including land transfer duty and land taxes. Lower</w:t>
      </w:r>
      <w:r w:rsidDel="007202A1">
        <w:t xml:space="preserve"> </w:t>
      </w:r>
      <w:r>
        <w:t>employment and wages growth lead to a decline in payroll tax revenue, and reduced household consumption results in a smaller national GST pool and hence lower GST grant revenue for Victoria. As a result, government income from transactions is lower over the forward estimates.</w:t>
      </w:r>
    </w:p>
    <w:p w14:paraId="4D0997D5" w14:textId="77777777" w:rsidR="00E259F6" w:rsidRDefault="00E259F6" w:rsidP="00E259F6">
      <w:pPr>
        <w:ind w:right="-254"/>
      </w:pPr>
      <w:r>
        <w:t xml:space="preserve">Expenses from transactions are also lower relative to the base case in </w:t>
      </w:r>
      <w:r w:rsidDel="00096125">
        <w:t xml:space="preserve">the </w:t>
      </w:r>
      <w:r>
        <w:t>scenario. This is driven by lower public sector wage costs which reduce employee expenses. These estimated impacts on expenses reflect the assumed relationship between public and private sector wages in the model: namely that public sector wage growth corresponds to private sector wage growth in the medium to long term. The decrease in expenses is partly offset by higher interest expenses due to a higher level of debt (</w:t>
      </w:r>
      <w:r w:rsidRPr="00202D82">
        <w:t>resulting from revenue falling by more than expenses in this scenario</w:t>
      </w:r>
      <w:r>
        <w:t>).</w:t>
      </w:r>
    </w:p>
    <w:p w14:paraId="04129AD4" w14:textId="5AC54BDA" w:rsidR="00E259F6" w:rsidRPr="001469A3" w:rsidRDefault="00E259F6" w:rsidP="00E259F6">
      <w:pPr>
        <w:pStyle w:val="TableHeading"/>
      </w:pPr>
      <w:r w:rsidRPr="00202D82">
        <w:t>Table 6.2</w:t>
      </w:r>
      <w:r w:rsidRPr="001469A3">
        <w:t>:</w:t>
      </w:r>
      <w:r w:rsidRPr="001469A3">
        <w:tab/>
        <w:t xml:space="preserve">Projected impact of a domestic economic slowdown on </w:t>
      </w:r>
      <w:r w:rsidR="000056E9">
        <w:br/>
      </w:r>
      <w:r w:rsidRPr="001469A3">
        <w:t xml:space="preserve">fiscal parameters </w:t>
      </w:r>
      <w:r w:rsidRPr="001469A3">
        <w:rPr>
          <w:vertAlign w:val="superscript"/>
        </w:rPr>
        <w:t>(a)</w:t>
      </w:r>
      <w:r w:rsidRPr="001469A3">
        <w:t xml:space="preserve"> </w:t>
      </w:r>
      <w:r>
        <w:tab/>
      </w:r>
      <w:r w:rsidRPr="001469A3">
        <w:t>($ million)</w:t>
      </w:r>
    </w:p>
    <w:tbl>
      <w:tblPr>
        <w:tblStyle w:val="DTFTable"/>
        <w:tblW w:w="7770" w:type="dxa"/>
        <w:tblLayout w:type="fixed"/>
        <w:tblLook w:val="06E0" w:firstRow="1" w:lastRow="1" w:firstColumn="1" w:lastColumn="0" w:noHBand="1" w:noVBand="1"/>
      </w:tblPr>
      <w:tblGrid>
        <w:gridCol w:w="4088"/>
        <w:gridCol w:w="920"/>
        <w:gridCol w:w="921"/>
        <w:gridCol w:w="920"/>
        <w:gridCol w:w="921"/>
      </w:tblGrid>
      <w:tr w:rsidR="00E259F6" w:rsidRPr="001469A3" w14:paraId="2F8CADF0" w14:textId="77777777" w:rsidTr="00E259F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088" w:type="dxa"/>
            <w:hideMark/>
          </w:tcPr>
          <w:p w14:paraId="58CA5F53" w14:textId="77777777" w:rsidR="00E259F6" w:rsidRPr="001469A3" w:rsidRDefault="00E259F6" w:rsidP="008670FF">
            <w:pPr>
              <w:autoSpaceDE w:val="0"/>
              <w:autoSpaceDN w:val="0"/>
              <w:adjustRightInd w:val="0"/>
              <w:rPr>
                <w:rFonts w:eastAsiaTheme="minorEastAsia" w:cstheme="majorHAnsi"/>
                <w:i w:val="0"/>
                <w:iCs/>
                <w:szCs w:val="17"/>
                <w:lang w:eastAsia="en-AU"/>
              </w:rPr>
            </w:pPr>
          </w:p>
          <w:p w14:paraId="66B7E8B6" w14:textId="77777777" w:rsidR="00E259F6" w:rsidRPr="001469A3" w:rsidRDefault="00E259F6" w:rsidP="008670FF">
            <w:pPr>
              <w:autoSpaceDE w:val="0"/>
              <w:autoSpaceDN w:val="0"/>
              <w:adjustRightInd w:val="0"/>
              <w:rPr>
                <w:rFonts w:eastAsiaTheme="minorEastAsia" w:cstheme="majorHAnsi"/>
                <w:iCs/>
                <w:szCs w:val="17"/>
                <w:lang w:eastAsia="en-AU"/>
              </w:rPr>
            </w:pPr>
            <w:r w:rsidRPr="001469A3">
              <w:rPr>
                <w:rFonts w:eastAsiaTheme="minorEastAsia" w:cstheme="majorHAnsi"/>
                <w:iCs/>
                <w:szCs w:val="17"/>
                <w:lang w:eastAsia="en-AU"/>
              </w:rPr>
              <w:t xml:space="preserve"> </w:t>
            </w:r>
          </w:p>
        </w:tc>
        <w:tc>
          <w:tcPr>
            <w:tcW w:w="920" w:type="dxa"/>
            <w:hideMark/>
          </w:tcPr>
          <w:p w14:paraId="77C311D9" w14:textId="6F02E1FE" w:rsidR="00E259F6" w:rsidRPr="001469A3" w:rsidRDefault="00E259F6" w:rsidP="00E259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Calibri"/>
                <w:iCs/>
                <w:szCs w:val="17"/>
                <w:lang w:eastAsia="en-AU"/>
              </w:rPr>
              <w:t>2024-25</w:t>
            </w:r>
            <w:r>
              <w:rPr>
                <w:rFonts w:eastAsiaTheme="minorEastAsia" w:cs="Calibri"/>
                <w:iCs/>
                <w:szCs w:val="17"/>
                <w:lang w:eastAsia="en-AU"/>
              </w:rPr>
              <w:t xml:space="preserve"> </w:t>
            </w:r>
            <w:r w:rsidRPr="001469A3">
              <w:rPr>
                <w:rFonts w:eastAsiaTheme="minorEastAsia" w:cstheme="majorHAnsi"/>
                <w:iCs/>
                <w:szCs w:val="17"/>
                <w:lang w:eastAsia="en-AU"/>
              </w:rPr>
              <w:t>estimate</w:t>
            </w:r>
          </w:p>
        </w:tc>
        <w:tc>
          <w:tcPr>
            <w:tcW w:w="921" w:type="dxa"/>
          </w:tcPr>
          <w:p w14:paraId="731422BE" w14:textId="36FEAF01" w:rsidR="00E259F6" w:rsidRPr="001469A3" w:rsidRDefault="00E259F6" w:rsidP="00E259F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Calibri"/>
                <w:iCs/>
                <w:szCs w:val="17"/>
                <w:lang w:eastAsia="en-AU"/>
              </w:rPr>
              <w:t>2025-26</w:t>
            </w:r>
            <w:r>
              <w:rPr>
                <w:rFonts w:eastAsiaTheme="minorEastAsia" w:cs="Calibri"/>
                <w:iCs/>
                <w:szCs w:val="17"/>
                <w:lang w:eastAsia="en-AU"/>
              </w:rPr>
              <w:t xml:space="preserve"> </w:t>
            </w:r>
            <w:r w:rsidRPr="001469A3">
              <w:rPr>
                <w:rFonts w:eastAsiaTheme="minorEastAsia" w:cstheme="majorHAnsi"/>
                <w:iCs/>
                <w:szCs w:val="17"/>
                <w:lang w:eastAsia="en-AU"/>
              </w:rPr>
              <w:t>estimate</w:t>
            </w:r>
          </w:p>
        </w:tc>
        <w:tc>
          <w:tcPr>
            <w:tcW w:w="920" w:type="dxa"/>
          </w:tcPr>
          <w:p w14:paraId="6685B747" w14:textId="3BB8872E"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theme="majorHAnsi"/>
                <w:iCs/>
                <w:szCs w:val="17"/>
                <w:lang w:eastAsia="en-AU"/>
              </w:rPr>
              <w:t>2026-27</w:t>
            </w:r>
            <w:r>
              <w:rPr>
                <w:rFonts w:eastAsiaTheme="minorEastAsia" w:cstheme="majorHAnsi"/>
                <w:iCs/>
                <w:szCs w:val="17"/>
                <w:lang w:eastAsia="en-AU"/>
              </w:rPr>
              <w:t xml:space="preserve"> e</w:t>
            </w:r>
            <w:r w:rsidRPr="001469A3">
              <w:rPr>
                <w:rFonts w:eastAsiaTheme="minorEastAsia" w:cstheme="majorHAnsi"/>
                <w:iCs/>
                <w:szCs w:val="17"/>
                <w:lang w:eastAsia="en-AU"/>
              </w:rPr>
              <w:t>stimate</w:t>
            </w:r>
          </w:p>
        </w:tc>
        <w:tc>
          <w:tcPr>
            <w:tcW w:w="921" w:type="dxa"/>
          </w:tcPr>
          <w:p w14:paraId="32D4FA22" w14:textId="353D785B"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theme="majorHAnsi"/>
                <w:iCs/>
                <w:szCs w:val="17"/>
                <w:lang w:eastAsia="en-AU"/>
              </w:rPr>
              <w:t>2027-28</w:t>
            </w:r>
            <w:r>
              <w:rPr>
                <w:rFonts w:eastAsiaTheme="minorEastAsia" w:cstheme="majorHAnsi"/>
                <w:iCs/>
                <w:szCs w:val="17"/>
                <w:lang w:eastAsia="en-AU"/>
              </w:rPr>
              <w:t xml:space="preserve"> </w:t>
            </w:r>
            <w:r w:rsidRPr="001469A3">
              <w:rPr>
                <w:rFonts w:eastAsiaTheme="minorEastAsia" w:cstheme="majorHAnsi"/>
                <w:iCs/>
                <w:szCs w:val="17"/>
                <w:lang w:eastAsia="en-AU"/>
              </w:rPr>
              <w:t>estimate</w:t>
            </w:r>
          </w:p>
        </w:tc>
      </w:tr>
      <w:tr w:rsidR="00E259F6" w:rsidRPr="001469A3" w14:paraId="4CA27D0C" w14:textId="77777777" w:rsidTr="00E259F6">
        <w:tc>
          <w:tcPr>
            <w:cnfStyle w:val="001000000000" w:firstRow="0" w:lastRow="0" w:firstColumn="1" w:lastColumn="0" w:oddVBand="0" w:evenVBand="0" w:oddHBand="0" w:evenHBand="0" w:firstRowFirstColumn="0" w:firstRowLastColumn="0" w:lastRowFirstColumn="0" w:lastRowLastColumn="0"/>
            <w:tcW w:w="4088" w:type="dxa"/>
            <w:hideMark/>
          </w:tcPr>
          <w:p w14:paraId="42F9A3E2"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20" w:type="dxa"/>
            <w:tcBorders>
              <w:top w:val="nil"/>
              <w:left w:val="nil"/>
              <w:bottom w:val="nil"/>
              <w:right w:val="nil"/>
            </w:tcBorders>
            <w:shd w:val="clear" w:color="auto" w:fill="auto"/>
            <w:vAlign w:val="bottom"/>
          </w:tcPr>
          <w:p w14:paraId="7E10EAD1"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(83.0</w:t>
            </w:r>
            <w:r w:rsidRPr="008E62F3">
              <w:rPr>
                <w:rFonts w:ascii="Calibri" w:hAnsi="Calibri" w:cs="Calibri"/>
                <w:szCs w:val="17"/>
              </w:rPr>
              <w:t>)</w:t>
            </w:r>
          </w:p>
        </w:tc>
        <w:tc>
          <w:tcPr>
            <w:tcW w:w="921" w:type="dxa"/>
            <w:tcBorders>
              <w:top w:val="nil"/>
              <w:left w:val="nil"/>
              <w:bottom w:val="nil"/>
              <w:right w:val="nil"/>
            </w:tcBorders>
            <w:shd w:val="clear" w:color="auto" w:fill="auto"/>
            <w:vAlign w:val="bottom"/>
          </w:tcPr>
          <w:p w14:paraId="6A0D4C55"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(367.6</w:t>
            </w:r>
            <w:r w:rsidRPr="008E62F3">
              <w:rPr>
                <w:rFonts w:ascii="Calibri" w:hAnsi="Calibri" w:cs="Calibri"/>
                <w:szCs w:val="17"/>
              </w:rPr>
              <w:t>)</w:t>
            </w:r>
          </w:p>
        </w:tc>
        <w:tc>
          <w:tcPr>
            <w:tcW w:w="920" w:type="dxa"/>
            <w:tcBorders>
              <w:top w:val="nil"/>
              <w:left w:val="nil"/>
              <w:bottom w:val="nil"/>
              <w:right w:val="nil"/>
            </w:tcBorders>
            <w:shd w:val="clear" w:color="auto" w:fill="auto"/>
            <w:vAlign w:val="bottom"/>
          </w:tcPr>
          <w:p w14:paraId="1B365530"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(91.1</w:t>
            </w:r>
            <w:r w:rsidRPr="008E62F3">
              <w:rPr>
                <w:rFonts w:ascii="Calibri" w:hAnsi="Calibri" w:cs="Calibri"/>
                <w:szCs w:val="17"/>
              </w:rPr>
              <w:t>)</w:t>
            </w:r>
          </w:p>
        </w:tc>
        <w:tc>
          <w:tcPr>
            <w:tcW w:w="921" w:type="dxa"/>
            <w:tcBorders>
              <w:top w:val="nil"/>
              <w:left w:val="nil"/>
              <w:bottom w:val="nil"/>
              <w:right w:val="nil"/>
            </w:tcBorders>
            <w:shd w:val="clear" w:color="auto" w:fill="auto"/>
            <w:vAlign w:val="bottom"/>
          </w:tcPr>
          <w:p w14:paraId="0E6ED307"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(74.2</w:t>
            </w:r>
            <w:r w:rsidRPr="008E62F3">
              <w:rPr>
                <w:rFonts w:ascii="Calibri" w:hAnsi="Calibri" w:cs="Calibri"/>
                <w:szCs w:val="17"/>
              </w:rPr>
              <w:t>)</w:t>
            </w:r>
          </w:p>
        </w:tc>
      </w:tr>
      <w:tr w:rsidR="00E259F6" w:rsidRPr="001469A3" w14:paraId="7A434D70" w14:textId="77777777" w:rsidTr="00E259F6">
        <w:tc>
          <w:tcPr>
            <w:cnfStyle w:val="001000000000" w:firstRow="0" w:lastRow="0" w:firstColumn="1" w:lastColumn="0" w:oddVBand="0" w:evenVBand="0" w:oddHBand="0" w:evenHBand="0" w:firstRowFirstColumn="0" w:firstRowLastColumn="0" w:lastRowFirstColumn="0" w:lastRowLastColumn="0"/>
            <w:tcW w:w="4088" w:type="dxa"/>
            <w:hideMark/>
          </w:tcPr>
          <w:p w14:paraId="10A41678"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20" w:type="dxa"/>
            <w:tcBorders>
              <w:top w:val="nil"/>
              <w:left w:val="nil"/>
              <w:bottom w:val="nil"/>
              <w:right w:val="nil"/>
            </w:tcBorders>
            <w:shd w:val="clear" w:color="auto" w:fill="auto"/>
            <w:vAlign w:val="bottom"/>
          </w:tcPr>
          <w:p w14:paraId="01FEBCA9"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8E62F3">
              <w:rPr>
                <w:rFonts w:ascii="Calibri" w:hAnsi="Calibri" w:cs="Calibri"/>
                <w:szCs w:val="17"/>
              </w:rPr>
              <w:t>1.0</w:t>
            </w:r>
          </w:p>
        </w:tc>
        <w:tc>
          <w:tcPr>
            <w:tcW w:w="921" w:type="dxa"/>
            <w:tcBorders>
              <w:top w:val="nil"/>
              <w:left w:val="nil"/>
              <w:bottom w:val="nil"/>
              <w:right w:val="nil"/>
            </w:tcBorders>
            <w:shd w:val="clear" w:color="auto" w:fill="auto"/>
            <w:vAlign w:val="bottom"/>
          </w:tcPr>
          <w:p w14:paraId="24984250"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(8.9</w:t>
            </w:r>
            <w:r w:rsidRPr="008E62F3">
              <w:rPr>
                <w:rFonts w:ascii="Calibri" w:hAnsi="Calibri" w:cs="Calibri"/>
                <w:szCs w:val="17"/>
              </w:rPr>
              <w:t>)</w:t>
            </w:r>
          </w:p>
        </w:tc>
        <w:tc>
          <w:tcPr>
            <w:tcW w:w="920" w:type="dxa"/>
            <w:tcBorders>
              <w:top w:val="nil"/>
              <w:left w:val="nil"/>
              <w:bottom w:val="nil"/>
              <w:right w:val="nil"/>
            </w:tcBorders>
            <w:shd w:val="clear" w:color="auto" w:fill="auto"/>
            <w:vAlign w:val="bottom"/>
          </w:tcPr>
          <w:p w14:paraId="0034C345"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(26.6</w:t>
            </w:r>
            <w:r w:rsidRPr="008E62F3">
              <w:rPr>
                <w:rFonts w:ascii="Calibri" w:hAnsi="Calibri" w:cs="Calibri"/>
                <w:szCs w:val="17"/>
              </w:rPr>
              <w:t>)</w:t>
            </w:r>
          </w:p>
        </w:tc>
        <w:tc>
          <w:tcPr>
            <w:tcW w:w="921" w:type="dxa"/>
            <w:tcBorders>
              <w:top w:val="nil"/>
              <w:left w:val="nil"/>
              <w:bottom w:val="nil"/>
              <w:right w:val="nil"/>
            </w:tcBorders>
            <w:shd w:val="clear" w:color="auto" w:fill="auto"/>
            <w:vAlign w:val="bottom"/>
          </w:tcPr>
          <w:p w14:paraId="0333EE22"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EA40C4">
              <w:rPr>
                <w:rFonts w:ascii="Calibri" w:hAnsi="Calibri" w:cs="Calibri"/>
                <w:szCs w:val="17"/>
              </w:rPr>
              <w:t>(32.9</w:t>
            </w:r>
            <w:r w:rsidRPr="008E62F3">
              <w:rPr>
                <w:rFonts w:ascii="Calibri" w:hAnsi="Calibri" w:cs="Calibri"/>
                <w:szCs w:val="17"/>
              </w:rPr>
              <w:t>)</w:t>
            </w:r>
          </w:p>
        </w:tc>
      </w:tr>
      <w:tr w:rsidR="00E259F6" w:rsidRPr="001469A3" w14:paraId="36C61670" w14:textId="77777777" w:rsidTr="00E259F6">
        <w:tc>
          <w:tcPr>
            <w:cnfStyle w:val="001000000000" w:firstRow="0" w:lastRow="0" w:firstColumn="1" w:lastColumn="0" w:oddVBand="0" w:evenVBand="0" w:oddHBand="0" w:evenHBand="0" w:firstRowFirstColumn="0" w:firstRowLastColumn="0" w:lastRowFirstColumn="0" w:lastRowLastColumn="0"/>
            <w:tcW w:w="4088" w:type="dxa"/>
            <w:tcBorders>
              <w:bottom w:val="nil"/>
            </w:tcBorders>
            <w:hideMark/>
          </w:tcPr>
          <w:p w14:paraId="02FECE05"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20" w:type="dxa"/>
            <w:tcBorders>
              <w:top w:val="nil"/>
              <w:left w:val="nil"/>
              <w:bottom w:val="nil"/>
              <w:right w:val="nil"/>
            </w:tcBorders>
            <w:shd w:val="clear" w:color="auto" w:fill="auto"/>
            <w:vAlign w:val="bottom"/>
          </w:tcPr>
          <w:p w14:paraId="043251B0"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(84.0</w:t>
            </w:r>
            <w:r w:rsidRPr="008E62F3">
              <w:rPr>
                <w:rFonts w:ascii="Calibri" w:hAnsi="Calibri" w:cs="Calibri"/>
                <w:b/>
                <w:bCs/>
                <w:szCs w:val="17"/>
              </w:rPr>
              <w:t>)</w:t>
            </w:r>
          </w:p>
        </w:tc>
        <w:tc>
          <w:tcPr>
            <w:tcW w:w="921" w:type="dxa"/>
            <w:tcBorders>
              <w:top w:val="nil"/>
              <w:left w:val="nil"/>
              <w:bottom w:val="nil"/>
              <w:right w:val="nil"/>
            </w:tcBorders>
            <w:shd w:val="clear" w:color="auto" w:fill="auto"/>
            <w:vAlign w:val="bottom"/>
          </w:tcPr>
          <w:p w14:paraId="19748570"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(358.7</w:t>
            </w:r>
            <w:r w:rsidRPr="008E62F3">
              <w:rPr>
                <w:rFonts w:ascii="Calibri" w:hAnsi="Calibri" w:cs="Calibri"/>
                <w:b/>
                <w:bCs/>
                <w:szCs w:val="17"/>
              </w:rPr>
              <w:t>)</w:t>
            </w:r>
          </w:p>
        </w:tc>
        <w:tc>
          <w:tcPr>
            <w:tcW w:w="920" w:type="dxa"/>
            <w:tcBorders>
              <w:top w:val="nil"/>
              <w:left w:val="nil"/>
              <w:bottom w:val="nil"/>
              <w:right w:val="nil"/>
            </w:tcBorders>
            <w:shd w:val="clear" w:color="auto" w:fill="auto"/>
            <w:vAlign w:val="bottom"/>
          </w:tcPr>
          <w:p w14:paraId="262FE283"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(64.5</w:t>
            </w:r>
            <w:r w:rsidRPr="008E62F3">
              <w:rPr>
                <w:rFonts w:ascii="Calibri" w:hAnsi="Calibri" w:cs="Calibri"/>
                <w:b/>
                <w:bCs/>
                <w:szCs w:val="17"/>
              </w:rPr>
              <w:t>)</w:t>
            </w:r>
          </w:p>
        </w:tc>
        <w:tc>
          <w:tcPr>
            <w:tcW w:w="921" w:type="dxa"/>
            <w:tcBorders>
              <w:top w:val="nil"/>
              <w:left w:val="nil"/>
              <w:bottom w:val="nil"/>
              <w:right w:val="nil"/>
            </w:tcBorders>
            <w:shd w:val="clear" w:color="auto" w:fill="auto"/>
            <w:vAlign w:val="bottom"/>
          </w:tcPr>
          <w:p w14:paraId="1611751A"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(41.3</w:t>
            </w:r>
            <w:r w:rsidRPr="008E62F3">
              <w:rPr>
                <w:rFonts w:ascii="Calibri" w:hAnsi="Calibri" w:cs="Calibri"/>
                <w:b/>
                <w:bCs/>
                <w:szCs w:val="17"/>
              </w:rPr>
              <w:t>)</w:t>
            </w:r>
          </w:p>
        </w:tc>
      </w:tr>
      <w:tr w:rsidR="00E259F6" w:rsidRPr="001469A3" w14:paraId="2341FD81" w14:textId="77777777" w:rsidTr="00E259F6">
        <w:tc>
          <w:tcPr>
            <w:cnfStyle w:val="001000000000" w:firstRow="0" w:lastRow="0" w:firstColumn="1" w:lastColumn="0" w:oddVBand="0" w:evenVBand="0" w:oddHBand="0" w:evenHBand="0" w:firstRowFirstColumn="0" w:firstRowLastColumn="0" w:lastRowFirstColumn="0" w:lastRowLastColumn="0"/>
            <w:tcW w:w="4088" w:type="dxa"/>
            <w:tcBorders>
              <w:top w:val="nil"/>
              <w:bottom w:val="nil"/>
            </w:tcBorders>
            <w:hideMark/>
          </w:tcPr>
          <w:p w14:paraId="68579A6B"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Other economic flows</w:t>
            </w:r>
          </w:p>
        </w:tc>
        <w:tc>
          <w:tcPr>
            <w:tcW w:w="920" w:type="dxa"/>
            <w:tcBorders>
              <w:top w:val="nil"/>
              <w:bottom w:val="nil"/>
            </w:tcBorders>
            <w:shd w:val="clear" w:color="auto" w:fill="auto"/>
            <w:vAlign w:val="bottom"/>
          </w:tcPr>
          <w:p w14:paraId="03CBE739"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8E62F3">
              <w:rPr>
                <w:rFonts w:ascii="Calibri" w:hAnsi="Calibri" w:cs="Calibri"/>
                <w:szCs w:val="17"/>
              </w:rPr>
              <w:t>(0.1)</w:t>
            </w:r>
          </w:p>
        </w:tc>
        <w:tc>
          <w:tcPr>
            <w:tcW w:w="921" w:type="dxa"/>
            <w:tcBorders>
              <w:top w:val="nil"/>
              <w:bottom w:val="nil"/>
            </w:tcBorders>
            <w:shd w:val="clear" w:color="auto" w:fill="auto"/>
            <w:vAlign w:val="bottom"/>
          </w:tcPr>
          <w:p w14:paraId="40721BD9"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8E62F3">
              <w:rPr>
                <w:rFonts w:ascii="Calibri" w:hAnsi="Calibri" w:cs="Calibri"/>
                <w:szCs w:val="17"/>
              </w:rPr>
              <w:t>(0.3)</w:t>
            </w:r>
          </w:p>
        </w:tc>
        <w:tc>
          <w:tcPr>
            <w:tcW w:w="920" w:type="dxa"/>
            <w:tcBorders>
              <w:top w:val="nil"/>
              <w:bottom w:val="nil"/>
            </w:tcBorders>
            <w:shd w:val="clear" w:color="auto" w:fill="auto"/>
            <w:vAlign w:val="bottom"/>
          </w:tcPr>
          <w:p w14:paraId="74A318C3"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8E62F3">
              <w:rPr>
                <w:rFonts w:ascii="Calibri" w:hAnsi="Calibri" w:cs="Calibri"/>
                <w:szCs w:val="17"/>
              </w:rPr>
              <w:t>0.7</w:t>
            </w:r>
          </w:p>
        </w:tc>
        <w:tc>
          <w:tcPr>
            <w:tcW w:w="921" w:type="dxa"/>
            <w:tcBorders>
              <w:top w:val="nil"/>
              <w:bottom w:val="nil"/>
            </w:tcBorders>
            <w:shd w:val="clear" w:color="auto" w:fill="auto"/>
            <w:vAlign w:val="bottom"/>
          </w:tcPr>
          <w:p w14:paraId="2FF9F53D"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sidRPr="008E62F3">
              <w:rPr>
                <w:rFonts w:ascii="Calibri" w:hAnsi="Calibri" w:cs="Calibri"/>
                <w:szCs w:val="17"/>
              </w:rPr>
              <w:t>0.3</w:t>
            </w:r>
          </w:p>
        </w:tc>
      </w:tr>
      <w:tr w:rsidR="00E259F6" w:rsidRPr="001469A3" w14:paraId="19D5F7A0" w14:textId="77777777" w:rsidTr="00E259F6">
        <w:tc>
          <w:tcPr>
            <w:cnfStyle w:val="001000000000" w:firstRow="0" w:lastRow="0" w:firstColumn="1" w:lastColumn="0" w:oddVBand="0" w:evenVBand="0" w:oddHBand="0" w:evenHBand="0" w:firstRowFirstColumn="0" w:firstRowLastColumn="0" w:lastRowFirstColumn="0" w:lastRowLastColumn="0"/>
            <w:tcW w:w="4088" w:type="dxa"/>
            <w:tcBorders>
              <w:top w:val="nil"/>
              <w:bottom w:val="nil"/>
            </w:tcBorders>
          </w:tcPr>
          <w:p w14:paraId="35A6F742"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w:t>
            </w:r>
          </w:p>
        </w:tc>
        <w:tc>
          <w:tcPr>
            <w:tcW w:w="920" w:type="dxa"/>
            <w:tcBorders>
              <w:top w:val="nil"/>
              <w:bottom w:val="nil"/>
            </w:tcBorders>
            <w:shd w:val="clear" w:color="auto" w:fill="auto"/>
            <w:vAlign w:val="bottom"/>
          </w:tcPr>
          <w:p w14:paraId="61687E0F"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(84.1</w:t>
            </w:r>
            <w:r w:rsidRPr="008E62F3">
              <w:rPr>
                <w:rFonts w:ascii="Calibri" w:hAnsi="Calibri" w:cs="Calibri"/>
                <w:b/>
                <w:bCs/>
                <w:szCs w:val="17"/>
              </w:rPr>
              <w:t>)</w:t>
            </w:r>
          </w:p>
        </w:tc>
        <w:tc>
          <w:tcPr>
            <w:tcW w:w="921" w:type="dxa"/>
            <w:tcBorders>
              <w:top w:val="nil"/>
              <w:bottom w:val="nil"/>
            </w:tcBorders>
            <w:shd w:val="clear" w:color="auto" w:fill="auto"/>
            <w:vAlign w:val="bottom"/>
          </w:tcPr>
          <w:p w14:paraId="00B8F28D"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(359.0</w:t>
            </w:r>
            <w:r w:rsidRPr="008E62F3">
              <w:rPr>
                <w:rFonts w:ascii="Calibri" w:hAnsi="Calibri" w:cs="Calibri"/>
                <w:b/>
                <w:bCs/>
                <w:szCs w:val="17"/>
              </w:rPr>
              <w:t>)</w:t>
            </w:r>
          </w:p>
        </w:tc>
        <w:tc>
          <w:tcPr>
            <w:tcW w:w="920" w:type="dxa"/>
            <w:tcBorders>
              <w:top w:val="nil"/>
              <w:bottom w:val="nil"/>
            </w:tcBorders>
            <w:shd w:val="clear" w:color="auto" w:fill="auto"/>
            <w:vAlign w:val="bottom"/>
          </w:tcPr>
          <w:p w14:paraId="523DAA51"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(63.8</w:t>
            </w:r>
            <w:r w:rsidRPr="008E62F3">
              <w:rPr>
                <w:rFonts w:ascii="Calibri" w:hAnsi="Calibri" w:cs="Calibri"/>
                <w:b/>
                <w:bCs/>
                <w:szCs w:val="17"/>
              </w:rPr>
              <w:t>)</w:t>
            </w:r>
          </w:p>
        </w:tc>
        <w:tc>
          <w:tcPr>
            <w:tcW w:w="921" w:type="dxa"/>
            <w:tcBorders>
              <w:top w:val="nil"/>
              <w:bottom w:val="nil"/>
            </w:tcBorders>
            <w:shd w:val="clear" w:color="auto" w:fill="auto"/>
            <w:vAlign w:val="bottom"/>
          </w:tcPr>
          <w:p w14:paraId="22BBCDE1"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(41.0</w:t>
            </w:r>
            <w:r w:rsidRPr="008E62F3">
              <w:rPr>
                <w:rFonts w:ascii="Calibri" w:hAnsi="Calibri" w:cs="Calibri"/>
                <w:b/>
                <w:bCs/>
                <w:szCs w:val="17"/>
              </w:rPr>
              <w:t>)</w:t>
            </w:r>
          </w:p>
        </w:tc>
      </w:tr>
      <w:tr w:rsidR="00E259F6" w:rsidRPr="001469A3" w14:paraId="53FDB362" w14:textId="77777777" w:rsidTr="00E259F6">
        <w:tc>
          <w:tcPr>
            <w:cnfStyle w:val="001000000000" w:firstRow="0" w:lastRow="0" w:firstColumn="1" w:lastColumn="0" w:oddVBand="0" w:evenVBand="0" w:oddHBand="0" w:evenHBand="0" w:firstRowFirstColumn="0" w:firstRowLastColumn="0" w:lastRowFirstColumn="0" w:lastRowLastColumn="0"/>
            <w:tcW w:w="4088" w:type="dxa"/>
            <w:tcBorders>
              <w:top w:val="nil"/>
              <w:bottom w:val="nil"/>
            </w:tcBorders>
          </w:tcPr>
          <w:p w14:paraId="40896228"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 (cumulative)</w:t>
            </w:r>
          </w:p>
        </w:tc>
        <w:tc>
          <w:tcPr>
            <w:tcW w:w="920" w:type="dxa"/>
            <w:tcBorders>
              <w:top w:val="nil"/>
              <w:bottom w:val="nil"/>
            </w:tcBorders>
            <w:shd w:val="clear" w:color="auto" w:fill="auto"/>
            <w:vAlign w:val="bottom"/>
          </w:tcPr>
          <w:p w14:paraId="718778BD"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84.1</w:t>
            </w:r>
          </w:p>
        </w:tc>
        <w:tc>
          <w:tcPr>
            <w:tcW w:w="921" w:type="dxa"/>
            <w:tcBorders>
              <w:top w:val="nil"/>
              <w:bottom w:val="nil"/>
            </w:tcBorders>
            <w:shd w:val="clear" w:color="auto" w:fill="auto"/>
            <w:vAlign w:val="bottom"/>
          </w:tcPr>
          <w:p w14:paraId="752FCD30"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440.9</w:t>
            </w:r>
          </w:p>
        </w:tc>
        <w:tc>
          <w:tcPr>
            <w:tcW w:w="920" w:type="dxa"/>
            <w:tcBorders>
              <w:top w:val="nil"/>
              <w:bottom w:val="nil"/>
            </w:tcBorders>
            <w:shd w:val="clear" w:color="auto" w:fill="auto"/>
            <w:vAlign w:val="bottom"/>
          </w:tcPr>
          <w:p w14:paraId="45DFA53F"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502.1</w:t>
            </w:r>
          </w:p>
        </w:tc>
        <w:tc>
          <w:tcPr>
            <w:tcW w:w="921" w:type="dxa"/>
            <w:tcBorders>
              <w:top w:val="nil"/>
              <w:bottom w:val="nil"/>
            </w:tcBorders>
            <w:shd w:val="clear" w:color="auto" w:fill="auto"/>
            <w:vAlign w:val="bottom"/>
          </w:tcPr>
          <w:p w14:paraId="2FD330A3" w14:textId="77777777" w:rsidR="00E259F6" w:rsidRPr="008E62F3" w:rsidRDefault="00E259F6" w:rsidP="008670FF">
            <w:pPr>
              <w:cnfStyle w:val="000000000000" w:firstRow="0" w:lastRow="0" w:firstColumn="0" w:lastColumn="0" w:oddVBand="0" w:evenVBand="0" w:oddHBand="0" w:evenHBand="0" w:firstRowFirstColumn="0" w:firstRowLastColumn="0" w:lastRowFirstColumn="0" w:lastRowLastColumn="0"/>
              <w:rPr>
                <w:b/>
                <w:szCs w:val="17"/>
              </w:rPr>
            </w:pPr>
            <w:r w:rsidRPr="00EA40C4">
              <w:rPr>
                <w:rFonts w:ascii="Calibri" w:hAnsi="Calibri" w:cs="Calibri"/>
                <w:b/>
                <w:bCs/>
                <w:szCs w:val="17"/>
              </w:rPr>
              <w:t>542.6</w:t>
            </w:r>
          </w:p>
        </w:tc>
      </w:tr>
      <w:tr w:rsidR="00E259F6" w:rsidRPr="003A715D" w14:paraId="37A2810C" w14:textId="77777777" w:rsidTr="00E259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8" w:type="dxa"/>
            <w:tcBorders>
              <w:top w:val="nil"/>
            </w:tcBorders>
          </w:tcPr>
          <w:p w14:paraId="46D78C18" w14:textId="77777777" w:rsidR="00E259F6" w:rsidRPr="001469A3" w:rsidRDefault="00E259F6" w:rsidP="008670FF">
            <w:pPr>
              <w:autoSpaceDE w:val="0"/>
              <w:autoSpaceDN w:val="0"/>
              <w:adjustRightInd w:val="0"/>
              <w:rPr>
                <w:rFonts w:eastAsiaTheme="minorEastAsia" w:cstheme="majorHAnsi"/>
                <w:b w:val="0"/>
                <w:szCs w:val="17"/>
                <w:lang w:eastAsia="en-AU"/>
              </w:rPr>
            </w:pPr>
            <w:r w:rsidRPr="001469A3">
              <w:rPr>
                <w:rFonts w:eastAsiaTheme="minorEastAsia" w:cstheme="majorHAnsi"/>
                <w:b w:val="0"/>
                <w:szCs w:val="17"/>
                <w:lang w:eastAsia="en-AU"/>
              </w:rPr>
              <w:t>Net debt to GSP ratio (percentage point difference)</w:t>
            </w:r>
          </w:p>
        </w:tc>
        <w:tc>
          <w:tcPr>
            <w:tcW w:w="920" w:type="dxa"/>
            <w:tcBorders>
              <w:top w:val="nil"/>
              <w:bottom w:val="single" w:sz="12" w:space="0" w:color="auto"/>
            </w:tcBorders>
            <w:shd w:val="clear" w:color="auto" w:fill="auto"/>
            <w:vAlign w:val="bottom"/>
          </w:tcPr>
          <w:p w14:paraId="56265839" w14:textId="77777777" w:rsidR="00E259F6" w:rsidRPr="008E62F3" w:rsidRDefault="00E259F6" w:rsidP="008670FF">
            <w:pPr>
              <w:cnfStyle w:val="010000000000" w:firstRow="0" w:lastRow="1" w:firstColumn="0" w:lastColumn="0" w:oddVBand="0" w:evenVBand="0" w:oddHBand="0" w:evenHBand="0" w:firstRowFirstColumn="0" w:firstRowLastColumn="0" w:lastRowFirstColumn="0" w:lastRowLastColumn="0"/>
              <w:rPr>
                <w:b w:val="0"/>
                <w:szCs w:val="17"/>
              </w:rPr>
            </w:pPr>
            <w:r w:rsidRPr="008E62F3">
              <w:rPr>
                <w:rFonts w:ascii="Calibri" w:hAnsi="Calibri" w:cs="Calibri"/>
                <w:b w:val="0"/>
                <w:bCs/>
                <w:szCs w:val="17"/>
              </w:rPr>
              <w:t>0.01</w:t>
            </w:r>
          </w:p>
        </w:tc>
        <w:tc>
          <w:tcPr>
            <w:tcW w:w="921" w:type="dxa"/>
            <w:tcBorders>
              <w:top w:val="nil"/>
              <w:bottom w:val="single" w:sz="12" w:space="0" w:color="auto"/>
            </w:tcBorders>
            <w:shd w:val="clear" w:color="auto" w:fill="auto"/>
            <w:vAlign w:val="bottom"/>
          </w:tcPr>
          <w:p w14:paraId="181364F1" w14:textId="77777777" w:rsidR="00E259F6" w:rsidRPr="008E62F3" w:rsidRDefault="00E259F6" w:rsidP="008670FF">
            <w:pPr>
              <w:cnfStyle w:val="010000000000" w:firstRow="0" w:lastRow="1" w:firstColumn="0" w:lastColumn="0" w:oddVBand="0" w:evenVBand="0" w:oddHBand="0" w:evenHBand="0" w:firstRowFirstColumn="0" w:firstRowLastColumn="0" w:lastRowFirstColumn="0" w:lastRowLastColumn="0"/>
              <w:rPr>
                <w:b w:val="0"/>
                <w:szCs w:val="17"/>
              </w:rPr>
            </w:pPr>
            <w:r w:rsidRPr="008E62F3">
              <w:rPr>
                <w:rFonts w:ascii="Calibri" w:hAnsi="Calibri" w:cs="Calibri"/>
                <w:b w:val="0"/>
                <w:bCs/>
                <w:szCs w:val="17"/>
              </w:rPr>
              <w:t>0.07</w:t>
            </w:r>
          </w:p>
        </w:tc>
        <w:tc>
          <w:tcPr>
            <w:tcW w:w="920" w:type="dxa"/>
            <w:tcBorders>
              <w:top w:val="nil"/>
              <w:bottom w:val="single" w:sz="12" w:space="0" w:color="auto"/>
            </w:tcBorders>
            <w:shd w:val="clear" w:color="auto" w:fill="auto"/>
            <w:vAlign w:val="bottom"/>
          </w:tcPr>
          <w:p w14:paraId="3B142A0C" w14:textId="77777777" w:rsidR="00E259F6" w:rsidRPr="008E62F3" w:rsidRDefault="00E259F6" w:rsidP="008670FF">
            <w:pPr>
              <w:cnfStyle w:val="010000000000" w:firstRow="0" w:lastRow="1" w:firstColumn="0" w:lastColumn="0" w:oddVBand="0" w:evenVBand="0" w:oddHBand="0" w:evenHBand="0" w:firstRowFirstColumn="0" w:firstRowLastColumn="0" w:lastRowFirstColumn="0" w:lastRowLastColumn="0"/>
              <w:rPr>
                <w:b w:val="0"/>
                <w:szCs w:val="17"/>
              </w:rPr>
            </w:pPr>
            <w:r w:rsidRPr="008E62F3">
              <w:rPr>
                <w:rFonts w:ascii="Calibri" w:hAnsi="Calibri" w:cs="Calibri"/>
                <w:b w:val="0"/>
                <w:bCs/>
                <w:szCs w:val="17"/>
              </w:rPr>
              <w:t>0.07</w:t>
            </w:r>
          </w:p>
        </w:tc>
        <w:tc>
          <w:tcPr>
            <w:tcW w:w="921" w:type="dxa"/>
            <w:tcBorders>
              <w:top w:val="nil"/>
              <w:bottom w:val="single" w:sz="12" w:space="0" w:color="auto"/>
            </w:tcBorders>
            <w:shd w:val="clear" w:color="auto" w:fill="auto"/>
            <w:vAlign w:val="bottom"/>
          </w:tcPr>
          <w:p w14:paraId="0F9DE68E" w14:textId="77777777" w:rsidR="00E259F6" w:rsidRPr="008E62F3" w:rsidRDefault="00E259F6" w:rsidP="008670FF">
            <w:pPr>
              <w:cnfStyle w:val="010000000000" w:firstRow="0" w:lastRow="1" w:firstColumn="0" w:lastColumn="0" w:oddVBand="0" w:evenVBand="0" w:oddHBand="0" w:evenHBand="0" w:firstRowFirstColumn="0" w:firstRowLastColumn="0" w:lastRowFirstColumn="0" w:lastRowLastColumn="0"/>
              <w:rPr>
                <w:b w:val="0"/>
                <w:szCs w:val="17"/>
              </w:rPr>
            </w:pPr>
            <w:r w:rsidRPr="008E62F3">
              <w:rPr>
                <w:rFonts w:ascii="Calibri" w:hAnsi="Calibri" w:cs="Calibri"/>
                <w:b w:val="0"/>
                <w:bCs/>
                <w:szCs w:val="17"/>
              </w:rPr>
              <w:t>0.07</w:t>
            </w:r>
          </w:p>
        </w:tc>
      </w:tr>
    </w:tbl>
    <w:p w14:paraId="703D6A52" w14:textId="77777777" w:rsidR="00E259F6" w:rsidRDefault="00E259F6" w:rsidP="00E259F6">
      <w:pPr>
        <w:pStyle w:val="Note"/>
      </w:pPr>
      <w:r w:rsidRPr="001232A3">
        <w:t>Note:</w:t>
      </w:r>
      <w:r>
        <w:t xml:space="preserve"> </w:t>
      </w:r>
    </w:p>
    <w:p w14:paraId="7F24B822" w14:textId="77777777" w:rsidR="00E259F6" w:rsidRPr="00AC3FA9" w:rsidRDefault="00E259F6" w:rsidP="00E259F6">
      <w:pPr>
        <w:pStyle w:val="Note"/>
      </w:pPr>
      <w:r w:rsidRPr="00C7341B">
        <w:t>(a)</w:t>
      </w:r>
      <w:r w:rsidRPr="00C7341B">
        <w:tab/>
        <w:t xml:space="preserve">Figures </w:t>
      </w:r>
      <w:r>
        <w:t>may not add due to rounding.</w:t>
      </w:r>
    </w:p>
    <w:p w14:paraId="3EB8E35E" w14:textId="123F1307" w:rsidR="00E259F6" w:rsidRDefault="00E259F6" w:rsidP="00E259F6">
      <w:pPr>
        <w:pStyle w:val="Heading20"/>
      </w:pPr>
      <w:r>
        <w:t xml:space="preserve">Scenario B: </w:t>
      </w:r>
      <w:r>
        <w:tab/>
        <w:t>A lower trend unemployment rate in Victoria</w:t>
      </w:r>
    </w:p>
    <w:p w14:paraId="55F76018" w14:textId="77777777" w:rsidR="00E259F6" w:rsidRPr="00AE0B3F" w:rsidRDefault="00E259F6" w:rsidP="00E259F6">
      <w:pPr>
        <w:ind w:right="-268"/>
      </w:pPr>
      <w:r w:rsidRPr="00AE0B3F">
        <w:t>As outlined in Chapter 2</w:t>
      </w:r>
      <w:r w:rsidRPr="00AE0B3F">
        <w:rPr>
          <w:i/>
          <w:iCs/>
        </w:rPr>
        <w:t xml:space="preserve"> Economic context</w:t>
      </w:r>
      <w:r w:rsidRPr="00AE0B3F">
        <w:t xml:space="preserve">, the unemployment rate is expected to </w:t>
      </w:r>
      <w:r>
        <w:t>remain around its current rate of</w:t>
      </w:r>
      <w:r w:rsidRPr="00AE0B3F">
        <w:t xml:space="preserve"> 4.</w:t>
      </w:r>
      <w:r>
        <w:t>50</w:t>
      </w:r>
      <w:r w:rsidRPr="00AE0B3F">
        <w:t> per cent in 2024-25. It is then projected to gradually rise further to a rate consistent with inflation settling within the RBA’s target band. This is the trend unemployment rate of the Victorian economy or, more technically, the non</w:t>
      </w:r>
      <w:r>
        <w:noBreakHyphen/>
      </w:r>
      <w:r w:rsidRPr="00AE0B3F">
        <w:t xml:space="preserve">accelerating inflation rate of unemployment (NAIRU) – the unemployment rate that is consistent with stable inflation. The Department of Treasury and Finance’s current estimate of the Victorian NAIRU is 4.75 per cent. </w:t>
      </w:r>
    </w:p>
    <w:p w14:paraId="0E2E557C" w14:textId="77777777" w:rsidR="00E259F6" w:rsidRDefault="00E259F6" w:rsidP="00E259F6">
      <w:r>
        <w:t>E</w:t>
      </w:r>
      <w:r w:rsidRPr="00AE0B3F">
        <w:t xml:space="preserve">conomic theory suggests that when the unemployment rate is below the NAIRU, there is a shortage of workers, </w:t>
      </w:r>
      <w:r>
        <w:t xml:space="preserve">which </w:t>
      </w:r>
      <w:r w:rsidRPr="00AE0B3F">
        <w:t>result</w:t>
      </w:r>
      <w:r>
        <w:t>s</w:t>
      </w:r>
      <w:r w:rsidRPr="00AE0B3F">
        <w:t xml:space="preserve"> in competition between firms to attract and retain employees, </w:t>
      </w:r>
      <w:r>
        <w:t xml:space="preserve">and </w:t>
      </w:r>
      <w:r w:rsidRPr="00AE0B3F">
        <w:t>put</w:t>
      </w:r>
      <w:r>
        <w:t>s</w:t>
      </w:r>
      <w:r w:rsidRPr="00AE0B3F">
        <w:t xml:space="preserve"> upward pressure on wages and inflation. Conversely, when the unemployment rate is above the NAIRU, there is an excess supply of workers, which reduces competition between firms and puts downward pressure on wages and inflation.</w:t>
      </w:r>
    </w:p>
    <w:p w14:paraId="22922494" w14:textId="77777777" w:rsidR="00E259F6" w:rsidRDefault="00E259F6" w:rsidP="00E259F6">
      <w:r>
        <w:t xml:space="preserve">The NAIRU is subject to uncertainty, due to several factors. These include that it can vary over time, depending on changes in economic policies and other structural changes in the labour market. And it cannot be observed directly and must be modelled statistically, leading to uncertainty around statistical estimates. </w:t>
      </w:r>
    </w:p>
    <w:p w14:paraId="5B9213E3" w14:textId="77777777" w:rsidR="00E259F6" w:rsidRDefault="00E259F6" w:rsidP="00E259F6">
      <w:r>
        <w:t>There are several reasons the NAIRU can change over time, including changes in the nature of workplace bargaining and improved labour market efficiency (for example, through better technology and job-matching). Estimates of Australia’s NAIRU have declined over the past few decades.</w:t>
      </w:r>
      <w:r>
        <w:rPr>
          <w:rStyle w:val="FootnoteReference"/>
        </w:rPr>
        <w:footnoteReference w:id="3"/>
      </w:r>
      <w:r>
        <w:t xml:space="preserve"> In recent budgets, the Department of Treasury and Finance has also revised down its estimate of Victoria’s NAIRU. It is possible, though, that the NAIRU has declined even further. One recent factor that could have contributed to a further decline is the strength of the labour market over the past two years or so, which may have lowered the rate of structural unemployment. </w:t>
      </w:r>
    </w:p>
    <w:p w14:paraId="0E11C84E" w14:textId="3EC7F184" w:rsidR="00E259F6" w:rsidRDefault="00E259F6" w:rsidP="00E259F6">
      <w:r>
        <w:t xml:space="preserve">The Victorian labour market recovered strongly </w:t>
      </w:r>
      <w:r w:rsidRPr="00562E5C">
        <w:t>from the COVID-19 pandemic</w:t>
      </w:r>
      <w:r>
        <w:t xml:space="preserve"> and conditions remain stronger than they were in the years before the pandemic. The share of working-age Victorians in employment is around a record high and the unemployment rate is low by historical standards. Importantly, for considerations of the NAIRU, rates of long-term unemployment (those unemployed for more than a year) are near the lowest levels in the past 30 years (see </w:t>
      </w:r>
      <w:r w:rsidRPr="00930120">
        <w:t>Chart 6.2</w:t>
      </w:r>
      <w:r>
        <w:t>).</w:t>
      </w:r>
      <w:r w:rsidDel="000859E3">
        <w:t xml:space="preserve"> </w:t>
      </w:r>
      <w:r>
        <w:t>This suggests that there may have been some decline in the level of structural unemployment – that is, the rate of unemployment that persists through economic cycles due to mismatches between workers’ skills or location and the available jobs.</w:t>
      </w:r>
    </w:p>
    <w:p w14:paraId="5B3E0DD5" w14:textId="77777777" w:rsidR="00E259F6" w:rsidRPr="004072AF" w:rsidRDefault="00E259F6" w:rsidP="00E259F6">
      <w:pPr>
        <w:pStyle w:val="TableHeading"/>
      </w:pPr>
      <w:r w:rsidRPr="00930120">
        <w:t>Chart 6.2</w:t>
      </w:r>
      <w:r w:rsidRPr="008A608D">
        <w:t>:</w:t>
      </w:r>
      <w:r w:rsidRPr="008A608D">
        <w:tab/>
        <w:t xml:space="preserve">Unemployment rates by duration, Victoria </w:t>
      </w:r>
      <w:r w:rsidRPr="008A608D">
        <w:rPr>
          <w:vertAlign w:val="superscript"/>
        </w:rPr>
        <w:t>(a)</w:t>
      </w:r>
    </w:p>
    <w:p w14:paraId="76A598BD" w14:textId="77777777" w:rsidR="00E259F6" w:rsidRDefault="00E259F6" w:rsidP="00E259F6">
      <w:pPr>
        <w:rPr>
          <w:noProof/>
        </w:rPr>
      </w:pPr>
      <w:r>
        <w:rPr>
          <w:noProof/>
        </w:rPr>
        <w:drawing>
          <wp:inline distT="0" distB="0" distL="0" distR="0" wp14:anchorId="6A0685CD" wp14:editId="0DBBC341">
            <wp:extent cx="4876800" cy="2694940"/>
            <wp:effectExtent l="0" t="0" r="0" b="0"/>
            <wp:docPr id="204490112" name="Chart 1">
              <a:extLst xmlns:a="http://schemas.openxmlformats.org/drawingml/2006/main">
                <a:ext uri="{FF2B5EF4-FFF2-40B4-BE49-F238E27FC236}">
                  <a16:creationId xmlns:a16="http://schemas.microsoft.com/office/drawing/2014/main" id="{7882F8AE-9A8E-499D-A56D-F4B9830536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9E18E3C" w14:textId="77777777" w:rsidR="00E259F6" w:rsidRPr="00CB01AD" w:rsidRDefault="00E259F6" w:rsidP="00E259F6">
      <w:pPr>
        <w:pStyle w:val="Source"/>
      </w:pPr>
      <w:r w:rsidRPr="00CB01AD">
        <w:t xml:space="preserve">Sources: </w:t>
      </w:r>
      <w:r>
        <w:t>Australian Bureau of Statistics</w:t>
      </w:r>
    </w:p>
    <w:p w14:paraId="6D1A6C23" w14:textId="77777777" w:rsidR="00E259F6" w:rsidRPr="00CB01AD" w:rsidRDefault="00E259F6" w:rsidP="00E259F6">
      <w:pPr>
        <w:pStyle w:val="Note"/>
      </w:pPr>
      <w:r w:rsidRPr="00CB01AD">
        <w:t xml:space="preserve">Note: </w:t>
      </w:r>
    </w:p>
    <w:p w14:paraId="29B35A7A" w14:textId="77777777" w:rsidR="00E259F6" w:rsidRDefault="00E259F6" w:rsidP="00E259F6">
      <w:pPr>
        <w:pStyle w:val="Note"/>
        <w:ind w:left="0" w:firstLine="0"/>
      </w:pPr>
      <w:r w:rsidRPr="00CB01AD">
        <w:t>(a)</w:t>
      </w:r>
      <w:r w:rsidRPr="00CB01AD">
        <w:tab/>
        <w:t xml:space="preserve">Data are </w:t>
      </w:r>
      <w:r>
        <w:t>12-month moving averages.</w:t>
      </w:r>
    </w:p>
    <w:p w14:paraId="0547EE40" w14:textId="77777777" w:rsidR="00E259F6" w:rsidRDefault="00E259F6" w:rsidP="00E259F6"/>
    <w:p w14:paraId="60A2B330" w14:textId="178931CB" w:rsidR="00E259F6" w:rsidRDefault="00E259F6" w:rsidP="00E259F6">
      <w:r>
        <w:t xml:space="preserve">Strong demand for workers in recent years and limited numbers of available workers have meant that some Victorians who previously found it hard to gain employment have now found a job. </w:t>
      </w:r>
      <w:r w:rsidRPr="001A1733">
        <w:t xml:space="preserve">Having found employment, </w:t>
      </w:r>
      <w:r>
        <w:t xml:space="preserve">many of </w:t>
      </w:r>
      <w:r w:rsidRPr="001A1733">
        <w:t xml:space="preserve">these workers may have </w:t>
      </w:r>
      <w:r>
        <w:t>gained</w:t>
      </w:r>
      <w:r w:rsidRPr="001A1733">
        <w:t xml:space="preserve"> the skills and experience </w:t>
      </w:r>
      <w:r>
        <w:t xml:space="preserve">they need </w:t>
      </w:r>
      <w:r w:rsidRPr="001A1733">
        <w:t xml:space="preserve">to stay employed in their current roles, or </w:t>
      </w:r>
      <w:r>
        <w:t>they may</w:t>
      </w:r>
      <w:r w:rsidRPr="001A1733">
        <w:t xml:space="preserve"> find </w:t>
      </w:r>
      <w:r>
        <w:t>themselves more employable in the future with the transferrable skills they have gained.</w:t>
      </w:r>
      <w:r w:rsidRPr="001A1733">
        <w:t xml:space="preserve"> </w:t>
      </w:r>
      <w:r>
        <w:t>Such a dynamic may</w:t>
      </w:r>
      <w:r w:rsidRPr="001A1733">
        <w:t xml:space="preserve"> </w:t>
      </w:r>
      <w:r>
        <w:t xml:space="preserve">have </w:t>
      </w:r>
      <w:r w:rsidRPr="001A1733">
        <w:t>lower</w:t>
      </w:r>
      <w:r>
        <w:t>ed</w:t>
      </w:r>
      <w:r w:rsidRPr="001A1733">
        <w:t xml:space="preserve"> the level of structural unemployment</w:t>
      </w:r>
      <w:r>
        <w:t xml:space="preserve">. </w:t>
      </w:r>
    </w:p>
    <w:p w14:paraId="5CC13378" w14:textId="77777777" w:rsidR="00E259F6" w:rsidRDefault="00E259F6" w:rsidP="00E259F6">
      <w:r>
        <w:t>Lower structural unemployment implies that the effective pool of workers who are appropriately skilled for available jobs is larger, thus putting less upward pressure on wages, and ultimately inflation, for a given unemployment rate. In other words, a lasting reduction in long-term unemployment may have lowered the NAIRU.</w:t>
      </w:r>
    </w:p>
    <w:p w14:paraId="7AE0662C" w14:textId="77777777" w:rsidR="00E259F6" w:rsidRDefault="00E259F6" w:rsidP="00E259F6">
      <w:r>
        <w:t>The second potential reason the NAIRU may be lower than assumed in the baseline forecasts relates to uncertainty in measuring it. The NAIRU can only be estimated using statistical models, which inherently lead to uncertain estimates. Further, t</w:t>
      </w:r>
      <w:r w:rsidRPr="00A379FF">
        <w:t xml:space="preserve">here are several </w:t>
      </w:r>
      <w:r>
        <w:t>methods available</w:t>
      </w:r>
      <w:r w:rsidRPr="00A379FF">
        <w:t xml:space="preserve"> to </w:t>
      </w:r>
      <w:r>
        <w:t>model</w:t>
      </w:r>
      <w:r w:rsidRPr="00A379FF">
        <w:t xml:space="preserve"> </w:t>
      </w:r>
      <w:r>
        <w:t>the NAIRU in practice</w:t>
      </w:r>
      <w:r w:rsidRPr="00A379FF">
        <w:t xml:space="preserve">, </w:t>
      </w:r>
      <w:r>
        <w:t>and</w:t>
      </w:r>
      <w:r w:rsidRPr="00A379FF">
        <w:t xml:space="preserve"> each </w:t>
      </w:r>
      <w:r>
        <w:t xml:space="preserve">method can </w:t>
      </w:r>
      <w:r w:rsidRPr="00A379FF">
        <w:t xml:space="preserve">provide different results. </w:t>
      </w:r>
      <w:r>
        <w:t>These issues are not unique to Victoria, with the Commonwealth Treasury and RBA also recently noting that there is considerable uncertainty around their respective NAIRU estimates.</w:t>
      </w:r>
      <w:r>
        <w:rPr>
          <w:rStyle w:val="FootnoteReference"/>
        </w:rPr>
        <w:footnoteReference w:id="4"/>
      </w:r>
    </w:p>
    <w:p w14:paraId="0DBC8F30" w14:textId="0E34F08E" w:rsidR="00E259F6" w:rsidRDefault="00E259F6" w:rsidP="00E259F6">
      <w:pPr>
        <w:ind w:right="236"/>
      </w:pPr>
      <w:r>
        <w:t>To quantify the effects of the NAIRU being lower than currently estimated, this scenario considers the economic and fiscal effects of the trend unemployment rate being 4.25 per cent – that is, 0.5 percentage points below the rate assumed in the baseline economic projections. In the scenario, the unemployment rate peaks at 4.50 per cent in 2024-25, before falling back to 4.25 per cent in 2025-26, lower than</w:t>
      </w:r>
      <w:r w:rsidDel="00A40653">
        <w:t xml:space="preserve"> the</w:t>
      </w:r>
      <w:r>
        <w:t xml:space="preserve"> forecasts outlined in </w:t>
      </w:r>
      <w:r w:rsidRPr="006569AF">
        <w:t xml:space="preserve">Chapter 2 </w:t>
      </w:r>
      <w:r w:rsidRPr="006569AF">
        <w:rPr>
          <w:i/>
          <w:iCs/>
        </w:rPr>
        <w:t>Economic Context</w:t>
      </w:r>
      <w:r>
        <w:t>.</w:t>
      </w:r>
    </w:p>
    <w:p w14:paraId="15CDD8D1" w14:textId="77777777" w:rsidR="00E259F6" w:rsidRDefault="00E259F6" w:rsidP="00E259F6">
      <w:pPr>
        <w:ind w:right="236"/>
      </w:pPr>
      <w:r>
        <w:t>The lower trend rate of unemployment leads to more employment, which is higher than in the base case by 0.05 per cent in 2024-25, rising to be 0.48 per cent higher in 2027-28. Higher employment for a given level of capital stock means that labour is relatively less productive, putting downward pressure on wages. However, in the</w:t>
      </w:r>
      <w:r w:rsidDel="007709CF">
        <w:t xml:space="preserve"> </w:t>
      </w:r>
      <w:r>
        <w:t>scenario, firms increase investment as they expect higher employment in the future will lead to higher returns to capital. This increases the capital stock and therefore labour productivity, putting some upward pressure on wages.</w:t>
      </w:r>
      <w:r w:rsidDel="00085A5F">
        <w:t xml:space="preserve"> </w:t>
      </w:r>
      <w:r>
        <w:t xml:space="preserve">These offsetting factors mean that wages are broadly the same as the base case in 2024-25, but are 0.13 per cent lower in 2025-26, declining to be 0.30 per cent lower in 2027-28. Despite the decrease in wages, aggregate household labour income is higher in all years relative to the base case, reflecting that the increase in employment more than offsets the decrease in wages. </w:t>
      </w:r>
    </w:p>
    <w:p w14:paraId="15037C21" w14:textId="77777777" w:rsidR="00E259F6" w:rsidRDefault="00E259F6" w:rsidP="00E259F6">
      <w:pPr>
        <w:ind w:right="82"/>
      </w:pPr>
      <w:r>
        <w:t xml:space="preserve">Higher labour income and higher returns to capital lead to higher aggregate household income, which results in increased household consumption. Lower labour costs lead to improved international competitiveness of the Australian and Victorian economies, resulting in a fall in the real exchange rate and an increase in export volumes. This is broadly offset by an increase in import volumes due to higher demand from Victorians for overseas goods (notwithstanding some downward pressure on imports from improved competitiveness of locally produced goods). </w:t>
      </w:r>
      <w:r w:rsidRPr="00094CFF">
        <w:t xml:space="preserve">Overall, GSP is higher by </w:t>
      </w:r>
      <w:r>
        <w:t>0.05 per cent</w:t>
      </w:r>
      <w:r w:rsidRPr="00094CFF">
        <w:t xml:space="preserve"> in 2024</w:t>
      </w:r>
      <w:r>
        <w:noBreakHyphen/>
      </w:r>
      <w:r w:rsidRPr="00094CFF">
        <w:t xml:space="preserve">25, </w:t>
      </w:r>
      <w:r>
        <w:t>increasing to be 0.42 per cent</w:t>
      </w:r>
      <w:r w:rsidRPr="00094CFF">
        <w:t xml:space="preserve"> in 2027</w:t>
      </w:r>
      <w:r>
        <w:noBreakHyphen/>
      </w:r>
      <w:r w:rsidRPr="00094CFF">
        <w:t>28 compared with the base case</w:t>
      </w:r>
      <w:r>
        <w:t xml:space="preserve"> (see </w:t>
      </w:r>
      <w:r w:rsidRPr="00930120">
        <w:t>Chart 6.3</w:t>
      </w:r>
      <w:r>
        <w:t>)</w:t>
      </w:r>
      <w:r w:rsidRPr="00094CFF">
        <w:t>.</w:t>
      </w:r>
    </w:p>
    <w:p w14:paraId="2953059B" w14:textId="7A7AD17D" w:rsidR="00E259F6" w:rsidRDefault="00E259F6" w:rsidP="00E259F6">
      <w:pPr>
        <w:pStyle w:val="TableHeading"/>
        <w:ind w:left="0" w:firstLine="0"/>
      </w:pPr>
      <w:r w:rsidRPr="00930120">
        <w:t>Chart 6.3:</w:t>
      </w:r>
      <w:r w:rsidRPr="00F3151E">
        <w:t xml:space="preserve"> </w:t>
      </w:r>
      <w:r w:rsidR="00616D11">
        <w:tab/>
      </w:r>
      <w:r w:rsidRPr="00F3151E">
        <w:t>The impact of a lower trend unemployment rate on select variables</w:t>
      </w:r>
      <w:r>
        <w:t xml:space="preserve"> </w:t>
      </w:r>
    </w:p>
    <w:p w14:paraId="710AD32A" w14:textId="77777777" w:rsidR="00E259F6" w:rsidRPr="002C1AAA" w:rsidRDefault="00E259F6" w:rsidP="00E259F6">
      <w:r>
        <w:rPr>
          <w:noProof/>
        </w:rPr>
        <w:drawing>
          <wp:inline distT="0" distB="0" distL="0" distR="0" wp14:anchorId="3F100165" wp14:editId="773E4DC8">
            <wp:extent cx="4896485" cy="2573655"/>
            <wp:effectExtent l="0" t="0" r="0" b="0"/>
            <wp:docPr id="1827365474" name="Chart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B502CAC" w14:textId="77777777" w:rsidR="00F24FE6" w:rsidRDefault="00F24FE6" w:rsidP="00F24FE6">
      <w:pPr>
        <w:keepNext/>
      </w:pPr>
      <w:r w:rsidRPr="00930120">
        <w:t>Table 6.3</w:t>
      </w:r>
      <w:r>
        <w:t xml:space="preserve"> summarises the economic effects of this shock. </w:t>
      </w:r>
    </w:p>
    <w:p w14:paraId="4753D384" w14:textId="77777777" w:rsidR="00E259F6" w:rsidRDefault="00E259F6" w:rsidP="00E259F6">
      <w:pPr>
        <w:pStyle w:val="TableHeading"/>
      </w:pPr>
      <w:r w:rsidRPr="00930120">
        <w:t>Table 6.3:</w:t>
      </w:r>
      <w:r w:rsidRPr="002D46B0">
        <w:tab/>
        <w:t xml:space="preserve">The effect of lower unemployment on major economic parameters </w:t>
      </w:r>
      <w:r w:rsidRPr="002D46B0">
        <w:rPr>
          <w:vertAlign w:val="superscript"/>
        </w:rPr>
        <w:t>(a)</w:t>
      </w:r>
      <w:r w:rsidRPr="002D46B0">
        <w:t xml:space="preserve"> (per cent)</w:t>
      </w:r>
    </w:p>
    <w:tbl>
      <w:tblPr>
        <w:tblStyle w:val="DTFTable"/>
        <w:tblW w:w="7770" w:type="dxa"/>
        <w:tblLayout w:type="fixed"/>
        <w:tblLook w:val="06E0" w:firstRow="1" w:lastRow="1" w:firstColumn="1" w:lastColumn="0" w:noHBand="1" w:noVBand="1"/>
      </w:tblPr>
      <w:tblGrid>
        <w:gridCol w:w="4370"/>
        <w:gridCol w:w="850"/>
        <w:gridCol w:w="850"/>
        <w:gridCol w:w="850"/>
        <w:gridCol w:w="850"/>
      </w:tblGrid>
      <w:tr w:rsidR="00E259F6" w:rsidRPr="001232A3" w14:paraId="27C6B0E4" w14:textId="77777777" w:rsidTr="008670F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370" w:type="dxa"/>
            <w:hideMark/>
          </w:tcPr>
          <w:p w14:paraId="1D35F46C" w14:textId="77777777" w:rsidR="00E259F6" w:rsidRPr="001232A3" w:rsidRDefault="00E259F6" w:rsidP="008670FF">
            <w:pPr>
              <w:autoSpaceDE w:val="0"/>
              <w:autoSpaceDN w:val="0"/>
              <w:adjustRightInd w:val="0"/>
              <w:rPr>
                <w:rFonts w:eastAsiaTheme="minorEastAsia" w:cstheme="majorHAnsi"/>
                <w:iCs/>
                <w:szCs w:val="17"/>
                <w:lang w:eastAsia="en-AU"/>
              </w:rPr>
            </w:pPr>
            <w:r w:rsidRPr="001232A3">
              <w:rPr>
                <w:rFonts w:eastAsiaTheme="minorEastAsia" w:cstheme="majorHAnsi"/>
                <w:iCs/>
                <w:szCs w:val="17"/>
                <w:lang w:eastAsia="en-AU"/>
              </w:rPr>
              <w:t xml:space="preserve"> </w:t>
            </w:r>
          </w:p>
        </w:tc>
        <w:tc>
          <w:tcPr>
            <w:tcW w:w="850" w:type="dxa"/>
            <w:hideMark/>
          </w:tcPr>
          <w:p w14:paraId="39EE9818" w14:textId="77777777" w:rsidR="00E259F6" w:rsidRPr="001232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2024-25</w:t>
            </w:r>
            <w:r w:rsidRPr="00215786">
              <w:rPr>
                <w:rFonts w:eastAsiaTheme="minorEastAsia" w:cstheme="majorHAnsi"/>
                <w:iCs/>
                <w:szCs w:val="17"/>
                <w:lang w:eastAsia="en-AU"/>
              </w:rPr>
              <w:br/>
            </w:r>
            <w:r w:rsidRPr="001232A3">
              <w:rPr>
                <w:rFonts w:eastAsiaTheme="minorEastAsia" w:cstheme="majorHAnsi"/>
                <w:iCs/>
                <w:szCs w:val="17"/>
                <w:lang w:eastAsia="en-AU"/>
              </w:rPr>
              <w:t>estimate</w:t>
            </w:r>
          </w:p>
        </w:tc>
        <w:tc>
          <w:tcPr>
            <w:tcW w:w="850" w:type="dxa"/>
          </w:tcPr>
          <w:p w14:paraId="114DA7CA" w14:textId="77777777" w:rsidR="00E259F6" w:rsidRPr="001232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232A3">
              <w:rPr>
                <w:rFonts w:eastAsiaTheme="minorEastAsia" w:cs="Calibri"/>
                <w:iCs/>
                <w:szCs w:val="17"/>
                <w:lang w:eastAsia="en-AU"/>
              </w:rPr>
              <w:t>2025-26</w:t>
            </w:r>
            <w:r w:rsidRPr="00215786">
              <w:rPr>
                <w:rFonts w:eastAsiaTheme="minorEastAsia" w:cstheme="majorHAnsi"/>
                <w:iCs/>
                <w:szCs w:val="17"/>
                <w:lang w:eastAsia="en-AU"/>
              </w:rPr>
              <w:br/>
            </w:r>
            <w:r w:rsidRPr="001232A3">
              <w:rPr>
                <w:rFonts w:eastAsiaTheme="minorEastAsia" w:cstheme="majorHAnsi"/>
                <w:iCs/>
                <w:szCs w:val="17"/>
                <w:lang w:eastAsia="en-AU"/>
              </w:rPr>
              <w:t>estimate</w:t>
            </w:r>
          </w:p>
        </w:tc>
        <w:tc>
          <w:tcPr>
            <w:tcW w:w="850" w:type="dxa"/>
          </w:tcPr>
          <w:p w14:paraId="6B2AA667" w14:textId="77777777" w:rsidR="00E259F6" w:rsidRPr="001232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Pr>
                <w:rFonts w:eastAsiaTheme="minorEastAsia" w:cstheme="majorHAnsi"/>
                <w:iCs/>
                <w:szCs w:val="17"/>
                <w:lang w:eastAsia="en-AU"/>
              </w:rPr>
              <w:t>2026-27 estimate</w:t>
            </w:r>
          </w:p>
        </w:tc>
        <w:tc>
          <w:tcPr>
            <w:tcW w:w="850" w:type="dxa"/>
          </w:tcPr>
          <w:p w14:paraId="5E3EBC32" w14:textId="77777777" w:rsidR="00E259F6" w:rsidRPr="001232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Pr>
                <w:rFonts w:eastAsiaTheme="minorEastAsia" w:cstheme="majorHAnsi"/>
                <w:iCs/>
                <w:szCs w:val="17"/>
                <w:lang w:eastAsia="en-AU"/>
              </w:rPr>
              <w:t>2027-28 estimate</w:t>
            </w:r>
          </w:p>
        </w:tc>
      </w:tr>
      <w:tr w:rsidR="00E259F6" w:rsidRPr="003A715D" w14:paraId="25EFF6E9" w14:textId="77777777" w:rsidTr="008670FF">
        <w:tc>
          <w:tcPr>
            <w:cnfStyle w:val="001000000000" w:firstRow="0" w:lastRow="0" w:firstColumn="1" w:lastColumn="0" w:oddVBand="0" w:evenVBand="0" w:oddHBand="0" w:evenHBand="0" w:firstRowFirstColumn="0" w:firstRowLastColumn="0" w:lastRowFirstColumn="0" w:lastRowLastColumn="0"/>
            <w:tcW w:w="4370" w:type="dxa"/>
            <w:hideMark/>
          </w:tcPr>
          <w:p w14:paraId="0C7CF5CB" w14:textId="77777777" w:rsidR="00E259F6" w:rsidRPr="002D46B0" w:rsidRDefault="00E259F6" w:rsidP="008670FF">
            <w:pPr>
              <w:autoSpaceDE w:val="0"/>
              <w:autoSpaceDN w:val="0"/>
              <w:adjustRightInd w:val="0"/>
              <w:rPr>
                <w:rFonts w:eastAsiaTheme="minorEastAsia" w:cstheme="majorHAnsi"/>
                <w:szCs w:val="17"/>
                <w:lang w:eastAsia="en-AU"/>
              </w:rPr>
            </w:pPr>
            <w:r w:rsidRPr="002D46B0">
              <w:rPr>
                <w:rFonts w:eastAsiaTheme="minorEastAsia" w:cstheme="majorHAnsi"/>
                <w:szCs w:val="17"/>
                <w:lang w:eastAsia="en-AU"/>
              </w:rPr>
              <w:t>Real GSP</w:t>
            </w:r>
          </w:p>
        </w:tc>
        <w:tc>
          <w:tcPr>
            <w:tcW w:w="850" w:type="dxa"/>
            <w:tcBorders>
              <w:top w:val="nil"/>
              <w:left w:val="nil"/>
              <w:bottom w:val="nil"/>
              <w:right w:val="nil"/>
            </w:tcBorders>
            <w:shd w:val="clear" w:color="auto" w:fill="auto"/>
            <w:vAlign w:val="center"/>
          </w:tcPr>
          <w:p w14:paraId="30EE33DB"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0.05</w:t>
            </w:r>
          </w:p>
        </w:tc>
        <w:tc>
          <w:tcPr>
            <w:tcW w:w="850" w:type="dxa"/>
            <w:tcBorders>
              <w:top w:val="nil"/>
              <w:left w:val="nil"/>
              <w:bottom w:val="nil"/>
              <w:right w:val="nil"/>
            </w:tcBorders>
            <w:shd w:val="clear" w:color="auto" w:fill="auto"/>
            <w:vAlign w:val="center"/>
          </w:tcPr>
          <w:p w14:paraId="3D481A7F"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0.24</w:t>
            </w:r>
          </w:p>
        </w:tc>
        <w:tc>
          <w:tcPr>
            <w:tcW w:w="850" w:type="dxa"/>
            <w:tcBorders>
              <w:top w:val="nil"/>
              <w:left w:val="nil"/>
              <w:bottom w:val="nil"/>
              <w:right w:val="nil"/>
            </w:tcBorders>
            <w:shd w:val="clear" w:color="auto" w:fill="auto"/>
            <w:vAlign w:val="center"/>
          </w:tcPr>
          <w:p w14:paraId="122D4DFC"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0.36</w:t>
            </w:r>
          </w:p>
        </w:tc>
        <w:tc>
          <w:tcPr>
            <w:tcW w:w="850" w:type="dxa"/>
            <w:tcBorders>
              <w:top w:val="nil"/>
              <w:left w:val="nil"/>
              <w:bottom w:val="nil"/>
              <w:right w:val="nil"/>
            </w:tcBorders>
            <w:shd w:val="clear" w:color="auto" w:fill="auto"/>
            <w:vAlign w:val="center"/>
          </w:tcPr>
          <w:p w14:paraId="6F1579D6"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0.42</w:t>
            </w:r>
          </w:p>
        </w:tc>
      </w:tr>
      <w:tr w:rsidR="00E259F6" w:rsidRPr="003A715D" w14:paraId="7D20F429" w14:textId="77777777" w:rsidTr="008670FF">
        <w:tc>
          <w:tcPr>
            <w:cnfStyle w:val="001000000000" w:firstRow="0" w:lastRow="0" w:firstColumn="1" w:lastColumn="0" w:oddVBand="0" w:evenVBand="0" w:oddHBand="0" w:evenHBand="0" w:firstRowFirstColumn="0" w:firstRowLastColumn="0" w:lastRowFirstColumn="0" w:lastRowLastColumn="0"/>
            <w:tcW w:w="4370" w:type="dxa"/>
            <w:hideMark/>
          </w:tcPr>
          <w:p w14:paraId="01E01F57" w14:textId="77777777" w:rsidR="00E259F6" w:rsidRPr="002D46B0" w:rsidRDefault="00E259F6" w:rsidP="008670FF">
            <w:pPr>
              <w:autoSpaceDE w:val="0"/>
              <w:autoSpaceDN w:val="0"/>
              <w:adjustRightInd w:val="0"/>
              <w:rPr>
                <w:rFonts w:eastAsiaTheme="minorEastAsia" w:cstheme="majorHAnsi"/>
                <w:szCs w:val="17"/>
                <w:lang w:eastAsia="en-AU"/>
              </w:rPr>
            </w:pPr>
            <w:r w:rsidRPr="002D46B0">
              <w:rPr>
                <w:rFonts w:eastAsiaTheme="minorEastAsia" w:cstheme="majorHAnsi"/>
                <w:szCs w:val="17"/>
                <w:lang w:eastAsia="en-AU"/>
              </w:rPr>
              <w:t>Employment</w:t>
            </w:r>
            <w:r>
              <w:rPr>
                <w:rFonts w:eastAsiaTheme="minorEastAsia" w:cstheme="majorHAnsi"/>
                <w:szCs w:val="17"/>
                <w:lang w:eastAsia="en-AU"/>
              </w:rPr>
              <w:t xml:space="preserve"> (levels)</w:t>
            </w:r>
          </w:p>
        </w:tc>
        <w:tc>
          <w:tcPr>
            <w:tcW w:w="850" w:type="dxa"/>
            <w:tcBorders>
              <w:top w:val="nil"/>
              <w:left w:val="nil"/>
              <w:bottom w:val="nil"/>
              <w:right w:val="nil"/>
            </w:tcBorders>
            <w:shd w:val="clear" w:color="auto" w:fill="auto"/>
            <w:vAlign w:val="center"/>
          </w:tcPr>
          <w:p w14:paraId="0E1F0627"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0.05</w:t>
            </w:r>
          </w:p>
        </w:tc>
        <w:tc>
          <w:tcPr>
            <w:tcW w:w="850" w:type="dxa"/>
            <w:tcBorders>
              <w:top w:val="nil"/>
              <w:left w:val="nil"/>
              <w:bottom w:val="nil"/>
              <w:right w:val="nil"/>
            </w:tcBorders>
            <w:shd w:val="clear" w:color="auto" w:fill="auto"/>
            <w:vAlign w:val="center"/>
          </w:tcPr>
          <w:p w14:paraId="573BCCD4"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0.26</w:t>
            </w:r>
          </w:p>
        </w:tc>
        <w:tc>
          <w:tcPr>
            <w:tcW w:w="850" w:type="dxa"/>
            <w:tcBorders>
              <w:top w:val="nil"/>
              <w:left w:val="nil"/>
              <w:bottom w:val="nil"/>
              <w:right w:val="nil"/>
            </w:tcBorders>
            <w:shd w:val="clear" w:color="auto" w:fill="auto"/>
            <w:vAlign w:val="center"/>
          </w:tcPr>
          <w:p w14:paraId="2C2DB683"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0.41</w:t>
            </w:r>
          </w:p>
        </w:tc>
        <w:tc>
          <w:tcPr>
            <w:tcW w:w="850" w:type="dxa"/>
            <w:tcBorders>
              <w:top w:val="nil"/>
              <w:left w:val="nil"/>
              <w:bottom w:val="nil"/>
              <w:right w:val="nil"/>
            </w:tcBorders>
            <w:shd w:val="clear" w:color="auto" w:fill="auto"/>
            <w:vAlign w:val="center"/>
          </w:tcPr>
          <w:p w14:paraId="70BF7CBB"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0.48</w:t>
            </w:r>
          </w:p>
        </w:tc>
      </w:tr>
      <w:tr w:rsidR="00E259F6" w:rsidRPr="003A715D" w14:paraId="14E62A1A" w14:textId="77777777" w:rsidTr="008670FF">
        <w:tc>
          <w:tcPr>
            <w:cnfStyle w:val="001000000000" w:firstRow="0" w:lastRow="0" w:firstColumn="1" w:lastColumn="0" w:oddVBand="0" w:evenVBand="0" w:oddHBand="0" w:evenHBand="0" w:firstRowFirstColumn="0" w:firstRowLastColumn="0" w:lastRowFirstColumn="0" w:lastRowLastColumn="0"/>
            <w:tcW w:w="4370" w:type="dxa"/>
            <w:tcBorders>
              <w:bottom w:val="nil"/>
            </w:tcBorders>
            <w:hideMark/>
          </w:tcPr>
          <w:p w14:paraId="7443CE30" w14:textId="77777777" w:rsidR="00E259F6" w:rsidRPr="002D46B0" w:rsidRDefault="00E259F6" w:rsidP="008670FF">
            <w:pPr>
              <w:autoSpaceDE w:val="0"/>
              <w:autoSpaceDN w:val="0"/>
              <w:adjustRightInd w:val="0"/>
              <w:rPr>
                <w:rFonts w:eastAsiaTheme="minorEastAsia" w:cstheme="majorHAnsi"/>
                <w:szCs w:val="17"/>
                <w:lang w:eastAsia="en-AU"/>
              </w:rPr>
            </w:pPr>
            <w:r w:rsidRPr="002D46B0">
              <w:rPr>
                <w:rFonts w:eastAsiaTheme="minorEastAsia" w:cstheme="majorHAnsi"/>
                <w:szCs w:val="17"/>
                <w:lang w:eastAsia="en-AU"/>
              </w:rPr>
              <w:t>Consumer price index</w:t>
            </w:r>
          </w:p>
        </w:tc>
        <w:tc>
          <w:tcPr>
            <w:tcW w:w="850" w:type="dxa"/>
            <w:tcBorders>
              <w:top w:val="nil"/>
              <w:left w:val="nil"/>
              <w:bottom w:val="nil"/>
              <w:right w:val="nil"/>
            </w:tcBorders>
            <w:shd w:val="clear" w:color="auto" w:fill="auto"/>
            <w:vAlign w:val="center"/>
          </w:tcPr>
          <w:p w14:paraId="684A0D08"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0.02</w:t>
            </w:r>
          </w:p>
        </w:tc>
        <w:tc>
          <w:tcPr>
            <w:tcW w:w="850" w:type="dxa"/>
            <w:tcBorders>
              <w:top w:val="nil"/>
              <w:left w:val="nil"/>
              <w:bottom w:val="nil"/>
              <w:right w:val="nil"/>
            </w:tcBorders>
            <w:shd w:val="clear" w:color="auto" w:fill="auto"/>
            <w:vAlign w:val="center"/>
          </w:tcPr>
          <w:p w14:paraId="7BE2E703"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0.11</w:t>
            </w:r>
          </w:p>
        </w:tc>
        <w:tc>
          <w:tcPr>
            <w:tcW w:w="850" w:type="dxa"/>
            <w:tcBorders>
              <w:top w:val="nil"/>
              <w:left w:val="nil"/>
              <w:bottom w:val="nil"/>
              <w:right w:val="nil"/>
            </w:tcBorders>
            <w:shd w:val="clear" w:color="auto" w:fill="auto"/>
            <w:vAlign w:val="center"/>
          </w:tcPr>
          <w:p w14:paraId="4AC548A3"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0.16</w:t>
            </w:r>
          </w:p>
        </w:tc>
        <w:tc>
          <w:tcPr>
            <w:tcW w:w="850" w:type="dxa"/>
            <w:tcBorders>
              <w:top w:val="nil"/>
              <w:left w:val="nil"/>
              <w:bottom w:val="nil"/>
              <w:right w:val="nil"/>
            </w:tcBorders>
            <w:shd w:val="clear" w:color="auto" w:fill="auto"/>
            <w:vAlign w:val="center"/>
          </w:tcPr>
          <w:p w14:paraId="0D807A72" w14:textId="77777777" w:rsidR="00E259F6" w:rsidRPr="002D46B0" w:rsidRDefault="00E259F6" w:rsidP="008670FF">
            <w:pPr>
              <w:cnfStyle w:val="000000000000" w:firstRow="0" w:lastRow="0" w:firstColumn="0" w:lastColumn="0" w:oddVBand="0" w:evenVBand="0" w:oddHBand="0" w:evenHBand="0" w:firstRowFirstColumn="0" w:firstRowLastColumn="0" w:lastRowFirstColumn="0" w:lastRowLastColumn="0"/>
              <w:rPr>
                <w:szCs w:val="17"/>
              </w:rPr>
            </w:pPr>
            <w:r>
              <w:rPr>
                <w:rFonts w:ascii="Calibri" w:hAnsi="Calibri" w:cs="Calibri"/>
                <w:color w:val="232B39"/>
                <w:szCs w:val="17"/>
              </w:rPr>
              <w:t>0.19</w:t>
            </w:r>
          </w:p>
        </w:tc>
      </w:tr>
      <w:tr w:rsidR="00E259F6" w:rsidRPr="003A715D" w14:paraId="6E13079B" w14:textId="77777777" w:rsidTr="008670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0" w:type="dxa"/>
            <w:tcBorders>
              <w:top w:val="nil"/>
            </w:tcBorders>
            <w:hideMark/>
          </w:tcPr>
          <w:p w14:paraId="5CE9F43F" w14:textId="77777777" w:rsidR="00E259F6" w:rsidRPr="002D46B0" w:rsidRDefault="00E259F6" w:rsidP="008670FF">
            <w:pPr>
              <w:autoSpaceDE w:val="0"/>
              <w:autoSpaceDN w:val="0"/>
              <w:adjustRightInd w:val="0"/>
              <w:rPr>
                <w:rFonts w:eastAsiaTheme="minorEastAsia" w:cstheme="majorHAnsi"/>
                <w:b w:val="0"/>
                <w:szCs w:val="17"/>
                <w:lang w:eastAsia="en-AU"/>
              </w:rPr>
            </w:pPr>
            <w:r w:rsidRPr="002D46B0">
              <w:rPr>
                <w:rFonts w:eastAsiaTheme="minorEastAsia" w:cstheme="majorHAnsi"/>
                <w:b w:val="0"/>
                <w:szCs w:val="17"/>
                <w:lang w:eastAsia="en-AU"/>
              </w:rPr>
              <w:t>Wage price index</w:t>
            </w:r>
          </w:p>
        </w:tc>
        <w:tc>
          <w:tcPr>
            <w:tcW w:w="850" w:type="dxa"/>
            <w:tcBorders>
              <w:top w:val="nil"/>
              <w:bottom w:val="single" w:sz="12" w:space="0" w:color="auto"/>
            </w:tcBorders>
            <w:shd w:val="clear" w:color="auto" w:fill="auto"/>
            <w:vAlign w:val="center"/>
          </w:tcPr>
          <w:p w14:paraId="164BF5B2" w14:textId="77777777" w:rsidR="00E259F6" w:rsidRPr="00C632B4" w:rsidRDefault="00E259F6" w:rsidP="008670FF">
            <w:pPr>
              <w:cnfStyle w:val="010000000000" w:firstRow="0" w:lastRow="1" w:firstColumn="0" w:lastColumn="0" w:oddVBand="0" w:evenVBand="0" w:oddHBand="0" w:evenHBand="0" w:firstRowFirstColumn="0" w:firstRowLastColumn="0" w:lastRowFirstColumn="0" w:lastRowLastColumn="0"/>
              <w:rPr>
                <w:b w:val="0"/>
                <w:bCs/>
                <w:szCs w:val="17"/>
              </w:rPr>
            </w:pPr>
            <w:r w:rsidRPr="00C632B4">
              <w:rPr>
                <w:rFonts w:ascii="Calibri" w:hAnsi="Calibri" w:cs="Calibri"/>
                <w:b w:val="0"/>
                <w:bCs/>
                <w:color w:val="232B39"/>
                <w:szCs w:val="17"/>
              </w:rPr>
              <w:t>(0.01)</w:t>
            </w:r>
          </w:p>
        </w:tc>
        <w:tc>
          <w:tcPr>
            <w:tcW w:w="850" w:type="dxa"/>
            <w:tcBorders>
              <w:top w:val="nil"/>
              <w:bottom w:val="single" w:sz="12" w:space="0" w:color="auto"/>
            </w:tcBorders>
            <w:shd w:val="clear" w:color="auto" w:fill="auto"/>
            <w:vAlign w:val="center"/>
          </w:tcPr>
          <w:p w14:paraId="7B1D7B36" w14:textId="77777777" w:rsidR="00E259F6" w:rsidRPr="00C632B4" w:rsidRDefault="00E259F6" w:rsidP="008670FF">
            <w:pPr>
              <w:cnfStyle w:val="010000000000" w:firstRow="0" w:lastRow="1" w:firstColumn="0" w:lastColumn="0" w:oddVBand="0" w:evenVBand="0" w:oddHBand="0" w:evenHBand="0" w:firstRowFirstColumn="0" w:firstRowLastColumn="0" w:lastRowFirstColumn="0" w:lastRowLastColumn="0"/>
              <w:rPr>
                <w:b w:val="0"/>
                <w:bCs/>
                <w:szCs w:val="17"/>
              </w:rPr>
            </w:pPr>
            <w:r w:rsidRPr="00C632B4">
              <w:rPr>
                <w:rFonts w:ascii="Calibri" w:hAnsi="Calibri" w:cs="Calibri"/>
                <w:b w:val="0"/>
                <w:bCs/>
                <w:color w:val="232B39"/>
                <w:szCs w:val="17"/>
              </w:rPr>
              <w:t>(0.13)</w:t>
            </w:r>
          </w:p>
        </w:tc>
        <w:tc>
          <w:tcPr>
            <w:tcW w:w="850" w:type="dxa"/>
            <w:tcBorders>
              <w:top w:val="nil"/>
              <w:bottom w:val="single" w:sz="12" w:space="0" w:color="auto"/>
            </w:tcBorders>
            <w:shd w:val="clear" w:color="auto" w:fill="auto"/>
            <w:vAlign w:val="center"/>
          </w:tcPr>
          <w:p w14:paraId="350CC6BF" w14:textId="77777777" w:rsidR="00E259F6" w:rsidRPr="00C632B4" w:rsidRDefault="00E259F6" w:rsidP="008670FF">
            <w:pPr>
              <w:cnfStyle w:val="010000000000" w:firstRow="0" w:lastRow="1" w:firstColumn="0" w:lastColumn="0" w:oddVBand="0" w:evenVBand="0" w:oddHBand="0" w:evenHBand="0" w:firstRowFirstColumn="0" w:firstRowLastColumn="0" w:lastRowFirstColumn="0" w:lastRowLastColumn="0"/>
              <w:rPr>
                <w:b w:val="0"/>
                <w:bCs/>
                <w:szCs w:val="17"/>
              </w:rPr>
            </w:pPr>
            <w:r w:rsidRPr="00C632B4">
              <w:rPr>
                <w:rFonts w:ascii="Calibri" w:hAnsi="Calibri" w:cs="Calibri"/>
                <w:b w:val="0"/>
                <w:bCs/>
                <w:color w:val="232B39"/>
                <w:szCs w:val="17"/>
              </w:rPr>
              <w:t>(0.24)</w:t>
            </w:r>
          </w:p>
        </w:tc>
        <w:tc>
          <w:tcPr>
            <w:tcW w:w="850" w:type="dxa"/>
            <w:tcBorders>
              <w:top w:val="nil"/>
              <w:bottom w:val="single" w:sz="12" w:space="0" w:color="auto"/>
            </w:tcBorders>
            <w:shd w:val="clear" w:color="auto" w:fill="auto"/>
            <w:vAlign w:val="center"/>
          </w:tcPr>
          <w:p w14:paraId="4631583D" w14:textId="77777777" w:rsidR="00E259F6" w:rsidRPr="00C632B4" w:rsidRDefault="00E259F6" w:rsidP="008670FF">
            <w:pPr>
              <w:cnfStyle w:val="010000000000" w:firstRow="0" w:lastRow="1" w:firstColumn="0" w:lastColumn="0" w:oddVBand="0" w:evenVBand="0" w:oddHBand="0" w:evenHBand="0" w:firstRowFirstColumn="0" w:firstRowLastColumn="0" w:lastRowFirstColumn="0" w:lastRowLastColumn="0"/>
              <w:rPr>
                <w:b w:val="0"/>
                <w:bCs/>
                <w:szCs w:val="17"/>
              </w:rPr>
            </w:pPr>
            <w:r w:rsidRPr="00C632B4">
              <w:rPr>
                <w:rFonts w:ascii="Calibri" w:hAnsi="Calibri" w:cs="Calibri"/>
                <w:b w:val="0"/>
                <w:bCs/>
                <w:color w:val="232B39"/>
                <w:szCs w:val="17"/>
              </w:rPr>
              <w:t>(0.30)</w:t>
            </w:r>
          </w:p>
        </w:tc>
      </w:tr>
    </w:tbl>
    <w:p w14:paraId="6B17B147" w14:textId="77777777" w:rsidR="00E259F6" w:rsidRDefault="00E259F6" w:rsidP="00E259F6">
      <w:pPr>
        <w:pStyle w:val="Note"/>
      </w:pPr>
      <w:r w:rsidRPr="001232A3">
        <w:t>Note:</w:t>
      </w:r>
      <w:r>
        <w:t xml:space="preserve"> </w:t>
      </w:r>
    </w:p>
    <w:p w14:paraId="06F8E742" w14:textId="77777777" w:rsidR="00E259F6" w:rsidRPr="00C7341B" w:rsidRDefault="00E259F6" w:rsidP="00E259F6">
      <w:pPr>
        <w:pStyle w:val="Note"/>
      </w:pPr>
      <w:r w:rsidRPr="00C7341B">
        <w:t>(a)</w:t>
      </w:r>
      <w:r w:rsidRPr="00C7341B">
        <w:tab/>
        <w:t xml:space="preserve">Figures reported are the change in the level of each parameter relative to the baseline forecasts as presented in Chapter 2 </w:t>
      </w:r>
      <w:r w:rsidRPr="00F9018B">
        <w:rPr>
          <w:i w:val="0"/>
        </w:rPr>
        <w:t>Economic context</w:t>
      </w:r>
      <w:r w:rsidRPr="00C7341B">
        <w:t>.</w:t>
      </w:r>
    </w:p>
    <w:p w14:paraId="278848ED" w14:textId="77777777" w:rsidR="00F24FE6" w:rsidRDefault="00F24FE6" w:rsidP="00E259F6"/>
    <w:p w14:paraId="15CC8933" w14:textId="0D791DD9" w:rsidR="00E259F6" w:rsidRDefault="00E259F6" w:rsidP="00E259F6">
      <w:r w:rsidRPr="000B46BC">
        <w:t xml:space="preserve">Under this scenario, general government sector revenue is </w:t>
      </w:r>
      <w:r>
        <w:t>higher</w:t>
      </w:r>
      <w:r w:rsidRPr="000B46BC">
        <w:t xml:space="preserve">, as shown in </w:t>
      </w:r>
      <w:r w:rsidRPr="00930120">
        <w:t>Table 6.4</w:t>
      </w:r>
      <w:r w:rsidRPr="000B46BC">
        <w:t xml:space="preserve">. </w:t>
      </w:r>
      <w:r>
        <w:t>Higher</w:t>
      </w:r>
      <w:r w:rsidRPr="000B46BC">
        <w:t xml:space="preserve"> </w:t>
      </w:r>
      <w:r>
        <w:t>household income</w:t>
      </w:r>
      <w:r w:rsidRPr="000B46BC">
        <w:t xml:space="preserve"> growth </w:t>
      </w:r>
      <w:r>
        <w:t>increases</w:t>
      </w:r>
      <w:r w:rsidRPr="000B46BC">
        <w:t xml:space="preserve"> Victorian household consumption, which </w:t>
      </w:r>
      <w:r>
        <w:t>increases</w:t>
      </w:r>
      <w:r w:rsidRPr="000B46BC">
        <w:t xml:space="preserve"> the GST pool</w:t>
      </w:r>
      <w:r>
        <w:t xml:space="preserve"> and hence leads to higher GST grant revenue for Victoria</w:t>
      </w:r>
      <w:r w:rsidRPr="000B46BC">
        <w:t xml:space="preserve">. </w:t>
      </w:r>
      <w:r>
        <w:t>Higher labour income</w:t>
      </w:r>
      <w:r w:rsidRPr="000B46BC">
        <w:t xml:space="preserve"> growth also </w:t>
      </w:r>
      <w:r>
        <w:t>increases</w:t>
      </w:r>
      <w:r w:rsidRPr="000B46BC">
        <w:t xml:space="preserve"> payroll and property related tax collections. </w:t>
      </w:r>
      <w:r>
        <w:t xml:space="preserve">Expenses from transactions are lower under this scenario, with lower wage growth relative to the base case putting downward pressure on </w:t>
      </w:r>
      <w:r w:rsidRPr="000B46BC">
        <w:t>public sector employme</w:t>
      </w:r>
      <w:r>
        <w:t>nt expenses</w:t>
      </w:r>
      <w:r w:rsidRPr="000B46BC">
        <w:t xml:space="preserve"> </w:t>
      </w:r>
      <w:r>
        <w:t>(as with the earlier scenario presented above, the model assumes that public sector wage growth corresponds to private sector wage growth in the medium to long term). Overall, the increase in revenue and decrease in expenses</w:t>
      </w:r>
      <w:r w:rsidRPr="000B46BC">
        <w:t xml:space="preserve"> </w:t>
      </w:r>
      <w:r>
        <w:t>improves</w:t>
      </w:r>
      <w:r w:rsidRPr="000B46BC">
        <w:t xml:space="preserve"> the net result.</w:t>
      </w:r>
      <w:r>
        <w:t xml:space="preserve"> Net debt is therefore lower over the forward estimates.</w:t>
      </w:r>
    </w:p>
    <w:p w14:paraId="08E437EC" w14:textId="77777777" w:rsidR="00F24FE6" w:rsidRDefault="00F24FE6" w:rsidP="00E259F6"/>
    <w:p w14:paraId="62B8222C" w14:textId="77777777" w:rsidR="00E259F6" w:rsidRPr="001469A3" w:rsidRDefault="00E259F6" w:rsidP="00E259F6">
      <w:pPr>
        <w:pStyle w:val="TableHeading"/>
      </w:pPr>
      <w:r w:rsidRPr="008E2A1D">
        <w:t>Table 6.4:</w:t>
      </w:r>
      <w:r w:rsidRPr="001469A3">
        <w:tab/>
        <w:t xml:space="preserve">Projected fiscal impact of a lower trend unemployment rate </w:t>
      </w:r>
      <w:r w:rsidRPr="001469A3">
        <w:rPr>
          <w:vertAlign w:val="superscript"/>
        </w:rPr>
        <w:t xml:space="preserve">(a) </w:t>
      </w:r>
      <w:r w:rsidRPr="001469A3">
        <w:tab/>
        <w:t>($ million)</w:t>
      </w:r>
    </w:p>
    <w:tbl>
      <w:tblPr>
        <w:tblStyle w:val="DTFTable"/>
        <w:tblW w:w="7739" w:type="dxa"/>
        <w:tblLayout w:type="fixed"/>
        <w:tblLook w:val="06E0" w:firstRow="1" w:lastRow="1" w:firstColumn="1" w:lastColumn="0" w:noHBand="1" w:noVBand="1"/>
      </w:tblPr>
      <w:tblGrid>
        <w:gridCol w:w="4360"/>
        <w:gridCol w:w="844"/>
        <w:gridCol w:w="845"/>
        <w:gridCol w:w="845"/>
        <w:gridCol w:w="845"/>
      </w:tblGrid>
      <w:tr w:rsidR="00E259F6" w:rsidRPr="001469A3" w14:paraId="717B7800" w14:textId="77777777" w:rsidTr="008670FF">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360" w:type="dxa"/>
          </w:tcPr>
          <w:p w14:paraId="4D03D81C" w14:textId="77777777" w:rsidR="00E259F6" w:rsidRPr="001469A3" w:rsidRDefault="00E259F6" w:rsidP="008670FF">
            <w:pPr>
              <w:autoSpaceDE w:val="0"/>
              <w:autoSpaceDN w:val="0"/>
              <w:adjustRightInd w:val="0"/>
              <w:rPr>
                <w:rFonts w:ascii="Calibri" w:eastAsia="Times New Roman" w:hAnsi="Calibri" w:cs="Calibri"/>
                <w:iCs/>
                <w:color w:val="000000"/>
                <w:szCs w:val="17"/>
                <w:lang w:eastAsia="en-AU"/>
              </w:rPr>
            </w:pPr>
          </w:p>
        </w:tc>
        <w:tc>
          <w:tcPr>
            <w:tcW w:w="844" w:type="dxa"/>
            <w:hideMark/>
          </w:tcPr>
          <w:p w14:paraId="27869A1E"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szCs w:val="17"/>
                <w:lang w:eastAsia="en-AU"/>
              </w:rPr>
            </w:pPr>
            <w:r w:rsidRPr="001469A3">
              <w:rPr>
                <w:rFonts w:ascii="Calibri" w:eastAsia="Times New Roman" w:hAnsi="Calibri" w:cs="Calibri"/>
                <w:iCs/>
                <w:szCs w:val="17"/>
                <w:lang w:eastAsia="en-AU"/>
              </w:rPr>
              <w:t>2024-25</w:t>
            </w:r>
            <w:r w:rsidRPr="001469A3">
              <w:rPr>
                <w:rFonts w:ascii="Calibri" w:eastAsia="Times New Roman" w:hAnsi="Calibri" w:cs="Calibri"/>
                <w:iCs/>
                <w:szCs w:val="17"/>
                <w:lang w:eastAsia="en-AU"/>
              </w:rPr>
              <w:br/>
              <w:t>estimate</w:t>
            </w:r>
          </w:p>
        </w:tc>
        <w:tc>
          <w:tcPr>
            <w:tcW w:w="845" w:type="dxa"/>
            <w:hideMark/>
          </w:tcPr>
          <w:p w14:paraId="71D3329C"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szCs w:val="17"/>
                <w:lang w:eastAsia="en-AU"/>
              </w:rPr>
            </w:pPr>
            <w:r w:rsidRPr="001469A3">
              <w:rPr>
                <w:rFonts w:ascii="Calibri" w:eastAsia="Times New Roman" w:hAnsi="Calibri" w:cs="Calibri"/>
                <w:iCs/>
                <w:szCs w:val="17"/>
                <w:lang w:eastAsia="en-AU"/>
              </w:rPr>
              <w:t>2025-26</w:t>
            </w:r>
            <w:r w:rsidRPr="001469A3">
              <w:rPr>
                <w:rFonts w:ascii="Calibri" w:eastAsia="Times New Roman" w:hAnsi="Calibri" w:cs="Calibri"/>
                <w:iCs/>
                <w:szCs w:val="17"/>
                <w:lang w:eastAsia="en-AU"/>
              </w:rPr>
              <w:br/>
              <w:t>estimate</w:t>
            </w:r>
          </w:p>
        </w:tc>
        <w:tc>
          <w:tcPr>
            <w:tcW w:w="845" w:type="dxa"/>
            <w:hideMark/>
          </w:tcPr>
          <w:p w14:paraId="4E496FF9"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szCs w:val="17"/>
                <w:lang w:eastAsia="en-AU"/>
              </w:rPr>
            </w:pPr>
            <w:r w:rsidRPr="001469A3">
              <w:rPr>
                <w:rFonts w:ascii="Calibri" w:eastAsia="Times New Roman" w:hAnsi="Calibri" w:cs="Calibri"/>
                <w:iCs/>
                <w:szCs w:val="17"/>
                <w:lang w:eastAsia="en-AU"/>
              </w:rPr>
              <w:t>2026-27</w:t>
            </w:r>
            <w:r w:rsidRPr="001469A3">
              <w:rPr>
                <w:rFonts w:ascii="Calibri" w:eastAsia="Times New Roman" w:hAnsi="Calibri" w:cs="Calibri"/>
                <w:iCs/>
                <w:szCs w:val="17"/>
                <w:lang w:eastAsia="en-AU"/>
              </w:rPr>
              <w:br/>
              <w:t>estimate</w:t>
            </w:r>
          </w:p>
        </w:tc>
        <w:tc>
          <w:tcPr>
            <w:tcW w:w="845" w:type="dxa"/>
            <w:hideMark/>
          </w:tcPr>
          <w:p w14:paraId="72599379"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szCs w:val="17"/>
                <w:lang w:eastAsia="en-AU"/>
              </w:rPr>
            </w:pPr>
            <w:r w:rsidRPr="001469A3">
              <w:rPr>
                <w:rFonts w:ascii="Calibri" w:eastAsia="Times New Roman" w:hAnsi="Calibri" w:cs="Calibri"/>
                <w:iCs/>
                <w:szCs w:val="17"/>
                <w:lang w:eastAsia="en-AU"/>
              </w:rPr>
              <w:t>2027-28</w:t>
            </w:r>
            <w:r w:rsidRPr="001469A3">
              <w:rPr>
                <w:rFonts w:ascii="Calibri" w:eastAsia="Times New Roman" w:hAnsi="Calibri" w:cs="Calibri"/>
                <w:iCs/>
                <w:szCs w:val="17"/>
                <w:lang w:eastAsia="en-AU"/>
              </w:rPr>
              <w:br/>
              <w:t>estimate</w:t>
            </w:r>
          </w:p>
        </w:tc>
      </w:tr>
      <w:tr w:rsidR="00E259F6" w:rsidRPr="001469A3" w14:paraId="0C8216EF" w14:textId="77777777" w:rsidTr="008670FF">
        <w:tc>
          <w:tcPr>
            <w:cnfStyle w:val="001000000000" w:firstRow="0" w:lastRow="0" w:firstColumn="1" w:lastColumn="0" w:oddVBand="0" w:evenVBand="0" w:oddHBand="0" w:evenHBand="0" w:firstRowFirstColumn="0" w:firstRowLastColumn="0" w:lastRowFirstColumn="0" w:lastRowLastColumn="0"/>
            <w:tcW w:w="4360" w:type="dxa"/>
            <w:tcBorders>
              <w:top w:val="nil"/>
              <w:left w:val="nil"/>
              <w:bottom w:val="nil"/>
              <w:right w:val="nil"/>
            </w:tcBorders>
            <w:shd w:val="clear" w:color="000000" w:fill="FFFFFF"/>
            <w:vAlign w:val="bottom"/>
            <w:hideMark/>
          </w:tcPr>
          <w:p w14:paraId="28B77955" w14:textId="77777777" w:rsidR="00E259F6" w:rsidRPr="001469A3" w:rsidRDefault="00E259F6" w:rsidP="008670FF">
            <w:pPr>
              <w:autoSpaceDE w:val="0"/>
              <w:autoSpaceDN w:val="0"/>
              <w:adjustRightInd w:val="0"/>
              <w:rPr>
                <w:rFonts w:ascii="Calibri" w:eastAsia="Times New Roman" w:hAnsi="Calibri" w:cs="Calibri"/>
                <w:color w:val="000000"/>
                <w:szCs w:val="17"/>
                <w:lang w:eastAsia="en-AU"/>
              </w:rPr>
            </w:pPr>
            <w:r w:rsidRPr="001469A3">
              <w:rPr>
                <w:rFonts w:ascii="Calibri" w:eastAsia="Garamond" w:hAnsi="Calibri" w:cs="Calibri"/>
                <w:szCs w:val="17"/>
              </w:rPr>
              <w:t>Income from transactions</w:t>
            </w:r>
          </w:p>
        </w:tc>
        <w:tc>
          <w:tcPr>
            <w:tcW w:w="844" w:type="dxa"/>
            <w:tcBorders>
              <w:top w:val="nil"/>
              <w:left w:val="nil"/>
              <w:bottom w:val="nil"/>
              <w:right w:val="nil"/>
            </w:tcBorders>
            <w:shd w:val="clear" w:color="auto" w:fill="auto"/>
          </w:tcPr>
          <w:p w14:paraId="21B689E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59.1</w:t>
            </w:r>
          </w:p>
        </w:tc>
        <w:tc>
          <w:tcPr>
            <w:tcW w:w="845" w:type="dxa"/>
            <w:tcBorders>
              <w:top w:val="nil"/>
              <w:left w:val="nil"/>
              <w:bottom w:val="nil"/>
              <w:right w:val="nil"/>
            </w:tcBorders>
            <w:shd w:val="clear" w:color="auto" w:fill="auto"/>
          </w:tcPr>
          <w:p w14:paraId="72D5E69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287.1</w:t>
            </w:r>
          </w:p>
        </w:tc>
        <w:tc>
          <w:tcPr>
            <w:tcW w:w="845" w:type="dxa"/>
            <w:tcBorders>
              <w:top w:val="nil"/>
              <w:left w:val="nil"/>
              <w:bottom w:val="nil"/>
              <w:right w:val="nil"/>
            </w:tcBorders>
            <w:shd w:val="clear" w:color="auto" w:fill="auto"/>
          </w:tcPr>
          <w:p w14:paraId="12FD2AF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423.0</w:t>
            </w:r>
          </w:p>
        </w:tc>
        <w:tc>
          <w:tcPr>
            <w:tcW w:w="845" w:type="dxa"/>
            <w:tcBorders>
              <w:top w:val="nil"/>
              <w:left w:val="nil"/>
              <w:bottom w:val="nil"/>
              <w:right w:val="nil"/>
            </w:tcBorders>
            <w:shd w:val="clear" w:color="auto" w:fill="auto"/>
          </w:tcPr>
          <w:p w14:paraId="1566316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471.4</w:t>
            </w:r>
          </w:p>
        </w:tc>
      </w:tr>
      <w:tr w:rsidR="00E259F6" w:rsidRPr="001469A3" w14:paraId="0780A062" w14:textId="77777777" w:rsidTr="008670FF">
        <w:tc>
          <w:tcPr>
            <w:cnfStyle w:val="001000000000" w:firstRow="0" w:lastRow="0" w:firstColumn="1" w:lastColumn="0" w:oddVBand="0" w:evenVBand="0" w:oddHBand="0" w:evenHBand="0" w:firstRowFirstColumn="0" w:firstRowLastColumn="0" w:lastRowFirstColumn="0" w:lastRowLastColumn="0"/>
            <w:tcW w:w="4360" w:type="dxa"/>
            <w:tcBorders>
              <w:top w:val="nil"/>
              <w:left w:val="nil"/>
              <w:bottom w:val="nil"/>
              <w:right w:val="nil"/>
            </w:tcBorders>
            <w:shd w:val="clear" w:color="000000" w:fill="FFFFFF"/>
            <w:vAlign w:val="bottom"/>
            <w:hideMark/>
          </w:tcPr>
          <w:p w14:paraId="75B6927B" w14:textId="77777777" w:rsidR="00E259F6" w:rsidRPr="001469A3" w:rsidRDefault="00E259F6" w:rsidP="008670FF">
            <w:pPr>
              <w:autoSpaceDE w:val="0"/>
              <w:autoSpaceDN w:val="0"/>
              <w:adjustRightInd w:val="0"/>
              <w:rPr>
                <w:rFonts w:ascii="Calibri" w:eastAsia="Times New Roman" w:hAnsi="Calibri" w:cs="Calibri"/>
                <w:color w:val="000000"/>
                <w:szCs w:val="17"/>
                <w:lang w:eastAsia="en-AU"/>
              </w:rPr>
            </w:pPr>
            <w:r w:rsidRPr="001469A3">
              <w:rPr>
                <w:rFonts w:ascii="Calibri" w:eastAsia="Garamond" w:hAnsi="Calibri" w:cs="Calibri"/>
                <w:szCs w:val="17"/>
              </w:rPr>
              <w:t>Expenses from transactions</w:t>
            </w:r>
          </w:p>
        </w:tc>
        <w:tc>
          <w:tcPr>
            <w:tcW w:w="844" w:type="dxa"/>
            <w:tcBorders>
              <w:top w:val="nil"/>
              <w:left w:val="nil"/>
              <w:bottom w:val="nil"/>
              <w:right w:val="nil"/>
            </w:tcBorders>
            <w:shd w:val="clear" w:color="auto" w:fill="auto"/>
          </w:tcPr>
          <w:p w14:paraId="781E79B5"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6.0</w:t>
            </w:r>
          </w:p>
        </w:tc>
        <w:tc>
          <w:tcPr>
            <w:tcW w:w="845" w:type="dxa"/>
            <w:tcBorders>
              <w:top w:val="nil"/>
              <w:left w:val="nil"/>
              <w:bottom w:val="nil"/>
              <w:right w:val="nil"/>
            </w:tcBorders>
            <w:shd w:val="clear" w:color="auto" w:fill="auto"/>
          </w:tcPr>
          <w:p w14:paraId="44300CD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6.5</w:t>
            </w:r>
          </w:p>
        </w:tc>
        <w:tc>
          <w:tcPr>
            <w:tcW w:w="845" w:type="dxa"/>
            <w:tcBorders>
              <w:top w:val="nil"/>
              <w:left w:val="nil"/>
              <w:bottom w:val="nil"/>
              <w:right w:val="nil"/>
            </w:tcBorders>
            <w:shd w:val="clear" w:color="auto" w:fill="auto"/>
          </w:tcPr>
          <w:p w14:paraId="026A5AB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(56.3)</w:t>
            </w:r>
          </w:p>
        </w:tc>
        <w:tc>
          <w:tcPr>
            <w:tcW w:w="845" w:type="dxa"/>
            <w:tcBorders>
              <w:top w:val="nil"/>
              <w:left w:val="nil"/>
              <w:bottom w:val="nil"/>
              <w:right w:val="nil"/>
            </w:tcBorders>
            <w:shd w:val="clear" w:color="auto" w:fill="auto"/>
          </w:tcPr>
          <w:p w14:paraId="452715E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(116.7)</w:t>
            </w:r>
          </w:p>
        </w:tc>
      </w:tr>
      <w:tr w:rsidR="00E259F6" w:rsidRPr="00C632B4" w14:paraId="022E8772" w14:textId="77777777" w:rsidTr="008670FF">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left w:val="nil"/>
              <w:bottom w:val="single" w:sz="4" w:space="0" w:color="auto"/>
              <w:right w:val="nil"/>
            </w:tcBorders>
            <w:shd w:val="clear" w:color="000000" w:fill="FFFFFF"/>
            <w:vAlign w:val="bottom"/>
            <w:hideMark/>
          </w:tcPr>
          <w:p w14:paraId="6C958912" w14:textId="77777777" w:rsidR="00E259F6" w:rsidRPr="00C632B4" w:rsidRDefault="00E259F6" w:rsidP="008670FF">
            <w:pPr>
              <w:autoSpaceDE w:val="0"/>
              <w:autoSpaceDN w:val="0"/>
              <w:adjustRightInd w:val="0"/>
              <w:rPr>
                <w:rFonts w:ascii="Calibri" w:eastAsia="Times New Roman" w:hAnsi="Calibri" w:cs="Calibri"/>
                <w:b/>
                <w:bCs/>
                <w:color w:val="000000"/>
                <w:szCs w:val="17"/>
                <w:lang w:eastAsia="en-AU"/>
              </w:rPr>
            </w:pPr>
            <w:r w:rsidRPr="00C632B4">
              <w:rPr>
                <w:rFonts w:ascii="Calibri" w:eastAsia="Garamond" w:hAnsi="Calibri" w:cs="Calibri"/>
                <w:b/>
                <w:bCs/>
                <w:szCs w:val="17"/>
              </w:rPr>
              <w:t>Net result from transactions</w:t>
            </w:r>
          </w:p>
        </w:tc>
        <w:tc>
          <w:tcPr>
            <w:tcW w:w="844" w:type="dxa"/>
            <w:tcBorders>
              <w:top w:val="single" w:sz="4" w:space="0" w:color="auto"/>
              <w:left w:val="nil"/>
              <w:bottom w:val="single" w:sz="4" w:space="0" w:color="auto"/>
              <w:right w:val="nil"/>
            </w:tcBorders>
            <w:shd w:val="clear" w:color="auto" w:fill="auto"/>
          </w:tcPr>
          <w:p w14:paraId="3FB85D97"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53.1</w:t>
            </w:r>
          </w:p>
        </w:tc>
        <w:tc>
          <w:tcPr>
            <w:tcW w:w="845" w:type="dxa"/>
            <w:tcBorders>
              <w:top w:val="single" w:sz="4" w:space="0" w:color="auto"/>
              <w:left w:val="nil"/>
              <w:bottom w:val="single" w:sz="4" w:space="0" w:color="auto"/>
              <w:right w:val="nil"/>
            </w:tcBorders>
            <w:shd w:val="clear" w:color="auto" w:fill="auto"/>
          </w:tcPr>
          <w:p w14:paraId="1EEB52FB"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280.7</w:t>
            </w:r>
          </w:p>
        </w:tc>
        <w:tc>
          <w:tcPr>
            <w:tcW w:w="845" w:type="dxa"/>
            <w:tcBorders>
              <w:top w:val="single" w:sz="4" w:space="0" w:color="auto"/>
              <w:left w:val="nil"/>
              <w:bottom w:val="single" w:sz="4" w:space="0" w:color="auto"/>
              <w:right w:val="nil"/>
            </w:tcBorders>
            <w:shd w:val="clear" w:color="auto" w:fill="auto"/>
          </w:tcPr>
          <w:p w14:paraId="44DB3AF4"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479.3</w:t>
            </w:r>
          </w:p>
        </w:tc>
        <w:tc>
          <w:tcPr>
            <w:tcW w:w="845" w:type="dxa"/>
            <w:tcBorders>
              <w:top w:val="single" w:sz="4" w:space="0" w:color="auto"/>
              <w:left w:val="nil"/>
              <w:bottom w:val="single" w:sz="4" w:space="0" w:color="auto"/>
              <w:right w:val="nil"/>
            </w:tcBorders>
            <w:shd w:val="clear" w:color="auto" w:fill="auto"/>
          </w:tcPr>
          <w:p w14:paraId="29717F54"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588.1</w:t>
            </w:r>
          </w:p>
        </w:tc>
      </w:tr>
      <w:tr w:rsidR="00E259F6" w:rsidRPr="001469A3" w14:paraId="4F0411B1" w14:textId="77777777" w:rsidTr="008670FF">
        <w:tc>
          <w:tcPr>
            <w:cnfStyle w:val="001000000000" w:firstRow="0" w:lastRow="0" w:firstColumn="1" w:lastColumn="0" w:oddVBand="0" w:evenVBand="0" w:oddHBand="0" w:evenHBand="0" w:firstRowFirstColumn="0" w:firstRowLastColumn="0" w:lastRowFirstColumn="0" w:lastRowLastColumn="0"/>
            <w:tcW w:w="4360" w:type="dxa"/>
            <w:tcBorders>
              <w:top w:val="nil"/>
              <w:left w:val="nil"/>
              <w:bottom w:val="single" w:sz="4" w:space="0" w:color="auto"/>
              <w:right w:val="nil"/>
            </w:tcBorders>
            <w:shd w:val="clear" w:color="000000" w:fill="FFFFFF"/>
            <w:vAlign w:val="bottom"/>
            <w:hideMark/>
          </w:tcPr>
          <w:p w14:paraId="4E0ED04B" w14:textId="77777777" w:rsidR="00E259F6" w:rsidRPr="001469A3" w:rsidRDefault="00E259F6" w:rsidP="008670FF">
            <w:pPr>
              <w:autoSpaceDE w:val="0"/>
              <w:autoSpaceDN w:val="0"/>
              <w:adjustRightInd w:val="0"/>
              <w:rPr>
                <w:rFonts w:ascii="Calibri" w:eastAsia="Times New Roman" w:hAnsi="Calibri" w:cs="Calibri"/>
                <w:color w:val="000000"/>
                <w:szCs w:val="17"/>
                <w:lang w:eastAsia="en-AU"/>
              </w:rPr>
            </w:pPr>
            <w:r w:rsidRPr="001469A3">
              <w:rPr>
                <w:rFonts w:ascii="Calibri" w:eastAsia="Garamond" w:hAnsi="Calibri" w:cs="Calibri"/>
                <w:szCs w:val="17"/>
              </w:rPr>
              <w:t>Other economic flows</w:t>
            </w:r>
          </w:p>
        </w:tc>
        <w:tc>
          <w:tcPr>
            <w:tcW w:w="844" w:type="dxa"/>
            <w:tcBorders>
              <w:top w:val="nil"/>
              <w:left w:val="nil"/>
              <w:bottom w:val="single" w:sz="4" w:space="0" w:color="auto"/>
              <w:right w:val="nil"/>
            </w:tcBorders>
            <w:shd w:val="clear" w:color="auto" w:fill="auto"/>
          </w:tcPr>
          <w:p w14:paraId="2959A9B6"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0.3</w:t>
            </w:r>
          </w:p>
        </w:tc>
        <w:tc>
          <w:tcPr>
            <w:tcW w:w="845" w:type="dxa"/>
            <w:tcBorders>
              <w:top w:val="nil"/>
              <w:left w:val="nil"/>
              <w:bottom w:val="single" w:sz="4" w:space="0" w:color="auto"/>
              <w:right w:val="nil"/>
            </w:tcBorders>
            <w:shd w:val="clear" w:color="auto" w:fill="auto"/>
          </w:tcPr>
          <w:p w14:paraId="6FD07B2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5.2</w:t>
            </w:r>
          </w:p>
        </w:tc>
        <w:tc>
          <w:tcPr>
            <w:tcW w:w="845" w:type="dxa"/>
            <w:tcBorders>
              <w:top w:val="nil"/>
              <w:left w:val="nil"/>
              <w:bottom w:val="single" w:sz="4" w:space="0" w:color="auto"/>
              <w:right w:val="nil"/>
            </w:tcBorders>
            <w:shd w:val="clear" w:color="auto" w:fill="auto"/>
          </w:tcPr>
          <w:p w14:paraId="2C10ED9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4.8</w:t>
            </w:r>
          </w:p>
        </w:tc>
        <w:tc>
          <w:tcPr>
            <w:tcW w:w="845" w:type="dxa"/>
            <w:tcBorders>
              <w:top w:val="nil"/>
              <w:left w:val="nil"/>
              <w:bottom w:val="single" w:sz="4" w:space="0" w:color="auto"/>
              <w:right w:val="nil"/>
            </w:tcBorders>
            <w:shd w:val="clear" w:color="auto" w:fill="auto"/>
          </w:tcPr>
          <w:p w14:paraId="2078A2A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szCs w:val="17"/>
              </w:rPr>
            </w:pPr>
            <w:r w:rsidRPr="005C22FE">
              <w:t>4.2</w:t>
            </w:r>
          </w:p>
        </w:tc>
      </w:tr>
      <w:tr w:rsidR="00E259F6" w:rsidRPr="00C632B4" w14:paraId="02BDC307" w14:textId="77777777" w:rsidTr="008670FF">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left w:val="nil"/>
              <w:bottom w:val="single" w:sz="4" w:space="0" w:color="auto"/>
              <w:right w:val="nil"/>
            </w:tcBorders>
            <w:shd w:val="clear" w:color="000000" w:fill="FFFFFF"/>
            <w:vAlign w:val="bottom"/>
            <w:hideMark/>
          </w:tcPr>
          <w:p w14:paraId="6A27A244" w14:textId="77777777" w:rsidR="00E259F6" w:rsidRPr="00C632B4" w:rsidRDefault="00E259F6" w:rsidP="008670FF">
            <w:pPr>
              <w:autoSpaceDE w:val="0"/>
              <w:autoSpaceDN w:val="0"/>
              <w:adjustRightInd w:val="0"/>
              <w:rPr>
                <w:rFonts w:ascii="Calibri" w:eastAsia="Times New Roman" w:hAnsi="Calibri" w:cs="Calibri"/>
                <w:b/>
                <w:bCs/>
                <w:color w:val="000000"/>
                <w:szCs w:val="17"/>
                <w:lang w:eastAsia="en-AU"/>
              </w:rPr>
            </w:pPr>
            <w:r w:rsidRPr="00C632B4">
              <w:rPr>
                <w:rFonts w:ascii="Calibri" w:eastAsia="Garamond" w:hAnsi="Calibri" w:cs="Calibri"/>
                <w:b/>
                <w:bCs/>
                <w:szCs w:val="17"/>
              </w:rPr>
              <w:t>Net result</w:t>
            </w:r>
          </w:p>
        </w:tc>
        <w:tc>
          <w:tcPr>
            <w:tcW w:w="844" w:type="dxa"/>
            <w:tcBorders>
              <w:top w:val="single" w:sz="4" w:space="0" w:color="auto"/>
              <w:left w:val="nil"/>
              <w:bottom w:val="single" w:sz="4" w:space="0" w:color="auto"/>
              <w:right w:val="nil"/>
            </w:tcBorders>
            <w:shd w:val="clear" w:color="auto" w:fill="auto"/>
          </w:tcPr>
          <w:p w14:paraId="0D890B49"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53.4</w:t>
            </w:r>
          </w:p>
        </w:tc>
        <w:tc>
          <w:tcPr>
            <w:tcW w:w="845" w:type="dxa"/>
            <w:tcBorders>
              <w:top w:val="single" w:sz="4" w:space="0" w:color="auto"/>
              <w:left w:val="nil"/>
              <w:bottom w:val="single" w:sz="4" w:space="0" w:color="auto"/>
              <w:right w:val="nil"/>
            </w:tcBorders>
            <w:shd w:val="clear" w:color="auto" w:fill="auto"/>
          </w:tcPr>
          <w:p w14:paraId="5D82974E"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285.8</w:t>
            </w:r>
          </w:p>
        </w:tc>
        <w:tc>
          <w:tcPr>
            <w:tcW w:w="845" w:type="dxa"/>
            <w:tcBorders>
              <w:top w:val="single" w:sz="4" w:space="0" w:color="auto"/>
              <w:left w:val="nil"/>
              <w:bottom w:val="single" w:sz="4" w:space="0" w:color="auto"/>
              <w:right w:val="nil"/>
            </w:tcBorders>
            <w:shd w:val="clear" w:color="auto" w:fill="auto"/>
          </w:tcPr>
          <w:p w14:paraId="75F3767B"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484.1</w:t>
            </w:r>
          </w:p>
        </w:tc>
        <w:tc>
          <w:tcPr>
            <w:tcW w:w="845" w:type="dxa"/>
            <w:tcBorders>
              <w:top w:val="single" w:sz="4" w:space="0" w:color="auto"/>
              <w:left w:val="nil"/>
              <w:bottom w:val="single" w:sz="4" w:space="0" w:color="auto"/>
              <w:right w:val="nil"/>
            </w:tcBorders>
            <w:shd w:val="clear" w:color="auto" w:fill="auto"/>
          </w:tcPr>
          <w:p w14:paraId="18154326"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592.3</w:t>
            </w:r>
          </w:p>
        </w:tc>
      </w:tr>
      <w:tr w:rsidR="00E259F6" w:rsidRPr="00C632B4" w14:paraId="048CA782" w14:textId="77777777" w:rsidTr="008670FF">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left w:val="nil"/>
              <w:bottom w:val="single" w:sz="4" w:space="0" w:color="auto"/>
              <w:right w:val="nil"/>
            </w:tcBorders>
            <w:shd w:val="clear" w:color="000000" w:fill="FFFFFF"/>
            <w:vAlign w:val="bottom"/>
            <w:hideMark/>
          </w:tcPr>
          <w:p w14:paraId="44EF9C30" w14:textId="77777777" w:rsidR="00E259F6" w:rsidRPr="00C632B4" w:rsidRDefault="00E259F6" w:rsidP="008670FF">
            <w:pPr>
              <w:autoSpaceDE w:val="0"/>
              <w:autoSpaceDN w:val="0"/>
              <w:adjustRightInd w:val="0"/>
              <w:rPr>
                <w:rFonts w:ascii="Calibri" w:eastAsia="Times New Roman" w:hAnsi="Calibri" w:cs="Calibri"/>
                <w:b/>
                <w:bCs/>
                <w:color w:val="000000"/>
                <w:szCs w:val="17"/>
                <w:lang w:eastAsia="en-AU"/>
              </w:rPr>
            </w:pPr>
            <w:r w:rsidRPr="00C632B4">
              <w:rPr>
                <w:rFonts w:ascii="Calibri" w:eastAsia="Garamond" w:hAnsi="Calibri" w:cs="Calibri"/>
                <w:b/>
                <w:bCs/>
                <w:szCs w:val="17"/>
              </w:rPr>
              <w:t>Net debt (cumulative)</w:t>
            </w:r>
          </w:p>
        </w:tc>
        <w:tc>
          <w:tcPr>
            <w:tcW w:w="844" w:type="dxa"/>
            <w:tcBorders>
              <w:top w:val="single" w:sz="4" w:space="0" w:color="auto"/>
              <w:left w:val="nil"/>
              <w:bottom w:val="single" w:sz="4" w:space="0" w:color="auto"/>
              <w:right w:val="nil"/>
            </w:tcBorders>
            <w:shd w:val="clear" w:color="auto" w:fill="auto"/>
          </w:tcPr>
          <w:p w14:paraId="3747C391"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(53.4)</w:t>
            </w:r>
          </w:p>
        </w:tc>
        <w:tc>
          <w:tcPr>
            <w:tcW w:w="845" w:type="dxa"/>
            <w:tcBorders>
              <w:top w:val="single" w:sz="4" w:space="0" w:color="auto"/>
              <w:left w:val="nil"/>
              <w:bottom w:val="single" w:sz="4" w:space="0" w:color="auto"/>
              <w:right w:val="nil"/>
            </w:tcBorders>
            <w:shd w:val="clear" w:color="auto" w:fill="auto"/>
          </w:tcPr>
          <w:p w14:paraId="57267242"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(350.6)</w:t>
            </w:r>
          </w:p>
        </w:tc>
        <w:tc>
          <w:tcPr>
            <w:tcW w:w="845" w:type="dxa"/>
            <w:tcBorders>
              <w:top w:val="single" w:sz="4" w:space="0" w:color="auto"/>
              <w:left w:val="nil"/>
              <w:bottom w:val="single" w:sz="4" w:space="0" w:color="auto"/>
              <w:right w:val="nil"/>
            </w:tcBorders>
            <w:shd w:val="clear" w:color="auto" w:fill="auto"/>
          </w:tcPr>
          <w:p w14:paraId="78FA2CFC"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(848.6)</w:t>
            </w:r>
          </w:p>
        </w:tc>
        <w:tc>
          <w:tcPr>
            <w:tcW w:w="845" w:type="dxa"/>
            <w:tcBorders>
              <w:top w:val="single" w:sz="4" w:space="0" w:color="auto"/>
              <w:left w:val="nil"/>
              <w:bottom w:val="single" w:sz="4" w:space="0" w:color="auto"/>
              <w:right w:val="nil"/>
            </w:tcBorders>
            <w:shd w:val="clear" w:color="auto" w:fill="auto"/>
          </w:tcPr>
          <w:p w14:paraId="309CA5AD" w14:textId="77777777" w:rsidR="00E259F6" w:rsidRPr="00C632B4" w:rsidRDefault="00E259F6" w:rsidP="008670FF">
            <w:pPr>
              <w:cnfStyle w:val="000000000000" w:firstRow="0" w:lastRow="0" w:firstColumn="0" w:lastColumn="0" w:oddVBand="0" w:evenVBand="0" w:oddHBand="0" w:evenHBand="0" w:firstRowFirstColumn="0" w:firstRowLastColumn="0" w:lastRowFirstColumn="0" w:lastRowLastColumn="0"/>
              <w:rPr>
                <w:rFonts w:ascii="Calibri" w:eastAsia="Garamond" w:hAnsi="Calibri"/>
                <w:b/>
                <w:bCs/>
                <w:szCs w:val="17"/>
              </w:rPr>
            </w:pPr>
            <w:r w:rsidRPr="008E2A1D">
              <w:rPr>
                <w:b/>
              </w:rPr>
              <w:t>(1455.9)</w:t>
            </w:r>
          </w:p>
        </w:tc>
      </w:tr>
      <w:tr w:rsidR="00E259F6" w:rsidRPr="002C1AAA" w14:paraId="47BDD712" w14:textId="77777777" w:rsidTr="008670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Borders>
              <w:top w:val="single" w:sz="4" w:space="0" w:color="auto"/>
              <w:bottom w:val="single" w:sz="12" w:space="0" w:color="auto"/>
            </w:tcBorders>
            <w:shd w:val="clear" w:color="000000" w:fill="FFFFFF"/>
            <w:vAlign w:val="bottom"/>
            <w:hideMark/>
          </w:tcPr>
          <w:p w14:paraId="2302C88C" w14:textId="77777777" w:rsidR="00E259F6" w:rsidRPr="001469A3" w:rsidRDefault="00E259F6" w:rsidP="008670FF">
            <w:pPr>
              <w:autoSpaceDE w:val="0"/>
              <w:autoSpaceDN w:val="0"/>
              <w:adjustRightInd w:val="0"/>
              <w:rPr>
                <w:rFonts w:ascii="Calibri" w:eastAsia="Times New Roman" w:hAnsi="Calibri" w:cs="Calibri"/>
                <w:b w:val="0"/>
                <w:color w:val="000000"/>
                <w:szCs w:val="17"/>
                <w:lang w:eastAsia="en-AU"/>
              </w:rPr>
            </w:pPr>
            <w:r w:rsidRPr="001469A3">
              <w:rPr>
                <w:rFonts w:ascii="Calibri" w:eastAsia="Garamond" w:hAnsi="Calibri" w:cs="Calibri"/>
                <w:b w:val="0"/>
                <w:szCs w:val="17"/>
              </w:rPr>
              <w:t>Net debt to GSP ratio (percentage point difference)</w:t>
            </w:r>
          </w:p>
        </w:tc>
        <w:tc>
          <w:tcPr>
            <w:tcW w:w="844" w:type="dxa"/>
            <w:tcBorders>
              <w:top w:val="single" w:sz="4" w:space="0" w:color="auto"/>
              <w:bottom w:val="single" w:sz="12" w:space="0" w:color="auto"/>
            </w:tcBorders>
            <w:shd w:val="clear" w:color="auto" w:fill="auto"/>
          </w:tcPr>
          <w:p w14:paraId="3CD45DAE" w14:textId="44E7568F" w:rsidR="00E259F6" w:rsidRPr="008E2A1D" w:rsidRDefault="00616D11" w:rsidP="008670FF">
            <w:pPr>
              <w:cnfStyle w:val="010000000000" w:firstRow="0" w:lastRow="1" w:firstColumn="0" w:lastColumn="0" w:oddVBand="0" w:evenVBand="0" w:oddHBand="0" w:evenHBand="0" w:firstRowFirstColumn="0" w:firstRowLastColumn="0" w:lastRowFirstColumn="0" w:lastRowLastColumn="0"/>
              <w:rPr>
                <w:rFonts w:ascii="Calibri" w:eastAsia="Garamond" w:hAnsi="Calibri"/>
                <w:b w:val="0"/>
                <w:szCs w:val="17"/>
              </w:rPr>
            </w:pPr>
            <w:r>
              <w:rPr>
                <w:b w:val="0"/>
              </w:rPr>
              <w:t>(</w:t>
            </w:r>
            <w:r w:rsidR="00E259F6" w:rsidRPr="008E2A1D">
              <w:rPr>
                <w:b w:val="0"/>
              </w:rPr>
              <w:t>0.01</w:t>
            </w:r>
            <w:r>
              <w:rPr>
                <w:b w:val="0"/>
              </w:rPr>
              <w:t>)</w:t>
            </w:r>
          </w:p>
        </w:tc>
        <w:tc>
          <w:tcPr>
            <w:tcW w:w="845" w:type="dxa"/>
            <w:tcBorders>
              <w:top w:val="single" w:sz="4" w:space="0" w:color="auto"/>
              <w:bottom w:val="single" w:sz="12" w:space="0" w:color="auto"/>
            </w:tcBorders>
            <w:shd w:val="clear" w:color="auto" w:fill="auto"/>
          </w:tcPr>
          <w:p w14:paraId="3A1AA63E" w14:textId="6BB3474B" w:rsidR="00E259F6" w:rsidRPr="008E2A1D" w:rsidRDefault="00616D11" w:rsidP="008670FF">
            <w:pPr>
              <w:cnfStyle w:val="010000000000" w:firstRow="0" w:lastRow="1" w:firstColumn="0" w:lastColumn="0" w:oddVBand="0" w:evenVBand="0" w:oddHBand="0" w:evenHBand="0" w:firstRowFirstColumn="0" w:firstRowLastColumn="0" w:lastRowFirstColumn="0" w:lastRowLastColumn="0"/>
              <w:rPr>
                <w:rFonts w:ascii="Calibri" w:eastAsia="Garamond" w:hAnsi="Calibri"/>
                <w:b w:val="0"/>
                <w:szCs w:val="17"/>
              </w:rPr>
            </w:pPr>
            <w:r>
              <w:rPr>
                <w:b w:val="0"/>
              </w:rPr>
              <w:t>(</w:t>
            </w:r>
            <w:r w:rsidR="00E259F6" w:rsidRPr="008E2A1D">
              <w:rPr>
                <w:b w:val="0"/>
              </w:rPr>
              <w:t>0.05</w:t>
            </w:r>
            <w:r>
              <w:rPr>
                <w:b w:val="0"/>
              </w:rPr>
              <w:t>)</w:t>
            </w:r>
          </w:p>
        </w:tc>
        <w:tc>
          <w:tcPr>
            <w:tcW w:w="845" w:type="dxa"/>
            <w:tcBorders>
              <w:top w:val="single" w:sz="4" w:space="0" w:color="auto"/>
              <w:bottom w:val="single" w:sz="12" w:space="0" w:color="auto"/>
            </w:tcBorders>
            <w:shd w:val="clear" w:color="auto" w:fill="auto"/>
          </w:tcPr>
          <w:p w14:paraId="2B685DAF" w14:textId="7426D89A" w:rsidR="00E259F6" w:rsidRPr="008E2A1D" w:rsidRDefault="00616D11" w:rsidP="008670FF">
            <w:pPr>
              <w:cnfStyle w:val="010000000000" w:firstRow="0" w:lastRow="1" w:firstColumn="0" w:lastColumn="0" w:oddVBand="0" w:evenVBand="0" w:oddHBand="0" w:evenHBand="0" w:firstRowFirstColumn="0" w:firstRowLastColumn="0" w:lastRowFirstColumn="0" w:lastRowLastColumn="0"/>
              <w:rPr>
                <w:rFonts w:ascii="Calibri" w:eastAsia="Garamond" w:hAnsi="Calibri"/>
                <w:b w:val="0"/>
                <w:szCs w:val="17"/>
              </w:rPr>
            </w:pPr>
            <w:r>
              <w:rPr>
                <w:b w:val="0"/>
              </w:rPr>
              <w:t>(</w:t>
            </w:r>
            <w:r w:rsidR="00E259F6" w:rsidRPr="008E2A1D">
              <w:rPr>
                <w:b w:val="0"/>
              </w:rPr>
              <w:t>0.12</w:t>
            </w:r>
            <w:r>
              <w:rPr>
                <w:b w:val="0"/>
              </w:rPr>
              <w:t>)</w:t>
            </w:r>
          </w:p>
        </w:tc>
        <w:tc>
          <w:tcPr>
            <w:tcW w:w="845" w:type="dxa"/>
            <w:tcBorders>
              <w:top w:val="single" w:sz="4" w:space="0" w:color="auto"/>
              <w:bottom w:val="single" w:sz="12" w:space="0" w:color="auto"/>
            </w:tcBorders>
            <w:shd w:val="clear" w:color="auto" w:fill="auto"/>
          </w:tcPr>
          <w:p w14:paraId="5DDECF26" w14:textId="5BE32791" w:rsidR="00E259F6" w:rsidRPr="008E2A1D" w:rsidRDefault="00616D11" w:rsidP="008670FF">
            <w:pPr>
              <w:cnfStyle w:val="010000000000" w:firstRow="0" w:lastRow="1" w:firstColumn="0" w:lastColumn="0" w:oddVBand="0" w:evenVBand="0" w:oddHBand="0" w:evenHBand="0" w:firstRowFirstColumn="0" w:firstRowLastColumn="0" w:lastRowFirstColumn="0" w:lastRowLastColumn="0"/>
              <w:rPr>
                <w:rFonts w:ascii="Calibri" w:eastAsia="Garamond" w:hAnsi="Calibri"/>
                <w:b w:val="0"/>
                <w:szCs w:val="17"/>
              </w:rPr>
            </w:pPr>
            <w:r>
              <w:rPr>
                <w:b w:val="0"/>
              </w:rPr>
              <w:t>(</w:t>
            </w:r>
            <w:r w:rsidR="00E259F6" w:rsidRPr="008E2A1D">
              <w:rPr>
                <w:b w:val="0"/>
              </w:rPr>
              <w:t>0.19</w:t>
            </w:r>
            <w:r>
              <w:rPr>
                <w:b w:val="0"/>
              </w:rPr>
              <w:t>)</w:t>
            </w:r>
          </w:p>
        </w:tc>
      </w:tr>
    </w:tbl>
    <w:p w14:paraId="58F0A774" w14:textId="3471D159" w:rsidR="00E259F6" w:rsidRPr="002C1AAA" w:rsidRDefault="00E259F6" w:rsidP="00E259F6">
      <w:pPr>
        <w:pStyle w:val="Note"/>
        <w:rPr>
          <w:rFonts w:ascii="Calibri" w:eastAsia="Garamond" w:hAnsi="Calibri"/>
          <w:i w:val="0"/>
        </w:rPr>
      </w:pPr>
      <w:r w:rsidRPr="002C1AAA">
        <w:t>Note:</w:t>
      </w:r>
    </w:p>
    <w:p w14:paraId="2354E5C8" w14:textId="77777777" w:rsidR="00E259F6" w:rsidRPr="002C1AAA" w:rsidRDefault="00E259F6" w:rsidP="009335AD">
      <w:pPr>
        <w:pStyle w:val="Note"/>
        <w:rPr>
          <w:rFonts w:ascii="Calibri" w:eastAsia="Garamond" w:hAnsi="Calibri"/>
          <w:i w:val="0"/>
        </w:rPr>
      </w:pPr>
      <w:r w:rsidRPr="002C1AAA">
        <w:t>(a)</w:t>
      </w:r>
      <w:r w:rsidRPr="002C1AAA">
        <w:tab/>
        <w:t xml:space="preserve">Figures may not add due to </w:t>
      </w:r>
      <w:r w:rsidRPr="002C1AAA">
        <w:rPr>
          <w:rFonts w:ascii="Calibri" w:eastAsia="Garamond" w:hAnsi="Calibri"/>
          <w:i w:val="0"/>
        </w:rPr>
        <w:t>rounding.</w:t>
      </w:r>
    </w:p>
    <w:p w14:paraId="0AFFFEEE" w14:textId="77777777" w:rsidR="00E259F6" w:rsidRDefault="00E259F6" w:rsidP="00F24FE6">
      <w:pPr>
        <w:pStyle w:val="Heading10"/>
        <w:pageBreakBefore/>
      </w:pPr>
      <w:bookmarkStart w:id="146" w:name="_Toc152933062"/>
      <w:bookmarkStart w:id="147" w:name="_Toc184198775"/>
      <w:bookmarkStart w:id="148" w:name="_Toc184299454"/>
      <w:r>
        <w:t>Sensitivity to independent variations in major economic parameters</w:t>
      </w:r>
      <w:bookmarkEnd w:id="146"/>
      <w:bookmarkEnd w:id="147"/>
      <w:bookmarkEnd w:id="148"/>
    </w:p>
    <w:p w14:paraId="19E398B3" w14:textId="77777777" w:rsidR="00E259F6" w:rsidRPr="00F60DB0" w:rsidRDefault="00E259F6" w:rsidP="00F24FE6">
      <w:pPr>
        <w:spacing w:before="80"/>
        <w:rPr>
          <w:color w:val="000000" w:themeColor="text1"/>
        </w:rPr>
      </w:pPr>
      <w:r w:rsidRPr="00930120">
        <w:rPr>
          <w:color w:val="000000" w:themeColor="text1"/>
        </w:rPr>
        <w:t>Table 6.5</w:t>
      </w:r>
      <w:r w:rsidRPr="00F60DB0">
        <w:rPr>
          <w:color w:val="000000" w:themeColor="text1"/>
        </w:rPr>
        <w:t xml:space="preserve"> presents the sensitivity of financial aggregates where the levels of key economic parameters are 1 per cent (or, for interest rates, 1 percentage point) above the forecast for each year of the budget and forward estimates, holding all else constant. </w:t>
      </w:r>
    </w:p>
    <w:p w14:paraId="4B65D342" w14:textId="77777777" w:rsidR="00E259F6" w:rsidRPr="00F60DB0" w:rsidRDefault="00E259F6" w:rsidP="00F24FE6">
      <w:pPr>
        <w:spacing w:before="80"/>
        <w:rPr>
          <w:color w:val="000000" w:themeColor="text1"/>
        </w:rPr>
      </w:pPr>
      <w:r w:rsidRPr="00F60DB0">
        <w:rPr>
          <w:color w:val="000000" w:themeColor="text1"/>
        </w:rPr>
        <w:t>The</w:t>
      </w:r>
      <w:r w:rsidRPr="00F60DB0" w:rsidDel="00257174">
        <w:rPr>
          <w:color w:val="000000" w:themeColor="text1"/>
        </w:rPr>
        <w:t xml:space="preserve"> </w:t>
      </w:r>
      <w:r w:rsidRPr="00F60DB0">
        <w:rPr>
          <w:color w:val="000000" w:themeColor="text1"/>
        </w:rPr>
        <w:t xml:space="preserve">effects shown are broadly symmetric; that is, the estimated fiscal impacts would apply approximately equally in the opposite direction where there is a decrease in the parameter. Differences may arise to the extent that the impact on income tax equivalent income may not be symmetric because that line item is subject to a floor of zero, and the impact on dividends may be affected by some entities facing caps on the share of profits that can be returned to the general government sector. </w:t>
      </w:r>
    </w:p>
    <w:p w14:paraId="1C6668B7" w14:textId="77777777" w:rsidR="00E259F6" w:rsidRPr="001469A3" w:rsidRDefault="00E259F6" w:rsidP="00F24FE6">
      <w:pPr>
        <w:pStyle w:val="TableHeading"/>
      </w:pPr>
      <w:r w:rsidRPr="00FD081C">
        <w:t>Table 6.5:</w:t>
      </w:r>
      <w:r w:rsidRPr="001469A3">
        <w:tab/>
        <w:t xml:space="preserve">Sensitivity of key fiscal aggregates to selected indicators being </w:t>
      </w:r>
      <w:r w:rsidRPr="001469A3">
        <w:br/>
        <w:t>1 per cent higher than expected from 2024</w:t>
      </w:r>
      <w:r w:rsidRPr="001469A3">
        <w:noBreakHyphen/>
        <w:t>25</w:t>
      </w:r>
      <w:r w:rsidRPr="001469A3">
        <w:rPr>
          <w:vertAlign w:val="superscript"/>
        </w:rPr>
        <w:t xml:space="preserve"> (a)(b)(c)(d)(e)</w:t>
      </w:r>
      <w:r w:rsidRPr="001469A3">
        <w:tab/>
        <w:t>($ million)</w:t>
      </w:r>
    </w:p>
    <w:tbl>
      <w:tblPr>
        <w:tblStyle w:val="DTFTable"/>
        <w:tblW w:w="7711" w:type="dxa"/>
        <w:tblLayout w:type="fixed"/>
        <w:tblLook w:val="06E0" w:firstRow="1" w:lastRow="1" w:firstColumn="1" w:lastColumn="0" w:noHBand="1" w:noVBand="1"/>
      </w:tblPr>
      <w:tblGrid>
        <w:gridCol w:w="3941"/>
        <w:gridCol w:w="942"/>
        <w:gridCol w:w="943"/>
        <w:gridCol w:w="942"/>
        <w:gridCol w:w="943"/>
      </w:tblGrid>
      <w:tr w:rsidR="00E259F6" w:rsidRPr="001469A3" w14:paraId="3CE23628" w14:textId="77777777" w:rsidTr="00F24FE6">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3941" w:type="dxa"/>
          </w:tcPr>
          <w:p w14:paraId="1FCBF0E0" w14:textId="77777777" w:rsidR="00E259F6" w:rsidRPr="001469A3" w:rsidRDefault="00E259F6" w:rsidP="008670FF">
            <w:pPr>
              <w:autoSpaceDE w:val="0"/>
              <w:autoSpaceDN w:val="0"/>
              <w:adjustRightInd w:val="0"/>
              <w:rPr>
                <w:rFonts w:cstheme="majorHAnsi"/>
                <w:szCs w:val="17"/>
              </w:rPr>
            </w:pPr>
            <w:bookmarkStart w:id="149" w:name="_Hlk100825913"/>
          </w:p>
        </w:tc>
        <w:tc>
          <w:tcPr>
            <w:tcW w:w="942" w:type="dxa"/>
            <w:hideMark/>
          </w:tcPr>
          <w:p w14:paraId="6DE48449"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2024-25</w:t>
            </w:r>
          </w:p>
          <w:p w14:paraId="72B3C639"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theme="majorHAnsi"/>
                <w:iCs/>
                <w:szCs w:val="17"/>
                <w:lang w:eastAsia="en-AU"/>
              </w:rPr>
              <w:t>estimate</w:t>
            </w:r>
          </w:p>
        </w:tc>
        <w:tc>
          <w:tcPr>
            <w:tcW w:w="943" w:type="dxa"/>
            <w:hideMark/>
          </w:tcPr>
          <w:p w14:paraId="75C87383"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2025-26</w:t>
            </w:r>
          </w:p>
          <w:p w14:paraId="26045DB4"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theme="majorHAnsi"/>
                <w:iCs/>
                <w:szCs w:val="17"/>
                <w:lang w:eastAsia="en-AU"/>
              </w:rPr>
              <w:t>estimate</w:t>
            </w:r>
          </w:p>
        </w:tc>
        <w:tc>
          <w:tcPr>
            <w:tcW w:w="942" w:type="dxa"/>
            <w:hideMark/>
          </w:tcPr>
          <w:p w14:paraId="108B98A3"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2026-27</w:t>
            </w:r>
          </w:p>
          <w:p w14:paraId="566B5B50"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theme="majorHAnsi"/>
                <w:iCs/>
                <w:szCs w:val="17"/>
                <w:lang w:eastAsia="en-AU"/>
              </w:rPr>
              <w:t>estimate</w:t>
            </w:r>
          </w:p>
        </w:tc>
        <w:tc>
          <w:tcPr>
            <w:tcW w:w="943" w:type="dxa"/>
            <w:hideMark/>
          </w:tcPr>
          <w:p w14:paraId="6F9AEB72"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2027-28</w:t>
            </w:r>
          </w:p>
          <w:p w14:paraId="25475706"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Cs/>
                <w:szCs w:val="17"/>
                <w:lang w:eastAsia="en-AU"/>
              </w:rPr>
            </w:pPr>
            <w:r w:rsidRPr="001469A3">
              <w:rPr>
                <w:rFonts w:eastAsiaTheme="minorEastAsia" w:cstheme="majorHAnsi"/>
                <w:iCs/>
                <w:szCs w:val="17"/>
                <w:lang w:eastAsia="en-AU"/>
              </w:rPr>
              <w:t>estimate</w:t>
            </w:r>
          </w:p>
        </w:tc>
      </w:tr>
      <w:bookmarkEnd w:id="149"/>
      <w:tr w:rsidR="00E259F6" w:rsidRPr="001469A3" w14:paraId="4199AFBE"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4D44601E"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GSP</w:t>
            </w:r>
          </w:p>
        </w:tc>
        <w:tc>
          <w:tcPr>
            <w:tcW w:w="942" w:type="dxa"/>
            <w:vAlign w:val="bottom"/>
          </w:tcPr>
          <w:p w14:paraId="53283298" w14:textId="77777777" w:rsidR="00E259F6" w:rsidRPr="001469A3" w:rsidRDefault="00E259F6" w:rsidP="00867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943" w:type="dxa"/>
            <w:vAlign w:val="bottom"/>
          </w:tcPr>
          <w:p w14:paraId="4829C6F0" w14:textId="77777777" w:rsidR="00E259F6" w:rsidRPr="001469A3" w:rsidRDefault="00E259F6" w:rsidP="00867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942" w:type="dxa"/>
            <w:vAlign w:val="bottom"/>
          </w:tcPr>
          <w:p w14:paraId="05C1B73D" w14:textId="77777777" w:rsidR="00E259F6" w:rsidRPr="001469A3" w:rsidRDefault="00E259F6" w:rsidP="00867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c>
          <w:tcPr>
            <w:tcW w:w="943" w:type="dxa"/>
            <w:vAlign w:val="bottom"/>
          </w:tcPr>
          <w:p w14:paraId="739F4EA9" w14:textId="77777777" w:rsidR="00E259F6" w:rsidRPr="001469A3" w:rsidRDefault="00E259F6" w:rsidP="00867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heme="majorHAnsi"/>
                <w:szCs w:val="17"/>
                <w:lang w:eastAsia="en-AU"/>
              </w:rPr>
            </w:pPr>
          </w:p>
        </w:tc>
      </w:tr>
      <w:tr w:rsidR="00E259F6" w:rsidRPr="001469A3" w14:paraId="2B29B7D6"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3FF7D9B9"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226875E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160</w:t>
            </w:r>
          </w:p>
        </w:tc>
        <w:tc>
          <w:tcPr>
            <w:tcW w:w="943" w:type="dxa"/>
            <w:vAlign w:val="bottom"/>
          </w:tcPr>
          <w:p w14:paraId="1C802E1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175</w:t>
            </w:r>
          </w:p>
        </w:tc>
        <w:tc>
          <w:tcPr>
            <w:tcW w:w="942" w:type="dxa"/>
            <w:vAlign w:val="bottom"/>
          </w:tcPr>
          <w:p w14:paraId="7C75A01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176</w:t>
            </w:r>
          </w:p>
        </w:tc>
        <w:tc>
          <w:tcPr>
            <w:tcW w:w="943" w:type="dxa"/>
            <w:vAlign w:val="bottom"/>
          </w:tcPr>
          <w:p w14:paraId="478A995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173</w:t>
            </w:r>
          </w:p>
        </w:tc>
      </w:tr>
      <w:tr w:rsidR="00E259F6" w:rsidRPr="001469A3" w14:paraId="41D5BE54"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7A7E51AC"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5B1037E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w:t>
            </w:r>
          </w:p>
        </w:tc>
        <w:tc>
          <w:tcPr>
            <w:tcW w:w="943" w:type="dxa"/>
            <w:tcBorders>
              <w:bottom w:val="single" w:sz="4" w:space="0" w:color="auto"/>
            </w:tcBorders>
            <w:vAlign w:val="bottom"/>
          </w:tcPr>
          <w:p w14:paraId="183CB17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(7)</w:t>
            </w:r>
          </w:p>
        </w:tc>
        <w:tc>
          <w:tcPr>
            <w:tcW w:w="942" w:type="dxa"/>
            <w:tcBorders>
              <w:bottom w:val="single" w:sz="4" w:space="0" w:color="auto"/>
            </w:tcBorders>
            <w:vAlign w:val="bottom"/>
          </w:tcPr>
          <w:p w14:paraId="6B701BC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(15)</w:t>
            </w:r>
          </w:p>
        </w:tc>
        <w:tc>
          <w:tcPr>
            <w:tcW w:w="943" w:type="dxa"/>
            <w:tcBorders>
              <w:bottom w:val="single" w:sz="4" w:space="0" w:color="auto"/>
            </w:tcBorders>
            <w:vAlign w:val="bottom"/>
          </w:tcPr>
          <w:p w14:paraId="46E7B34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(25)</w:t>
            </w:r>
          </w:p>
        </w:tc>
      </w:tr>
      <w:tr w:rsidR="00E259F6" w:rsidRPr="001469A3" w14:paraId="269166C8"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3FF368F1"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bottom w:val="nil"/>
            </w:tcBorders>
            <w:vAlign w:val="bottom"/>
          </w:tcPr>
          <w:p w14:paraId="780DC9E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159</w:t>
            </w:r>
          </w:p>
        </w:tc>
        <w:tc>
          <w:tcPr>
            <w:tcW w:w="943" w:type="dxa"/>
            <w:tcBorders>
              <w:top w:val="single" w:sz="4" w:space="0" w:color="auto"/>
              <w:bottom w:val="nil"/>
            </w:tcBorders>
            <w:vAlign w:val="bottom"/>
          </w:tcPr>
          <w:p w14:paraId="44069EE5"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181</w:t>
            </w:r>
          </w:p>
        </w:tc>
        <w:tc>
          <w:tcPr>
            <w:tcW w:w="942" w:type="dxa"/>
            <w:tcBorders>
              <w:top w:val="single" w:sz="4" w:space="0" w:color="auto"/>
              <w:bottom w:val="nil"/>
            </w:tcBorders>
            <w:vAlign w:val="bottom"/>
          </w:tcPr>
          <w:p w14:paraId="4D0A8F3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191</w:t>
            </w:r>
          </w:p>
        </w:tc>
        <w:tc>
          <w:tcPr>
            <w:tcW w:w="943" w:type="dxa"/>
            <w:tcBorders>
              <w:top w:val="single" w:sz="4" w:space="0" w:color="auto"/>
              <w:bottom w:val="nil"/>
            </w:tcBorders>
            <w:vAlign w:val="bottom"/>
          </w:tcPr>
          <w:p w14:paraId="2925B4A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198</w:t>
            </w:r>
          </w:p>
        </w:tc>
      </w:tr>
      <w:tr w:rsidR="00E259F6" w:rsidRPr="001469A3" w14:paraId="67212F4E"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3320CBE4"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bottom w:val="single" w:sz="4" w:space="0" w:color="auto"/>
            </w:tcBorders>
            <w:vAlign w:val="bottom"/>
          </w:tcPr>
          <w:p w14:paraId="0C3ABD6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(159)</w:t>
            </w:r>
          </w:p>
        </w:tc>
        <w:tc>
          <w:tcPr>
            <w:tcW w:w="943" w:type="dxa"/>
            <w:tcBorders>
              <w:bottom w:val="single" w:sz="4" w:space="0" w:color="auto"/>
            </w:tcBorders>
            <w:vAlign w:val="bottom"/>
          </w:tcPr>
          <w:p w14:paraId="447FD3A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(341)</w:t>
            </w:r>
          </w:p>
        </w:tc>
        <w:tc>
          <w:tcPr>
            <w:tcW w:w="942" w:type="dxa"/>
            <w:tcBorders>
              <w:bottom w:val="single" w:sz="4" w:space="0" w:color="auto"/>
            </w:tcBorders>
            <w:vAlign w:val="bottom"/>
          </w:tcPr>
          <w:p w14:paraId="76E7AE5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(532)</w:t>
            </w:r>
          </w:p>
        </w:tc>
        <w:tc>
          <w:tcPr>
            <w:tcW w:w="943" w:type="dxa"/>
            <w:tcBorders>
              <w:bottom w:val="single" w:sz="4" w:space="0" w:color="auto"/>
            </w:tcBorders>
            <w:vAlign w:val="bottom"/>
          </w:tcPr>
          <w:p w14:paraId="311754E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(729)</w:t>
            </w:r>
          </w:p>
        </w:tc>
      </w:tr>
      <w:tr w:rsidR="00E259F6" w:rsidRPr="001469A3" w14:paraId="3973F8BC"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7F20BA2B"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 xml:space="preserve">Employment </w:t>
            </w:r>
            <w:r w:rsidRPr="001469A3">
              <w:rPr>
                <w:rFonts w:eastAsiaTheme="minorEastAsia" w:cstheme="majorHAnsi"/>
                <w:b/>
                <w:szCs w:val="17"/>
                <w:vertAlign w:val="superscript"/>
                <w:lang w:eastAsia="en-AU"/>
              </w:rPr>
              <w:t>(f)</w:t>
            </w:r>
            <w:r w:rsidRPr="001469A3">
              <w:rPr>
                <w:rFonts w:eastAsiaTheme="minorEastAsia" w:cstheme="majorHAnsi"/>
                <w:b/>
                <w:szCs w:val="17"/>
                <w:lang w:eastAsia="en-AU"/>
              </w:rPr>
              <w:t xml:space="preserve"> </w:t>
            </w:r>
          </w:p>
        </w:tc>
        <w:tc>
          <w:tcPr>
            <w:tcW w:w="942" w:type="dxa"/>
            <w:tcBorders>
              <w:top w:val="single" w:sz="4" w:space="0" w:color="auto"/>
            </w:tcBorders>
            <w:vAlign w:val="bottom"/>
          </w:tcPr>
          <w:p w14:paraId="259306F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147F41F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711293D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70BDB92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429C8F2D"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311A24BB"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52FFEB0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145</w:t>
            </w:r>
          </w:p>
        </w:tc>
        <w:tc>
          <w:tcPr>
            <w:tcW w:w="943" w:type="dxa"/>
            <w:vAlign w:val="bottom"/>
          </w:tcPr>
          <w:p w14:paraId="3EE773B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150</w:t>
            </w:r>
          </w:p>
        </w:tc>
        <w:tc>
          <w:tcPr>
            <w:tcW w:w="942" w:type="dxa"/>
            <w:vAlign w:val="bottom"/>
          </w:tcPr>
          <w:p w14:paraId="504FBC2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157</w:t>
            </w:r>
          </w:p>
        </w:tc>
        <w:tc>
          <w:tcPr>
            <w:tcW w:w="943" w:type="dxa"/>
            <w:vAlign w:val="bottom"/>
          </w:tcPr>
          <w:p w14:paraId="1DF106B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163</w:t>
            </w:r>
          </w:p>
        </w:tc>
      </w:tr>
      <w:tr w:rsidR="00E259F6" w:rsidRPr="001469A3" w14:paraId="39214B12"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0B2D7742"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6A44E48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381</w:t>
            </w:r>
          </w:p>
        </w:tc>
        <w:tc>
          <w:tcPr>
            <w:tcW w:w="943" w:type="dxa"/>
            <w:tcBorders>
              <w:bottom w:val="single" w:sz="4" w:space="0" w:color="auto"/>
            </w:tcBorders>
            <w:vAlign w:val="bottom"/>
          </w:tcPr>
          <w:p w14:paraId="6FFF3EA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402</w:t>
            </w:r>
          </w:p>
        </w:tc>
        <w:tc>
          <w:tcPr>
            <w:tcW w:w="942" w:type="dxa"/>
            <w:tcBorders>
              <w:bottom w:val="single" w:sz="4" w:space="0" w:color="auto"/>
            </w:tcBorders>
            <w:vAlign w:val="bottom"/>
          </w:tcPr>
          <w:p w14:paraId="2E131D9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434</w:t>
            </w:r>
          </w:p>
        </w:tc>
        <w:tc>
          <w:tcPr>
            <w:tcW w:w="943" w:type="dxa"/>
            <w:tcBorders>
              <w:bottom w:val="single" w:sz="4" w:space="0" w:color="auto"/>
            </w:tcBorders>
            <w:vAlign w:val="bottom"/>
          </w:tcPr>
          <w:p w14:paraId="2E6378E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464</w:t>
            </w:r>
          </w:p>
        </w:tc>
      </w:tr>
      <w:tr w:rsidR="00E259F6" w:rsidRPr="001469A3" w14:paraId="24F7DCBE"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4D49CAA1"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bottom w:val="nil"/>
            </w:tcBorders>
            <w:vAlign w:val="bottom"/>
          </w:tcPr>
          <w:p w14:paraId="22EF5B35"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(236)</w:t>
            </w:r>
          </w:p>
        </w:tc>
        <w:tc>
          <w:tcPr>
            <w:tcW w:w="943" w:type="dxa"/>
            <w:tcBorders>
              <w:top w:val="single" w:sz="4" w:space="0" w:color="auto"/>
              <w:bottom w:val="nil"/>
            </w:tcBorders>
            <w:vAlign w:val="bottom"/>
          </w:tcPr>
          <w:p w14:paraId="538AB62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(252)</w:t>
            </w:r>
          </w:p>
        </w:tc>
        <w:tc>
          <w:tcPr>
            <w:tcW w:w="942" w:type="dxa"/>
            <w:tcBorders>
              <w:top w:val="single" w:sz="4" w:space="0" w:color="auto"/>
              <w:bottom w:val="nil"/>
            </w:tcBorders>
            <w:vAlign w:val="bottom"/>
          </w:tcPr>
          <w:p w14:paraId="0B79DA7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(277)</w:t>
            </w:r>
          </w:p>
        </w:tc>
        <w:tc>
          <w:tcPr>
            <w:tcW w:w="943" w:type="dxa"/>
            <w:tcBorders>
              <w:top w:val="single" w:sz="4" w:space="0" w:color="auto"/>
              <w:bottom w:val="nil"/>
            </w:tcBorders>
            <w:vAlign w:val="bottom"/>
          </w:tcPr>
          <w:p w14:paraId="5CBEF63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(301)</w:t>
            </w:r>
          </w:p>
        </w:tc>
      </w:tr>
      <w:tr w:rsidR="00E259F6" w:rsidRPr="001469A3" w14:paraId="7751AE32"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53DC332C"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bottom w:val="single" w:sz="4" w:space="0" w:color="auto"/>
            </w:tcBorders>
            <w:vAlign w:val="bottom"/>
          </w:tcPr>
          <w:p w14:paraId="41A40A2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236</w:t>
            </w:r>
          </w:p>
        </w:tc>
        <w:tc>
          <w:tcPr>
            <w:tcW w:w="943" w:type="dxa"/>
            <w:tcBorders>
              <w:bottom w:val="single" w:sz="4" w:space="0" w:color="auto"/>
            </w:tcBorders>
            <w:vAlign w:val="bottom"/>
          </w:tcPr>
          <w:p w14:paraId="4D258A7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488</w:t>
            </w:r>
          </w:p>
        </w:tc>
        <w:tc>
          <w:tcPr>
            <w:tcW w:w="942" w:type="dxa"/>
            <w:tcBorders>
              <w:bottom w:val="single" w:sz="4" w:space="0" w:color="auto"/>
            </w:tcBorders>
            <w:vAlign w:val="bottom"/>
          </w:tcPr>
          <w:p w14:paraId="343D3E4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765</w:t>
            </w:r>
          </w:p>
        </w:tc>
        <w:tc>
          <w:tcPr>
            <w:tcW w:w="943" w:type="dxa"/>
            <w:tcBorders>
              <w:bottom w:val="single" w:sz="4" w:space="0" w:color="auto"/>
            </w:tcBorders>
            <w:vAlign w:val="bottom"/>
          </w:tcPr>
          <w:p w14:paraId="2C8B4E9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1066</w:t>
            </w:r>
          </w:p>
        </w:tc>
      </w:tr>
      <w:tr w:rsidR="00E259F6" w:rsidRPr="001469A3" w14:paraId="6652CA2A"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1394A3BC"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 xml:space="preserve">Consumer prices </w:t>
            </w:r>
            <w:r w:rsidRPr="001469A3">
              <w:rPr>
                <w:rFonts w:eastAsiaTheme="minorEastAsia" w:cstheme="majorHAnsi"/>
                <w:b/>
                <w:szCs w:val="17"/>
                <w:vertAlign w:val="superscript"/>
                <w:lang w:eastAsia="en-AU"/>
              </w:rPr>
              <w:t>(g)</w:t>
            </w:r>
          </w:p>
        </w:tc>
        <w:tc>
          <w:tcPr>
            <w:tcW w:w="942" w:type="dxa"/>
            <w:tcBorders>
              <w:top w:val="single" w:sz="4" w:space="0" w:color="auto"/>
            </w:tcBorders>
            <w:vAlign w:val="bottom"/>
          </w:tcPr>
          <w:p w14:paraId="485A289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45D49CD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08910E5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3FDEEDB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6B11073C"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1122A60C"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7948C657"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159</w:t>
            </w:r>
          </w:p>
        </w:tc>
        <w:tc>
          <w:tcPr>
            <w:tcW w:w="943" w:type="dxa"/>
            <w:vAlign w:val="bottom"/>
          </w:tcPr>
          <w:p w14:paraId="77EDE958"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368</w:t>
            </w:r>
          </w:p>
        </w:tc>
        <w:tc>
          <w:tcPr>
            <w:tcW w:w="942" w:type="dxa"/>
            <w:vAlign w:val="bottom"/>
          </w:tcPr>
          <w:p w14:paraId="7D1DCAFA"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374</w:t>
            </w:r>
          </w:p>
        </w:tc>
        <w:tc>
          <w:tcPr>
            <w:tcW w:w="943" w:type="dxa"/>
            <w:vAlign w:val="bottom"/>
          </w:tcPr>
          <w:p w14:paraId="7B00DC51"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321</w:t>
            </w:r>
          </w:p>
        </w:tc>
      </w:tr>
      <w:tr w:rsidR="00E259F6" w:rsidRPr="001469A3" w14:paraId="5DC867F1"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074F73B9"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0E173B7B"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304</w:t>
            </w:r>
          </w:p>
        </w:tc>
        <w:tc>
          <w:tcPr>
            <w:tcW w:w="943" w:type="dxa"/>
            <w:tcBorders>
              <w:bottom w:val="single" w:sz="4" w:space="0" w:color="auto"/>
            </w:tcBorders>
            <w:vAlign w:val="bottom"/>
          </w:tcPr>
          <w:p w14:paraId="2C5184CC"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419</w:t>
            </w:r>
          </w:p>
        </w:tc>
        <w:tc>
          <w:tcPr>
            <w:tcW w:w="942" w:type="dxa"/>
            <w:tcBorders>
              <w:bottom w:val="single" w:sz="4" w:space="0" w:color="auto"/>
            </w:tcBorders>
            <w:vAlign w:val="bottom"/>
          </w:tcPr>
          <w:p w14:paraId="4E6058E8"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429</w:t>
            </w:r>
          </w:p>
        </w:tc>
        <w:tc>
          <w:tcPr>
            <w:tcW w:w="943" w:type="dxa"/>
            <w:tcBorders>
              <w:bottom w:val="single" w:sz="4" w:space="0" w:color="auto"/>
            </w:tcBorders>
            <w:vAlign w:val="bottom"/>
          </w:tcPr>
          <w:p w14:paraId="613F8B1B"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FD081C">
              <w:rPr>
                <w:rFonts w:ascii="Calibri" w:hAnsi="Calibri" w:cs="Calibri"/>
                <w:szCs w:val="17"/>
              </w:rPr>
              <w:t>440</w:t>
            </w:r>
          </w:p>
        </w:tc>
      </w:tr>
      <w:tr w:rsidR="00E259F6" w:rsidRPr="001469A3" w14:paraId="63471387"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6C488049"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bottom w:val="nil"/>
            </w:tcBorders>
            <w:vAlign w:val="bottom"/>
          </w:tcPr>
          <w:p w14:paraId="346E5466"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(145</w:t>
            </w:r>
            <w:r w:rsidRPr="00AE7E8E">
              <w:rPr>
                <w:rFonts w:ascii="Calibri" w:hAnsi="Calibri" w:cs="Calibri"/>
                <w:b/>
                <w:bCs/>
                <w:szCs w:val="17"/>
              </w:rPr>
              <w:t>)</w:t>
            </w:r>
          </w:p>
        </w:tc>
        <w:tc>
          <w:tcPr>
            <w:tcW w:w="943" w:type="dxa"/>
            <w:tcBorders>
              <w:top w:val="single" w:sz="4" w:space="0" w:color="auto"/>
              <w:bottom w:val="nil"/>
            </w:tcBorders>
            <w:vAlign w:val="bottom"/>
          </w:tcPr>
          <w:p w14:paraId="07A8ABD8"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(51</w:t>
            </w:r>
            <w:r w:rsidRPr="00AE7E8E">
              <w:rPr>
                <w:rFonts w:ascii="Calibri" w:hAnsi="Calibri" w:cs="Calibri"/>
                <w:b/>
                <w:bCs/>
                <w:szCs w:val="17"/>
              </w:rPr>
              <w:t>)</w:t>
            </w:r>
          </w:p>
        </w:tc>
        <w:tc>
          <w:tcPr>
            <w:tcW w:w="942" w:type="dxa"/>
            <w:tcBorders>
              <w:top w:val="single" w:sz="4" w:space="0" w:color="auto"/>
              <w:bottom w:val="nil"/>
            </w:tcBorders>
            <w:vAlign w:val="bottom"/>
          </w:tcPr>
          <w:p w14:paraId="6CD52853"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(55</w:t>
            </w:r>
            <w:r w:rsidRPr="00AE7E8E">
              <w:rPr>
                <w:rFonts w:ascii="Calibri" w:hAnsi="Calibri" w:cs="Calibri"/>
                <w:b/>
                <w:bCs/>
                <w:szCs w:val="17"/>
              </w:rPr>
              <w:t>)</w:t>
            </w:r>
          </w:p>
        </w:tc>
        <w:tc>
          <w:tcPr>
            <w:tcW w:w="943" w:type="dxa"/>
            <w:tcBorders>
              <w:top w:val="single" w:sz="4" w:space="0" w:color="auto"/>
              <w:bottom w:val="nil"/>
            </w:tcBorders>
            <w:vAlign w:val="bottom"/>
          </w:tcPr>
          <w:p w14:paraId="4878F475"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(119</w:t>
            </w:r>
            <w:r w:rsidRPr="00AE7E8E">
              <w:rPr>
                <w:rFonts w:ascii="Calibri" w:hAnsi="Calibri" w:cs="Calibri"/>
                <w:b/>
                <w:bCs/>
                <w:szCs w:val="17"/>
              </w:rPr>
              <w:t>)</w:t>
            </w:r>
          </w:p>
        </w:tc>
      </w:tr>
      <w:tr w:rsidR="00E259F6" w:rsidRPr="001469A3" w14:paraId="1CE64207"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38C518E1"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bottom w:val="single" w:sz="4" w:space="0" w:color="auto"/>
            </w:tcBorders>
            <w:vAlign w:val="bottom"/>
          </w:tcPr>
          <w:p w14:paraId="7C584CB9"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144</w:t>
            </w:r>
          </w:p>
        </w:tc>
        <w:tc>
          <w:tcPr>
            <w:tcW w:w="943" w:type="dxa"/>
            <w:tcBorders>
              <w:bottom w:val="single" w:sz="4" w:space="0" w:color="auto"/>
            </w:tcBorders>
            <w:vAlign w:val="bottom"/>
          </w:tcPr>
          <w:p w14:paraId="62843F01"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65</w:t>
            </w:r>
          </w:p>
        </w:tc>
        <w:tc>
          <w:tcPr>
            <w:tcW w:w="942" w:type="dxa"/>
            <w:tcBorders>
              <w:bottom w:val="single" w:sz="4" w:space="0" w:color="auto"/>
            </w:tcBorders>
            <w:vAlign w:val="bottom"/>
          </w:tcPr>
          <w:p w14:paraId="0671F57D"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(16)</w:t>
            </w:r>
          </w:p>
        </w:tc>
        <w:tc>
          <w:tcPr>
            <w:tcW w:w="943" w:type="dxa"/>
            <w:tcBorders>
              <w:bottom w:val="single" w:sz="4" w:space="0" w:color="auto"/>
            </w:tcBorders>
            <w:vAlign w:val="bottom"/>
          </w:tcPr>
          <w:p w14:paraId="5CE37401" w14:textId="77777777" w:rsidR="00E259F6" w:rsidRPr="00FD081C"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FD081C">
              <w:rPr>
                <w:rFonts w:ascii="Calibri" w:hAnsi="Calibri" w:cs="Calibri"/>
                <w:b/>
                <w:bCs/>
                <w:szCs w:val="17"/>
              </w:rPr>
              <w:t>(39)</w:t>
            </w:r>
          </w:p>
        </w:tc>
      </w:tr>
      <w:tr w:rsidR="00E259F6" w:rsidRPr="001469A3" w14:paraId="14FD8ECD"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487FBD17"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 xml:space="preserve">Average weekly earnings </w:t>
            </w:r>
            <w:r w:rsidRPr="001469A3">
              <w:rPr>
                <w:rFonts w:eastAsiaTheme="minorEastAsia" w:cstheme="majorHAnsi"/>
                <w:b/>
                <w:szCs w:val="17"/>
                <w:vertAlign w:val="superscript"/>
                <w:lang w:eastAsia="en-AU"/>
              </w:rPr>
              <w:t>(h)</w:t>
            </w:r>
          </w:p>
        </w:tc>
        <w:tc>
          <w:tcPr>
            <w:tcW w:w="942" w:type="dxa"/>
            <w:tcBorders>
              <w:top w:val="single" w:sz="4" w:space="0" w:color="auto"/>
            </w:tcBorders>
            <w:vAlign w:val="bottom"/>
          </w:tcPr>
          <w:p w14:paraId="6785FE2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1A75415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1F579E0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7F55ADE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767B4DFC"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5E5C0924"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0BD78C8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149</w:t>
            </w:r>
          </w:p>
        </w:tc>
        <w:tc>
          <w:tcPr>
            <w:tcW w:w="943" w:type="dxa"/>
            <w:vAlign w:val="bottom"/>
          </w:tcPr>
          <w:p w14:paraId="6737312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153</w:t>
            </w:r>
          </w:p>
        </w:tc>
        <w:tc>
          <w:tcPr>
            <w:tcW w:w="942" w:type="dxa"/>
            <w:vAlign w:val="bottom"/>
          </w:tcPr>
          <w:p w14:paraId="4B6630D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159</w:t>
            </w:r>
          </w:p>
        </w:tc>
        <w:tc>
          <w:tcPr>
            <w:tcW w:w="943" w:type="dxa"/>
            <w:vAlign w:val="bottom"/>
          </w:tcPr>
          <w:p w14:paraId="2A6B6E8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166</w:t>
            </w:r>
          </w:p>
        </w:tc>
      </w:tr>
      <w:tr w:rsidR="00E259F6" w:rsidRPr="001469A3" w14:paraId="40C69A80"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736BB7CD"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06772C0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3</w:t>
            </w:r>
          </w:p>
        </w:tc>
        <w:tc>
          <w:tcPr>
            <w:tcW w:w="943" w:type="dxa"/>
            <w:tcBorders>
              <w:bottom w:val="single" w:sz="4" w:space="0" w:color="auto"/>
            </w:tcBorders>
            <w:vAlign w:val="bottom"/>
          </w:tcPr>
          <w:p w14:paraId="24E112C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(4)</w:t>
            </w:r>
          </w:p>
        </w:tc>
        <w:tc>
          <w:tcPr>
            <w:tcW w:w="942" w:type="dxa"/>
            <w:tcBorders>
              <w:bottom w:val="single" w:sz="4" w:space="0" w:color="auto"/>
            </w:tcBorders>
            <w:vAlign w:val="bottom"/>
          </w:tcPr>
          <w:p w14:paraId="699A87B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(11)</w:t>
            </w:r>
          </w:p>
        </w:tc>
        <w:tc>
          <w:tcPr>
            <w:tcW w:w="943" w:type="dxa"/>
            <w:tcBorders>
              <w:bottom w:val="single" w:sz="4" w:space="0" w:color="auto"/>
            </w:tcBorders>
            <w:vAlign w:val="bottom"/>
          </w:tcPr>
          <w:p w14:paraId="6855DB2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(20)</w:t>
            </w:r>
          </w:p>
        </w:tc>
      </w:tr>
      <w:tr w:rsidR="00E259F6" w:rsidRPr="001469A3" w14:paraId="08B309A5"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1E220714"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bottom w:val="nil"/>
            </w:tcBorders>
            <w:vAlign w:val="bottom"/>
          </w:tcPr>
          <w:p w14:paraId="1A76574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146</w:t>
            </w:r>
          </w:p>
        </w:tc>
        <w:tc>
          <w:tcPr>
            <w:tcW w:w="943" w:type="dxa"/>
            <w:tcBorders>
              <w:top w:val="single" w:sz="4" w:space="0" w:color="auto"/>
              <w:bottom w:val="nil"/>
            </w:tcBorders>
            <w:vAlign w:val="bottom"/>
          </w:tcPr>
          <w:p w14:paraId="48FFA79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157</w:t>
            </w:r>
          </w:p>
        </w:tc>
        <w:tc>
          <w:tcPr>
            <w:tcW w:w="942" w:type="dxa"/>
            <w:tcBorders>
              <w:top w:val="single" w:sz="4" w:space="0" w:color="auto"/>
              <w:bottom w:val="nil"/>
            </w:tcBorders>
            <w:vAlign w:val="bottom"/>
          </w:tcPr>
          <w:p w14:paraId="12CD59C6"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171</w:t>
            </w:r>
          </w:p>
        </w:tc>
        <w:tc>
          <w:tcPr>
            <w:tcW w:w="943" w:type="dxa"/>
            <w:tcBorders>
              <w:top w:val="single" w:sz="4" w:space="0" w:color="auto"/>
              <w:bottom w:val="nil"/>
            </w:tcBorders>
            <w:vAlign w:val="bottom"/>
          </w:tcPr>
          <w:p w14:paraId="6AF9B57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186</w:t>
            </w:r>
          </w:p>
        </w:tc>
      </w:tr>
      <w:tr w:rsidR="00E259F6" w:rsidRPr="001469A3" w14:paraId="25F386DD"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5785C500"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bottom w:val="single" w:sz="4" w:space="0" w:color="auto"/>
            </w:tcBorders>
            <w:vAlign w:val="bottom"/>
          </w:tcPr>
          <w:p w14:paraId="41E3647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(146)</w:t>
            </w:r>
          </w:p>
        </w:tc>
        <w:tc>
          <w:tcPr>
            <w:tcW w:w="943" w:type="dxa"/>
            <w:tcBorders>
              <w:bottom w:val="single" w:sz="4" w:space="0" w:color="auto"/>
            </w:tcBorders>
            <w:vAlign w:val="bottom"/>
          </w:tcPr>
          <w:p w14:paraId="4B9236C5"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(303)</w:t>
            </w:r>
          </w:p>
        </w:tc>
        <w:tc>
          <w:tcPr>
            <w:tcW w:w="942" w:type="dxa"/>
            <w:tcBorders>
              <w:bottom w:val="single" w:sz="4" w:space="0" w:color="auto"/>
            </w:tcBorders>
            <w:vAlign w:val="bottom"/>
          </w:tcPr>
          <w:p w14:paraId="434C01F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(474)</w:t>
            </w:r>
          </w:p>
        </w:tc>
        <w:tc>
          <w:tcPr>
            <w:tcW w:w="943" w:type="dxa"/>
            <w:tcBorders>
              <w:bottom w:val="single" w:sz="4" w:space="0" w:color="auto"/>
            </w:tcBorders>
            <w:vAlign w:val="bottom"/>
          </w:tcPr>
          <w:p w14:paraId="55F4A89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(660)</w:t>
            </w:r>
          </w:p>
        </w:tc>
      </w:tr>
      <w:tr w:rsidR="00E259F6" w:rsidRPr="001469A3" w14:paraId="5DEFA47F"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0A898B01"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 xml:space="preserve">Total employee expenses </w:t>
            </w:r>
          </w:p>
        </w:tc>
        <w:tc>
          <w:tcPr>
            <w:tcW w:w="942" w:type="dxa"/>
            <w:tcBorders>
              <w:top w:val="single" w:sz="4" w:space="0" w:color="auto"/>
            </w:tcBorders>
            <w:vAlign w:val="bottom"/>
          </w:tcPr>
          <w:p w14:paraId="59A65A1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5DDBDF9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571D10D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111B434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1342B921"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4D868975"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3D5427D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w:t>
            </w:r>
          </w:p>
        </w:tc>
        <w:tc>
          <w:tcPr>
            <w:tcW w:w="943" w:type="dxa"/>
            <w:vAlign w:val="bottom"/>
          </w:tcPr>
          <w:p w14:paraId="608A4BB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48</w:t>
            </w:r>
          </w:p>
        </w:tc>
        <w:tc>
          <w:tcPr>
            <w:tcW w:w="942" w:type="dxa"/>
            <w:vAlign w:val="bottom"/>
          </w:tcPr>
          <w:p w14:paraId="34884E3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166</w:t>
            </w:r>
          </w:p>
        </w:tc>
        <w:tc>
          <w:tcPr>
            <w:tcW w:w="943" w:type="dxa"/>
            <w:vAlign w:val="bottom"/>
          </w:tcPr>
          <w:p w14:paraId="6C2CF1B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181</w:t>
            </w:r>
          </w:p>
        </w:tc>
      </w:tr>
      <w:tr w:rsidR="00E259F6" w:rsidRPr="001469A3" w14:paraId="0B64E739"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01C4D5F9"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775160A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384</w:t>
            </w:r>
          </w:p>
        </w:tc>
        <w:tc>
          <w:tcPr>
            <w:tcW w:w="943" w:type="dxa"/>
            <w:tcBorders>
              <w:bottom w:val="single" w:sz="4" w:space="0" w:color="auto"/>
            </w:tcBorders>
            <w:vAlign w:val="bottom"/>
          </w:tcPr>
          <w:p w14:paraId="07F61DE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481</w:t>
            </w:r>
          </w:p>
        </w:tc>
        <w:tc>
          <w:tcPr>
            <w:tcW w:w="942" w:type="dxa"/>
            <w:tcBorders>
              <w:bottom w:val="single" w:sz="4" w:space="0" w:color="auto"/>
            </w:tcBorders>
            <w:vAlign w:val="bottom"/>
          </w:tcPr>
          <w:p w14:paraId="07E4C2C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517</w:t>
            </w:r>
          </w:p>
        </w:tc>
        <w:tc>
          <w:tcPr>
            <w:tcW w:w="943" w:type="dxa"/>
            <w:tcBorders>
              <w:bottom w:val="single" w:sz="4" w:space="0" w:color="auto"/>
            </w:tcBorders>
            <w:vAlign w:val="bottom"/>
          </w:tcPr>
          <w:p w14:paraId="6E10890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550</w:t>
            </w:r>
          </w:p>
        </w:tc>
      </w:tr>
      <w:tr w:rsidR="00E259F6" w:rsidRPr="001469A3" w14:paraId="1C1B935B"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390732ED"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bottom w:val="nil"/>
            </w:tcBorders>
            <w:vAlign w:val="bottom"/>
          </w:tcPr>
          <w:p w14:paraId="643970E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(384)</w:t>
            </w:r>
          </w:p>
        </w:tc>
        <w:tc>
          <w:tcPr>
            <w:tcW w:w="943" w:type="dxa"/>
            <w:tcBorders>
              <w:top w:val="single" w:sz="4" w:space="0" w:color="auto"/>
              <w:bottom w:val="nil"/>
            </w:tcBorders>
            <w:vAlign w:val="bottom"/>
          </w:tcPr>
          <w:p w14:paraId="0AAE5B9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(432)</w:t>
            </w:r>
          </w:p>
        </w:tc>
        <w:tc>
          <w:tcPr>
            <w:tcW w:w="942" w:type="dxa"/>
            <w:tcBorders>
              <w:top w:val="single" w:sz="4" w:space="0" w:color="auto"/>
              <w:bottom w:val="nil"/>
            </w:tcBorders>
            <w:vAlign w:val="bottom"/>
          </w:tcPr>
          <w:p w14:paraId="5DFB7BE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(350)</w:t>
            </w:r>
          </w:p>
        </w:tc>
        <w:tc>
          <w:tcPr>
            <w:tcW w:w="943" w:type="dxa"/>
            <w:tcBorders>
              <w:top w:val="single" w:sz="4" w:space="0" w:color="auto"/>
              <w:bottom w:val="nil"/>
            </w:tcBorders>
            <w:vAlign w:val="bottom"/>
          </w:tcPr>
          <w:p w14:paraId="13CC350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(369)</w:t>
            </w:r>
          </w:p>
        </w:tc>
      </w:tr>
      <w:tr w:rsidR="00E259F6" w:rsidRPr="001469A3" w14:paraId="46778947"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68F0D1EA"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bottom w:val="single" w:sz="4" w:space="0" w:color="auto"/>
            </w:tcBorders>
            <w:vAlign w:val="bottom"/>
          </w:tcPr>
          <w:p w14:paraId="79B1DF43"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384</w:t>
            </w:r>
          </w:p>
        </w:tc>
        <w:tc>
          <w:tcPr>
            <w:tcW w:w="943" w:type="dxa"/>
            <w:tcBorders>
              <w:bottom w:val="single" w:sz="4" w:space="0" w:color="auto"/>
            </w:tcBorders>
            <w:vAlign w:val="bottom"/>
          </w:tcPr>
          <w:p w14:paraId="37CF04B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776</w:t>
            </w:r>
          </w:p>
        </w:tc>
        <w:tc>
          <w:tcPr>
            <w:tcW w:w="942" w:type="dxa"/>
            <w:tcBorders>
              <w:bottom w:val="single" w:sz="4" w:space="0" w:color="auto"/>
            </w:tcBorders>
            <w:vAlign w:val="bottom"/>
          </w:tcPr>
          <w:p w14:paraId="1BF42E8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1085</w:t>
            </w:r>
          </w:p>
        </w:tc>
        <w:tc>
          <w:tcPr>
            <w:tcW w:w="943" w:type="dxa"/>
            <w:tcBorders>
              <w:bottom w:val="single" w:sz="4" w:space="0" w:color="auto"/>
            </w:tcBorders>
            <w:vAlign w:val="bottom"/>
          </w:tcPr>
          <w:p w14:paraId="01A8DEC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AE7E8E">
              <w:rPr>
                <w:rFonts w:ascii="Calibri" w:hAnsi="Calibri" w:cs="Calibri"/>
                <w:b/>
                <w:bCs/>
                <w:szCs w:val="17"/>
              </w:rPr>
              <w:t>1412</w:t>
            </w:r>
          </w:p>
        </w:tc>
      </w:tr>
      <w:tr w:rsidR="00E259F6" w:rsidRPr="001469A3" w14:paraId="1C41771C"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72DA54D7" w14:textId="77777777" w:rsidR="00E259F6" w:rsidRPr="001469A3" w:rsidRDefault="00E259F6" w:rsidP="008670FF">
            <w:pPr>
              <w:keepNext/>
              <w:autoSpaceDE w:val="0"/>
              <w:autoSpaceDN w:val="0"/>
              <w:adjustRightInd w:val="0"/>
              <w:ind w:left="173" w:hanging="173"/>
              <w:rPr>
                <w:rFonts w:eastAsiaTheme="minorEastAsia" w:cstheme="majorHAnsi"/>
                <w:b/>
                <w:szCs w:val="17"/>
                <w:lang w:eastAsia="en-AU"/>
              </w:rPr>
            </w:pPr>
            <w:r w:rsidRPr="001469A3">
              <w:rPr>
                <w:rFonts w:eastAsiaTheme="minorEastAsia" w:cstheme="majorHAnsi"/>
                <w:b/>
                <w:szCs w:val="17"/>
                <w:lang w:eastAsia="en-AU"/>
              </w:rPr>
              <w:t xml:space="preserve">Domestic share prices </w:t>
            </w:r>
            <w:r w:rsidRPr="001469A3">
              <w:rPr>
                <w:rFonts w:eastAsiaTheme="minorEastAsia" w:cstheme="majorHAnsi"/>
                <w:b/>
                <w:szCs w:val="17"/>
                <w:vertAlign w:val="superscript"/>
                <w:lang w:eastAsia="en-AU"/>
              </w:rPr>
              <w:t>(i)</w:t>
            </w:r>
          </w:p>
        </w:tc>
        <w:tc>
          <w:tcPr>
            <w:tcW w:w="942" w:type="dxa"/>
            <w:tcBorders>
              <w:top w:val="single" w:sz="4" w:space="0" w:color="auto"/>
            </w:tcBorders>
            <w:vAlign w:val="bottom"/>
          </w:tcPr>
          <w:p w14:paraId="3CF59E9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35D0C7D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2590430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2A69146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642B15D3"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16833B06" w14:textId="77777777" w:rsidR="00E259F6" w:rsidRPr="001469A3" w:rsidRDefault="00E259F6" w:rsidP="008670FF">
            <w:pPr>
              <w:keepNext/>
              <w:autoSpaceDE w:val="0"/>
              <w:autoSpaceDN w:val="0"/>
              <w:adjustRightInd w:val="0"/>
              <w:ind w:left="173" w:hanging="173"/>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tcBorders>
              <w:top w:val="nil"/>
              <w:left w:val="nil"/>
              <w:bottom w:val="nil"/>
              <w:right w:val="nil"/>
            </w:tcBorders>
            <w:shd w:val="clear" w:color="auto" w:fill="FFFFFF" w:themeFill="background1"/>
            <w:vAlign w:val="bottom"/>
          </w:tcPr>
          <w:p w14:paraId="437C247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7</w:t>
            </w:r>
          </w:p>
        </w:tc>
        <w:tc>
          <w:tcPr>
            <w:tcW w:w="943" w:type="dxa"/>
            <w:tcBorders>
              <w:top w:val="nil"/>
              <w:left w:val="nil"/>
              <w:bottom w:val="nil"/>
              <w:right w:val="nil"/>
            </w:tcBorders>
            <w:shd w:val="clear" w:color="auto" w:fill="FFFFFF" w:themeFill="background1"/>
            <w:vAlign w:val="bottom"/>
          </w:tcPr>
          <w:p w14:paraId="0C8F56B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w:t>
            </w:r>
          </w:p>
        </w:tc>
        <w:tc>
          <w:tcPr>
            <w:tcW w:w="942" w:type="dxa"/>
            <w:tcBorders>
              <w:top w:val="nil"/>
              <w:left w:val="nil"/>
              <w:bottom w:val="nil"/>
              <w:right w:val="nil"/>
            </w:tcBorders>
            <w:shd w:val="clear" w:color="auto" w:fill="FFFFFF" w:themeFill="background1"/>
            <w:vAlign w:val="bottom"/>
          </w:tcPr>
          <w:p w14:paraId="71FED637"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2</w:t>
            </w:r>
          </w:p>
        </w:tc>
        <w:tc>
          <w:tcPr>
            <w:tcW w:w="943" w:type="dxa"/>
            <w:tcBorders>
              <w:top w:val="nil"/>
              <w:left w:val="nil"/>
              <w:bottom w:val="nil"/>
              <w:right w:val="nil"/>
            </w:tcBorders>
            <w:shd w:val="clear" w:color="auto" w:fill="FFFFFF" w:themeFill="background1"/>
            <w:vAlign w:val="bottom"/>
          </w:tcPr>
          <w:p w14:paraId="586CE21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3</w:t>
            </w:r>
          </w:p>
        </w:tc>
      </w:tr>
      <w:tr w:rsidR="00E259F6" w:rsidRPr="001469A3" w14:paraId="4CF90D2D" w14:textId="77777777" w:rsidTr="00616D11">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63F12EB2" w14:textId="77777777" w:rsidR="00E259F6" w:rsidRPr="001469A3" w:rsidRDefault="00E259F6" w:rsidP="008670FF">
            <w:pPr>
              <w:keepNext/>
              <w:autoSpaceDE w:val="0"/>
              <w:autoSpaceDN w:val="0"/>
              <w:adjustRightInd w:val="0"/>
              <w:ind w:left="173" w:hanging="173"/>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top w:val="nil"/>
              <w:left w:val="nil"/>
              <w:bottom w:val="single" w:sz="4" w:space="0" w:color="auto"/>
              <w:right w:val="nil"/>
            </w:tcBorders>
            <w:shd w:val="clear" w:color="auto" w:fill="FFFFFF" w:themeFill="background1"/>
            <w:vAlign w:val="bottom"/>
          </w:tcPr>
          <w:p w14:paraId="369943D9" w14:textId="7E13E461" w:rsidR="00E259F6" w:rsidRPr="001469A3" w:rsidRDefault="00F24FE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Pr>
                <w:rFonts w:ascii="Calibri" w:hAnsi="Calibri" w:cs="Calibri"/>
                <w:szCs w:val="17"/>
              </w:rPr>
              <w:t>..</w:t>
            </w:r>
          </w:p>
        </w:tc>
        <w:tc>
          <w:tcPr>
            <w:tcW w:w="943" w:type="dxa"/>
            <w:tcBorders>
              <w:top w:val="nil"/>
              <w:left w:val="nil"/>
              <w:bottom w:val="single" w:sz="4" w:space="0" w:color="auto"/>
              <w:right w:val="nil"/>
            </w:tcBorders>
            <w:shd w:val="clear" w:color="auto" w:fill="FFFFFF" w:themeFill="background1"/>
            <w:vAlign w:val="bottom"/>
          </w:tcPr>
          <w:p w14:paraId="30CCA5D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(2)</w:t>
            </w:r>
          </w:p>
        </w:tc>
        <w:tc>
          <w:tcPr>
            <w:tcW w:w="942" w:type="dxa"/>
            <w:tcBorders>
              <w:top w:val="nil"/>
              <w:left w:val="nil"/>
              <w:bottom w:val="single" w:sz="4" w:space="0" w:color="auto"/>
              <w:right w:val="nil"/>
            </w:tcBorders>
            <w:shd w:val="clear" w:color="auto" w:fill="FFFFFF" w:themeFill="background1"/>
            <w:vAlign w:val="bottom"/>
          </w:tcPr>
          <w:p w14:paraId="3603D47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w:t>
            </w:r>
          </w:p>
        </w:tc>
        <w:tc>
          <w:tcPr>
            <w:tcW w:w="943" w:type="dxa"/>
            <w:tcBorders>
              <w:top w:val="nil"/>
              <w:left w:val="nil"/>
              <w:bottom w:val="single" w:sz="4" w:space="0" w:color="auto"/>
              <w:right w:val="nil"/>
            </w:tcBorders>
            <w:shd w:val="clear" w:color="auto" w:fill="FFFFFF" w:themeFill="background1"/>
            <w:vAlign w:val="bottom"/>
          </w:tcPr>
          <w:p w14:paraId="4BF9E5F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AE7E8E">
              <w:rPr>
                <w:rFonts w:ascii="Calibri" w:hAnsi="Calibri" w:cs="Calibri"/>
                <w:szCs w:val="17"/>
              </w:rPr>
              <w:t>1</w:t>
            </w:r>
          </w:p>
        </w:tc>
      </w:tr>
      <w:tr w:rsidR="00E259F6" w:rsidRPr="001469A3" w14:paraId="5B2BA159" w14:textId="77777777" w:rsidTr="00616D11">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097B5144"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left w:val="nil"/>
              <w:bottom w:val="nil"/>
              <w:right w:val="nil"/>
            </w:tcBorders>
            <w:shd w:val="clear" w:color="auto" w:fill="FFFFFF" w:themeFill="background1"/>
            <w:vAlign w:val="bottom"/>
          </w:tcPr>
          <w:p w14:paraId="5AE94FF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AE7E8E">
              <w:rPr>
                <w:rFonts w:ascii="Calibri" w:hAnsi="Calibri" w:cs="Calibri"/>
                <w:b/>
                <w:bCs/>
                <w:szCs w:val="17"/>
              </w:rPr>
              <w:t>7</w:t>
            </w:r>
          </w:p>
        </w:tc>
        <w:tc>
          <w:tcPr>
            <w:tcW w:w="943" w:type="dxa"/>
            <w:tcBorders>
              <w:top w:val="single" w:sz="4" w:space="0" w:color="auto"/>
              <w:left w:val="nil"/>
              <w:bottom w:val="nil"/>
              <w:right w:val="nil"/>
            </w:tcBorders>
            <w:shd w:val="clear" w:color="auto" w:fill="FFFFFF" w:themeFill="background1"/>
            <w:vAlign w:val="bottom"/>
          </w:tcPr>
          <w:p w14:paraId="43AE257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AE7E8E">
              <w:rPr>
                <w:rFonts w:ascii="Calibri" w:hAnsi="Calibri" w:cs="Calibri"/>
                <w:b/>
                <w:bCs/>
                <w:szCs w:val="17"/>
              </w:rPr>
              <w:t>3</w:t>
            </w:r>
          </w:p>
        </w:tc>
        <w:tc>
          <w:tcPr>
            <w:tcW w:w="942" w:type="dxa"/>
            <w:tcBorders>
              <w:top w:val="single" w:sz="4" w:space="0" w:color="auto"/>
              <w:left w:val="nil"/>
              <w:bottom w:val="nil"/>
              <w:right w:val="nil"/>
            </w:tcBorders>
            <w:shd w:val="clear" w:color="auto" w:fill="FFFFFF" w:themeFill="background1"/>
            <w:vAlign w:val="bottom"/>
          </w:tcPr>
          <w:p w14:paraId="0ADFA1B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AE7E8E">
              <w:rPr>
                <w:rFonts w:ascii="Calibri" w:hAnsi="Calibri" w:cs="Calibri"/>
                <w:b/>
                <w:bCs/>
                <w:szCs w:val="17"/>
              </w:rPr>
              <w:t>2</w:t>
            </w:r>
          </w:p>
        </w:tc>
        <w:tc>
          <w:tcPr>
            <w:tcW w:w="943" w:type="dxa"/>
            <w:tcBorders>
              <w:top w:val="single" w:sz="4" w:space="0" w:color="auto"/>
              <w:left w:val="nil"/>
              <w:bottom w:val="nil"/>
              <w:right w:val="nil"/>
            </w:tcBorders>
            <w:shd w:val="clear" w:color="auto" w:fill="FFFFFF" w:themeFill="background1"/>
            <w:vAlign w:val="bottom"/>
          </w:tcPr>
          <w:p w14:paraId="404CBE4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ascii="Calibri" w:hAnsi="Calibri" w:cs="Calibri"/>
                <w:b/>
                <w:szCs w:val="17"/>
              </w:rPr>
            </w:pPr>
            <w:r w:rsidRPr="00AE7E8E">
              <w:rPr>
                <w:rFonts w:ascii="Calibri" w:hAnsi="Calibri" w:cs="Calibri"/>
                <w:b/>
                <w:bCs/>
                <w:szCs w:val="17"/>
              </w:rPr>
              <w:t>2</w:t>
            </w:r>
          </w:p>
        </w:tc>
      </w:tr>
      <w:tr w:rsidR="00E259F6" w:rsidRPr="001469A3" w14:paraId="407EB09B" w14:textId="77777777" w:rsidTr="00616D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nil"/>
              <w:bottom w:val="single" w:sz="4" w:space="0" w:color="auto"/>
            </w:tcBorders>
            <w:hideMark/>
          </w:tcPr>
          <w:p w14:paraId="33D9B617" w14:textId="77777777" w:rsidR="00E259F6" w:rsidRPr="001469A3" w:rsidRDefault="00E259F6" w:rsidP="008670FF">
            <w:pPr>
              <w:autoSpaceDE w:val="0"/>
              <w:autoSpaceDN w:val="0"/>
              <w:adjustRightInd w:val="0"/>
              <w:rPr>
                <w:rFonts w:eastAsiaTheme="minorEastAsia" w:cstheme="majorHAnsi"/>
                <w:b w:val="0"/>
                <w:szCs w:val="17"/>
                <w:lang w:eastAsia="en-AU"/>
              </w:rPr>
            </w:pPr>
            <w:r w:rsidRPr="001469A3">
              <w:rPr>
                <w:rFonts w:eastAsiaTheme="minorEastAsia" w:cstheme="majorHAnsi"/>
                <w:szCs w:val="17"/>
                <w:lang w:eastAsia="en-AU"/>
              </w:rPr>
              <w:t>Net debt</w:t>
            </w:r>
          </w:p>
        </w:tc>
        <w:tc>
          <w:tcPr>
            <w:tcW w:w="942" w:type="dxa"/>
            <w:tcBorders>
              <w:top w:val="nil"/>
              <w:bottom w:val="single" w:sz="4" w:space="0" w:color="auto"/>
            </w:tcBorders>
            <w:shd w:val="clear" w:color="auto" w:fill="FFFFFF" w:themeFill="background1"/>
            <w:vAlign w:val="bottom"/>
          </w:tcPr>
          <w:p w14:paraId="422B5344" w14:textId="77777777" w:rsidR="00E259F6" w:rsidRPr="001469A3" w:rsidRDefault="00E259F6" w:rsidP="008670FF">
            <w:pPr>
              <w:cnfStyle w:val="010000000000" w:firstRow="0" w:lastRow="1" w:firstColumn="0" w:lastColumn="0" w:oddVBand="0" w:evenVBand="0" w:oddHBand="0" w:evenHBand="0" w:firstRowFirstColumn="0" w:firstRowLastColumn="0" w:lastRowFirstColumn="0" w:lastRowLastColumn="0"/>
              <w:rPr>
                <w:rFonts w:ascii="Calibri" w:hAnsi="Calibri" w:cs="Calibri"/>
                <w:b w:val="0"/>
                <w:szCs w:val="17"/>
              </w:rPr>
            </w:pPr>
            <w:r w:rsidRPr="00AE7E8E">
              <w:rPr>
                <w:rFonts w:ascii="Calibri" w:hAnsi="Calibri" w:cs="Calibri"/>
                <w:bCs/>
                <w:szCs w:val="17"/>
              </w:rPr>
              <w:t>(19)</w:t>
            </w:r>
          </w:p>
        </w:tc>
        <w:tc>
          <w:tcPr>
            <w:tcW w:w="943" w:type="dxa"/>
            <w:tcBorders>
              <w:top w:val="nil"/>
              <w:bottom w:val="single" w:sz="4" w:space="0" w:color="auto"/>
            </w:tcBorders>
            <w:shd w:val="clear" w:color="auto" w:fill="FFFFFF" w:themeFill="background1"/>
            <w:vAlign w:val="bottom"/>
          </w:tcPr>
          <w:p w14:paraId="1326396A" w14:textId="77777777" w:rsidR="00E259F6" w:rsidRPr="001469A3" w:rsidRDefault="00E259F6" w:rsidP="008670FF">
            <w:pPr>
              <w:cnfStyle w:val="010000000000" w:firstRow="0" w:lastRow="1" w:firstColumn="0" w:lastColumn="0" w:oddVBand="0" w:evenVBand="0" w:oddHBand="0" w:evenHBand="0" w:firstRowFirstColumn="0" w:firstRowLastColumn="0" w:lastRowFirstColumn="0" w:lastRowLastColumn="0"/>
              <w:rPr>
                <w:rFonts w:ascii="Calibri" w:hAnsi="Calibri" w:cs="Calibri"/>
                <w:b w:val="0"/>
                <w:szCs w:val="17"/>
              </w:rPr>
            </w:pPr>
            <w:r w:rsidRPr="00AE7E8E">
              <w:rPr>
                <w:rFonts w:ascii="Calibri" w:hAnsi="Calibri" w:cs="Calibri"/>
                <w:bCs/>
                <w:szCs w:val="17"/>
              </w:rPr>
              <w:t>(32)</w:t>
            </w:r>
          </w:p>
        </w:tc>
        <w:tc>
          <w:tcPr>
            <w:tcW w:w="942" w:type="dxa"/>
            <w:tcBorders>
              <w:top w:val="nil"/>
              <w:bottom w:val="single" w:sz="4" w:space="0" w:color="auto"/>
            </w:tcBorders>
            <w:shd w:val="clear" w:color="auto" w:fill="FFFFFF" w:themeFill="background1"/>
            <w:vAlign w:val="bottom"/>
          </w:tcPr>
          <w:p w14:paraId="3C754597" w14:textId="77777777" w:rsidR="00E259F6" w:rsidRPr="001469A3" w:rsidRDefault="00E259F6" w:rsidP="008670FF">
            <w:pPr>
              <w:cnfStyle w:val="010000000000" w:firstRow="0" w:lastRow="1" w:firstColumn="0" w:lastColumn="0" w:oddVBand="0" w:evenVBand="0" w:oddHBand="0" w:evenHBand="0" w:firstRowFirstColumn="0" w:firstRowLastColumn="0" w:lastRowFirstColumn="0" w:lastRowLastColumn="0"/>
              <w:rPr>
                <w:rFonts w:ascii="Calibri" w:hAnsi="Calibri" w:cs="Calibri"/>
                <w:b w:val="0"/>
                <w:szCs w:val="17"/>
              </w:rPr>
            </w:pPr>
            <w:r w:rsidRPr="00AE7E8E">
              <w:rPr>
                <w:rFonts w:ascii="Calibri" w:hAnsi="Calibri" w:cs="Calibri"/>
                <w:bCs/>
                <w:szCs w:val="17"/>
              </w:rPr>
              <w:t>(47)</w:t>
            </w:r>
          </w:p>
        </w:tc>
        <w:tc>
          <w:tcPr>
            <w:tcW w:w="943" w:type="dxa"/>
            <w:tcBorders>
              <w:top w:val="nil"/>
              <w:bottom w:val="single" w:sz="4" w:space="0" w:color="auto"/>
            </w:tcBorders>
            <w:shd w:val="clear" w:color="auto" w:fill="FFFFFF" w:themeFill="background1"/>
            <w:vAlign w:val="bottom"/>
          </w:tcPr>
          <w:p w14:paraId="79FB8087" w14:textId="77777777" w:rsidR="00E259F6" w:rsidRPr="001469A3" w:rsidRDefault="00E259F6" w:rsidP="008670FF">
            <w:pPr>
              <w:cnfStyle w:val="010000000000" w:firstRow="0" w:lastRow="1" w:firstColumn="0" w:lastColumn="0" w:oddVBand="0" w:evenVBand="0" w:oddHBand="0" w:evenHBand="0" w:firstRowFirstColumn="0" w:firstRowLastColumn="0" w:lastRowFirstColumn="0" w:lastRowLastColumn="0"/>
              <w:rPr>
                <w:rFonts w:ascii="Calibri" w:hAnsi="Calibri" w:cs="Calibri"/>
                <w:b w:val="0"/>
                <w:szCs w:val="17"/>
              </w:rPr>
            </w:pPr>
            <w:r w:rsidRPr="00AE7E8E">
              <w:rPr>
                <w:rFonts w:ascii="Calibri" w:hAnsi="Calibri" w:cs="Calibri"/>
                <w:bCs/>
                <w:szCs w:val="17"/>
              </w:rPr>
              <w:t>(62)</w:t>
            </w:r>
          </w:p>
        </w:tc>
      </w:tr>
    </w:tbl>
    <w:p w14:paraId="3D275B33" w14:textId="77777777" w:rsidR="00E259F6" w:rsidRPr="001469A3" w:rsidRDefault="00E259F6" w:rsidP="00F24FE6">
      <w:pPr>
        <w:pStyle w:val="TableHeading"/>
      </w:pPr>
      <w:r w:rsidRPr="00930120">
        <w:t>Table 6.5</w:t>
      </w:r>
      <w:r w:rsidRPr="001469A3">
        <w:t>:</w:t>
      </w:r>
      <w:r w:rsidRPr="001469A3">
        <w:tab/>
        <w:t xml:space="preserve">Sensitivity of key fiscal aggregates to selected indicators being </w:t>
      </w:r>
      <w:r w:rsidRPr="001469A3">
        <w:br/>
        <w:t>1 per cent higher than expected from 2024</w:t>
      </w:r>
      <w:r w:rsidRPr="001469A3">
        <w:noBreakHyphen/>
        <w:t>25</w:t>
      </w:r>
      <w:r w:rsidRPr="001469A3">
        <w:rPr>
          <w:i/>
          <w:sz w:val="18"/>
          <w:szCs w:val="16"/>
        </w:rPr>
        <w:t xml:space="preserve"> (continued)</w:t>
      </w:r>
      <w:r w:rsidRPr="001469A3">
        <w:tab/>
        <w:t>($ million)</w:t>
      </w:r>
    </w:p>
    <w:tbl>
      <w:tblPr>
        <w:tblStyle w:val="DTFTable"/>
        <w:tblW w:w="7711" w:type="dxa"/>
        <w:tblLayout w:type="fixed"/>
        <w:tblLook w:val="06E0" w:firstRow="1" w:lastRow="1" w:firstColumn="1" w:lastColumn="0" w:noHBand="1" w:noVBand="1"/>
      </w:tblPr>
      <w:tblGrid>
        <w:gridCol w:w="3941"/>
        <w:gridCol w:w="942"/>
        <w:gridCol w:w="943"/>
        <w:gridCol w:w="942"/>
        <w:gridCol w:w="943"/>
      </w:tblGrid>
      <w:tr w:rsidR="00E259F6" w:rsidRPr="001469A3" w14:paraId="74588E93" w14:textId="77777777" w:rsidTr="00B84BEA">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tcPr>
          <w:p w14:paraId="29E27684" w14:textId="77777777" w:rsidR="00E259F6" w:rsidRPr="001469A3" w:rsidRDefault="00E259F6" w:rsidP="008670FF">
            <w:pPr>
              <w:autoSpaceDE w:val="0"/>
              <w:autoSpaceDN w:val="0"/>
              <w:adjustRightInd w:val="0"/>
              <w:rPr>
                <w:rFonts w:cstheme="majorHAnsi"/>
                <w:szCs w:val="17"/>
              </w:rPr>
            </w:pPr>
          </w:p>
        </w:tc>
        <w:tc>
          <w:tcPr>
            <w:tcW w:w="942" w:type="dxa"/>
            <w:tcBorders>
              <w:bottom w:val="single" w:sz="4" w:space="0" w:color="auto"/>
            </w:tcBorders>
            <w:hideMark/>
          </w:tcPr>
          <w:p w14:paraId="6FE96843"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2024-25</w:t>
            </w:r>
          </w:p>
          <w:p w14:paraId="6851C906"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szCs w:val="17"/>
                <w:lang w:eastAsia="en-AU"/>
              </w:rPr>
            </w:pPr>
            <w:r w:rsidRPr="001469A3">
              <w:rPr>
                <w:rFonts w:eastAsiaTheme="minorEastAsia" w:cstheme="majorHAnsi"/>
                <w:iCs/>
                <w:szCs w:val="17"/>
                <w:lang w:eastAsia="en-AU"/>
              </w:rPr>
              <w:t>estimate</w:t>
            </w:r>
          </w:p>
        </w:tc>
        <w:tc>
          <w:tcPr>
            <w:tcW w:w="943" w:type="dxa"/>
            <w:tcBorders>
              <w:bottom w:val="single" w:sz="4" w:space="0" w:color="auto"/>
            </w:tcBorders>
            <w:hideMark/>
          </w:tcPr>
          <w:p w14:paraId="2499E098"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2025-26</w:t>
            </w:r>
          </w:p>
          <w:p w14:paraId="3E49F2E6"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szCs w:val="17"/>
                <w:lang w:eastAsia="en-AU"/>
              </w:rPr>
            </w:pPr>
            <w:r w:rsidRPr="001469A3">
              <w:rPr>
                <w:rFonts w:eastAsiaTheme="minorEastAsia" w:cstheme="majorHAnsi"/>
                <w:iCs/>
                <w:szCs w:val="17"/>
                <w:lang w:eastAsia="en-AU"/>
              </w:rPr>
              <w:t>estimate</w:t>
            </w:r>
          </w:p>
        </w:tc>
        <w:tc>
          <w:tcPr>
            <w:tcW w:w="942" w:type="dxa"/>
            <w:tcBorders>
              <w:bottom w:val="single" w:sz="4" w:space="0" w:color="auto"/>
            </w:tcBorders>
            <w:hideMark/>
          </w:tcPr>
          <w:p w14:paraId="35F82691"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2026-27</w:t>
            </w:r>
          </w:p>
          <w:p w14:paraId="0BEC4752"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szCs w:val="17"/>
                <w:lang w:eastAsia="en-AU"/>
              </w:rPr>
            </w:pPr>
            <w:r w:rsidRPr="001469A3">
              <w:rPr>
                <w:rFonts w:eastAsiaTheme="minorEastAsia" w:cstheme="majorHAnsi"/>
                <w:iCs/>
                <w:szCs w:val="17"/>
                <w:lang w:eastAsia="en-AU"/>
              </w:rPr>
              <w:t>estimate</w:t>
            </w:r>
          </w:p>
        </w:tc>
        <w:tc>
          <w:tcPr>
            <w:tcW w:w="943" w:type="dxa"/>
            <w:tcBorders>
              <w:bottom w:val="single" w:sz="4" w:space="0" w:color="auto"/>
            </w:tcBorders>
            <w:hideMark/>
          </w:tcPr>
          <w:p w14:paraId="0278C293"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i w:val="0"/>
                <w:iCs/>
                <w:szCs w:val="17"/>
                <w:lang w:eastAsia="en-AU"/>
              </w:rPr>
            </w:pPr>
            <w:r w:rsidRPr="001469A3">
              <w:rPr>
                <w:rFonts w:eastAsiaTheme="minorEastAsia" w:cstheme="majorHAnsi"/>
                <w:iCs/>
                <w:szCs w:val="17"/>
                <w:lang w:eastAsia="en-AU"/>
              </w:rPr>
              <w:t>2027-28</w:t>
            </w:r>
          </w:p>
          <w:p w14:paraId="6DCD3434" w14:textId="77777777" w:rsidR="00E259F6" w:rsidRPr="001469A3" w:rsidRDefault="00E259F6" w:rsidP="00867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theme="majorHAnsi"/>
                <w:szCs w:val="17"/>
                <w:lang w:eastAsia="en-AU"/>
              </w:rPr>
            </w:pPr>
            <w:r w:rsidRPr="001469A3">
              <w:rPr>
                <w:rFonts w:eastAsiaTheme="minorEastAsia" w:cstheme="majorHAnsi"/>
                <w:iCs/>
                <w:szCs w:val="17"/>
                <w:lang w:eastAsia="en-AU"/>
              </w:rPr>
              <w:t>estimate</w:t>
            </w:r>
          </w:p>
        </w:tc>
      </w:tr>
      <w:tr w:rsidR="00F24FE6" w:rsidRPr="001469A3" w14:paraId="42290901"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39EA205C" w14:textId="77777777" w:rsidR="00F24FE6" w:rsidRPr="001469A3" w:rsidRDefault="00F24FE6" w:rsidP="008670FF">
            <w:pPr>
              <w:keepNext/>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 xml:space="preserve">Overseas share prices </w:t>
            </w:r>
            <w:r w:rsidRPr="001469A3">
              <w:rPr>
                <w:rFonts w:eastAsiaTheme="minorEastAsia" w:cstheme="majorHAnsi"/>
                <w:b/>
                <w:szCs w:val="17"/>
                <w:vertAlign w:val="superscript"/>
                <w:lang w:eastAsia="en-AU"/>
              </w:rPr>
              <w:t>(i)</w:t>
            </w:r>
          </w:p>
        </w:tc>
        <w:tc>
          <w:tcPr>
            <w:tcW w:w="942" w:type="dxa"/>
            <w:tcBorders>
              <w:top w:val="single" w:sz="4" w:space="0" w:color="auto"/>
              <w:bottom w:val="nil"/>
            </w:tcBorders>
            <w:vAlign w:val="bottom"/>
          </w:tcPr>
          <w:p w14:paraId="65E846A1" w14:textId="665C5960" w:rsidR="00F24FE6" w:rsidRPr="001469A3" w:rsidRDefault="00F24FE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bottom w:val="nil"/>
            </w:tcBorders>
            <w:vAlign w:val="bottom"/>
          </w:tcPr>
          <w:p w14:paraId="1AEA8D32" w14:textId="0C1A41D6" w:rsidR="00F24FE6" w:rsidRPr="001469A3" w:rsidRDefault="00F24FE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bottom w:val="nil"/>
            </w:tcBorders>
            <w:vAlign w:val="bottom"/>
          </w:tcPr>
          <w:p w14:paraId="3337708F" w14:textId="485F53AF" w:rsidR="00F24FE6" w:rsidRPr="001469A3" w:rsidRDefault="00F24FE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bottom w:val="nil"/>
            </w:tcBorders>
            <w:vAlign w:val="bottom"/>
          </w:tcPr>
          <w:p w14:paraId="70E5FD08" w14:textId="4409D5E4" w:rsidR="00F24FE6" w:rsidRPr="001469A3" w:rsidRDefault="00F24FE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B84BEA" w:rsidRPr="001469A3" w14:paraId="6A71A963"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nil"/>
              <w:bottom w:val="nil"/>
            </w:tcBorders>
          </w:tcPr>
          <w:p w14:paraId="73956F1E" w14:textId="6D1C878D"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szCs w:val="17"/>
                <w:lang w:eastAsia="en-AU"/>
              </w:rPr>
              <w:t>Income from transactions</w:t>
            </w:r>
          </w:p>
        </w:tc>
        <w:tc>
          <w:tcPr>
            <w:tcW w:w="942" w:type="dxa"/>
            <w:tcBorders>
              <w:top w:val="nil"/>
              <w:bottom w:val="nil"/>
            </w:tcBorders>
            <w:vAlign w:val="bottom"/>
          </w:tcPr>
          <w:p w14:paraId="46D4D818" w14:textId="7A891D49"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17</w:t>
            </w:r>
          </w:p>
        </w:tc>
        <w:tc>
          <w:tcPr>
            <w:tcW w:w="943" w:type="dxa"/>
            <w:tcBorders>
              <w:top w:val="nil"/>
              <w:bottom w:val="nil"/>
            </w:tcBorders>
            <w:vAlign w:val="bottom"/>
          </w:tcPr>
          <w:p w14:paraId="6E72F6D8" w14:textId="79357D7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w:t>
            </w:r>
          </w:p>
        </w:tc>
        <w:tc>
          <w:tcPr>
            <w:tcW w:w="942" w:type="dxa"/>
            <w:tcBorders>
              <w:top w:val="nil"/>
              <w:bottom w:val="nil"/>
            </w:tcBorders>
            <w:vAlign w:val="bottom"/>
          </w:tcPr>
          <w:p w14:paraId="4B74AC69" w14:textId="141B397E"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4</w:t>
            </w:r>
          </w:p>
        </w:tc>
        <w:tc>
          <w:tcPr>
            <w:tcW w:w="943" w:type="dxa"/>
            <w:tcBorders>
              <w:top w:val="nil"/>
              <w:bottom w:val="nil"/>
            </w:tcBorders>
            <w:vAlign w:val="bottom"/>
          </w:tcPr>
          <w:p w14:paraId="5607205E" w14:textId="7379429B"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6</w:t>
            </w:r>
          </w:p>
        </w:tc>
      </w:tr>
      <w:tr w:rsidR="00B84BEA" w:rsidRPr="001469A3" w14:paraId="1BE60879"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nil"/>
              <w:bottom w:val="single" w:sz="6" w:space="0" w:color="auto"/>
            </w:tcBorders>
          </w:tcPr>
          <w:p w14:paraId="3CD31C50" w14:textId="0DFD181E"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szCs w:val="17"/>
                <w:lang w:eastAsia="en-AU"/>
              </w:rPr>
              <w:t>Expenses from transactions</w:t>
            </w:r>
          </w:p>
        </w:tc>
        <w:tc>
          <w:tcPr>
            <w:tcW w:w="942" w:type="dxa"/>
            <w:tcBorders>
              <w:top w:val="nil"/>
              <w:bottom w:val="single" w:sz="6" w:space="0" w:color="auto"/>
            </w:tcBorders>
            <w:vAlign w:val="bottom"/>
          </w:tcPr>
          <w:p w14:paraId="09F20D18" w14:textId="023A75A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Pr>
                <w:rFonts w:ascii="Calibri" w:hAnsi="Calibri" w:cs="Calibri"/>
                <w:szCs w:val="17"/>
              </w:rPr>
              <w:t>..</w:t>
            </w:r>
          </w:p>
        </w:tc>
        <w:tc>
          <w:tcPr>
            <w:tcW w:w="943" w:type="dxa"/>
            <w:tcBorders>
              <w:top w:val="nil"/>
              <w:bottom w:val="single" w:sz="6" w:space="0" w:color="auto"/>
            </w:tcBorders>
            <w:vAlign w:val="bottom"/>
          </w:tcPr>
          <w:p w14:paraId="25ED1801" w14:textId="3BE5BA2B"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(3)</w:t>
            </w:r>
          </w:p>
        </w:tc>
        <w:tc>
          <w:tcPr>
            <w:tcW w:w="942" w:type="dxa"/>
            <w:tcBorders>
              <w:top w:val="nil"/>
              <w:bottom w:val="single" w:sz="6" w:space="0" w:color="auto"/>
            </w:tcBorders>
            <w:vAlign w:val="bottom"/>
          </w:tcPr>
          <w:p w14:paraId="13BEA061" w14:textId="7723DD4F"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w:t>
            </w:r>
          </w:p>
        </w:tc>
        <w:tc>
          <w:tcPr>
            <w:tcW w:w="943" w:type="dxa"/>
            <w:tcBorders>
              <w:top w:val="nil"/>
              <w:bottom w:val="single" w:sz="6" w:space="0" w:color="auto"/>
            </w:tcBorders>
            <w:vAlign w:val="bottom"/>
          </w:tcPr>
          <w:p w14:paraId="131B5DB1" w14:textId="35EE09CC"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(1)</w:t>
            </w:r>
          </w:p>
        </w:tc>
      </w:tr>
      <w:tr w:rsidR="00B84BEA" w:rsidRPr="001469A3" w14:paraId="03E6B33B"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single" w:sz="6" w:space="0" w:color="auto"/>
              <w:bottom w:val="nil"/>
            </w:tcBorders>
          </w:tcPr>
          <w:p w14:paraId="5717096B" w14:textId="07FAB8BF"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6" w:space="0" w:color="auto"/>
              <w:bottom w:val="nil"/>
            </w:tcBorders>
            <w:vAlign w:val="bottom"/>
          </w:tcPr>
          <w:p w14:paraId="29D126E3" w14:textId="388E1E80"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17</w:t>
            </w:r>
          </w:p>
        </w:tc>
        <w:tc>
          <w:tcPr>
            <w:tcW w:w="943" w:type="dxa"/>
            <w:tcBorders>
              <w:top w:val="single" w:sz="6" w:space="0" w:color="auto"/>
              <w:bottom w:val="nil"/>
            </w:tcBorders>
            <w:vAlign w:val="bottom"/>
          </w:tcPr>
          <w:p w14:paraId="57CDA436" w14:textId="3F34E74C"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6</w:t>
            </w:r>
          </w:p>
        </w:tc>
        <w:tc>
          <w:tcPr>
            <w:tcW w:w="942" w:type="dxa"/>
            <w:tcBorders>
              <w:top w:val="single" w:sz="6" w:space="0" w:color="auto"/>
              <w:bottom w:val="nil"/>
            </w:tcBorders>
            <w:vAlign w:val="bottom"/>
          </w:tcPr>
          <w:p w14:paraId="07218BFB" w14:textId="6B9A1D6E"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6</w:t>
            </w:r>
          </w:p>
        </w:tc>
        <w:tc>
          <w:tcPr>
            <w:tcW w:w="943" w:type="dxa"/>
            <w:tcBorders>
              <w:top w:val="single" w:sz="6" w:space="0" w:color="auto"/>
              <w:bottom w:val="nil"/>
            </w:tcBorders>
            <w:vAlign w:val="bottom"/>
          </w:tcPr>
          <w:p w14:paraId="2D03BFED" w14:textId="1268087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7</w:t>
            </w:r>
          </w:p>
        </w:tc>
      </w:tr>
      <w:tr w:rsidR="00B84BEA" w:rsidRPr="001469A3" w14:paraId="21362BD4"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nil"/>
              <w:bottom w:val="single" w:sz="6" w:space="0" w:color="auto"/>
            </w:tcBorders>
          </w:tcPr>
          <w:p w14:paraId="0AF9836C" w14:textId="3C196851"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top w:val="nil"/>
              <w:bottom w:val="single" w:sz="6" w:space="0" w:color="auto"/>
            </w:tcBorders>
            <w:vAlign w:val="bottom"/>
          </w:tcPr>
          <w:p w14:paraId="2133828E" w14:textId="35C3AFE9"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(45)</w:t>
            </w:r>
          </w:p>
        </w:tc>
        <w:tc>
          <w:tcPr>
            <w:tcW w:w="943" w:type="dxa"/>
            <w:tcBorders>
              <w:top w:val="nil"/>
              <w:bottom w:val="single" w:sz="6" w:space="0" w:color="auto"/>
            </w:tcBorders>
            <w:vAlign w:val="bottom"/>
          </w:tcPr>
          <w:p w14:paraId="50243D87" w14:textId="2F40583C"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(78)</w:t>
            </w:r>
          </w:p>
        </w:tc>
        <w:tc>
          <w:tcPr>
            <w:tcW w:w="942" w:type="dxa"/>
            <w:tcBorders>
              <w:top w:val="nil"/>
              <w:bottom w:val="single" w:sz="6" w:space="0" w:color="auto"/>
            </w:tcBorders>
            <w:vAlign w:val="bottom"/>
          </w:tcPr>
          <w:p w14:paraId="195949E0" w14:textId="5285C06D"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(114)</w:t>
            </w:r>
          </w:p>
        </w:tc>
        <w:tc>
          <w:tcPr>
            <w:tcW w:w="943" w:type="dxa"/>
            <w:tcBorders>
              <w:top w:val="nil"/>
              <w:bottom w:val="single" w:sz="6" w:space="0" w:color="auto"/>
            </w:tcBorders>
            <w:vAlign w:val="bottom"/>
          </w:tcPr>
          <w:p w14:paraId="1173C416" w14:textId="7033EC23"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(156)</w:t>
            </w:r>
          </w:p>
        </w:tc>
      </w:tr>
      <w:tr w:rsidR="00B84BEA" w:rsidRPr="001469A3" w14:paraId="0812C556"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single" w:sz="6" w:space="0" w:color="auto"/>
              <w:bottom w:val="nil"/>
            </w:tcBorders>
          </w:tcPr>
          <w:p w14:paraId="4702FF36" w14:textId="12F6F30E"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Property prices</w:t>
            </w:r>
          </w:p>
        </w:tc>
        <w:tc>
          <w:tcPr>
            <w:tcW w:w="942" w:type="dxa"/>
            <w:tcBorders>
              <w:top w:val="single" w:sz="6" w:space="0" w:color="auto"/>
              <w:bottom w:val="nil"/>
            </w:tcBorders>
            <w:vAlign w:val="bottom"/>
          </w:tcPr>
          <w:p w14:paraId="59058818" w14:textId="7777777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943" w:type="dxa"/>
            <w:tcBorders>
              <w:top w:val="single" w:sz="6" w:space="0" w:color="auto"/>
              <w:bottom w:val="nil"/>
            </w:tcBorders>
            <w:vAlign w:val="bottom"/>
          </w:tcPr>
          <w:p w14:paraId="4442D384" w14:textId="7777777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942" w:type="dxa"/>
            <w:tcBorders>
              <w:top w:val="single" w:sz="6" w:space="0" w:color="auto"/>
              <w:bottom w:val="nil"/>
            </w:tcBorders>
            <w:vAlign w:val="bottom"/>
          </w:tcPr>
          <w:p w14:paraId="52B93DC7" w14:textId="7777777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c>
          <w:tcPr>
            <w:tcW w:w="943" w:type="dxa"/>
            <w:tcBorders>
              <w:top w:val="single" w:sz="6" w:space="0" w:color="auto"/>
              <w:bottom w:val="nil"/>
            </w:tcBorders>
            <w:vAlign w:val="bottom"/>
          </w:tcPr>
          <w:p w14:paraId="2783D86E" w14:textId="7777777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p>
        </w:tc>
      </w:tr>
      <w:tr w:rsidR="00B84BEA" w:rsidRPr="001469A3" w14:paraId="717D4134"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nil"/>
              <w:bottom w:val="nil"/>
            </w:tcBorders>
          </w:tcPr>
          <w:p w14:paraId="1E812993" w14:textId="26D708C6"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szCs w:val="17"/>
                <w:lang w:eastAsia="en-AU"/>
              </w:rPr>
              <w:t>Income from transactions</w:t>
            </w:r>
          </w:p>
        </w:tc>
        <w:tc>
          <w:tcPr>
            <w:tcW w:w="942" w:type="dxa"/>
            <w:tcBorders>
              <w:top w:val="nil"/>
              <w:bottom w:val="nil"/>
            </w:tcBorders>
            <w:vAlign w:val="bottom"/>
          </w:tcPr>
          <w:p w14:paraId="5C24B801" w14:textId="22785F9C"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207</w:t>
            </w:r>
          </w:p>
        </w:tc>
        <w:tc>
          <w:tcPr>
            <w:tcW w:w="943" w:type="dxa"/>
            <w:tcBorders>
              <w:top w:val="nil"/>
              <w:bottom w:val="nil"/>
            </w:tcBorders>
            <w:vAlign w:val="bottom"/>
          </w:tcPr>
          <w:p w14:paraId="07B3E2C5" w14:textId="7EF8A8AD"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214</w:t>
            </w:r>
          </w:p>
        </w:tc>
        <w:tc>
          <w:tcPr>
            <w:tcW w:w="942" w:type="dxa"/>
            <w:tcBorders>
              <w:top w:val="nil"/>
              <w:bottom w:val="nil"/>
            </w:tcBorders>
            <w:vAlign w:val="bottom"/>
          </w:tcPr>
          <w:p w14:paraId="1B0F6255" w14:textId="246C0037"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227</w:t>
            </w:r>
          </w:p>
        </w:tc>
        <w:tc>
          <w:tcPr>
            <w:tcW w:w="943" w:type="dxa"/>
            <w:tcBorders>
              <w:top w:val="nil"/>
              <w:bottom w:val="nil"/>
            </w:tcBorders>
            <w:vAlign w:val="bottom"/>
          </w:tcPr>
          <w:p w14:paraId="383C0449" w14:textId="5E511220"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241</w:t>
            </w:r>
          </w:p>
        </w:tc>
      </w:tr>
      <w:tr w:rsidR="00B84BEA" w:rsidRPr="001469A3" w14:paraId="01F95EF0"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nil"/>
              <w:bottom w:val="nil"/>
            </w:tcBorders>
          </w:tcPr>
          <w:p w14:paraId="01E5B54E" w14:textId="67312ECA"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szCs w:val="17"/>
                <w:lang w:eastAsia="en-AU"/>
              </w:rPr>
              <w:t>Expenses from transactions</w:t>
            </w:r>
          </w:p>
        </w:tc>
        <w:tc>
          <w:tcPr>
            <w:tcW w:w="942" w:type="dxa"/>
            <w:tcBorders>
              <w:top w:val="nil"/>
              <w:bottom w:val="nil"/>
            </w:tcBorders>
            <w:vAlign w:val="bottom"/>
          </w:tcPr>
          <w:p w14:paraId="64693166" w14:textId="64DCDB10"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(5)</w:t>
            </w:r>
          </w:p>
        </w:tc>
        <w:tc>
          <w:tcPr>
            <w:tcW w:w="943" w:type="dxa"/>
            <w:tcBorders>
              <w:top w:val="nil"/>
              <w:bottom w:val="nil"/>
            </w:tcBorders>
            <w:vAlign w:val="bottom"/>
          </w:tcPr>
          <w:p w14:paraId="3298FB83" w14:textId="07CCF34C"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(16)</w:t>
            </w:r>
          </w:p>
        </w:tc>
        <w:tc>
          <w:tcPr>
            <w:tcW w:w="942" w:type="dxa"/>
            <w:tcBorders>
              <w:top w:val="nil"/>
              <w:bottom w:val="nil"/>
            </w:tcBorders>
            <w:vAlign w:val="bottom"/>
          </w:tcPr>
          <w:p w14:paraId="31F598D2" w14:textId="5C9E4F19"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(27)</w:t>
            </w:r>
          </w:p>
        </w:tc>
        <w:tc>
          <w:tcPr>
            <w:tcW w:w="943" w:type="dxa"/>
            <w:tcBorders>
              <w:top w:val="nil"/>
              <w:bottom w:val="nil"/>
            </w:tcBorders>
            <w:vAlign w:val="bottom"/>
          </w:tcPr>
          <w:p w14:paraId="35F48E06" w14:textId="404D5D88"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szCs w:val="17"/>
              </w:rPr>
              <w:t>(41)</w:t>
            </w:r>
          </w:p>
        </w:tc>
      </w:tr>
      <w:tr w:rsidR="00B84BEA" w:rsidRPr="001469A3" w14:paraId="593D75A2"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nil"/>
              <w:bottom w:val="single" w:sz="4" w:space="0" w:color="auto"/>
            </w:tcBorders>
          </w:tcPr>
          <w:p w14:paraId="2F8BC8D3" w14:textId="7309F003"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nil"/>
              <w:bottom w:val="single" w:sz="4" w:space="0" w:color="auto"/>
            </w:tcBorders>
            <w:vAlign w:val="bottom"/>
          </w:tcPr>
          <w:p w14:paraId="20A4006D" w14:textId="5F49997A"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212</w:t>
            </w:r>
          </w:p>
        </w:tc>
        <w:tc>
          <w:tcPr>
            <w:tcW w:w="943" w:type="dxa"/>
            <w:tcBorders>
              <w:top w:val="nil"/>
              <w:bottom w:val="single" w:sz="4" w:space="0" w:color="auto"/>
            </w:tcBorders>
            <w:vAlign w:val="bottom"/>
          </w:tcPr>
          <w:p w14:paraId="4EB10ACC" w14:textId="2591B6DD"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229</w:t>
            </w:r>
          </w:p>
        </w:tc>
        <w:tc>
          <w:tcPr>
            <w:tcW w:w="942" w:type="dxa"/>
            <w:tcBorders>
              <w:top w:val="nil"/>
              <w:bottom w:val="single" w:sz="4" w:space="0" w:color="auto"/>
            </w:tcBorders>
            <w:vAlign w:val="bottom"/>
          </w:tcPr>
          <w:p w14:paraId="78F80C99" w14:textId="6220F215"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254</w:t>
            </w:r>
          </w:p>
        </w:tc>
        <w:tc>
          <w:tcPr>
            <w:tcW w:w="943" w:type="dxa"/>
            <w:tcBorders>
              <w:top w:val="nil"/>
              <w:bottom w:val="single" w:sz="4" w:space="0" w:color="auto"/>
            </w:tcBorders>
            <w:vAlign w:val="bottom"/>
          </w:tcPr>
          <w:p w14:paraId="5F083747" w14:textId="24F3F981"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AE7E8E">
              <w:rPr>
                <w:rFonts w:ascii="Calibri" w:hAnsi="Calibri" w:cs="Calibri"/>
                <w:b/>
                <w:bCs/>
                <w:szCs w:val="17"/>
              </w:rPr>
              <w:t>282</w:t>
            </w:r>
          </w:p>
        </w:tc>
      </w:tr>
      <w:tr w:rsidR="00B84BEA" w:rsidRPr="001469A3" w14:paraId="0E6D4B72" w14:textId="77777777" w:rsidTr="00B84BEA">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single" w:sz="4" w:space="0" w:color="auto"/>
            </w:tcBorders>
          </w:tcPr>
          <w:p w14:paraId="5DC369E3" w14:textId="3EB79697" w:rsidR="00B84BEA" w:rsidRPr="001469A3" w:rsidRDefault="00B84BEA" w:rsidP="00B84BEA">
            <w:pPr>
              <w:keepNext/>
              <w:autoSpaceDE w:val="0"/>
              <w:autoSpaceDN w:val="0"/>
              <w:adjustRightInd w:val="0"/>
              <w:rPr>
                <w:rFonts w:eastAsiaTheme="minorEastAsia" w:cstheme="majorHAnsi"/>
                <w:b/>
                <w:szCs w:val="17"/>
                <w:lang w:eastAsia="en-AU"/>
              </w:rPr>
            </w:pPr>
            <w:r w:rsidRPr="001469A3">
              <w:rPr>
                <w:rFonts w:eastAsiaTheme="minorEastAsia" w:cstheme="majorHAnsi"/>
                <w:szCs w:val="17"/>
                <w:lang w:eastAsia="en-AU"/>
              </w:rPr>
              <w:t>Net debt</w:t>
            </w:r>
          </w:p>
        </w:tc>
        <w:tc>
          <w:tcPr>
            <w:tcW w:w="942" w:type="dxa"/>
            <w:tcBorders>
              <w:top w:val="single" w:sz="4" w:space="0" w:color="auto"/>
              <w:bottom w:val="single" w:sz="4" w:space="0" w:color="auto"/>
            </w:tcBorders>
            <w:vAlign w:val="bottom"/>
          </w:tcPr>
          <w:p w14:paraId="2CC20BD9" w14:textId="2418F8B2"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D82EDD">
              <w:rPr>
                <w:rFonts w:ascii="Calibri" w:hAnsi="Calibri" w:cs="Calibri"/>
                <w:szCs w:val="17"/>
              </w:rPr>
              <w:t>(214)</w:t>
            </w:r>
          </w:p>
        </w:tc>
        <w:tc>
          <w:tcPr>
            <w:tcW w:w="943" w:type="dxa"/>
            <w:tcBorders>
              <w:top w:val="single" w:sz="4" w:space="0" w:color="auto"/>
              <w:bottom w:val="single" w:sz="4" w:space="0" w:color="auto"/>
            </w:tcBorders>
            <w:vAlign w:val="bottom"/>
          </w:tcPr>
          <w:p w14:paraId="2B4D4A44" w14:textId="6D099655"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D82EDD">
              <w:rPr>
                <w:rFonts w:ascii="Calibri" w:hAnsi="Calibri" w:cs="Calibri"/>
                <w:szCs w:val="17"/>
              </w:rPr>
              <w:t>(452)</w:t>
            </w:r>
          </w:p>
        </w:tc>
        <w:tc>
          <w:tcPr>
            <w:tcW w:w="942" w:type="dxa"/>
            <w:tcBorders>
              <w:top w:val="single" w:sz="4" w:space="0" w:color="auto"/>
              <w:bottom w:val="single" w:sz="4" w:space="0" w:color="auto"/>
            </w:tcBorders>
            <w:vAlign w:val="bottom"/>
          </w:tcPr>
          <w:p w14:paraId="4F26E2A7" w14:textId="23D93AA2"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D82EDD">
              <w:rPr>
                <w:rFonts w:ascii="Calibri" w:hAnsi="Calibri" w:cs="Calibri"/>
                <w:szCs w:val="17"/>
              </w:rPr>
              <w:t>(712)</w:t>
            </w:r>
          </w:p>
        </w:tc>
        <w:tc>
          <w:tcPr>
            <w:tcW w:w="943" w:type="dxa"/>
            <w:tcBorders>
              <w:top w:val="single" w:sz="4" w:space="0" w:color="auto"/>
              <w:bottom w:val="single" w:sz="4" w:space="0" w:color="auto"/>
            </w:tcBorders>
            <w:vAlign w:val="bottom"/>
          </w:tcPr>
          <w:p w14:paraId="21D1F33E" w14:textId="5FAB2726" w:rsidR="00B84BEA" w:rsidRPr="00AE7E8E" w:rsidRDefault="00B84BEA" w:rsidP="00B84BEA">
            <w:pPr>
              <w:cnfStyle w:val="000000000000" w:firstRow="0" w:lastRow="0" w:firstColumn="0" w:lastColumn="0" w:oddVBand="0" w:evenVBand="0" w:oddHBand="0" w:evenHBand="0" w:firstRowFirstColumn="0" w:firstRowLastColumn="0" w:lastRowFirstColumn="0" w:lastRowLastColumn="0"/>
              <w:rPr>
                <w:rFonts w:ascii="Calibri" w:hAnsi="Calibri" w:cs="Calibri"/>
                <w:szCs w:val="17"/>
              </w:rPr>
            </w:pPr>
            <w:r w:rsidRPr="00D82EDD">
              <w:rPr>
                <w:rFonts w:ascii="Calibri" w:hAnsi="Calibri" w:cs="Calibri"/>
                <w:szCs w:val="17"/>
              </w:rPr>
              <w:t>(998)</w:t>
            </w:r>
          </w:p>
        </w:tc>
      </w:tr>
      <w:tr w:rsidR="00E259F6" w:rsidRPr="001469A3" w14:paraId="5E4FD212"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04628C86" w14:textId="77777777" w:rsidR="00E259F6" w:rsidRPr="001469A3" w:rsidRDefault="00E259F6" w:rsidP="008670FF">
            <w:pPr>
              <w:keepNext/>
              <w:autoSpaceDE w:val="0"/>
              <w:autoSpaceDN w:val="0"/>
              <w:adjustRightInd w:val="0"/>
              <w:ind w:left="176" w:hanging="176"/>
              <w:rPr>
                <w:rFonts w:eastAsiaTheme="minorEastAsia" w:cstheme="majorHAnsi"/>
                <w:b/>
                <w:szCs w:val="17"/>
                <w:lang w:eastAsia="en-AU"/>
              </w:rPr>
            </w:pPr>
            <w:bookmarkStart w:id="150" w:name="_Hlk3981246"/>
            <w:r w:rsidRPr="001469A3">
              <w:rPr>
                <w:rFonts w:eastAsiaTheme="minorEastAsia" w:cstheme="majorHAnsi"/>
                <w:b/>
                <w:szCs w:val="17"/>
                <w:lang w:eastAsia="en-AU"/>
              </w:rPr>
              <w:t>Property transaction volumes</w:t>
            </w:r>
          </w:p>
        </w:tc>
        <w:tc>
          <w:tcPr>
            <w:tcW w:w="942" w:type="dxa"/>
            <w:tcBorders>
              <w:top w:val="single" w:sz="4" w:space="0" w:color="auto"/>
            </w:tcBorders>
            <w:vAlign w:val="bottom"/>
          </w:tcPr>
          <w:p w14:paraId="53B5B28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7C8F4B5F"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204B634A"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072CD76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5E480558"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373AE5F7" w14:textId="77777777" w:rsidR="00E259F6" w:rsidRPr="001469A3" w:rsidRDefault="00E259F6" w:rsidP="008670FF">
            <w:pPr>
              <w:keepNext/>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6994FE02"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84</w:t>
            </w:r>
          </w:p>
        </w:tc>
        <w:tc>
          <w:tcPr>
            <w:tcW w:w="943" w:type="dxa"/>
            <w:vAlign w:val="bottom"/>
          </w:tcPr>
          <w:p w14:paraId="13E1854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88</w:t>
            </w:r>
          </w:p>
        </w:tc>
        <w:tc>
          <w:tcPr>
            <w:tcW w:w="942" w:type="dxa"/>
            <w:vAlign w:val="bottom"/>
          </w:tcPr>
          <w:p w14:paraId="4DC35DA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93</w:t>
            </w:r>
          </w:p>
        </w:tc>
        <w:tc>
          <w:tcPr>
            <w:tcW w:w="943" w:type="dxa"/>
            <w:vAlign w:val="bottom"/>
          </w:tcPr>
          <w:p w14:paraId="5AED57A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98</w:t>
            </w:r>
          </w:p>
        </w:tc>
      </w:tr>
      <w:tr w:rsidR="00E259F6" w:rsidRPr="001469A3" w14:paraId="54F7045C"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0C01E7D9"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4028325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(2)</w:t>
            </w:r>
          </w:p>
        </w:tc>
        <w:tc>
          <w:tcPr>
            <w:tcW w:w="943" w:type="dxa"/>
            <w:tcBorders>
              <w:bottom w:val="single" w:sz="4" w:space="0" w:color="auto"/>
            </w:tcBorders>
            <w:vAlign w:val="bottom"/>
          </w:tcPr>
          <w:p w14:paraId="6121256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(6)</w:t>
            </w:r>
          </w:p>
        </w:tc>
        <w:tc>
          <w:tcPr>
            <w:tcW w:w="942" w:type="dxa"/>
            <w:tcBorders>
              <w:bottom w:val="single" w:sz="4" w:space="0" w:color="auto"/>
            </w:tcBorders>
            <w:vAlign w:val="bottom"/>
          </w:tcPr>
          <w:p w14:paraId="4FA3BCE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(9)</w:t>
            </w:r>
          </w:p>
        </w:tc>
        <w:tc>
          <w:tcPr>
            <w:tcW w:w="943" w:type="dxa"/>
            <w:tcBorders>
              <w:bottom w:val="single" w:sz="4" w:space="0" w:color="auto"/>
            </w:tcBorders>
            <w:vAlign w:val="bottom"/>
          </w:tcPr>
          <w:p w14:paraId="57939CE6"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(14)</w:t>
            </w:r>
          </w:p>
        </w:tc>
      </w:tr>
      <w:tr w:rsidR="00E259F6" w:rsidRPr="001469A3" w14:paraId="6C1D0F5D"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tcBorders>
            <w:hideMark/>
          </w:tcPr>
          <w:p w14:paraId="236F3157"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bottom w:val="nil"/>
            </w:tcBorders>
            <w:vAlign w:val="bottom"/>
          </w:tcPr>
          <w:p w14:paraId="7BC48A01"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86</w:t>
            </w:r>
          </w:p>
        </w:tc>
        <w:tc>
          <w:tcPr>
            <w:tcW w:w="943" w:type="dxa"/>
            <w:tcBorders>
              <w:top w:val="single" w:sz="4" w:space="0" w:color="auto"/>
              <w:bottom w:val="nil"/>
            </w:tcBorders>
            <w:vAlign w:val="bottom"/>
          </w:tcPr>
          <w:p w14:paraId="3DEF396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93</w:t>
            </w:r>
          </w:p>
        </w:tc>
        <w:tc>
          <w:tcPr>
            <w:tcW w:w="942" w:type="dxa"/>
            <w:tcBorders>
              <w:top w:val="single" w:sz="4" w:space="0" w:color="auto"/>
              <w:bottom w:val="nil"/>
            </w:tcBorders>
            <w:vAlign w:val="bottom"/>
          </w:tcPr>
          <w:p w14:paraId="1D7B0E8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102</w:t>
            </w:r>
          </w:p>
        </w:tc>
        <w:tc>
          <w:tcPr>
            <w:tcW w:w="943" w:type="dxa"/>
            <w:tcBorders>
              <w:top w:val="single" w:sz="4" w:space="0" w:color="auto"/>
              <w:bottom w:val="nil"/>
            </w:tcBorders>
            <w:vAlign w:val="bottom"/>
          </w:tcPr>
          <w:p w14:paraId="14E9E5A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112</w:t>
            </w:r>
          </w:p>
        </w:tc>
      </w:tr>
      <w:tr w:rsidR="00E259F6" w:rsidRPr="001469A3" w14:paraId="09C1EBC4"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31E343BE"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debt</w:t>
            </w:r>
          </w:p>
        </w:tc>
        <w:tc>
          <w:tcPr>
            <w:tcW w:w="942" w:type="dxa"/>
            <w:tcBorders>
              <w:bottom w:val="single" w:sz="4" w:space="0" w:color="auto"/>
            </w:tcBorders>
            <w:vAlign w:val="bottom"/>
          </w:tcPr>
          <w:p w14:paraId="76AAABA8"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(86)</w:t>
            </w:r>
          </w:p>
        </w:tc>
        <w:tc>
          <w:tcPr>
            <w:tcW w:w="943" w:type="dxa"/>
            <w:tcBorders>
              <w:bottom w:val="single" w:sz="4" w:space="0" w:color="auto"/>
            </w:tcBorders>
            <w:vAlign w:val="bottom"/>
          </w:tcPr>
          <w:p w14:paraId="0C8851D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(179)</w:t>
            </w:r>
          </w:p>
        </w:tc>
        <w:tc>
          <w:tcPr>
            <w:tcW w:w="942" w:type="dxa"/>
            <w:tcBorders>
              <w:bottom w:val="single" w:sz="4" w:space="0" w:color="auto"/>
            </w:tcBorders>
            <w:vAlign w:val="bottom"/>
          </w:tcPr>
          <w:p w14:paraId="64B901EB"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(281)</w:t>
            </w:r>
          </w:p>
        </w:tc>
        <w:tc>
          <w:tcPr>
            <w:tcW w:w="943" w:type="dxa"/>
            <w:tcBorders>
              <w:bottom w:val="single" w:sz="4" w:space="0" w:color="auto"/>
            </w:tcBorders>
            <w:vAlign w:val="bottom"/>
          </w:tcPr>
          <w:p w14:paraId="288B7987"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(393)</w:t>
            </w:r>
          </w:p>
        </w:tc>
      </w:tr>
      <w:tr w:rsidR="00E259F6" w:rsidRPr="001469A3" w14:paraId="3EEE316D"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tcBorders>
            <w:hideMark/>
          </w:tcPr>
          <w:p w14:paraId="6F7E68C3" w14:textId="77777777" w:rsidR="00E259F6" w:rsidRPr="001469A3" w:rsidRDefault="00E259F6" w:rsidP="008670FF">
            <w:pPr>
              <w:autoSpaceDE w:val="0"/>
              <w:autoSpaceDN w:val="0"/>
              <w:adjustRightInd w:val="0"/>
              <w:ind w:left="173" w:hanging="173"/>
              <w:rPr>
                <w:rFonts w:eastAsiaTheme="minorEastAsia" w:cstheme="majorHAnsi"/>
                <w:b/>
                <w:szCs w:val="17"/>
                <w:lang w:eastAsia="en-AU"/>
              </w:rPr>
            </w:pPr>
            <w:r w:rsidRPr="001469A3">
              <w:rPr>
                <w:rFonts w:eastAsiaTheme="minorEastAsia" w:cstheme="majorHAnsi"/>
                <w:b/>
                <w:szCs w:val="17"/>
                <w:lang w:eastAsia="en-AU"/>
              </w:rPr>
              <w:t xml:space="preserve">Interest rates </w:t>
            </w:r>
            <w:r w:rsidRPr="001469A3">
              <w:rPr>
                <w:rFonts w:eastAsiaTheme="minorEastAsia" w:cstheme="majorHAnsi"/>
                <w:b/>
                <w:szCs w:val="17"/>
                <w:vertAlign w:val="superscript"/>
                <w:lang w:eastAsia="en-AU"/>
              </w:rPr>
              <w:t>(j)</w:t>
            </w:r>
          </w:p>
        </w:tc>
        <w:tc>
          <w:tcPr>
            <w:tcW w:w="942" w:type="dxa"/>
            <w:tcBorders>
              <w:top w:val="single" w:sz="4" w:space="0" w:color="auto"/>
            </w:tcBorders>
            <w:vAlign w:val="bottom"/>
          </w:tcPr>
          <w:p w14:paraId="5F85E145"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2E200B9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2" w:type="dxa"/>
            <w:tcBorders>
              <w:top w:val="single" w:sz="4" w:space="0" w:color="auto"/>
            </w:tcBorders>
            <w:vAlign w:val="bottom"/>
          </w:tcPr>
          <w:p w14:paraId="1E68FBB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c>
          <w:tcPr>
            <w:tcW w:w="943" w:type="dxa"/>
            <w:tcBorders>
              <w:top w:val="single" w:sz="4" w:space="0" w:color="auto"/>
            </w:tcBorders>
            <w:vAlign w:val="bottom"/>
          </w:tcPr>
          <w:p w14:paraId="3C8E6CB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p>
        </w:tc>
      </w:tr>
      <w:tr w:rsidR="00E259F6" w:rsidRPr="001469A3" w14:paraId="6FEF8B38" w14:textId="77777777" w:rsidTr="00F24FE6">
        <w:tc>
          <w:tcPr>
            <w:cnfStyle w:val="001000000000" w:firstRow="0" w:lastRow="0" w:firstColumn="1" w:lastColumn="0" w:oddVBand="0" w:evenVBand="0" w:oddHBand="0" w:evenHBand="0" w:firstRowFirstColumn="0" w:firstRowLastColumn="0" w:lastRowFirstColumn="0" w:lastRowLastColumn="0"/>
            <w:tcW w:w="3941" w:type="dxa"/>
            <w:hideMark/>
          </w:tcPr>
          <w:p w14:paraId="52EB073A"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Income from transactions</w:t>
            </w:r>
          </w:p>
        </w:tc>
        <w:tc>
          <w:tcPr>
            <w:tcW w:w="942" w:type="dxa"/>
            <w:vAlign w:val="bottom"/>
          </w:tcPr>
          <w:p w14:paraId="1D8113BD" w14:textId="77777777" w:rsidR="00E259F6" w:rsidRPr="00421360" w:rsidRDefault="00E259F6" w:rsidP="008670FF">
            <w:pPr>
              <w:cnfStyle w:val="000000000000" w:firstRow="0" w:lastRow="0" w:firstColumn="0" w:lastColumn="0" w:oddVBand="0" w:evenVBand="0" w:oddHBand="0" w:evenHBand="0" w:firstRowFirstColumn="0" w:firstRowLastColumn="0" w:lastRowFirstColumn="0" w:lastRowLastColumn="0"/>
              <w:rPr>
                <w:rFonts w:cstheme="majorBidi"/>
                <w:szCs w:val="17"/>
              </w:rPr>
            </w:pPr>
            <w:r w:rsidRPr="00421360">
              <w:rPr>
                <w:rFonts w:ascii="Calibri" w:hAnsi="Calibri" w:cs="Calibri"/>
                <w:szCs w:val="17"/>
              </w:rPr>
              <w:t>763</w:t>
            </w:r>
          </w:p>
        </w:tc>
        <w:tc>
          <w:tcPr>
            <w:tcW w:w="943" w:type="dxa"/>
            <w:vAlign w:val="bottom"/>
          </w:tcPr>
          <w:p w14:paraId="7BDF0110"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175</w:t>
            </w:r>
          </w:p>
        </w:tc>
        <w:tc>
          <w:tcPr>
            <w:tcW w:w="942" w:type="dxa"/>
            <w:vAlign w:val="bottom"/>
          </w:tcPr>
          <w:p w14:paraId="3538C6FD"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165</w:t>
            </w:r>
          </w:p>
        </w:tc>
        <w:tc>
          <w:tcPr>
            <w:tcW w:w="943" w:type="dxa"/>
            <w:vAlign w:val="bottom"/>
          </w:tcPr>
          <w:p w14:paraId="5E369B45"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160</w:t>
            </w:r>
          </w:p>
        </w:tc>
      </w:tr>
      <w:tr w:rsidR="00E259F6" w:rsidRPr="001469A3" w14:paraId="25893499"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bottom w:val="single" w:sz="4" w:space="0" w:color="auto"/>
            </w:tcBorders>
            <w:hideMark/>
          </w:tcPr>
          <w:p w14:paraId="53BCC56D" w14:textId="77777777" w:rsidR="00E259F6" w:rsidRPr="001469A3" w:rsidRDefault="00E259F6" w:rsidP="008670FF">
            <w:pPr>
              <w:autoSpaceDE w:val="0"/>
              <w:autoSpaceDN w:val="0"/>
              <w:adjustRightInd w:val="0"/>
              <w:rPr>
                <w:rFonts w:eastAsiaTheme="minorEastAsia" w:cstheme="majorHAnsi"/>
                <w:szCs w:val="17"/>
                <w:lang w:eastAsia="en-AU"/>
              </w:rPr>
            </w:pPr>
            <w:r w:rsidRPr="001469A3">
              <w:rPr>
                <w:rFonts w:eastAsiaTheme="minorEastAsia" w:cstheme="majorHAnsi"/>
                <w:szCs w:val="17"/>
                <w:lang w:eastAsia="en-AU"/>
              </w:rPr>
              <w:t>Expenses from transactions</w:t>
            </w:r>
          </w:p>
        </w:tc>
        <w:tc>
          <w:tcPr>
            <w:tcW w:w="942" w:type="dxa"/>
            <w:tcBorders>
              <w:bottom w:val="single" w:sz="4" w:space="0" w:color="auto"/>
            </w:tcBorders>
            <w:vAlign w:val="bottom"/>
          </w:tcPr>
          <w:p w14:paraId="0BEEB79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77</w:t>
            </w:r>
          </w:p>
        </w:tc>
        <w:tc>
          <w:tcPr>
            <w:tcW w:w="943" w:type="dxa"/>
            <w:tcBorders>
              <w:bottom w:val="single" w:sz="4" w:space="0" w:color="auto"/>
            </w:tcBorders>
            <w:vAlign w:val="bottom"/>
          </w:tcPr>
          <w:p w14:paraId="6006299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(37)</w:t>
            </w:r>
          </w:p>
        </w:tc>
        <w:tc>
          <w:tcPr>
            <w:tcW w:w="942" w:type="dxa"/>
            <w:tcBorders>
              <w:bottom w:val="single" w:sz="4" w:space="0" w:color="auto"/>
            </w:tcBorders>
            <w:vAlign w:val="bottom"/>
          </w:tcPr>
          <w:p w14:paraId="677785B6"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177</w:t>
            </w:r>
          </w:p>
        </w:tc>
        <w:tc>
          <w:tcPr>
            <w:tcW w:w="943" w:type="dxa"/>
            <w:tcBorders>
              <w:bottom w:val="single" w:sz="4" w:space="0" w:color="auto"/>
            </w:tcBorders>
            <w:vAlign w:val="bottom"/>
          </w:tcPr>
          <w:p w14:paraId="6F5185D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szCs w:val="17"/>
              </w:rPr>
            </w:pPr>
            <w:r w:rsidRPr="00421360">
              <w:rPr>
                <w:rFonts w:ascii="Calibri" w:hAnsi="Calibri" w:cs="Calibri"/>
                <w:szCs w:val="17"/>
              </w:rPr>
              <w:t>395</w:t>
            </w:r>
          </w:p>
        </w:tc>
      </w:tr>
      <w:tr w:rsidR="00E259F6" w:rsidRPr="001469A3" w14:paraId="6B7B84B2" w14:textId="77777777" w:rsidTr="00F24FE6">
        <w:tc>
          <w:tcPr>
            <w:cnfStyle w:val="001000000000" w:firstRow="0" w:lastRow="0" w:firstColumn="1" w:lastColumn="0" w:oddVBand="0" w:evenVBand="0" w:oddHBand="0" w:evenHBand="0" w:firstRowFirstColumn="0" w:firstRowLastColumn="0" w:lastRowFirstColumn="0" w:lastRowLastColumn="0"/>
            <w:tcW w:w="3941" w:type="dxa"/>
            <w:tcBorders>
              <w:top w:val="single" w:sz="4" w:space="0" w:color="auto"/>
              <w:bottom w:val="nil"/>
              <w:right w:val="nil"/>
            </w:tcBorders>
            <w:hideMark/>
          </w:tcPr>
          <w:p w14:paraId="1BB385CF" w14:textId="77777777" w:rsidR="00E259F6" w:rsidRPr="001469A3" w:rsidRDefault="00E259F6" w:rsidP="008670FF">
            <w:pPr>
              <w:autoSpaceDE w:val="0"/>
              <w:autoSpaceDN w:val="0"/>
              <w:adjustRightInd w:val="0"/>
              <w:rPr>
                <w:rFonts w:eastAsiaTheme="minorEastAsia" w:cstheme="majorHAnsi"/>
                <w:b/>
                <w:szCs w:val="17"/>
                <w:lang w:eastAsia="en-AU"/>
              </w:rPr>
            </w:pPr>
            <w:r w:rsidRPr="001469A3">
              <w:rPr>
                <w:rFonts w:eastAsiaTheme="minorEastAsia" w:cstheme="majorHAnsi"/>
                <w:b/>
                <w:szCs w:val="17"/>
                <w:lang w:eastAsia="en-AU"/>
              </w:rPr>
              <w:t>Net result from transactions</w:t>
            </w:r>
          </w:p>
        </w:tc>
        <w:tc>
          <w:tcPr>
            <w:tcW w:w="942" w:type="dxa"/>
            <w:tcBorders>
              <w:top w:val="single" w:sz="4" w:space="0" w:color="auto"/>
              <w:left w:val="nil"/>
              <w:bottom w:val="nil"/>
              <w:right w:val="nil"/>
            </w:tcBorders>
            <w:vAlign w:val="bottom"/>
          </w:tcPr>
          <w:p w14:paraId="512120D4"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685</w:t>
            </w:r>
          </w:p>
        </w:tc>
        <w:tc>
          <w:tcPr>
            <w:tcW w:w="943" w:type="dxa"/>
            <w:tcBorders>
              <w:top w:val="single" w:sz="4" w:space="0" w:color="auto"/>
              <w:left w:val="nil"/>
              <w:bottom w:val="nil"/>
              <w:right w:val="nil"/>
            </w:tcBorders>
            <w:vAlign w:val="bottom"/>
          </w:tcPr>
          <w:p w14:paraId="7EF53B8E"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211</w:t>
            </w:r>
          </w:p>
        </w:tc>
        <w:tc>
          <w:tcPr>
            <w:tcW w:w="942" w:type="dxa"/>
            <w:tcBorders>
              <w:top w:val="single" w:sz="4" w:space="0" w:color="auto"/>
              <w:left w:val="nil"/>
              <w:bottom w:val="nil"/>
              <w:right w:val="nil"/>
            </w:tcBorders>
            <w:vAlign w:val="bottom"/>
          </w:tcPr>
          <w:p w14:paraId="20FAAEEC"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(12)</w:t>
            </w:r>
          </w:p>
        </w:tc>
        <w:tc>
          <w:tcPr>
            <w:tcW w:w="943" w:type="dxa"/>
            <w:tcBorders>
              <w:top w:val="single" w:sz="4" w:space="0" w:color="auto"/>
              <w:left w:val="nil"/>
              <w:bottom w:val="nil"/>
            </w:tcBorders>
            <w:vAlign w:val="bottom"/>
          </w:tcPr>
          <w:p w14:paraId="4C1562C9" w14:textId="77777777" w:rsidR="00E259F6" w:rsidRPr="001469A3" w:rsidRDefault="00E259F6" w:rsidP="008670FF">
            <w:pPr>
              <w:cnfStyle w:val="000000000000" w:firstRow="0" w:lastRow="0" w:firstColumn="0" w:lastColumn="0" w:oddVBand="0" w:evenVBand="0" w:oddHBand="0" w:evenHBand="0" w:firstRowFirstColumn="0" w:firstRowLastColumn="0" w:lastRowFirstColumn="0" w:lastRowLastColumn="0"/>
              <w:rPr>
                <w:rFonts w:cstheme="majorHAnsi"/>
                <w:b/>
                <w:szCs w:val="17"/>
              </w:rPr>
            </w:pPr>
            <w:r w:rsidRPr="00421360">
              <w:rPr>
                <w:rFonts w:ascii="Calibri" w:hAnsi="Calibri" w:cs="Calibri"/>
                <w:b/>
                <w:bCs/>
                <w:szCs w:val="17"/>
              </w:rPr>
              <w:t>(234)</w:t>
            </w:r>
          </w:p>
        </w:tc>
      </w:tr>
      <w:tr w:rsidR="00E259F6" w:rsidRPr="00CF5471" w14:paraId="5A1E6A1C" w14:textId="77777777" w:rsidTr="00F24F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Borders>
              <w:top w:val="nil"/>
            </w:tcBorders>
            <w:hideMark/>
          </w:tcPr>
          <w:p w14:paraId="7C9E8C08" w14:textId="77777777" w:rsidR="00E259F6" w:rsidRPr="001469A3" w:rsidRDefault="00E259F6" w:rsidP="008670FF">
            <w:pPr>
              <w:autoSpaceDE w:val="0"/>
              <w:autoSpaceDN w:val="0"/>
              <w:adjustRightInd w:val="0"/>
              <w:rPr>
                <w:rFonts w:eastAsiaTheme="minorEastAsia" w:cstheme="majorBidi"/>
                <w:vertAlign w:val="superscript"/>
                <w:lang w:eastAsia="en-AU"/>
              </w:rPr>
            </w:pPr>
            <w:r w:rsidRPr="001469A3">
              <w:rPr>
                <w:rFonts w:eastAsiaTheme="minorEastAsia" w:cstheme="majorBidi"/>
                <w:lang w:eastAsia="en-AU"/>
              </w:rPr>
              <w:t xml:space="preserve">Net debt </w:t>
            </w:r>
            <w:r w:rsidRPr="001469A3">
              <w:rPr>
                <w:rFonts w:eastAsiaTheme="minorEastAsia" w:cstheme="majorBidi"/>
                <w:vertAlign w:val="superscript"/>
                <w:lang w:eastAsia="en-AU"/>
              </w:rPr>
              <w:t>(k)</w:t>
            </w:r>
          </w:p>
        </w:tc>
        <w:tc>
          <w:tcPr>
            <w:tcW w:w="942" w:type="dxa"/>
            <w:tcBorders>
              <w:top w:val="nil"/>
            </w:tcBorders>
            <w:vAlign w:val="bottom"/>
          </w:tcPr>
          <w:p w14:paraId="696F1A58" w14:textId="77777777" w:rsidR="00E259F6" w:rsidRPr="00D82EDD"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szCs w:val="17"/>
              </w:rPr>
            </w:pPr>
            <w:r w:rsidRPr="00D82EDD">
              <w:rPr>
                <w:rFonts w:ascii="Calibri" w:hAnsi="Calibri" w:cs="Calibri"/>
                <w:szCs w:val="17"/>
              </w:rPr>
              <w:t>(685)</w:t>
            </w:r>
          </w:p>
        </w:tc>
        <w:tc>
          <w:tcPr>
            <w:tcW w:w="943" w:type="dxa"/>
            <w:tcBorders>
              <w:top w:val="nil"/>
            </w:tcBorders>
            <w:vAlign w:val="bottom"/>
          </w:tcPr>
          <w:p w14:paraId="6652A385" w14:textId="77777777" w:rsidR="00E259F6" w:rsidRPr="00D82EDD"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szCs w:val="17"/>
              </w:rPr>
            </w:pPr>
            <w:r w:rsidRPr="00D82EDD">
              <w:rPr>
                <w:rFonts w:ascii="Calibri" w:hAnsi="Calibri" w:cs="Calibri"/>
                <w:szCs w:val="17"/>
              </w:rPr>
              <w:t>(615)</w:t>
            </w:r>
          </w:p>
        </w:tc>
        <w:tc>
          <w:tcPr>
            <w:tcW w:w="942" w:type="dxa"/>
            <w:tcBorders>
              <w:top w:val="nil"/>
            </w:tcBorders>
            <w:vAlign w:val="bottom"/>
          </w:tcPr>
          <w:p w14:paraId="0B580155" w14:textId="77777777" w:rsidR="00E259F6" w:rsidRPr="00D82EDD"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szCs w:val="17"/>
              </w:rPr>
            </w:pPr>
            <w:r w:rsidRPr="00D82EDD">
              <w:rPr>
                <w:rFonts w:ascii="Calibri" w:hAnsi="Calibri" w:cs="Calibri"/>
                <w:szCs w:val="17"/>
              </w:rPr>
              <w:t>(313)</w:t>
            </w:r>
          </w:p>
        </w:tc>
        <w:tc>
          <w:tcPr>
            <w:tcW w:w="943" w:type="dxa"/>
            <w:tcBorders>
              <w:top w:val="nil"/>
            </w:tcBorders>
            <w:vAlign w:val="bottom"/>
          </w:tcPr>
          <w:p w14:paraId="4A37CF74" w14:textId="77777777" w:rsidR="00E259F6" w:rsidRPr="00D82EDD" w:rsidRDefault="00E259F6" w:rsidP="008670FF">
            <w:pPr>
              <w:cnfStyle w:val="010000000000" w:firstRow="0" w:lastRow="1" w:firstColumn="0" w:lastColumn="0" w:oddVBand="0" w:evenVBand="0" w:oddHBand="0" w:evenHBand="0" w:firstRowFirstColumn="0" w:firstRowLastColumn="0" w:lastRowFirstColumn="0" w:lastRowLastColumn="0"/>
              <w:rPr>
                <w:rFonts w:cstheme="majorHAnsi"/>
                <w:szCs w:val="17"/>
              </w:rPr>
            </w:pPr>
            <w:r w:rsidRPr="00D82EDD">
              <w:rPr>
                <w:rFonts w:ascii="Calibri" w:hAnsi="Calibri" w:cs="Calibri"/>
                <w:szCs w:val="17"/>
              </w:rPr>
              <w:t>229</w:t>
            </w:r>
          </w:p>
        </w:tc>
      </w:tr>
    </w:tbl>
    <w:bookmarkEnd w:id="150"/>
    <w:p w14:paraId="5BD98D43" w14:textId="77777777" w:rsidR="00E259F6" w:rsidRDefault="00E259F6" w:rsidP="00E259F6">
      <w:pPr>
        <w:pStyle w:val="Note"/>
      </w:pPr>
      <w:r>
        <w:t>Notes:</w:t>
      </w:r>
    </w:p>
    <w:p w14:paraId="440D1C0E" w14:textId="77777777" w:rsidR="00E259F6" w:rsidRDefault="00E259F6" w:rsidP="00E259F6">
      <w:pPr>
        <w:pStyle w:val="Note"/>
      </w:pPr>
      <w:r>
        <w:t>(a)</w:t>
      </w:r>
      <w:r>
        <w:tab/>
        <w:t>Variations are applied to the economic variables effective from the first day in the budget year (1 July 2024). It is assumed that each variable’s growth rate matches that under a no-variation scenario for the forward estimates period. This implies that the level of all economic variables (other than interest rates) is 1 per cent higher in level terms in each year of the budget and forward estimates. Interest rates are assumed to be 1 percentage point higher in each year of the budget and forward estimates.</w:t>
      </w:r>
    </w:p>
    <w:p w14:paraId="45FA2153" w14:textId="77777777" w:rsidR="00E259F6" w:rsidRDefault="00E259F6" w:rsidP="00E259F6">
      <w:pPr>
        <w:pStyle w:val="Note"/>
      </w:pPr>
      <w:r>
        <w:t>(b)</w:t>
      </w:r>
      <w:r>
        <w:tab/>
        <w:t xml:space="preserve">A positive number for income from transactions denotes an increase in revenue. A positive number for expenses from transactions denotes an increase in expenses (and hence a reduction in the net result from transactions). A positive number for the net result from transactions denotes a higher surplus or smaller deficit. A positive number for net debt denotes a higher level of net debt in the relevant year compared with a no-variation scenario. </w:t>
      </w:r>
    </w:p>
    <w:p w14:paraId="27DD37A2" w14:textId="77777777" w:rsidR="00E259F6" w:rsidRDefault="00E259F6" w:rsidP="00E259F6">
      <w:pPr>
        <w:pStyle w:val="Note"/>
      </w:pPr>
      <w:r>
        <w:t>(c)</w:t>
      </w:r>
      <w:r>
        <w:tab/>
        <w:t>Only reasonably quantifiable impacts have been included in the analysis.</w:t>
      </w:r>
    </w:p>
    <w:p w14:paraId="6CAC0A74" w14:textId="743D71EB" w:rsidR="00E259F6" w:rsidRDefault="00E259F6" w:rsidP="00E259F6">
      <w:pPr>
        <w:pStyle w:val="Note"/>
      </w:pPr>
      <w:r>
        <w:t>(d)</w:t>
      </w:r>
      <w:r>
        <w:tab/>
        <w:t>Figures may not add due to rounding.</w:t>
      </w:r>
    </w:p>
    <w:p w14:paraId="1F1A04B8" w14:textId="77777777" w:rsidR="00E259F6" w:rsidRDefault="00E259F6" w:rsidP="00E259F6">
      <w:pPr>
        <w:pStyle w:val="Note"/>
      </w:pPr>
      <w:r w:rsidRPr="00AE6CC7">
        <w:t>(e)</w:t>
      </w:r>
      <w:r w:rsidRPr="00AE6CC7">
        <w:tab/>
        <w:t>Estimates of net debt are approximately equal to the cumulative impact of the net result from transactions. The difference between the cumulative net result from transactions and net debt is due to non-cash expenses.</w:t>
      </w:r>
    </w:p>
    <w:p w14:paraId="4433D4FE" w14:textId="77777777" w:rsidR="00E259F6" w:rsidRDefault="00E259F6" w:rsidP="00E259F6">
      <w:pPr>
        <w:pStyle w:val="Note"/>
      </w:pPr>
      <w:r>
        <w:t>(f)</w:t>
      </w:r>
      <w:r>
        <w:tab/>
        <w:t xml:space="preserve">A shock to employment is assumed to impact payroll tax revenue. Both public and private sector employment levels are assumed to be 1 per cent higher across the four years, with the shares of full-time and part-time employment held constant; the rise in public sector employment increases general government sector employee expenses. </w:t>
      </w:r>
    </w:p>
    <w:p w14:paraId="137EFF6D" w14:textId="275DE120" w:rsidR="00E259F6" w:rsidRDefault="00E259F6" w:rsidP="00E259F6">
      <w:pPr>
        <w:pStyle w:val="Note"/>
      </w:pPr>
      <w:r>
        <w:t>(g)</w:t>
      </w:r>
      <w:r>
        <w:tab/>
      </w:r>
      <w:r w:rsidRPr="00701167">
        <w:t xml:space="preserve">Estimates assume that higher consumer prices flow through to government operating expenses, such as the purchase of supplies and consumables and the purchase of services. For simplicity, these estimates make no assumptions about agencies’ administrative actions or government policy responses to mitigate the effects of higher inflation on aggregate spending. </w:t>
      </w:r>
      <w:r w:rsidR="009D130C">
        <w:br/>
      </w:r>
      <w:r w:rsidRPr="00701167">
        <w:t>It is assumed an increase in consumer prices within the budget year does not affect employee entitlements.</w:t>
      </w:r>
      <w:r w:rsidRPr="00701167" w:rsidDel="00701167">
        <w:t xml:space="preserve"> </w:t>
      </w:r>
    </w:p>
    <w:p w14:paraId="0A19A256" w14:textId="77777777" w:rsidR="00E259F6" w:rsidRDefault="00E259F6" w:rsidP="00E259F6">
      <w:pPr>
        <w:pStyle w:val="Note"/>
      </w:pPr>
      <w:r>
        <w:t>(h)</w:t>
      </w:r>
      <w:r>
        <w:tab/>
        <w:t xml:space="preserve">A positive shock to average weekly earnings increases the expenses of public financial and non-financial corporations and reduces the general government sector’s income from dividends and ITEs. </w:t>
      </w:r>
    </w:p>
    <w:p w14:paraId="14757764" w14:textId="77777777" w:rsidR="00E259F6" w:rsidRDefault="00E259F6" w:rsidP="00E259F6">
      <w:pPr>
        <w:pStyle w:val="Note"/>
      </w:pPr>
      <w:r>
        <w:t>(</w:t>
      </w:r>
      <w:r w:rsidRPr="00AE6CC7">
        <w:t>i)</w:t>
      </w:r>
      <w:r w:rsidRPr="00AE6CC7">
        <w:tab/>
        <w:t>The smaller impact on the net result from transactions, compared with the impact on net debt, reflects that only the income component of the State’s investment return (and not the capital gain) is recorded on the operating statement.</w:t>
      </w:r>
    </w:p>
    <w:p w14:paraId="7971E901" w14:textId="77777777" w:rsidR="00E259F6" w:rsidRDefault="00E259F6" w:rsidP="00E259F6">
      <w:pPr>
        <w:pStyle w:val="Note"/>
      </w:pPr>
      <w:r>
        <w:t>(j)</w:t>
      </w:r>
      <w:r>
        <w:tab/>
        <w:t xml:space="preserve">Interest rates are assumed to be 1 percentage point higher in each year of the budget and forward estimates. The fiscal impact is based on the portion of government debt that would </w:t>
      </w:r>
      <w:r w:rsidRPr="00610245">
        <w:t xml:space="preserve">be repriced </w:t>
      </w:r>
      <w:r>
        <w:t xml:space="preserve">due to being refinanced, </w:t>
      </w:r>
      <w:r w:rsidRPr="005966F8">
        <w:t>and the portion of debt exposed to changes in interest rates (that is, not issued at fixed interest rates),</w:t>
      </w:r>
      <w:r>
        <w:t xml:space="preserve"> as well as new debt issuance. </w:t>
      </w:r>
      <w:r w:rsidRPr="002F08D2">
        <w:t xml:space="preserve">An increase in interest rates </w:t>
      </w:r>
      <w:r>
        <w:t xml:space="preserve">potentially </w:t>
      </w:r>
      <w:r w:rsidRPr="002F08D2">
        <w:t xml:space="preserve">also improves the net asset position of some public authorities, resulting in an increase in distributions paid to </w:t>
      </w:r>
      <w:r>
        <w:t>the government</w:t>
      </w:r>
      <w:r w:rsidRPr="002F08D2">
        <w:t>; this increases income from transactions in the budget year.</w:t>
      </w:r>
      <w:r w:rsidRPr="00294144">
        <w:t xml:space="preserve"> </w:t>
      </w:r>
    </w:p>
    <w:p w14:paraId="2204B59D" w14:textId="77777777" w:rsidR="00E259F6" w:rsidRDefault="00E259F6" w:rsidP="00E259F6">
      <w:pPr>
        <w:pStyle w:val="Note"/>
      </w:pPr>
      <w:r>
        <w:t>(k)</w:t>
      </w:r>
      <w:r>
        <w:tab/>
        <w:t>The larger impact on the net debt, compared with the impact on the net result from transactions, reflects that a reduction in non</w:t>
      </w:r>
      <w:r>
        <w:noBreakHyphen/>
        <w:t>cash superannuation expenses reduces operating expenses but does not reduce the net debt.</w:t>
      </w:r>
    </w:p>
    <w:p w14:paraId="02BD3FBE" w14:textId="77777777" w:rsidR="00341416" w:rsidRDefault="00341416" w:rsidP="00341416">
      <w:pPr>
        <w:keepLines w:val="0"/>
      </w:pPr>
    </w:p>
    <w:p w14:paraId="63BC18FB" w14:textId="77777777" w:rsidR="009256ED" w:rsidRDefault="009256ED" w:rsidP="009256ED">
      <w:pPr>
        <w:pStyle w:val="ChapterHeading"/>
        <w:sectPr w:rsidR="009256ED" w:rsidSect="009256ED">
          <w:headerReference w:type="default" r:id="rId47"/>
          <w:footerReference w:type="even" r:id="rId48"/>
          <w:footerReference w:type="default" r:id="rId49"/>
          <w:headerReference w:type="first" r:id="rId50"/>
          <w:pgSz w:w="9979" w:h="14175" w:code="34"/>
          <w:pgMar w:top="1134" w:right="1134" w:bottom="1134" w:left="1134" w:header="624" w:footer="567" w:gutter="0"/>
          <w:cols w:space="708"/>
          <w:docGrid w:linePitch="360"/>
        </w:sectPr>
      </w:pPr>
    </w:p>
    <w:p w14:paraId="07AEDCD8" w14:textId="0A8D2473" w:rsidR="009256ED" w:rsidRDefault="009256ED" w:rsidP="009256ED">
      <w:pPr>
        <w:pStyle w:val="ChapterHeading"/>
      </w:pPr>
      <w:bookmarkStart w:id="151" w:name="_Toc184299455"/>
      <w:r w:rsidRPr="005C456C">
        <w:t>Chapter 7 – Contingent assets and contingent liabilities</w:t>
      </w:r>
      <w:bookmarkEnd w:id="151"/>
    </w:p>
    <w:p w14:paraId="7658760A" w14:textId="77777777" w:rsidR="005C456C" w:rsidRDefault="005C456C" w:rsidP="005C456C">
      <w:r>
        <w:t>This chapter contains information on contingent assets and liabilities for the general government sector and should be read in conjunction with Chapter 4.</w:t>
      </w:r>
    </w:p>
    <w:p w14:paraId="3AB5549F" w14:textId="77777777" w:rsidR="005C456C" w:rsidRPr="00A75EFF" w:rsidRDefault="005C456C" w:rsidP="005C456C">
      <w:pPr>
        <w:pStyle w:val="Heading10"/>
      </w:pPr>
      <w:bookmarkStart w:id="152" w:name="_Toc152933040"/>
      <w:bookmarkStart w:id="153" w:name="_Toc179455725"/>
      <w:bookmarkStart w:id="154" w:name="_Toc184299456"/>
      <w:r w:rsidRPr="00A75EFF">
        <w:t>Contingent assets</w:t>
      </w:r>
      <w:bookmarkEnd w:id="152"/>
      <w:bookmarkEnd w:id="153"/>
      <w:bookmarkEnd w:id="154"/>
    </w:p>
    <w:p w14:paraId="597C1C52" w14:textId="77777777" w:rsidR="005C456C" w:rsidRDefault="005C456C" w:rsidP="005C456C">
      <w:r w:rsidRPr="006B5973">
        <w:t>Contingent assets are possible assets that arise from</w:t>
      </w:r>
      <w:r>
        <w:t xml:space="preserve"> past events, whose existence will be confirmed only by the occurrence or non</w:t>
      </w:r>
      <w:r>
        <w:noBreakHyphen/>
        <w:t>occurrence of one or more uncertain future events not wholly within the control of the entity.</w:t>
      </w:r>
    </w:p>
    <w:p w14:paraId="09575759" w14:textId="77777777" w:rsidR="005C456C" w:rsidRDefault="005C456C" w:rsidP="005C456C">
      <w:r>
        <w:t xml:space="preserve">These are classified as either quantifiable, where the potential economic benefit is known, or non-quantifiable. </w:t>
      </w:r>
    </w:p>
    <w:p w14:paraId="76BEB7D6" w14:textId="77777777" w:rsidR="005C456C" w:rsidRDefault="005C456C" w:rsidP="005C456C">
      <w:r>
        <w:t>Table 7.1 contains quantifiable contingent assets as a</w:t>
      </w:r>
      <w:r w:rsidRPr="00B14057">
        <w:t xml:space="preserve">t </w:t>
      </w:r>
      <w:r w:rsidRPr="009049F0">
        <w:t>20 November 2024 (arising</w:t>
      </w:r>
      <w:r>
        <w:t xml:space="preserve"> from outside of government).</w:t>
      </w:r>
    </w:p>
    <w:p w14:paraId="0D9F8A07" w14:textId="77777777" w:rsidR="005C456C" w:rsidRDefault="005C456C" w:rsidP="005C456C">
      <w:pPr>
        <w:pStyle w:val="TableHeading"/>
      </w:pPr>
      <w:r>
        <w:t>Table 7.1:</w:t>
      </w:r>
      <w:r>
        <w:tab/>
        <w:t xml:space="preserve">Quantifiable contingent assets </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CACL.xlsx|Table:Quant_Asset|MergedHeadingRow:1"/>
      </w:tblPr>
      <w:tblGrid>
        <w:gridCol w:w="4820"/>
        <w:gridCol w:w="1134"/>
        <w:gridCol w:w="1756"/>
      </w:tblGrid>
      <w:tr w:rsidR="005C456C" w14:paraId="360AEEE1"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3C7ED6A1" w14:textId="77777777" w:rsidR="005C456C" w:rsidRDefault="005C456C" w:rsidP="008670FF">
            <w:pPr>
              <w:keepNext/>
            </w:pPr>
          </w:p>
        </w:tc>
        <w:tc>
          <w:tcPr>
            <w:tcW w:w="1134" w:type="dxa"/>
          </w:tcPr>
          <w:p w14:paraId="68FCBF25" w14:textId="77777777" w:rsidR="005C456C" w:rsidRDefault="005C456C" w:rsidP="008670FF">
            <w:pPr>
              <w:keepNext/>
              <w:cnfStyle w:val="100000000000" w:firstRow="1" w:lastRow="0" w:firstColumn="0" w:lastColumn="0" w:oddVBand="0" w:evenVBand="0" w:oddHBand="0" w:evenHBand="0" w:firstRowFirstColumn="0" w:firstRowLastColumn="0" w:lastRowFirstColumn="0" w:lastRowLastColumn="0"/>
            </w:pPr>
            <w:r>
              <w:t>As at</w:t>
            </w:r>
            <w:r>
              <w:br/>
              <w:t>Nov 2024</w:t>
            </w:r>
          </w:p>
        </w:tc>
        <w:tc>
          <w:tcPr>
            <w:tcW w:w="1756" w:type="dxa"/>
          </w:tcPr>
          <w:p w14:paraId="433DD46B" w14:textId="77777777" w:rsidR="005C456C" w:rsidRDefault="005C456C" w:rsidP="008670FF">
            <w:pPr>
              <w:keepNext/>
              <w:cnfStyle w:val="100000000000" w:firstRow="1" w:lastRow="0" w:firstColumn="0" w:lastColumn="0" w:oddVBand="0" w:evenVBand="0" w:oddHBand="0" w:evenHBand="0" w:firstRowFirstColumn="0" w:firstRowLastColumn="0" w:lastRowFirstColumn="0" w:lastRowLastColumn="0"/>
            </w:pPr>
            <w:r>
              <w:t>Published budget</w:t>
            </w:r>
            <w:r>
              <w:br/>
              <w:t>estimate</w:t>
            </w:r>
            <w:r>
              <w:rPr>
                <w:vertAlign w:val="superscript"/>
              </w:rPr>
              <w:t xml:space="preserve"> (a)</w:t>
            </w:r>
          </w:p>
        </w:tc>
      </w:tr>
      <w:tr w:rsidR="005C456C" w14:paraId="36499695" w14:textId="77777777" w:rsidTr="008670FF">
        <w:tc>
          <w:tcPr>
            <w:cnfStyle w:val="001000000000" w:firstRow="0" w:lastRow="0" w:firstColumn="1" w:lastColumn="0" w:oddVBand="0" w:evenVBand="0" w:oddHBand="0" w:evenHBand="0" w:firstRowFirstColumn="0" w:firstRowLastColumn="0" w:lastRowFirstColumn="0" w:lastRowLastColumn="0"/>
            <w:tcW w:w="4820" w:type="dxa"/>
          </w:tcPr>
          <w:p w14:paraId="5C7AF7B1" w14:textId="77777777" w:rsidR="005C456C" w:rsidRDefault="005C456C" w:rsidP="008670FF">
            <w:r>
              <w:t>Guarantees, indemnities and warranties</w:t>
            </w:r>
          </w:p>
        </w:tc>
        <w:tc>
          <w:tcPr>
            <w:tcW w:w="1134" w:type="dxa"/>
          </w:tcPr>
          <w:p w14:paraId="747D25DA"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48</w:t>
            </w:r>
          </w:p>
        </w:tc>
        <w:tc>
          <w:tcPr>
            <w:tcW w:w="1756" w:type="dxa"/>
          </w:tcPr>
          <w:p w14:paraId="00221343"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56</w:t>
            </w:r>
          </w:p>
        </w:tc>
      </w:tr>
      <w:tr w:rsidR="005C456C" w14:paraId="77D38739" w14:textId="77777777" w:rsidTr="008670FF">
        <w:tc>
          <w:tcPr>
            <w:cnfStyle w:val="001000000000" w:firstRow="0" w:lastRow="0" w:firstColumn="1" w:lastColumn="0" w:oddVBand="0" w:evenVBand="0" w:oddHBand="0" w:evenHBand="0" w:firstRowFirstColumn="0" w:firstRowLastColumn="0" w:lastRowFirstColumn="0" w:lastRowLastColumn="0"/>
            <w:tcW w:w="4820" w:type="dxa"/>
          </w:tcPr>
          <w:p w14:paraId="4022902C" w14:textId="77777777" w:rsidR="005C456C" w:rsidRDefault="005C456C" w:rsidP="008670FF">
            <w:r>
              <w:t>Legal proceedings and disputes</w:t>
            </w:r>
          </w:p>
        </w:tc>
        <w:tc>
          <w:tcPr>
            <w:tcW w:w="1134" w:type="dxa"/>
          </w:tcPr>
          <w:p w14:paraId="0901B923"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19</w:t>
            </w:r>
          </w:p>
        </w:tc>
        <w:tc>
          <w:tcPr>
            <w:tcW w:w="1756" w:type="dxa"/>
          </w:tcPr>
          <w:p w14:paraId="22281C54"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w:t>
            </w:r>
          </w:p>
        </w:tc>
      </w:tr>
      <w:tr w:rsidR="005C456C" w14:paraId="0BB253F0" w14:textId="77777777" w:rsidTr="008670F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08F78534" w14:textId="77777777" w:rsidR="005C456C" w:rsidRDefault="005C456C" w:rsidP="008670FF">
            <w:r>
              <w:t>Other</w:t>
            </w:r>
          </w:p>
        </w:tc>
        <w:tc>
          <w:tcPr>
            <w:tcW w:w="1134" w:type="dxa"/>
            <w:tcBorders>
              <w:bottom w:val="single" w:sz="6" w:space="0" w:color="auto"/>
            </w:tcBorders>
          </w:tcPr>
          <w:p w14:paraId="1ABDDA29"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73</w:t>
            </w:r>
          </w:p>
        </w:tc>
        <w:tc>
          <w:tcPr>
            <w:tcW w:w="1756" w:type="dxa"/>
            <w:tcBorders>
              <w:bottom w:val="single" w:sz="6" w:space="0" w:color="auto"/>
            </w:tcBorders>
          </w:tcPr>
          <w:p w14:paraId="00670834"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150</w:t>
            </w:r>
          </w:p>
        </w:tc>
      </w:tr>
      <w:tr w:rsidR="005C456C" w14:paraId="076048A4" w14:textId="77777777" w:rsidTr="008670F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534AD5A3" w14:textId="77777777" w:rsidR="005C456C" w:rsidRDefault="005C456C" w:rsidP="008670FF">
            <w:r>
              <w:rPr>
                <w:b/>
              </w:rPr>
              <w:t>Total contingent assets</w:t>
            </w:r>
          </w:p>
        </w:tc>
        <w:tc>
          <w:tcPr>
            <w:tcW w:w="1134" w:type="dxa"/>
            <w:tcBorders>
              <w:top w:val="single" w:sz="6" w:space="0" w:color="auto"/>
              <w:bottom w:val="single" w:sz="12" w:space="0" w:color="auto"/>
            </w:tcBorders>
          </w:tcPr>
          <w:p w14:paraId="78F29FF3"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rPr>
                <w:b/>
              </w:rPr>
              <w:t>140</w:t>
            </w:r>
          </w:p>
        </w:tc>
        <w:tc>
          <w:tcPr>
            <w:tcW w:w="1756" w:type="dxa"/>
            <w:tcBorders>
              <w:top w:val="single" w:sz="6" w:space="0" w:color="auto"/>
              <w:bottom w:val="single" w:sz="12" w:space="0" w:color="auto"/>
            </w:tcBorders>
          </w:tcPr>
          <w:p w14:paraId="0EEF24B7"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rPr>
                <w:b/>
              </w:rPr>
              <w:t>206</w:t>
            </w:r>
          </w:p>
        </w:tc>
      </w:tr>
    </w:tbl>
    <w:p w14:paraId="13CF6BFC" w14:textId="77777777" w:rsidR="005C456C" w:rsidRDefault="005C456C" w:rsidP="005C456C">
      <w:pPr>
        <w:pStyle w:val="Note"/>
      </w:pPr>
      <w:r>
        <w:t>Note:</w:t>
      </w:r>
    </w:p>
    <w:p w14:paraId="176E6310" w14:textId="77777777" w:rsidR="005C456C" w:rsidRDefault="005C456C" w:rsidP="005C456C">
      <w:pPr>
        <w:pStyle w:val="Note"/>
      </w:pPr>
      <w:r>
        <w:t xml:space="preserve">(a) </w:t>
      </w:r>
      <w:r>
        <w:tab/>
        <w:t xml:space="preserve">As published in the </w:t>
      </w:r>
      <w:r w:rsidRPr="002F3EE5">
        <w:rPr>
          <w:i w:val="0"/>
          <w:iCs/>
        </w:rPr>
        <w:t>202</w:t>
      </w:r>
      <w:r>
        <w:rPr>
          <w:i w:val="0"/>
          <w:iCs/>
        </w:rPr>
        <w:t>4</w:t>
      </w:r>
      <w:r w:rsidRPr="002F3EE5">
        <w:rPr>
          <w:i w:val="0"/>
          <w:iCs/>
        </w:rPr>
        <w:t>-2</w:t>
      </w:r>
      <w:r>
        <w:rPr>
          <w:i w:val="0"/>
          <w:iCs/>
        </w:rPr>
        <w:t>5</w:t>
      </w:r>
      <w:r w:rsidRPr="002F3EE5">
        <w:rPr>
          <w:i w:val="0"/>
          <w:iCs/>
        </w:rPr>
        <w:t xml:space="preserve"> Budget</w:t>
      </w:r>
      <w:r>
        <w:rPr>
          <w:iCs/>
        </w:rPr>
        <w:t>.</w:t>
      </w:r>
    </w:p>
    <w:p w14:paraId="00DB1F5A" w14:textId="77777777" w:rsidR="005C456C" w:rsidRDefault="005C456C" w:rsidP="005C456C"/>
    <w:p w14:paraId="714E7E8F" w14:textId="77777777" w:rsidR="005C456C" w:rsidRDefault="005C456C" w:rsidP="005C456C">
      <w:pPr>
        <w:pStyle w:val="Heading20"/>
      </w:pPr>
      <w:r>
        <w:t>Non-quantifiable contingent assets</w:t>
      </w:r>
    </w:p>
    <w:p w14:paraId="6B5A1CFF" w14:textId="77777777" w:rsidR="005C456C" w:rsidRDefault="005C456C" w:rsidP="005C456C">
      <w:pPr>
        <w:pStyle w:val="Heading30"/>
      </w:pPr>
      <w:r>
        <w:t>Peninsula Link compensable enhancement claim</w:t>
      </w:r>
    </w:p>
    <w:p w14:paraId="7B176156" w14:textId="77777777" w:rsidR="005C456C" w:rsidRDefault="005C456C" w:rsidP="005C456C">
      <w:r>
        <w:t>The EastLink Concession Deed contains compensable enhancement provisions that enable the State to claim 50 per cent of any additional revenue derived by ConnectEast Pty Ltd (ConnectEast) as a result of certain events that particularly benefit EastLink, including changes to the adjoining road network.</w:t>
      </w:r>
    </w:p>
    <w:p w14:paraId="4AFE2670" w14:textId="77777777" w:rsidR="005C456C" w:rsidRDefault="005C456C" w:rsidP="005C456C">
      <w:r>
        <w:t>On 2 January 2014, the State lodged a compensable enhancement claim as a result of opening Peninsula Link. The claim remains outstanding.</w:t>
      </w:r>
    </w:p>
    <w:p w14:paraId="13157CD1" w14:textId="77777777" w:rsidR="005C456C" w:rsidRDefault="005C456C" w:rsidP="005C456C">
      <w:pPr>
        <w:pStyle w:val="Heading10"/>
      </w:pPr>
      <w:bookmarkStart w:id="155" w:name="_Toc152933041"/>
      <w:bookmarkStart w:id="156" w:name="_Toc179455726"/>
      <w:bookmarkStart w:id="157" w:name="_Toc184299457"/>
      <w:r>
        <w:t>Contingent liabilities</w:t>
      </w:r>
      <w:bookmarkEnd w:id="155"/>
      <w:bookmarkEnd w:id="156"/>
      <w:bookmarkEnd w:id="157"/>
    </w:p>
    <w:p w14:paraId="3A622782" w14:textId="77777777" w:rsidR="005C456C" w:rsidRDefault="005C456C" w:rsidP="005C456C">
      <w:pPr>
        <w:keepNext/>
      </w:pPr>
      <w:r>
        <w:t>Contingent liabilities are either:</w:t>
      </w:r>
    </w:p>
    <w:p w14:paraId="629267F0" w14:textId="77777777" w:rsidR="005C456C" w:rsidRDefault="005C456C" w:rsidP="005C456C">
      <w:pPr>
        <w:pStyle w:val="ListBullet"/>
      </w:pPr>
      <w:r>
        <w:t xml:space="preserve">possible </w:t>
      </w:r>
      <w:r w:rsidRPr="00412CDC">
        <w:t>obligations that arise from past events, whose existence will be confirmed only by the occurrence or non-occurrence of one or more uncertain future events not wholly within the control of the entity</w:t>
      </w:r>
    </w:p>
    <w:p w14:paraId="25AA477E" w14:textId="77777777" w:rsidR="005C456C" w:rsidRDefault="005C456C" w:rsidP="005C456C">
      <w:pPr>
        <w:pStyle w:val="ListBullet"/>
      </w:pPr>
      <w:r>
        <w:t xml:space="preserve">present </w:t>
      </w:r>
      <w:r w:rsidRPr="00412CDC">
        <w:t>obligations that arise from past events but are not recognised because of either of the following:</w:t>
      </w:r>
    </w:p>
    <w:p w14:paraId="1085766E" w14:textId="77777777" w:rsidR="005C456C" w:rsidRPr="00716A8E" w:rsidRDefault="005C456C" w:rsidP="005C456C">
      <w:pPr>
        <w:pStyle w:val="ListBullet2"/>
      </w:pPr>
      <w:r w:rsidRPr="00716A8E">
        <w:t xml:space="preserve">it is not probable that an outflow of resources embodying economic benefits will be required to settle the obligations </w:t>
      </w:r>
    </w:p>
    <w:p w14:paraId="6B1D22A4" w14:textId="77777777" w:rsidR="005C456C" w:rsidRPr="00716A8E" w:rsidRDefault="005C456C" w:rsidP="005C456C">
      <w:pPr>
        <w:pStyle w:val="ListBullet2"/>
      </w:pPr>
      <w:r w:rsidRPr="00716A8E">
        <w:t>the amount of the obligations cannot be measured with sufficient reliability.</w:t>
      </w:r>
    </w:p>
    <w:p w14:paraId="57C6CEC2" w14:textId="77777777" w:rsidR="005C456C" w:rsidRDefault="005C456C" w:rsidP="005C456C">
      <w:r>
        <w:t>Contingent liabilities are also classified as either quantifiable or non-quantifiable.</w:t>
      </w:r>
    </w:p>
    <w:p w14:paraId="00F6D8F3" w14:textId="77777777" w:rsidR="005C456C" w:rsidRDefault="005C456C" w:rsidP="005C456C">
      <w:r>
        <w:t xml:space="preserve">Table 7.2 contains quantifiable contingent liabilities as </w:t>
      </w:r>
      <w:r w:rsidRPr="009049F0">
        <w:t>at 20 November 2024.</w:t>
      </w:r>
    </w:p>
    <w:p w14:paraId="18ED880B" w14:textId="77777777" w:rsidR="005C456C" w:rsidRDefault="005C456C" w:rsidP="005C456C">
      <w:pPr>
        <w:pStyle w:val="TableHeading"/>
      </w:pPr>
      <w:r>
        <w:t>Table 7.2:</w:t>
      </w:r>
      <w:r>
        <w:tab/>
        <w:t>Quantifiable contingent liabilities</w:t>
      </w:r>
      <w:r>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Financial%20Statements/Manual%20reports/Link_BU_CACL.xlsx|Table:Quant_Liabilities|MergedHeadingRow:1"/>
      </w:tblPr>
      <w:tblGrid>
        <w:gridCol w:w="4820"/>
        <w:gridCol w:w="1276"/>
        <w:gridCol w:w="1614"/>
      </w:tblGrid>
      <w:tr w:rsidR="005C456C" w14:paraId="246C31F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6B88D673" w14:textId="77777777" w:rsidR="005C456C" w:rsidRDefault="005C456C" w:rsidP="008670FF">
            <w:pPr>
              <w:keepNext/>
            </w:pPr>
          </w:p>
        </w:tc>
        <w:tc>
          <w:tcPr>
            <w:tcW w:w="1276" w:type="dxa"/>
          </w:tcPr>
          <w:p w14:paraId="7B97F7EA" w14:textId="77777777" w:rsidR="005C456C" w:rsidRDefault="005C456C" w:rsidP="008670FF">
            <w:pPr>
              <w:keepNext/>
              <w:cnfStyle w:val="100000000000" w:firstRow="1" w:lastRow="0" w:firstColumn="0" w:lastColumn="0" w:oddVBand="0" w:evenVBand="0" w:oddHBand="0" w:evenHBand="0" w:firstRowFirstColumn="0" w:firstRowLastColumn="0" w:lastRowFirstColumn="0" w:lastRowLastColumn="0"/>
            </w:pPr>
            <w:r>
              <w:t>As at</w:t>
            </w:r>
            <w:r>
              <w:br/>
              <w:t>Nov 2024</w:t>
            </w:r>
          </w:p>
        </w:tc>
        <w:tc>
          <w:tcPr>
            <w:tcW w:w="1614" w:type="dxa"/>
          </w:tcPr>
          <w:p w14:paraId="100ED774" w14:textId="77777777" w:rsidR="005C456C" w:rsidRDefault="005C456C" w:rsidP="008670FF">
            <w:pPr>
              <w:keepNext/>
              <w:cnfStyle w:val="100000000000" w:firstRow="1" w:lastRow="0" w:firstColumn="0" w:lastColumn="0" w:oddVBand="0" w:evenVBand="0" w:oddHBand="0" w:evenHBand="0" w:firstRowFirstColumn="0" w:firstRowLastColumn="0" w:lastRowFirstColumn="0" w:lastRowLastColumn="0"/>
            </w:pPr>
            <w:r>
              <w:t>Published budget</w:t>
            </w:r>
            <w:r>
              <w:br/>
              <w:t>estimate</w:t>
            </w:r>
            <w:r>
              <w:rPr>
                <w:vertAlign w:val="superscript"/>
              </w:rPr>
              <w:t xml:space="preserve"> (a)</w:t>
            </w:r>
          </w:p>
        </w:tc>
      </w:tr>
      <w:tr w:rsidR="005C456C" w14:paraId="0E46B67C" w14:textId="77777777" w:rsidTr="008670FF">
        <w:tc>
          <w:tcPr>
            <w:cnfStyle w:val="001000000000" w:firstRow="0" w:lastRow="0" w:firstColumn="1" w:lastColumn="0" w:oddVBand="0" w:evenVBand="0" w:oddHBand="0" w:evenHBand="0" w:firstRowFirstColumn="0" w:firstRowLastColumn="0" w:lastRowFirstColumn="0" w:lastRowLastColumn="0"/>
            <w:tcW w:w="4820" w:type="dxa"/>
          </w:tcPr>
          <w:p w14:paraId="65C5ACBE" w14:textId="77777777" w:rsidR="005C456C" w:rsidRDefault="005C456C" w:rsidP="008670FF">
            <w:r>
              <w:t>Guarantees, indemnities and warranties</w:t>
            </w:r>
            <w:r>
              <w:rPr>
                <w:vertAlign w:val="superscript"/>
              </w:rPr>
              <w:t xml:space="preserve"> (b)</w:t>
            </w:r>
          </w:p>
        </w:tc>
        <w:tc>
          <w:tcPr>
            <w:tcW w:w="1276" w:type="dxa"/>
          </w:tcPr>
          <w:p w14:paraId="6B80D0F5"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1 462</w:t>
            </w:r>
          </w:p>
        </w:tc>
        <w:tc>
          <w:tcPr>
            <w:tcW w:w="1614" w:type="dxa"/>
          </w:tcPr>
          <w:p w14:paraId="47DD4256"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1 481</w:t>
            </w:r>
          </w:p>
        </w:tc>
      </w:tr>
      <w:tr w:rsidR="005C456C" w14:paraId="6BD27EE3" w14:textId="77777777" w:rsidTr="008670FF">
        <w:tc>
          <w:tcPr>
            <w:cnfStyle w:val="001000000000" w:firstRow="0" w:lastRow="0" w:firstColumn="1" w:lastColumn="0" w:oddVBand="0" w:evenVBand="0" w:oddHBand="0" w:evenHBand="0" w:firstRowFirstColumn="0" w:firstRowLastColumn="0" w:lastRowFirstColumn="0" w:lastRowLastColumn="0"/>
            <w:tcW w:w="4820" w:type="dxa"/>
          </w:tcPr>
          <w:p w14:paraId="49D37356" w14:textId="77777777" w:rsidR="005C456C" w:rsidRDefault="005C456C" w:rsidP="008670FF">
            <w:r>
              <w:t>Legal proceedings and disputes</w:t>
            </w:r>
          </w:p>
        </w:tc>
        <w:tc>
          <w:tcPr>
            <w:tcW w:w="1276" w:type="dxa"/>
          </w:tcPr>
          <w:p w14:paraId="4FFC7E3C"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411</w:t>
            </w:r>
          </w:p>
        </w:tc>
        <w:tc>
          <w:tcPr>
            <w:tcW w:w="1614" w:type="dxa"/>
          </w:tcPr>
          <w:p w14:paraId="2483B564"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337</w:t>
            </w:r>
          </w:p>
        </w:tc>
      </w:tr>
      <w:tr w:rsidR="005C456C" w14:paraId="5DF04607" w14:textId="77777777" w:rsidTr="008670FF">
        <w:tc>
          <w:tcPr>
            <w:cnfStyle w:val="001000000000" w:firstRow="0" w:lastRow="0" w:firstColumn="1" w:lastColumn="0" w:oddVBand="0" w:evenVBand="0" w:oddHBand="0" w:evenHBand="0" w:firstRowFirstColumn="0" w:firstRowLastColumn="0" w:lastRowFirstColumn="0" w:lastRowLastColumn="0"/>
            <w:tcW w:w="4820" w:type="dxa"/>
          </w:tcPr>
          <w:p w14:paraId="055AC833" w14:textId="77777777" w:rsidR="005C456C" w:rsidRDefault="005C456C" w:rsidP="008670FF">
            <w:r>
              <w:t>Other</w:t>
            </w:r>
          </w:p>
        </w:tc>
        <w:tc>
          <w:tcPr>
            <w:tcW w:w="1276" w:type="dxa"/>
          </w:tcPr>
          <w:p w14:paraId="06BEF837"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429</w:t>
            </w:r>
          </w:p>
        </w:tc>
        <w:tc>
          <w:tcPr>
            <w:tcW w:w="1614" w:type="dxa"/>
          </w:tcPr>
          <w:p w14:paraId="6745057C"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354</w:t>
            </w:r>
          </w:p>
        </w:tc>
      </w:tr>
      <w:tr w:rsidR="005C456C" w14:paraId="5091C847" w14:textId="77777777" w:rsidTr="008670F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65BB6E88" w14:textId="77777777" w:rsidR="005C456C" w:rsidRDefault="005C456C" w:rsidP="008670FF">
            <w:r>
              <w:t>Non</w:t>
            </w:r>
            <w:r>
              <w:noBreakHyphen/>
              <w:t xml:space="preserve">general government debt </w:t>
            </w:r>
            <w:r>
              <w:rPr>
                <w:vertAlign w:val="superscript"/>
              </w:rPr>
              <w:t>(c)</w:t>
            </w:r>
          </w:p>
        </w:tc>
        <w:tc>
          <w:tcPr>
            <w:tcW w:w="1276" w:type="dxa"/>
            <w:tcBorders>
              <w:bottom w:val="single" w:sz="6" w:space="0" w:color="auto"/>
            </w:tcBorders>
          </w:tcPr>
          <w:p w14:paraId="628C3823"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18 183</w:t>
            </w:r>
          </w:p>
        </w:tc>
        <w:tc>
          <w:tcPr>
            <w:tcW w:w="1614" w:type="dxa"/>
            <w:tcBorders>
              <w:bottom w:val="single" w:sz="6" w:space="0" w:color="auto"/>
            </w:tcBorders>
          </w:tcPr>
          <w:p w14:paraId="385283A9"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t>16 768</w:t>
            </w:r>
          </w:p>
        </w:tc>
      </w:tr>
      <w:tr w:rsidR="005C456C" w14:paraId="38B7159C" w14:textId="77777777" w:rsidTr="008670F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03BD3C7D" w14:textId="77777777" w:rsidR="005C456C" w:rsidRDefault="005C456C" w:rsidP="008670FF">
            <w:r>
              <w:rPr>
                <w:b/>
              </w:rPr>
              <w:t>Total contingent liabilities</w:t>
            </w:r>
          </w:p>
        </w:tc>
        <w:tc>
          <w:tcPr>
            <w:tcW w:w="1276" w:type="dxa"/>
            <w:tcBorders>
              <w:top w:val="single" w:sz="6" w:space="0" w:color="auto"/>
              <w:bottom w:val="single" w:sz="12" w:space="0" w:color="auto"/>
            </w:tcBorders>
          </w:tcPr>
          <w:p w14:paraId="0DC64215"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rPr>
                <w:b/>
              </w:rPr>
              <w:t>20 485</w:t>
            </w:r>
          </w:p>
        </w:tc>
        <w:tc>
          <w:tcPr>
            <w:tcW w:w="1614" w:type="dxa"/>
            <w:tcBorders>
              <w:top w:val="single" w:sz="6" w:space="0" w:color="auto"/>
              <w:bottom w:val="single" w:sz="12" w:space="0" w:color="auto"/>
            </w:tcBorders>
          </w:tcPr>
          <w:p w14:paraId="09E1DBBA" w14:textId="77777777" w:rsidR="005C456C" w:rsidRDefault="005C456C" w:rsidP="008670FF">
            <w:pPr>
              <w:cnfStyle w:val="000000000000" w:firstRow="0" w:lastRow="0" w:firstColumn="0" w:lastColumn="0" w:oddVBand="0" w:evenVBand="0" w:oddHBand="0" w:evenHBand="0" w:firstRowFirstColumn="0" w:firstRowLastColumn="0" w:lastRowFirstColumn="0" w:lastRowLastColumn="0"/>
            </w:pPr>
            <w:r>
              <w:rPr>
                <w:b/>
              </w:rPr>
              <w:t>18 939</w:t>
            </w:r>
          </w:p>
        </w:tc>
      </w:tr>
    </w:tbl>
    <w:p w14:paraId="62C4CD7F" w14:textId="77777777" w:rsidR="005C456C" w:rsidRDefault="005C456C" w:rsidP="005C456C">
      <w:pPr>
        <w:pStyle w:val="Note"/>
      </w:pPr>
      <w:r>
        <w:t>Notes:</w:t>
      </w:r>
    </w:p>
    <w:p w14:paraId="330C7A72" w14:textId="77777777" w:rsidR="005C456C" w:rsidRDefault="005C456C" w:rsidP="005C456C">
      <w:pPr>
        <w:pStyle w:val="Note"/>
      </w:pPr>
      <w:r>
        <w:t>(a)</w:t>
      </w:r>
      <w:r>
        <w:tab/>
        <w:t xml:space="preserve">As published </w:t>
      </w:r>
      <w:r w:rsidRPr="00394AC8">
        <w:t xml:space="preserve">in the </w:t>
      </w:r>
      <w:r w:rsidRPr="00EC2745">
        <w:rPr>
          <w:i w:val="0"/>
          <w:iCs/>
        </w:rPr>
        <w:t>202</w:t>
      </w:r>
      <w:r>
        <w:rPr>
          <w:i w:val="0"/>
          <w:iCs/>
        </w:rPr>
        <w:t>4</w:t>
      </w:r>
      <w:r w:rsidRPr="00EC2745">
        <w:rPr>
          <w:i w:val="0"/>
          <w:iCs/>
        </w:rPr>
        <w:t>-</w:t>
      </w:r>
      <w:r>
        <w:rPr>
          <w:i w:val="0"/>
          <w:iCs/>
        </w:rPr>
        <w:t>25</w:t>
      </w:r>
      <w:r w:rsidRPr="00EC2745">
        <w:rPr>
          <w:i w:val="0"/>
          <w:iCs/>
        </w:rPr>
        <w:t xml:space="preserve"> Budget</w:t>
      </w:r>
      <w:r>
        <w:rPr>
          <w:iCs/>
        </w:rPr>
        <w:t>.</w:t>
      </w:r>
    </w:p>
    <w:p w14:paraId="00C2442E" w14:textId="77777777" w:rsidR="005C456C" w:rsidRDefault="005C456C" w:rsidP="005C456C">
      <w:pPr>
        <w:pStyle w:val="Note"/>
      </w:pPr>
      <w:r>
        <w:t>(b)</w:t>
      </w:r>
      <w:r>
        <w:tab/>
      </w:r>
      <w:r w:rsidRPr="00CF05CE">
        <w:t xml:space="preserve">Guarantees, indemnities and warranties include loans provided by the Treasury Corporation of Victoria to entities other than the State of Victoria and participating authorities, subject to the provision of a guarantee by the Treasurer. </w:t>
      </w:r>
    </w:p>
    <w:p w14:paraId="37BE473E" w14:textId="77777777" w:rsidR="005C456C" w:rsidRDefault="005C456C" w:rsidP="005C456C">
      <w:pPr>
        <w:pStyle w:val="Note"/>
      </w:pPr>
      <w:r>
        <w:t xml:space="preserve">(c) </w:t>
      </w:r>
      <w:r>
        <w:tab/>
        <w:t>Mainly represents the guarantee of borrowings provided by the Treasurer for the public sector borrowings portfolio. Expected losses under any financial guarantees are recorded as financial liabilities in the balance sheet.</w:t>
      </w:r>
    </w:p>
    <w:p w14:paraId="19BFE7A6" w14:textId="77777777" w:rsidR="005C456C" w:rsidRDefault="005C456C" w:rsidP="005C456C"/>
    <w:p w14:paraId="0A3863FD" w14:textId="77777777" w:rsidR="005C456C" w:rsidRDefault="005C456C">
      <w:pPr>
        <w:keepLines w:val="0"/>
        <w:rPr>
          <w:rFonts w:asciiTheme="majorHAnsi" w:eastAsiaTheme="majorEastAsia" w:hAnsiTheme="majorHAnsi" w:cstheme="majorBidi"/>
          <w:b/>
          <w:sz w:val="27"/>
          <w:szCs w:val="26"/>
        </w:rPr>
      </w:pPr>
      <w:r>
        <w:br w:type="page"/>
      </w:r>
    </w:p>
    <w:p w14:paraId="72268D3D" w14:textId="6176160A" w:rsidR="005C456C" w:rsidRDefault="005C456C" w:rsidP="005C456C">
      <w:pPr>
        <w:pStyle w:val="Heading20"/>
      </w:pPr>
      <w:r>
        <w:t>Non-quantifiable contingent liabilities</w:t>
      </w:r>
    </w:p>
    <w:p w14:paraId="4C05575E" w14:textId="77777777" w:rsidR="005C456C" w:rsidRDefault="005C456C" w:rsidP="005C456C">
      <w:r>
        <w:t>A number of potential obligations are non</w:t>
      </w:r>
      <w:r>
        <w:noBreakHyphen/>
        <w:t>quantifiable at this time arising from:</w:t>
      </w:r>
    </w:p>
    <w:p w14:paraId="03F594E2" w14:textId="77777777" w:rsidR="005C456C" w:rsidRPr="0020345D" w:rsidRDefault="005C456C" w:rsidP="005C456C">
      <w:pPr>
        <w:pStyle w:val="ListBullet"/>
      </w:pPr>
      <w:r w:rsidRPr="0020345D">
        <w:t xml:space="preserve">indemnities </w:t>
      </w:r>
      <w:r w:rsidRPr="00412CDC">
        <w:t>relating to transactions</w:t>
      </w:r>
      <w:r w:rsidRPr="0020345D">
        <w:t>, including financial arrangements and consultancy services, as well as for directors and administrators</w:t>
      </w:r>
    </w:p>
    <w:p w14:paraId="7F5D4C82" w14:textId="77777777" w:rsidR="005C456C" w:rsidRPr="0020345D" w:rsidRDefault="005C456C" w:rsidP="005C456C">
      <w:pPr>
        <w:pStyle w:val="ListBullet"/>
      </w:pPr>
      <w:r w:rsidRPr="0020345D">
        <w:t>performance guarantees, warranties, letters of comfort and the like</w:t>
      </w:r>
    </w:p>
    <w:p w14:paraId="394D1016" w14:textId="77777777" w:rsidR="005C456C" w:rsidRPr="0020345D" w:rsidRDefault="005C456C" w:rsidP="005C456C">
      <w:pPr>
        <w:pStyle w:val="ListBullet"/>
      </w:pPr>
      <w:r w:rsidRPr="0020345D">
        <w:t>deeds in respect of certain obligations</w:t>
      </w:r>
    </w:p>
    <w:p w14:paraId="5C6EF561" w14:textId="77777777" w:rsidR="005C456C" w:rsidRPr="0020345D" w:rsidRDefault="005C456C" w:rsidP="005C456C">
      <w:pPr>
        <w:pStyle w:val="ListBullet"/>
      </w:pPr>
      <w:r w:rsidRPr="0020345D">
        <w:t>unclaimed monies, which may be subject to future claims by the general public against the State.</w:t>
      </w:r>
    </w:p>
    <w:p w14:paraId="27C87ED4" w14:textId="77777777" w:rsidR="005C456C" w:rsidRDefault="005C456C" w:rsidP="005C456C">
      <w:r>
        <w:t>An overview of the more significant non</w:t>
      </w:r>
      <w:r>
        <w:noBreakHyphen/>
        <w:t>quantifiable liabilities follows.</w:t>
      </w:r>
    </w:p>
    <w:p w14:paraId="51B656C4" w14:textId="77777777" w:rsidR="005C456C" w:rsidRPr="001A2FAA" w:rsidRDefault="005C456C" w:rsidP="005C456C">
      <w:pPr>
        <w:pStyle w:val="Heading30"/>
      </w:pPr>
      <w:r w:rsidRPr="001A2FAA">
        <w:t>Compulsory property acquisitions</w:t>
      </w:r>
    </w:p>
    <w:p w14:paraId="5B2B8F8B" w14:textId="77777777" w:rsidR="005C456C" w:rsidRPr="006E791A" w:rsidRDefault="005C456C" w:rsidP="005C456C">
      <w:pPr>
        <w:rPr>
          <w:rFonts w:ascii="Garamond" w:eastAsia="Garamond" w:hAnsi="Garamond"/>
        </w:rPr>
      </w:pPr>
      <w:r w:rsidRPr="006E791A">
        <w:rPr>
          <w:rFonts w:ascii="Garamond" w:eastAsia="Garamond" w:hAnsi="Garamond"/>
        </w:rPr>
        <w:t xml:space="preserve">The State has compulsorily acquired a number of properties (residential and commercial) through the </w:t>
      </w:r>
      <w:r w:rsidRPr="006E791A">
        <w:rPr>
          <w:rFonts w:ascii="Garamond" w:eastAsia="Garamond" w:hAnsi="Garamond"/>
          <w:i/>
        </w:rPr>
        <w:t>Land Acquisition and Compensation Act 1986</w:t>
      </w:r>
      <w:r w:rsidRPr="006E791A">
        <w:rPr>
          <w:rFonts w:ascii="Garamond" w:eastAsia="Garamond" w:hAnsi="Garamond"/>
        </w:rPr>
        <w:t xml:space="preserve"> to facilitate delivery of various projects. Possible future claims for compensation arising from the compulsory acquisition of these properties cannot be quantified at this stage.</w:t>
      </w:r>
    </w:p>
    <w:p w14:paraId="312EA861" w14:textId="77777777" w:rsidR="005C456C" w:rsidRPr="00596030" w:rsidRDefault="005C456C" w:rsidP="005C456C">
      <w:pPr>
        <w:pStyle w:val="Heading30"/>
      </w:pPr>
      <w:r w:rsidRPr="00596030">
        <w:t xml:space="preserve">COVID-19 class action – Victorian businesses </w:t>
      </w:r>
    </w:p>
    <w:p w14:paraId="65FE65C1" w14:textId="77777777" w:rsidR="005C456C" w:rsidRPr="00163FAB" w:rsidRDefault="005C456C" w:rsidP="005C456C">
      <w:pPr>
        <w:rPr>
          <w:rFonts w:ascii="Garamond" w:eastAsia="Garamond" w:hAnsi="Garamond"/>
        </w:rPr>
      </w:pPr>
      <w:r w:rsidRPr="00163FAB">
        <w:rPr>
          <w:rFonts w:ascii="Garamond" w:eastAsia="Garamond" w:hAnsi="Garamond"/>
        </w:rPr>
        <w:t xml:space="preserve">A class action has been filed in the Supreme Court of Victoria against the State of Victoria, the </w:t>
      </w:r>
      <w:r>
        <w:rPr>
          <w:rFonts w:ascii="Garamond" w:eastAsia="Garamond" w:hAnsi="Garamond"/>
        </w:rPr>
        <w:t xml:space="preserve">former </w:t>
      </w:r>
      <w:r w:rsidRPr="00163FAB">
        <w:rPr>
          <w:rFonts w:ascii="Garamond" w:eastAsia="Garamond" w:hAnsi="Garamond"/>
        </w:rPr>
        <w:t xml:space="preserve">Ministers for Health and Jobs, and the </w:t>
      </w:r>
      <w:r>
        <w:rPr>
          <w:rFonts w:ascii="Garamond" w:eastAsia="Garamond" w:hAnsi="Garamond"/>
        </w:rPr>
        <w:t xml:space="preserve">former </w:t>
      </w:r>
      <w:r w:rsidRPr="00163FAB">
        <w:rPr>
          <w:rFonts w:ascii="Garamond" w:eastAsia="Garamond" w:hAnsi="Garamond"/>
        </w:rPr>
        <w:t>Secretaries of the Department of Health and Human Services and the Department of Jobs, Precincts and Regions relating to economic losses suffered by Victorian businesses under Stage 3 and 4 public health restrictions. The V</w:t>
      </w:r>
      <w:r>
        <w:rPr>
          <w:rFonts w:ascii="Garamond" w:eastAsia="Garamond" w:hAnsi="Garamond"/>
        </w:rPr>
        <w:t>ictorian Managed Insurance Authority (</w:t>
      </w:r>
      <w:r w:rsidRPr="00163FAB">
        <w:rPr>
          <w:rFonts w:ascii="Garamond" w:eastAsia="Garamond" w:hAnsi="Garamond"/>
        </w:rPr>
        <w:t>VMIA</w:t>
      </w:r>
      <w:r>
        <w:rPr>
          <w:rFonts w:ascii="Garamond" w:eastAsia="Garamond" w:hAnsi="Garamond"/>
        </w:rPr>
        <w:t>)</w:t>
      </w:r>
      <w:r w:rsidRPr="00163FAB">
        <w:rPr>
          <w:rFonts w:ascii="Garamond" w:eastAsia="Garamond" w:hAnsi="Garamond"/>
        </w:rPr>
        <w:t xml:space="preserve"> has been notified of this proceeding and it is intended that VMIA’s Combined Liability Policy will respond. </w:t>
      </w:r>
    </w:p>
    <w:p w14:paraId="6B92991E" w14:textId="77777777" w:rsidR="005C456C" w:rsidRPr="00163FAB" w:rsidRDefault="005C456C" w:rsidP="005C456C">
      <w:pPr>
        <w:rPr>
          <w:rFonts w:ascii="Garamond" w:eastAsia="Garamond" w:hAnsi="Garamond"/>
        </w:rPr>
      </w:pPr>
      <w:r w:rsidRPr="00163FAB">
        <w:rPr>
          <w:rFonts w:ascii="Garamond" w:eastAsia="Garamond" w:hAnsi="Garamond"/>
        </w:rPr>
        <w:t>At this stage it is impractical to quantify the financial effects of this contingent liability.</w:t>
      </w:r>
    </w:p>
    <w:p w14:paraId="72090556" w14:textId="77777777" w:rsidR="005C456C" w:rsidRPr="00596030" w:rsidRDefault="005C456C" w:rsidP="005C456C">
      <w:pPr>
        <w:pStyle w:val="Heading30"/>
      </w:pPr>
      <w:r w:rsidRPr="00596030">
        <w:t>COVID-19 related claim notifications</w:t>
      </w:r>
    </w:p>
    <w:p w14:paraId="5F1EB4BE" w14:textId="77777777" w:rsidR="005C456C" w:rsidRPr="00146E74" w:rsidRDefault="005C456C" w:rsidP="005C456C">
      <w:pPr>
        <w:rPr>
          <w:rFonts w:ascii="Garamond" w:eastAsia="Garamond" w:hAnsi="Garamond"/>
        </w:rPr>
      </w:pPr>
      <w:r w:rsidRPr="00146E74">
        <w:rPr>
          <w:rFonts w:ascii="Garamond" w:eastAsia="Garamond" w:hAnsi="Garamond"/>
        </w:rPr>
        <w:t>The Department of Transport and Planning has received and may receive notifications under the contractual agreements by the contractors in relation to the possible impact of COVID</w:t>
      </w:r>
      <w:r w:rsidRPr="00C668A0">
        <w:rPr>
          <w:rFonts w:ascii="Garamond" w:eastAsia="Garamond" w:hAnsi="Garamond"/>
        </w:rPr>
        <w:t>-</w:t>
      </w:r>
      <w:r w:rsidRPr="00146E74">
        <w:rPr>
          <w:rFonts w:ascii="Garamond" w:eastAsia="Garamond" w:hAnsi="Garamond"/>
        </w:rPr>
        <w:t xml:space="preserve">19 on a number of projects. Current and possible future claims cannot be reliably estimated at this stage, as quantifiable claims are still under review and/or have not yet been provided for under the contract. </w:t>
      </w:r>
    </w:p>
    <w:p w14:paraId="3808CAA5" w14:textId="77777777" w:rsidR="005C456C" w:rsidRPr="00146E74" w:rsidRDefault="005C456C" w:rsidP="005C456C">
      <w:pPr>
        <w:rPr>
          <w:rFonts w:ascii="Garamond" w:eastAsia="Garamond" w:hAnsi="Garamond"/>
        </w:rPr>
      </w:pPr>
      <w:r w:rsidRPr="00146E74">
        <w:rPr>
          <w:rFonts w:ascii="Garamond" w:eastAsia="Garamond" w:hAnsi="Garamond"/>
        </w:rPr>
        <w:t>It is not possible to estimate the financial effect of these claims at the date of this report.</w:t>
      </w:r>
    </w:p>
    <w:p w14:paraId="04DBA39F" w14:textId="77777777" w:rsidR="005C456C" w:rsidRDefault="005C456C">
      <w:pPr>
        <w:keepLines w:val="0"/>
        <w:rPr>
          <w:rFonts w:asciiTheme="majorHAnsi" w:eastAsiaTheme="majorEastAsia" w:hAnsiTheme="majorHAnsi" w:cstheme="majorBidi"/>
          <w:b/>
          <w:szCs w:val="24"/>
        </w:rPr>
      </w:pPr>
      <w:r>
        <w:br w:type="page"/>
      </w:r>
    </w:p>
    <w:p w14:paraId="4452EBD1" w14:textId="30609908" w:rsidR="005C456C" w:rsidRPr="00316FB2" w:rsidRDefault="005C456C" w:rsidP="005C456C">
      <w:pPr>
        <w:pStyle w:val="Heading30"/>
      </w:pPr>
      <w:r w:rsidRPr="00316FB2">
        <w:t>Department of Education</w:t>
      </w:r>
    </w:p>
    <w:p w14:paraId="3C2D7C87" w14:textId="77777777" w:rsidR="005C456C" w:rsidRDefault="005C456C" w:rsidP="005C456C">
      <w:r>
        <w:t>The Department of Education has a number of non</w:t>
      </w:r>
      <w:r>
        <w:noBreakHyphen/>
        <w:t>quantifiable contingent liabilities, arising from indemnities provided by it, as follows:</w:t>
      </w:r>
    </w:p>
    <w:p w14:paraId="380F2B73" w14:textId="77777777" w:rsidR="005C456C" w:rsidRPr="00412CDC" w:rsidRDefault="005C456C" w:rsidP="005C456C">
      <w:pPr>
        <w:pStyle w:val="ListBullet"/>
      </w:pPr>
      <w:bookmarkStart w:id="158" w:name="_Hlk115870697"/>
      <w:r w:rsidRPr="00412CDC">
        <w:t xml:space="preserve">Volunteer school workers and volunteer student workers: </w:t>
      </w:r>
      <w:r>
        <w:t>T</w:t>
      </w:r>
      <w:r w:rsidRPr="00412CDC">
        <w:t xml:space="preserve">he </w:t>
      </w:r>
      <w:r w:rsidRPr="00D753F0">
        <w:rPr>
          <w:i/>
          <w:iCs/>
        </w:rPr>
        <w:t>Education and Training Reform Act 2006</w:t>
      </w:r>
      <w:r w:rsidRPr="00412CDC">
        <w:t xml:space="preserve"> provides indemnity for personal injuries or death (and at the discretion of the Minister, for property damage) suffered by volunteer school workers and volunteer student workers arising out of or in the course of engaging in school work or community work respectively.</w:t>
      </w:r>
    </w:p>
    <w:bookmarkEnd w:id="158"/>
    <w:p w14:paraId="39029D8A" w14:textId="77777777" w:rsidR="005C456C" w:rsidRPr="00412CDC" w:rsidRDefault="005C456C" w:rsidP="005C456C">
      <w:pPr>
        <w:pStyle w:val="ListBullet"/>
      </w:pPr>
      <w:r w:rsidRPr="00412CDC">
        <w:t xml:space="preserve">Teaching service and public service employees: </w:t>
      </w:r>
      <w:r>
        <w:t>I</w:t>
      </w:r>
      <w:r w:rsidRPr="00412CDC">
        <w:t>f a Department employee is named as a defendant in a civil proceeding (for example, personal injury, discrimination or employment claim), any costs and damages will generally be paid by the Department provided the employee was not under the influence of illicit drugs or alcohol or engaging in a criminal offence and the behaviour was not outrageous and was related to their employment.</w:t>
      </w:r>
    </w:p>
    <w:p w14:paraId="34628AE7" w14:textId="77777777" w:rsidR="005C456C" w:rsidRPr="00412CDC" w:rsidRDefault="005C456C" w:rsidP="005C456C">
      <w:pPr>
        <w:pStyle w:val="ListBullet"/>
      </w:pPr>
      <w:r w:rsidRPr="00412CDC">
        <w:t xml:space="preserve">Board members: </w:t>
      </w:r>
      <w:r>
        <w:t>T</w:t>
      </w:r>
      <w:r w:rsidRPr="00412CDC">
        <w:t xml:space="preserve">he </w:t>
      </w:r>
      <w:r w:rsidRPr="00D753F0">
        <w:rPr>
          <w:i/>
          <w:iCs/>
        </w:rPr>
        <w:t>Education and Training Reform Act 2006</w:t>
      </w:r>
      <w:r w:rsidRPr="00412CDC">
        <w:t xml:space="preserve"> requires the State to indemnify a member of a Merit Protection Board or a Disciplinary Appeals Board for anything done or omitted to be done in good faith in the exercise of a power or the discharge of their statutory duties.</w:t>
      </w:r>
    </w:p>
    <w:p w14:paraId="43779C9B" w14:textId="77777777" w:rsidR="005C456C" w:rsidRPr="00412CDC" w:rsidRDefault="005C456C" w:rsidP="005C456C">
      <w:pPr>
        <w:pStyle w:val="ListBullet"/>
      </w:pPr>
      <w:r w:rsidRPr="00412CDC">
        <w:t xml:space="preserve">School councils: </w:t>
      </w:r>
      <w:r>
        <w:t>T</w:t>
      </w:r>
      <w:r w:rsidRPr="00412CDC">
        <w:t xml:space="preserve">he </w:t>
      </w:r>
      <w:r w:rsidRPr="00D753F0">
        <w:rPr>
          <w:i/>
          <w:iCs/>
        </w:rPr>
        <w:t>Education and Training Reform Act 2006</w:t>
      </w:r>
      <w:r w:rsidRPr="00412CDC">
        <w:t xml:space="preserve"> requires the Department to indemnify individual members of school councils for any legal liability, whether in contract, negligence or defamation, if they acted in good faith and in the exercise of their powers or functions. The Department may decide to indemnify school councils (which are separate entities to the Department) in claims of common law negligence, employment disputes and other civil claims, for the cost of settlement and/or legal representation. The Department will take into account the impact of payment upon the school’s educational program and any insurance cover for the school council, and will likely indemnify if the Department is satisfied that: </w:t>
      </w:r>
    </w:p>
    <w:p w14:paraId="5EBFB43C" w14:textId="77777777" w:rsidR="005C456C" w:rsidRPr="00321FE3" w:rsidRDefault="005C456C" w:rsidP="005C456C">
      <w:pPr>
        <w:pStyle w:val="ListBullet2"/>
      </w:pPr>
      <w:r w:rsidRPr="00321FE3">
        <w:t>the school council acted in good faith and according to issued guidelines and directions</w:t>
      </w:r>
    </w:p>
    <w:p w14:paraId="7B723809" w14:textId="77777777" w:rsidR="005C456C" w:rsidRDefault="005C456C" w:rsidP="005C456C">
      <w:pPr>
        <w:pStyle w:val="ListBullet2"/>
      </w:pPr>
      <w:r w:rsidRPr="00321FE3">
        <w:t>the school council has insufficient funds to pay the claim.</w:t>
      </w:r>
    </w:p>
    <w:p w14:paraId="67DCB418" w14:textId="77777777" w:rsidR="005C456C" w:rsidRPr="00596030" w:rsidRDefault="005C456C" w:rsidP="005C456C">
      <w:pPr>
        <w:pStyle w:val="Heading30"/>
      </w:pPr>
      <w:bookmarkStart w:id="159" w:name="_Hlk115871925"/>
      <w:r w:rsidRPr="00596030">
        <w:t>Firefighters’ Presumptive Rights Compensation and Fire Services Legislation Amendment (Reform) Act 2019</w:t>
      </w:r>
    </w:p>
    <w:bookmarkEnd w:id="159"/>
    <w:p w14:paraId="18F5DC41" w14:textId="77777777" w:rsidR="005C456C" w:rsidRPr="000E63C6" w:rsidRDefault="005C456C" w:rsidP="005C456C">
      <w:pPr>
        <w:rPr>
          <w:rFonts w:ascii="Garamond" w:eastAsia="Garamond" w:hAnsi="Garamond"/>
        </w:rPr>
      </w:pPr>
      <w:r w:rsidRPr="000E63C6">
        <w:rPr>
          <w:rFonts w:ascii="Garamond" w:eastAsia="Garamond" w:hAnsi="Garamond"/>
        </w:rPr>
        <w:t xml:space="preserve">The </w:t>
      </w:r>
      <w:r w:rsidRPr="000E63C6">
        <w:rPr>
          <w:rFonts w:ascii="Garamond" w:eastAsia="Garamond" w:hAnsi="Garamond"/>
          <w:i/>
          <w:iCs/>
        </w:rPr>
        <w:t>Firefighters’ Presumptive Rights Compensation and Fire Services Legislation Amendment (Reform) Act 2019</w:t>
      </w:r>
      <w:r w:rsidRPr="000E63C6">
        <w:rPr>
          <w:rFonts w:ascii="Garamond" w:eastAsia="Garamond" w:hAnsi="Garamond"/>
        </w:rPr>
        <w:t xml:space="preserve"> (the Act) was assented on 2 July 2019.</w:t>
      </w:r>
    </w:p>
    <w:p w14:paraId="2B0F73CB" w14:textId="77777777" w:rsidR="005C456C" w:rsidRPr="000E63C6" w:rsidRDefault="005C456C" w:rsidP="005C456C">
      <w:pPr>
        <w:rPr>
          <w:rFonts w:ascii="Garamond" w:eastAsia="Garamond" w:hAnsi="Garamond"/>
        </w:rPr>
      </w:pPr>
      <w:r w:rsidRPr="000E63C6">
        <w:rPr>
          <w:rFonts w:ascii="Garamond" w:eastAsia="Garamond" w:hAnsi="Garamond"/>
        </w:rPr>
        <w:t>Part 2 of the Act, which came into operation on 3</w:t>
      </w:r>
      <w:r w:rsidRPr="000E4C7D">
        <w:rPr>
          <w:rFonts w:ascii="Garamond" w:eastAsia="Garamond" w:hAnsi="Garamond"/>
        </w:rPr>
        <w:t xml:space="preserve"> </w:t>
      </w:r>
      <w:r w:rsidRPr="000E63C6">
        <w:rPr>
          <w:rFonts w:ascii="Garamond" w:eastAsia="Garamond" w:hAnsi="Garamond"/>
        </w:rPr>
        <w:t>July 2019, provides for the establishment and operation of the Firefighters’ Presumptive Rights Compensation scheme for both career and volunteer firefighters. At the time of the preparation of this report, it</w:t>
      </w:r>
      <w:r w:rsidRPr="000E4C7D">
        <w:rPr>
          <w:rFonts w:ascii="Garamond" w:eastAsia="Garamond" w:hAnsi="Garamond"/>
        </w:rPr>
        <w:t xml:space="preserve"> </w:t>
      </w:r>
      <w:r w:rsidRPr="000E63C6">
        <w:rPr>
          <w:rFonts w:ascii="Garamond" w:eastAsia="Garamond" w:hAnsi="Garamond"/>
        </w:rPr>
        <w:t>is impractical to quantify any possible contingent liabilities for the State arising from the scheme.</w:t>
      </w:r>
    </w:p>
    <w:p w14:paraId="0ADA05D8" w14:textId="77777777" w:rsidR="005C456C" w:rsidRPr="00AA08A8" w:rsidRDefault="005C456C" w:rsidP="005C456C">
      <w:pPr>
        <w:pStyle w:val="Heading30"/>
      </w:pPr>
      <w:r w:rsidRPr="00AA08A8">
        <w:t>Fiskville independent investigation and closure of training college</w:t>
      </w:r>
    </w:p>
    <w:p w14:paraId="691EF3CD" w14:textId="77777777" w:rsidR="005C456C" w:rsidRPr="00635DDF" w:rsidRDefault="005C456C" w:rsidP="005C456C">
      <w:pPr>
        <w:rPr>
          <w:rFonts w:ascii="Garamond" w:eastAsia="Garamond" w:hAnsi="Garamond"/>
        </w:rPr>
      </w:pPr>
      <w:r w:rsidRPr="00635DDF">
        <w:rPr>
          <w:rFonts w:ascii="Garamond" w:eastAsia="Garamond" w:hAnsi="Garamond"/>
        </w:rPr>
        <w:t xml:space="preserve">On 26 March 2015, the Government announced the permanent closure of Fiskville Training College (Fiskville). Fiskville and Victorian Emergency Management Training Centre training grounds owned by the </w:t>
      </w:r>
      <w:r>
        <w:rPr>
          <w:rFonts w:ascii="Garamond" w:eastAsia="Garamond" w:hAnsi="Garamond"/>
        </w:rPr>
        <w:t>Country Fire Authority (</w:t>
      </w:r>
      <w:r w:rsidRPr="00635DDF">
        <w:rPr>
          <w:rFonts w:ascii="Garamond" w:eastAsia="Garamond" w:hAnsi="Garamond"/>
        </w:rPr>
        <w:t>CFA</w:t>
      </w:r>
      <w:r>
        <w:rPr>
          <w:rFonts w:ascii="Garamond" w:eastAsia="Garamond" w:hAnsi="Garamond"/>
        </w:rPr>
        <w:t>)</w:t>
      </w:r>
      <w:r w:rsidRPr="00635DDF">
        <w:rPr>
          <w:rFonts w:ascii="Garamond" w:eastAsia="Garamond" w:hAnsi="Garamond"/>
        </w:rPr>
        <w:t xml:space="preserve"> at Penshurst, Bangholme, West Sale, Wangaratta, Huntly</w:t>
      </w:r>
      <w:r w:rsidRPr="006C0B06">
        <w:rPr>
          <w:rFonts w:ascii="Garamond" w:eastAsia="Garamond" w:hAnsi="Garamond"/>
        </w:rPr>
        <w:t>,</w:t>
      </w:r>
      <w:r w:rsidRPr="00635DDF">
        <w:rPr>
          <w:rFonts w:ascii="Garamond" w:eastAsia="Garamond" w:hAnsi="Garamond"/>
        </w:rPr>
        <w:t xml:space="preserve"> and Longerenong have been the subject of notices issued by the Environment Protection Authority Victoria (EPA).</w:t>
      </w:r>
    </w:p>
    <w:p w14:paraId="637BF27C" w14:textId="77777777" w:rsidR="005C456C" w:rsidRPr="00635DDF" w:rsidRDefault="005C456C" w:rsidP="005C456C">
      <w:pPr>
        <w:rPr>
          <w:rFonts w:ascii="Garamond" w:eastAsia="Garamond" w:hAnsi="Garamond"/>
        </w:rPr>
      </w:pPr>
      <w:r w:rsidRPr="00635DDF">
        <w:rPr>
          <w:rFonts w:ascii="Garamond" w:eastAsia="Garamond" w:hAnsi="Garamond"/>
        </w:rPr>
        <w:t>The CFA has a number of contingent liabilities arising from the closure of Fiskville and the notices issued by the EPA. These relate to any further notices that may be issued by the EPA, any regulatory infringements that may be imposed by the EPA, compensation that may be sought</w:t>
      </w:r>
      <w:r>
        <w:rPr>
          <w:rFonts w:ascii="Garamond" w:eastAsia="Garamond" w:hAnsi="Garamond"/>
        </w:rPr>
        <w:t>,</w:t>
      </w:r>
      <w:r w:rsidRPr="00635DDF">
        <w:rPr>
          <w:rFonts w:ascii="Garamond" w:eastAsia="Garamond" w:hAnsi="Garamond"/>
        </w:rPr>
        <w:t xml:space="preserve"> and any legal claims that may be made. </w:t>
      </w:r>
    </w:p>
    <w:p w14:paraId="25127848" w14:textId="77777777" w:rsidR="005C456C" w:rsidRPr="00AE3417" w:rsidRDefault="005C456C" w:rsidP="005C456C">
      <w:pPr>
        <w:rPr>
          <w:rFonts w:ascii="Garamond" w:eastAsia="Garamond" w:hAnsi="Garamond"/>
        </w:rPr>
      </w:pPr>
      <w:r w:rsidRPr="00635DDF">
        <w:rPr>
          <w:rFonts w:ascii="Garamond" w:eastAsia="Garamond" w:hAnsi="Garamond"/>
        </w:rPr>
        <w:t>At this stage it is impractical to quantify the financial effects of these contingent liabilities.</w:t>
      </w:r>
    </w:p>
    <w:p w14:paraId="509D37F3" w14:textId="77777777" w:rsidR="005C456C" w:rsidRPr="00AA08A8" w:rsidRDefault="005C456C" w:rsidP="005C456C">
      <w:pPr>
        <w:pStyle w:val="Heading30"/>
      </w:pPr>
      <w:r w:rsidRPr="00AA08A8">
        <w:t xml:space="preserve">Land remediation – </w:t>
      </w:r>
      <w:r>
        <w:t>e</w:t>
      </w:r>
      <w:r w:rsidRPr="00AA08A8">
        <w:t>nvironmental concerns</w:t>
      </w:r>
    </w:p>
    <w:p w14:paraId="3A783E4B" w14:textId="77777777" w:rsidR="005C456C" w:rsidRPr="00850C51" w:rsidRDefault="005C456C" w:rsidP="005C456C">
      <w:pPr>
        <w:rPr>
          <w:rFonts w:ascii="Garamond" w:eastAsia="Garamond" w:hAnsi="Garamond"/>
        </w:rPr>
      </w:pPr>
      <w:r w:rsidRPr="00850C51">
        <w:rPr>
          <w:rFonts w:ascii="Garamond" w:eastAsia="Garamond" w:hAnsi="Garamond"/>
        </w:rPr>
        <w:t>In addition to properties for which remediation costs have been provided in the State’s financial statements, certain other properties have been identified as potentially contaminated sites. The</w:t>
      </w:r>
      <w:r w:rsidRPr="008F0936">
        <w:rPr>
          <w:rFonts w:ascii="Garamond" w:eastAsia="Garamond" w:hAnsi="Garamond"/>
        </w:rPr>
        <w:t xml:space="preserve"> </w:t>
      </w:r>
      <w:r w:rsidRPr="00850C51">
        <w:rPr>
          <w:rFonts w:ascii="Garamond" w:eastAsia="Garamond" w:hAnsi="Garamond"/>
        </w:rPr>
        <w:t>State does not admit any liability in respect of these sites. However, remedial expenditure may be incurred to restore the sites to an acceptable environmental standard in the event contamination is identified.</w:t>
      </w:r>
    </w:p>
    <w:p w14:paraId="31FA94FE" w14:textId="77777777" w:rsidR="005C456C" w:rsidRPr="00AA08A8" w:rsidRDefault="005C456C" w:rsidP="005C456C">
      <w:pPr>
        <w:pStyle w:val="Heading30"/>
      </w:pPr>
      <w:r w:rsidRPr="00AA08A8">
        <w:t>Native Title</w:t>
      </w:r>
    </w:p>
    <w:p w14:paraId="7532B4A1" w14:textId="77777777" w:rsidR="005C456C" w:rsidRPr="00DB7536" w:rsidRDefault="005C456C" w:rsidP="005C456C">
      <w:pPr>
        <w:rPr>
          <w:rFonts w:ascii="Garamond" w:eastAsia="Garamond" w:hAnsi="Garamond"/>
        </w:rPr>
      </w:pPr>
      <w:r w:rsidRPr="00DB7536">
        <w:rPr>
          <w:rFonts w:ascii="Garamond" w:eastAsia="Garamond" w:hAnsi="Garamond"/>
        </w:rPr>
        <w:t xml:space="preserve">A number of claims have been filed in the Federal Court under the Commonwealth </w:t>
      </w:r>
      <w:r w:rsidRPr="00DB7536">
        <w:rPr>
          <w:rFonts w:ascii="Garamond" w:eastAsia="Garamond" w:hAnsi="Garamond"/>
          <w:i/>
          <w:iCs/>
        </w:rPr>
        <w:t>Native</w:t>
      </w:r>
      <w:r>
        <w:rPr>
          <w:rFonts w:ascii="Garamond" w:eastAsia="Garamond" w:hAnsi="Garamond"/>
          <w:i/>
          <w:iCs/>
        </w:rPr>
        <w:t> </w:t>
      </w:r>
      <w:r w:rsidRPr="00DB7536">
        <w:rPr>
          <w:rFonts w:ascii="Garamond" w:eastAsia="Garamond" w:hAnsi="Garamond"/>
          <w:i/>
          <w:iCs/>
        </w:rPr>
        <w:t>Title Act 1993</w:t>
      </w:r>
      <w:r w:rsidRPr="00DB7536">
        <w:rPr>
          <w:rFonts w:ascii="Garamond" w:eastAsia="Garamond" w:hAnsi="Garamond"/>
        </w:rPr>
        <w:t xml:space="preserve"> that affect Victoria. It</w:t>
      </w:r>
      <w:r w:rsidRPr="00054560">
        <w:rPr>
          <w:rFonts w:ascii="Garamond" w:eastAsia="Garamond" w:hAnsi="Garamond"/>
        </w:rPr>
        <w:t xml:space="preserve"> </w:t>
      </w:r>
      <w:r w:rsidRPr="00DB7536">
        <w:rPr>
          <w:rFonts w:ascii="Garamond" w:eastAsia="Garamond" w:hAnsi="Garamond"/>
        </w:rPr>
        <w:t>is not feasible at this time to quantify any future liability.</w:t>
      </w:r>
    </w:p>
    <w:p w14:paraId="354874F5" w14:textId="77777777" w:rsidR="005C456C" w:rsidRPr="00AA08A8" w:rsidRDefault="005C456C" w:rsidP="005C456C">
      <w:pPr>
        <w:pStyle w:val="Heading30"/>
      </w:pPr>
      <w:r w:rsidRPr="00AA08A8">
        <w:t>October 2022 flood event</w:t>
      </w:r>
    </w:p>
    <w:p w14:paraId="37BBA735" w14:textId="77777777" w:rsidR="005C456C" w:rsidRDefault="005C456C" w:rsidP="005C456C">
      <w:pPr>
        <w:rPr>
          <w:rFonts w:ascii="Garamond" w:eastAsia="Garamond" w:hAnsi="Garamond"/>
        </w:rPr>
      </w:pPr>
      <w:r w:rsidRPr="00415D4C">
        <w:rPr>
          <w:rFonts w:ascii="Garamond" w:eastAsia="Garamond" w:hAnsi="Garamond"/>
        </w:rPr>
        <w:t xml:space="preserve">In October 2022, Victoria experienced significant rainfall which caused a major widespread flood event, resulting in loss and damage to many homes, farms, properties, community assets, roads, local government infrastructure and other infrastructure. These impacts continue to be felt in many local government areas across regional Victoria and metropolitan Melbourne. The Victorian and Commonwealth governments are working cooperatively to implement relief and recovery initiatives to be cost shared under the Disaster Recovery Funding Arrangements (DRFA). The Victorian Government has also initiated a number of separate programs not eligible under the DRFA to support communities impacted by the flood event. </w:t>
      </w:r>
    </w:p>
    <w:p w14:paraId="350A6BAE" w14:textId="77777777" w:rsidR="005C456C" w:rsidRDefault="005C456C" w:rsidP="005C456C">
      <w:r>
        <w:t>The State is insured by policies with the VMIA and may be able to recover certain costs that relate to flood repairs and recovery required to State owned assets and infrastructure through these policies.</w:t>
      </w:r>
      <w:r w:rsidRPr="007A2424">
        <w:t xml:space="preserve"> </w:t>
      </w:r>
    </w:p>
    <w:p w14:paraId="6BD1BA5D" w14:textId="77777777" w:rsidR="005C456C" w:rsidRPr="007A2424" w:rsidRDefault="005C456C" w:rsidP="005C456C">
      <w:pPr>
        <w:rPr>
          <w:rFonts w:ascii="Garamond" w:eastAsia="Garamond" w:hAnsi="Garamond"/>
        </w:rPr>
      </w:pPr>
      <w:r>
        <w:t>At this stage it is not possible to accurately quantify the full financial effects of these events.</w:t>
      </w:r>
    </w:p>
    <w:p w14:paraId="67E77EEA" w14:textId="77777777" w:rsidR="005C456C" w:rsidRDefault="005C456C" w:rsidP="005C456C">
      <w:pPr>
        <w:pStyle w:val="Heading30"/>
      </w:pPr>
      <w:r>
        <w:t>Per-fluoroalkyl and poly-fluoroalkyl substances (known as PFAS)</w:t>
      </w:r>
    </w:p>
    <w:p w14:paraId="36FCBE09" w14:textId="77777777" w:rsidR="005C456C" w:rsidRDefault="005C456C" w:rsidP="005C456C">
      <w:pPr>
        <w:rPr>
          <w:rFonts w:ascii="Garamond" w:eastAsia="Garamond" w:hAnsi="Garamond"/>
        </w:rPr>
      </w:pPr>
      <w:r w:rsidRPr="001B1D8E">
        <w:rPr>
          <w:rFonts w:ascii="Garamond" w:eastAsia="Garamond" w:hAnsi="Garamond"/>
        </w:rPr>
        <w:t>Fire Rescue Victoria and the Country Fire Authority (State Fire Services) has determined that there are per-fluoroalkyl and poly-fluoroalkyl substances contamination at specific State Fire Service properties and adjoining surroundings. The State Fire Services continue to test for exposure across all sites and locations. Due to the ongoing complexities of each site and adjoining surroundings together with the multiple stages of testing required to establish the degree of penetration, the State Fire Services are unable to estimate an underlying value for this liability. This is likely to include any remediation works that may be required to meet environmental and people health and safety obligations across all of the sites while this testing continues and a complete program of works is undertaken to remediate related risks.</w:t>
      </w:r>
    </w:p>
    <w:p w14:paraId="19132FBF" w14:textId="77777777" w:rsidR="005C456C" w:rsidRPr="00AA08A8" w:rsidRDefault="005C456C" w:rsidP="005C456C">
      <w:pPr>
        <w:pStyle w:val="Heading30"/>
      </w:pPr>
      <w:r w:rsidRPr="00AA08A8">
        <w:t>Planning scheme compensation</w:t>
      </w:r>
    </w:p>
    <w:p w14:paraId="101B6903" w14:textId="77777777" w:rsidR="005C456C" w:rsidRPr="00506A9A" w:rsidRDefault="005C456C" w:rsidP="005C456C">
      <w:pPr>
        <w:rPr>
          <w:rFonts w:ascii="Garamond" w:eastAsia="Garamond" w:hAnsi="Garamond"/>
        </w:rPr>
      </w:pPr>
      <w:r w:rsidRPr="00506A9A">
        <w:rPr>
          <w:rFonts w:ascii="Garamond" w:eastAsia="Garamond" w:hAnsi="Garamond"/>
        </w:rPr>
        <w:t xml:space="preserve">Under section 98 of the </w:t>
      </w:r>
      <w:r w:rsidRPr="00506A9A">
        <w:rPr>
          <w:rFonts w:ascii="Garamond" w:eastAsia="Garamond" w:hAnsi="Garamond"/>
          <w:i/>
        </w:rPr>
        <w:t>Planning and Environment Act 1987</w:t>
      </w:r>
      <w:r w:rsidRPr="00506A9A">
        <w:rPr>
          <w:rFonts w:ascii="Garamond" w:eastAsia="Garamond" w:hAnsi="Garamond"/>
        </w:rPr>
        <w:t>, the owner or occupier of any land may claim compensation from the planning authority for financial loss suffered as the natural, direct and reasonable consequence of the land being reserved, or</w:t>
      </w:r>
      <w:r w:rsidRPr="00D5341A">
        <w:rPr>
          <w:rFonts w:ascii="Garamond" w:eastAsia="Garamond" w:hAnsi="Garamond"/>
        </w:rPr>
        <w:t xml:space="preserve"> </w:t>
      </w:r>
      <w:r w:rsidRPr="00506A9A">
        <w:rPr>
          <w:rFonts w:ascii="Garamond" w:eastAsia="Garamond" w:hAnsi="Garamond"/>
        </w:rPr>
        <w:t>declared as reserved for a public purpose under a planning scheme. The future liability depends on a number of factors and cannot be reliably quantified.</w:t>
      </w:r>
    </w:p>
    <w:p w14:paraId="06985B87" w14:textId="77777777" w:rsidR="005C456C" w:rsidRPr="00AA08A8" w:rsidRDefault="005C456C" w:rsidP="005C456C">
      <w:pPr>
        <w:pStyle w:val="Heading30"/>
        <w:ind w:left="0" w:firstLine="0"/>
      </w:pPr>
      <w:r w:rsidRPr="00AA08A8">
        <w:t>Public acquisition overlays for the future development of rail and road</w:t>
      </w:r>
      <w:r w:rsidRPr="00316FB2">
        <w:t xml:space="preserve"> </w:t>
      </w:r>
      <w:r w:rsidRPr="00AA08A8">
        <w:t xml:space="preserve">infrastructure </w:t>
      </w:r>
    </w:p>
    <w:p w14:paraId="1DFC0FCE" w14:textId="77777777" w:rsidR="005C456C" w:rsidRDefault="005C456C" w:rsidP="005C456C">
      <w:r>
        <w:t xml:space="preserve">Public acquisition overlays are in place to reserve certain areas of land for future development of rail and road infrastructure. Under section 98 of the </w:t>
      </w:r>
      <w:r w:rsidRPr="005B6670">
        <w:rPr>
          <w:i/>
        </w:rPr>
        <w:t>Planning and Environment Act 1987</w:t>
      </w:r>
      <w:r>
        <w:t>, the State has a legislative responsibility to compensate eligible land and property owners who face either:</w:t>
      </w:r>
    </w:p>
    <w:p w14:paraId="69F7096E" w14:textId="77777777" w:rsidR="005C456C" w:rsidRPr="0020345D" w:rsidRDefault="005C456C" w:rsidP="005C456C">
      <w:pPr>
        <w:pStyle w:val="ListBullet"/>
      </w:pPr>
      <w:r w:rsidRPr="0020345D">
        <w:t xml:space="preserve">loss on sale – </w:t>
      </w:r>
      <w:r w:rsidRPr="0075626B">
        <w:t>an eligible landowner is entitled to compensation for the incremental loss on sale when a property affected by a public acquisition overlay is sold for less than its market value</w:t>
      </w:r>
    </w:p>
    <w:p w14:paraId="4531B89F" w14:textId="77777777" w:rsidR="005C456C" w:rsidRPr="0020345D" w:rsidRDefault="005C456C" w:rsidP="005C456C">
      <w:pPr>
        <w:pStyle w:val="ListBullet"/>
      </w:pPr>
      <w:r w:rsidRPr="0020345D">
        <w:t xml:space="preserve">financial loss – </w:t>
      </w:r>
      <w:r w:rsidRPr="0075626B">
        <w:t>the entitlement to financial loss compensation is triggered when a development permit is refused because the property is required for a public purpose.</w:t>
      </w:r>
    </w:p>
    <w:p w14:paraId="1F8488AD" w14:textId="77777777" w:rsidR="005C456C" w:rsidRDefault="005C456C" w:rsidP="005C456C">
      <w:r>
        <w:t xml:space="preserve">Compensation and purchase claims occur as a result of claims by </w:t>
      </w:r>
      <w:r w:rsidRPr="00026F40">
        <w:t>landowners.</w:t>
      </w:r>
      <w:r>
        <w:t xml:space="preserve"> The</w:t>
      </w:r>
      <w:r w:rsidRPr="00026F40">
        <w:t xml:space="preserve"> </w:t>
      </w:r>
      <w:r>
        <w:t xml:space="preserve">future liability depends on factors, including the number of claims received and the prevailing value of land at the time the claim is made. As a result, the liability cannot be reliably quantified. </w:t>
      </w:r>
    </w:p>
    <w:p w14:paraId="27FC7AA2" w14:textId="77777777" w:rsidR="005C456C" w:rsidRDefault="005C456C">
      <w:pPr>
        <w:keepLines w:val="0"/>
        <w:rPr>
          <w:rFonts w:asciiTheme="majorHAnsi" w:eastAsiaTheme="majorEastAsia" w:hAnsiTheme="majorHAnsi" w:cstheme="majorBidi"/>
          <w:b/>
          <w:szCs w:val="24"/>
        </w:rPr>
      </w:pPr>
      <w:r>
        <w:br w:type="page"/>
      </w:r>
    </w:p>
    <w:p w14:paraId="3A7C1151" w14:textId="1F1FF4BB" w:rsidR="005C456C" w:rsidRPr="00AA08A8" w:rsidRDefault="005C456C" w:rsidP="005C456C">
      <w:pPr>
        <w:pStyle w:val="Heading30"/>
      </w:pPr>
      <w:r w:rsidRPr="00AA08A8">
        <w:t>Public transport rail partnership agreements</w:t>
      </w:r>
    </w:p>
    <w:p w14:paraId="44B11A4E" w14:textId="77777777" w:rsidR="005C456C" w:rsidRDefault="005C456C" w:rsidP="005C456C">
      <w:bookmarkStart w:id="160" w:name="_Hlk115874846"/>
      <w:r>
        <w:t xml:space="preserve">The Department of Transport and Planning (DTP) </w:t>
      </w:r>
      <w:r w:rsidRPr="008474BC">
        <w:t>is party to contractual arrangements with franchisees to operate across the state:</w:t>
      </w:r>
    </w:p>
    <w:p w14:paraId="594AFFEC" w14:textId="52BCE97D" w:rsidR="005C456C" w:rsidRPr="00BB60F3" w:rsidRDefault="005C456C" w:rsidP="005C456C">
      <w:pPr>
        <w:pStyle w:val="ListBullet"/>
      </w:pPr>
      <w:r w:rsidRPr="00BB60F3">
        <w:t>metropolitan tram service with Yarra Trams from 30 November 2017 until 1</w:t>
      </w:r>
      <w:r>
        <w:t> </w:t>
      </w:r>
      <w:r w:rsidRPr="00BB60F3">
        <w:t>December 2024</w:t>
      </w:r>
    </w:p>
    <w:bookmarkEnd w:id="160"/>
    <w:p w14:paraId="2D48D58E" w14:textId="77777777" w:rsidR="005C456C" w:rsidRDefault="005C456C" w:rsidP="005C456C">
      <w:pPr>
        <w:pStyle w:val="ListBullet"/>
      </w:pPr>
      <w:r w:rsidRPr="000C71D6">
        <w:t>metropolitan tram service with Yarra Journey Makers (YJM) from 1 December 2024 until 1 December 2033</w:t>
      </w:r>
    </w:p>
    <w:p w14:paraId="5E3573BD" w14:textId="77777777" w:rsidR="005C456C" w:rsidRDefault="005C456C" w:rsidP="005C456C">
      <w:pPr>
        <w:pStyle w:val="ListBullet"/>
      </w:pPr>
      <w:r w:rsidRPr="00D96E3D">
        <w:t xml:space="preserve">metropolitan train services with Metro Trains Melbourne from 30 November 2017 until 28 November 2027. </w:t>
      </w:r>
    </w:p>
    <w:p w14:paraId="43A5FA9E" w14:textId="77777777" w:rsidR="005C456C" w:rsidRDefault="005C456C" w:rsidP="005C456C">
      <w:pPr>
        <w:rPr>
          <w:rFonts w:ascii="Garamond" w:eastAsia="Garamond" w:hAnsi="Garamond"/>
        </w:rPr>
      </w:pPr>
      <w:r w:rsidRPr="00D96E3D">
        <w:rPr>
          <w:rFonts w:ascii="Garamond" w:eastAsia="Garamond" w:hAnsi="Garamond"/>
        </w:rPr>
        <w:t>The major contingent liabilities arising in the event of early termination or expiry of the contracts are:</w:t>
      </w:r>
    </w:p>
    <w:p w14:paraId="518C5AE3" w14:textId="77777777" w:rsidR="005C456C" w:rsidRPr="00D753F0" w:rsidRDefault="005C456C" w:rsidP="005C456C">
      <w:pPr>
        <w:pStyle w:val="ListBullet"/>
      </w:pPr>
      <w:r w:rsidRPr="00D753F0">
        <w:t>partnership assets – to maintain continuity of services, at early termination or expiry of the franchise contract, assets will revert to DTP or a successor. In</w:t>
      </w:r>
      <w:r w:rsidRPr="000076E6">
        <w:t xml:space="preserve"> </w:t>
      </w:r>
      <w:r w:rsidRPr="00D753F0">
        <w:t>the case of some assets, a</w:t>
      </w:r>
      <w:r w:rsidRPr="000076E6">
        <w:t xml:space="preserve"> </w:t>
      </w:r>
      <w:r w:rsidRPr="00D753F0">
        <w:t>reversion back to DTP would entail those assets being purchased</w:t>
      </w:r>
    </w:p>
    <w:p w14:paraId="108787FD" w14:textId="77777777" w:rsidR="005C456C" w:rsidRPr="00D753F0" w:rsidRDefault="005C456C" w:rsidP="005C456C">
      <w:pPr>
        <w:pStyle w:val="ListBullet"/>
      </w:pPr>
      <w:r w:rsidRPr="00D753F0">
        <w:t>unfunded superannuation – at the early termination or expiry of the contract, DTP will assume any unfunded superannuation amounts (apart from contributions the operator is required to pay over the contract term) to the extent that the State becomes the successor operator.</w:t>
      </w:r>
    </w:p>
    <w:p w14:paraId="3A78C05D" w14:textId="77777777" w:rsidR="005C456C" w:rsidRPr="00596030" w:rsidRDefault="005C456C" w:rsidP="005C456C">
      <w:pPr>
        <w:pStyle w:val="Heading30"/>
      </w:pPr>
      <w:r w:rsidRPr="00596030">
        <w:t>Royal Commission into the Management of Police Informants</w:t>
      </w:r>
    </w:p>
    <w:p w14:paraId="45788641" w14:textId="77777777" w:rsidR="005C456C" w:rsidRPr="006C3BFD" w:rsidRDefault="005C456C" w:rsidP="005C456C">
      <w:pPr>
        <w:rPr>
          <w:rFonts w:ascii="Garamond" w:eastAsia="Garamond" w:hAnsi="Garamond"/>
        </w:rPr>
      </w:pPr>
      <w:r w:rsidRPr="006C3BFD">
        <w:rPr>
          <w:rFonts w:ascii="Garamond" w:eastAsia="Garamond" w:hAnsi="Garamond"/>
        </w:rPr>
        <w:t xml:space="preserve">Since the conclusion of the Royal Commission into the Management of Police Informants (RCMPI), the State of Victoria (Victoria Police) has been served with a number of civil claims. These civil claims and a number of Court of Appeal criminal matters as well as ongoing disclosure work by Victoria Police will likely dictate whether further claims are received. </w:t>
      </w:r>
    </w:p>
    <w:p w14:paraId="3BC3369E" w14:textId="77777777" w:rsidR="005C456C" w:rsidRPr="006C3BFD" w:rsidRDefault="005C456C" w:rsidP="005C456C">
      <w:pPr>
        <w:rPr>
          <w:rFonts w:ascii="Garamond" w:eastAsia="Garamond" w:hAnsi="Garamond"/>
        </w:rPr>
      </w:pPr>
      <w:r w:rsidRPr="006C3BFD">
        <w:rPr>
          <w:rFonts w:ascii="Garamond" w:eastAsia="Garamond" w:hAnsi="Garamond"/>
        </w:rPr>
        <w:t>Given those circumstances</w:t>
      </w:r>
      <w:r w:rsidRPr="007836D4">
        <w:rPr>
          <w:rFonts w:ascii="Garamond" w:eastAsia="Garamond" w:hAnsi="Garamond"/>
        </w:rPr>
        <w:t>,</w:t>
      </w:r>
      <w:r w:rsidRPr="006C3BFD">
        <w:rPr>
          <w:rFonts w:ascii="Garamond" w:eastAsia="Garamond" w:hAnsi="Garamond"/>
        </w:rPr>
        <w:t xml:space="preserve"> it is not possible to reliably quantify any contingent liabilities relating to potential matters arising from the conduct explored by the RCMPI.</w:t>
      </w:r>
    </w:p>
    <w:p w14:paraId="4B131E6B" w14:textId="77777777" w:rsidR="005C456C" w:rsidRPr="001A2FAA" w:rsidRDefault="005C456C" w:rsidP="005C456C">
      <w:pPr>
        <w:pStyle w:val="Heading30"/>
      </w:pPr>
      <w:r w:rsidRPr="001A2FAA">
        <w:t>Royal Melbourne Showgrounds redevelopment</w:t>
      </w:r>
    </w:p>
    <w:p w14:paraId="3782D29A" w14:textId="77777777" w:rsidR="005C456C" w:rsidRPr="009A5DCA" w:rsidRDefault="005C456C" w:rsidP="005C456C">
      <w:pPr>
        <w:rPr>
          <w:rFonts w:ascii="Garamond" w:eastAsia="Garamond" w:hAnsi="Garamond"/>
        </w:rPr>
      </w:pPr>
      <w:r w:rsidRPr="009A5DCA">
        <w:rPr>
          <w:rFonts w:ascii="Garamond" w:eastAsia="Garamond" w:hAnsi="Garamond"/>
        </w:rPr>
        <w:t>The State has entered into an agreement with the Royal Agricultural Society of Victoria (RASV) pursuant to which the State agrees to support certain payment obligations of RASV that may arise under the Non-Core Development Agreement subject to the RASV complying with certain obligations as set out in that Deed.</w:t>
      </w:r>
      <w:r w:rsidRPr="00E612DC">
        <w:rPr>
          <w:rFonts w:ascii="Garamond" w:eastAsia="Garamond" w:hAnsi="Garamond"/>
        </w:rPr>
        <w:t xml:space="preserve"> The possible liability depends on a number of future events and cannot be reliably and readily quantified</w:t>
      </w:r>
      <w:r w:rsidRPr="009A5DCA">
        <w:rPr>
          <w:rFonts w:ascii="Garamond" w:eastAsia="Garamond" w:hAnsi="Garamond"/>
        </w:rPr>
        <w:t>.</w:t>
      </w:r>
    </w:p>
    <w:p w14:paraId="164252DE" w14:textId="77777777" w:rsidR="005C456C" w:rsidRDefault="005C456C">
      <w:pPr>
        <w:keepLines w:val="0"/>
        <w:rPr>
          <w:rFonts w:asciiTheme="majorHAnsi" w:eastAsiaTheme="majorEastAsia" w:hAnsiTheme="majorHAnsi" w:cstheme="majorBidi"/>
          <w:b/>
          <w:szCs w:val="24"/>
        </w:rPr>
      </w:pPr>
      <w:r>
        <w:br w:type="page"/>
      </w:r>
    </w:p>
    <w:p w14:paraId="30D62EB8" w14:textId="045E47DF" w:rsidR="005C456C" w:rsidRPr="001A2FAA" w:rsidRDefault="005C456C" w:rsidP="005C456C">
      <w:pPr>
        <w:pStyle w:val="Heading30"/>
        <w:rPr>
          <w:i/>
          <w:iCs/>
        </w:rPr>
      </w:pPr>
      <w:r w:rsidRPr="001A2FAA">
        <w:t xml:space="preserve">Victorian Managed Insurance Authority – </w:t>
      </w:r>
      <w:r>
        <w:t>I</w:t>
      </w:r>
      <w:r w:rsidRPr="001A2FAA">
        <w:t>nsurance cover</w:t>
      </w:r>
    </w:p>
    <w:p w14:paraId="23CB1B58" w14:textId="77777777" w:rsidR="005C456C" w:rsidRPr="007A4735" w:rsidRDefault="005C456C" w:rsidP="005C456C">
      <w:pPr>
        <w:rPr>
          <w:rFonts w:ascii="Garamond" w:eastAsia="Garamond" w:hAnsi="Garamond"/>
        </w:rPr>
      </w:pPr>
      <w:r w:rsidRPr="007A4735">
        <w:rPr>
          <w:rFonts w:ascii="Garamond" w:eastAsia="Garamond" w:hAnsi="Garamond"/>
        </w:rPr>
        <w:t xml:space="preserve">The VMIA was established in 1996 as an insurer for state government departments, participating bodies as defined under the </w:t>
      </w:r>
      <w:r w:rsidRPr="007A4735">
        <w:rPr>
          <w:rFonts w:ascii="Garamond" w:eastAsia="Garamond" w:hAnsi="Garamond"/>
          <w:i/>
        </w:rPr>
        <w:t>Victorian Managed Insurance Authority Act 1996</w:t>
      </w:r>
      <w:r w:rsidRPr="007A4735">
        <w:rPr>
          <w:rFonts w:ascii="Garamond" w:eastAsia="Garamond" w:hAnsi="Garamond"/>
        </w:rPr>
        <w:t xml:space="preserve"> and other entities as declared by the Minister. The VMIA insures its clients for property, public and products liability, professional indemnity, medical indemnity, contract works and a range of other insurances. </w:t>
      </w:r>
      <w:r w:rsidRPr="00020D51">
        <w:rPr>
          <w:rFonts w:ascii="Garamond" w:eastAsia="Garamond" w:hAnsi="Garamond"/>
        </w:rPr>
        <w:t xml:space="preserve">The </w:t>
      </w:r>
      <w:r w:rsidRPr="007A4735">
        <w:rPr>
          <w:rFonts w:ascii="Garamond" w:eastAsia="Garamond" w:hAnsi="Garamond"/>
        </w:rPr>
        <w:t>VMIA also provides domestic building insurance to Victorian residential builders.</w:t>
      </w:r>
    </w:p>
    <w:p w14:paraId="41E4B1EC" w14:textId="77777777" w:rsidR="005C456C" w:rsidRDefault="005C456C" w:rsidP="005C456C">
      <w:pPr>
        <w:rPr>
          <w:rFonts w:ascii="Garamond" w:eastAsia="Garamond" w:hAnsi="Garamond"/>
        </w:rPr>
      </w:pPr>
      <w:r w:rsidRPr="00020D51">
        <w:rPr>
          <w:rFonts w:ascii="Garamond" w:eastAsia="Garamond" w:hAnsi="Garamond"/>
        </w:rPr>
        <w:t>The VMIA reinsures in the private market based on the likelihood and impact of events as well as the cost and availability of such cover. The risk of losses above what the VMIA reinsures in the private market is borne by the State.</w:t>
      </w:r>
    </w:p>
    <w:p w14:paraId="7D8A71FD" w14:textId="77777777" w:rsidR="005C456C" w:rsidRDefault="005C456C" w:rsidP="005C456C">
      <w:pPr>
        <w:rPr>
          <w:rFonts w:ascii="Garamond" w:eastAsia="Garamond" w:hAnsi="Garamond"/>
        </w:rPr>
      </w:pPr>
      <w:r w:rsidRPr="005065DC">
        <w:rPr>
          <w:rFonts w:ascii="Garamond" w:eastAsia="Garamond" w:hAnsi="Garamond"/>
        </w:rPr>
        <w:t>The State, under separate deeds of indemnity, has agreed to reimburse the VMIA:</w:t>
      </w:r>
      <w:r w:rsidRPr="00020D51">
        <w:rPr>
          <w:rFonts w:ascii="Garamond" w:eastAsia="Garamond" w:hAnsi="Garamond"/>
        </w:rPr>
        <w:t xml:space="preserve"> </w:t>
      </w:r>
    </w:p>
    <w:p w14:paraId="4343ED26" w14:textId="77777777" w:rsidR="005C456C" w:rsidRPr="00D753F0" w:rsidRDefault="005C456C" w:rsidP="005C456C">
      <w:pPr>
        <w:pStyle w:val="ListBullet"/>
      </w:pPr>
      <w:r w:rsidRPr="00D753F0">
        <w:t>if the costs of public sector medical indemnity claims for a policy year exceed the initial estimate on which the risk premium was based by more than 20 per cent</w:t>
      </w:r>
    </w:p>
    <w:p w14:paraId="1FED968F" w14:textId="77777777" w:rsidR="005C456C" w:rsidRPr="00D753F0" w:rsidRDefault="005C456C" w:rsidP="005C456C">
      <w:pPr>
        <w:pStyle w:val="ListBullet"/>
      </w:pPr>
      <w:r w:rsidRPr="00D753F0">
        <w:t>for losses above a certain limit that the VMIA may incur due to changes in the availability of reinsurance.</w:t>
      </w:r>
    </w:p>
    <w:p w14:paraId="78B5B7EC" w14:textId="77777777" w:rsidR="005C456C" w:rsidRPr="00FB185C" w:rsidRDefault="005C456C" w:rsidP="005C456C">
      <w:pPr>
        <w:pStyle w:val="Heading30"/>
        <w:rPr>
          <w:i/>
          <w:iCs/>
        </w:rPr>
      </w:pPr>
      <w:r w:rsidRPr="00FB185C">
        <w:t>Yallourn Power Station safety net</w:t>
      </w:r>
    </w:p>
    <w:p w14:paraId="6E5DDFFA" w14:textId="6D80BE57" w:rsidR="005C456C" w:rsidRDefault="005C456C" w:rsidP="005C456C">
      <w:pPr>
        <w:rPr>
          <w:rFonts w:ascii="Garamond" w:eastAsia="Garamond" w:hAnsi="Garamond"/>
        </w:rPr>
      </w:pPr>
      <w:r w:rsidRPr="00992B62">
        <w:rPr>
          <w:rFonts w:ascii="Garamond" w:eastAsia="Garamond" w:hAnsi="Garamond"/>
        </w:rPr>
        <w:t>The Government has reached an agreement with EnergyAustralia (EA) to ensure an orderly transition as EA implements the closure of the Yallourn Power Station in June</w:t>
      </w:r>
      <w:r>
        <w:rPr>
          <w:rFonts w:ascii="Garamond" w:eastAsia="Garamond" w:hAnsi="Garamond"/>
        </w:rPr>
        <w:t> </w:t>
      </w:r>
      <w:r w:rsidRPr="00992B62">
        <w:rPr>
          <w:rFonts w:ascii="Garamond" w:eastAsia="Garamond" w:hAnsi="Garamond"/>
        </w:rPr>
        <w:t xml:space="preserve">2028. </w:t>
      </w:r>
    </w:p>
    <w:p w14:paraId="226674C8" w14:textId="77777777" w:rsidR="005C456C" w:rsidRDefault="005C456C" w:rsidP="005C456C">
      <w:pPr>
        <w:rPr>
          <w:rFonts w:ascii="Garamond" w:eastAsia="Garamond" w:hAnsi="Garamond"/>
        </w:rPr>
      </w:pPr>
      <w:r w:rsidRPr="00992B62">
        <w:rPr>
          <w:rFonts w:ascii="Garamond" w:eastAsia="Garamond" w:hAnsi="Garamond"/>
        </w:rPr>
        <w:t>The agreement includes, should it be needed, a</w:t>
      </w:r>
      <w:r w:rsidRPr="007D62E9">
        <w:rPr>
          <w:rFonts w:ascii="Garamond" w:eastAsia="Garamond" w:hAnsi="Garamond"/>
        </w:rPr>
        <w:t xml:space="preserve"> </w:t>
      </w:r>
      <w:r w:rsidRPr="00992B62">
        <w:rPr>
          <w:rFonts w:ascii="Garamond" w:eastAsia="Garamond" w:hAnsi="Garamond"/>
        </w:rPr>
        <w:t xml:space="preserve">safety net to avoid an unplanned exit of Yallourn. </w:t>
      </w:r>
    </w:p>
    <w:p w14:paraId="4F9AD2FB" w14:textId="77777777" w:rsidR="005C456C" w:rsidRDefault="005C456C" w:rsidP="005C456C">
      <w:pPr>
        <w:rPr>
          <w:rFonts w:ascii="Garamond" w:eastAsia="Garamond" w:hAnsi="Garamond"/>
        </w:rPr>
      </w:pPr>
      <w:r w:rsidRPr="00992B62">
        <w:rPr>
          <w:rFonts w:ascii="Garamond" w:eastAsia="Garamond" w:hAnsi="Garamond"/>
        </w:rPr>
        <w:t>As part of this safety net, under certain scenarios, the State agrees to provide partial support to EA in the event of exceptional costs incurred in the operation of the Yallourn Power Station.</w:t>
      </w:r>
      <w:r w:rsidRPr="007D62E9">
        <w:rPr>
          <w:rFonts w:ascii="Garamond" w:eastAsia="Garamond" w:hAnsi="Garamond"/>
        </w:rPr>
        <w:t xml:space="preserve"> </w:t>
      </w:r>
    </w:p>
    <w:p w14:paraId="019CB51D" w14:textId="77777777" w:rsidR="005C456C" w:rsidRDefault="005C456C" w:rsidP="005C456C">
      <w:pPr>
        <w:rPr>
          <w:rFonts w:ascii="Garamond" w:eastAsia="Garamond" w:hAnsi="Garamond"/>
        </w:rPr>
      </w:pPr>
      <w:r w:rsidRPr="00992B62">
        <w:rPr>
          <w:rFonts w:ascii="Garamond" w:eastAsia="Garamond" w:hAnsi="Garamond"/>
        </w:rPr>
        <w:t>This support will help to ensure Yallourn’s workers and Victoria’s energy system have sufficient time to plan for the plant’s closure. The</w:t>
      </w:r>
      <w:r w:rsidRPr="007D62E9">
        <w:rPr>
          <w:rFonts w:ascii="Garamond" w:eastAsia="Garamond" w:hAnsi="Garamond"/>
        </w:rPr>
        <w:t xml:space="preserve"> </w:t>
      </w:r>
      <w:r w:rsidRPr="00992B62">
        <w:rPr>
          <w:rFonts w:ascii="Garamond" w:eastAsia="Garamond" w:hAnsi="Garamond"/>
        </w:rPr>
        <w:t>possible liability depends on a number of future events and cannot be reliably and readily quantified.</w:t>
      </w:r>
    </w:p>
    <w:p w14:paraId="5A5AF7E0" w14:textId="5E9E34B2" w:rsidR="009256ED" w:rsidRPr="00992B62" w:rsidRDefault="009256ED" w:rsidP="009256ED">
      <w:pPr>
        <w:rPr>
          <w:rFonts w:ascii="Garamond" w:eastAsia="Garamond" w:hAnsi="Garamond"/>
        </w:rPr>
      </w:pPr>
    </w:p>
    <w:p w14:paraId="6EE4290F" w14:textId="77777777" w:rsidR="009256ED" w:rsidRPr="002124FD" w:rsidRDefault="009256ED" w:rsidP="009256ED"/>
    <w:p w14:paraId="420818BD" w14:textId="77777777" w:rsidR="009256ED" w:rsidRDefault="009256ED" w:rsidP="009256ED">
      <w:pPr>
        <w:keepLines w:val="0"/>
      </w:pPr>
    </w:p>
    <w:p w14:paraId="4BA9E0E7" w14:textId="77777777" w:rsidR="009256ED" w:rsidRDefault="009256ED" w:rsidP="009256ED">
      <w:pPr>
        <w:sectPr w:rsidR="009256ED" w:rsidSect="009256ED">
          <w:footerReference w:type="even" r:id="rId51"/>
          <w:footerReference w:type="default" r:id="rId52"/>
          <w:pgSz w:w="9979" w:h="14175" w:code="34"/>
          <w:pgMar w:top="1134" w:right="1134" w:bottom="1134" w:left="1134" w:header="624" w:footer="567" w:gutter="0"/>
          <w:cols w:space="708"/>
          <w:docGrid w:linePitch="360"/>
        </w:sectPr>
      </w:pPr>
    </w:p>
    <w:p w14:paraId="4E8DE4EC" w14:textId="77777777" w:rsidR="00AB205D" w:rsidRDefault="00471A3B">
      <w:pPr>
        <w:pStyle w:val="ChapterHeading"/>
      </w:pPr>
      <w:bookmarkStart w:id="161" w:name="_Toc9342174"/>
      <w:bookmarkStart w:id="162" w:name="_Toc71814108"/>
      <w:bookmarkStart w:id="163" w:name="_Toc184299458"/>
      <w:bookmarkStart w:id="164" w:name="_Toc512435576"/>
      <w:r w:rsidRPr="00C972C5">
        <w:t>A</w:t>
      </w:r>
      <w:r>
        <w:t>p</w:t>
      </w:r>
      <w:r w:rsidRPr="00C972C5">
        <w:t>pendix</w:t>
      </w:r>
      <w:r>
        <w:t xml:space="preserve"> A – </w:t>
      </w:r>
      <w:r w:rsidRPr="005568F8">
        <w:t>Specific policy initiatives affecting the budget position</w:t>
      </w:r>
      <w:bookmarkEnd w:id="161"/>
      <w:bookmarkEnd w:id="162"/>
      <w:bookmarkEnd w:id="163"/>
    </w:p>
    <w:p w14:paraId="6447CE10" w14:textId="77777777" w:rsidR="004D509B" w:rsidRPr="0080572E" w:rsidRDefault="004D509B" w:rsidP="004D509B">
      <w:bookmarkStart w:id="165" w:name="_Toc71814122"/>
      <w:bookmarkStart w:id="166" w:name="_Toc89418966"/>
      <w:bookmarkStart w:id="167" w:name="_Toc89419190"/>
      <w:bookmarkStart w:id="168" w:name="_Toc89420148"/>
      <w:bookmarkStart w:id="169" w:name="_Toc89423388"/>
      <w:bookmarkStart w:id="170" w:name="_Toc89423597"/>
      <w:bookmarkStart w:id="171" w:name="_Toc152933043"/>
      <w:bookmarkStart w:id="172" w:name="_Toc179455590"/>
      <w:bookmarkStart w:id="173" w:name="_Toc179455728"/>
      <w:bookmarkStart w:id="174" w:name="_Toc71814109"/>
      <w:bookmarkEnd w:id="164"/>
      <w:r w:rsidRPr="0080572E">
        <w:t xml:space="preserve">Appendix A outlines specific policy initiatives that affect outputs and assets, including Treasurer’s Advances, agreed by the Government since the </w:t>
      </w:r>
      <w:r w:rsidRPr="009546A5">
        <w:rPr>
          <w:i/>
        </w:rPr>
        <w:t>2024-25 Budget</w:t>
      </w:r>
      <w:r w:rsidRPr="0080572E">
        <w:t>.</w:t>
      </w:r>
    </w:p>
    <w:p w14:paraId="31B932F3" w14:textId="77777777" w:rsidR="004D509B" w:rsidRPr="0080572E" w:rsidRDefault="004D509B" w:rsidP="004D509B">
      <w:r w:rsidRPr="0080572E">
        <w:t>The following tables provide details of:</w:t>
      </w:r>
    </w:p>
    <w:p w14:paraId="28E466C6" w14:textId="77777777" w:rsidR="004D509B" w:rsidRPr="0080572E" w:rsidRDefault="004D509B" w:rsidP="004D509B">
      <w:pPr>
        <w:pStyle w:val="ListBullet"/>
      </w:pPr>
      <w:r w:rsidRPr="0080572E">
        <w:t>revenue initiatives</w:t>
      </w:r>
    </w:p>
    <w:p w14:paraId="5D47933E" w14:textId="77777777" w:rsidR="004D509B" w:rsidRPr="0080572E" w:rsidRDefault="004D509B" w:rsidP="004D509B">
      <w:pPr>
        <w:pStyle w:val="ListBullet"/>
      </w:pPr>
      <w:r w:rsidRPr="0080572E">
        <w:t>output and asset initiatives for departments.</w:t>
      </w:r>
    </w:p>
    <w:p w14:paraId="1DE89F25" w14:textId="77777777" w:rsidR="004D509B" w:rsidRPr="0080572E" w:rsidRDefault="004D509B" w:rsidP="004D509B">
      <w:r w:rsidRPr="0080572E">
        <w:t>Appendix A also includes a cross reference between initiatives and their relevant departmental outputs, which indicates the impact of policy decisions on relevant portfolios.</w:t>
      </w:r>
    </w:p>
    <w:p w14:paraId="002E1E52" w14:textId="77777777" w:rsidR="004D509B" w:rsidRPr="00D45697" w:rsidRDefault="004D509B" w:rsidP="004D509B">
      <w:r w:rsidRPr="0080572E">
        <w:t>The figures included are generally the gross costs of decisions. Funding from reprioritisation and other sources has not been deducted from the total cost of new initiatives.</w:t>
      </w:r>
      <w:bookmarkEnd w:id="165"/>
      <w:bookmarkEnd w:id="166"/>
      <w:bookmarkEnd w:id="167"/>
      <w:bookmarkEnd w:id="168"/>
      <w:bookmarkEnd w:id="169"/>
      <w:bookmarkEnd w:id="170"/>
      <w:bookmarkEnd w:id="171"/>
      <w:bookmarkEnd w:id="172"/>
      <w:bookmarkEnd w:id="173"/>
    </w:p>
    <w:p w14:paraId="044DD508" w14:textId="77777777" w:rsidR="004D509B" w:rsidRPr="00884854" w:rsidRDefault="004D509B" w:rsidP="004D509B">
      <w:pPr>
        <w:pStyle w:val="Heading10"/>
        <w:pageBreakBefore/>
      </w:pPr>
      <w:bookmarkStart w:id="175" w:name="_Toc152933056"/>
      <w:bookmarkStart w:id="176" w:name="_Toc184222985"/>
      <w:bookmarkStart w:id="177" w:name="_Toc184299290"/>
      <w:bookmarkStart w:id="178" w:name="_Toc184299459"/>
      <w:bookmarkEnd w:id="174"/>
      <w:bookmarkEnd w:id="175"/>
      <w:r>
        <w:t>Revenue initiatives</w:t>
      </w:r>
      <w:bookmarkEnd w:id="176"/>
      <w:bookmarkEnd w:id="177"/>
      <w:bookmarkEnd w:id="178"/>
    </w:p>
    <w:p w14:paraId="38F251F3" w14:textId="77777777" w:rsidR="004D509B" w:rsidRDefault="004D509B" w:rsidP="004D509B">
      <w:pPr>
        <w:pStyle w:val="Caption"/>
      </w:pPr>
      <w:r w:rsidRPr="00884854">
        <w:t>Table A.1:</w:t>
      </w:r>
      <w:r w:rsidRPr="00884854">
        <w:tab/>
      </w:r>
      <w:r>
        <w:t>Revenue</w:t>
      </w:r>
      <w:r w:rsidRPr="00884854">
        <w:t xml:space="preserve"> initiatives</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Revenue_Output|Extract: {&#10;   &quot;AmbulanceVictoriamembershipandtransportfeeincrease&quot;:&quot;Hon. Mary-Anne Thomas&quot;}&#10;&#10;"/>
      </w:tblPr>
      <w:tblGrid>
        <w:gridCol w:w="4534"/>
        <w:gridCol w:w="144"/>
        <w:gridCol w:w="650"/>
        <w:gridCol w:w="794"/>
        <w:gridCol w:w="794"/>
        <w:gridCol w:w="794"/>
      </w:tblGrid>
      <w:tr w:rsidR="004D509B" w14:paraId="2FD8D676"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33EA869" w14:textId="77777777" w:rsidR="004D509B" w:rsidRDefault="004D509B" w:rsidP="008670FF">
            <w:pPr>
              <w:keepNext/>
            </w:pPr>
          </w:p>
        </w:tc>
        <w:tc>
          <w:tcPr>
            <w:tcW w:w="794" w:type="dxa"/>
            <w:gridSpan w:val="2"/>
          </w:tcPr>
          <w:p w14:paraId="55CFA2A1"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199ED634"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7D8C48F3"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09D79E19"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07FA5A0A"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2CA83B3E" w14:textId="77777777" w:rsidR="004D509B" w:rsidRDefault="004D509B" w:rsidP="008670FF">
            <w:r>
              <w:rPr>
                <w:b/>
              </w:rPr>
              <w:t>Revenue initiatives</w:t>
            </w:r>
          </w:p>
        </w:tc>
        <w:tc>
          <w:tcPr>
            <w:tcW w:w="794" w:type="dxa"/>
            <w:gridSpan w:val="2"/>
          </w:tcPr>
          <w:p w14:paraId="4CF5933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41D68B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747161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D28240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729F142E"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2A5CE81B" w14:textId="77777777" w:rsidR="004D509B" w:rsidRDefault="004D509B" w:rsidP="008670FF">
            <w:r>
              <w:t>Aligning vehicle registration fees for zero and low emission vehicles</w:t>
            </w:r>
          </w:p>
        </w:tc>
        <w:tc>
          <w:tcPr>
            <w:tcW w:w="794" w:type="dxa"/>
            <w:gridSpan w:val="2"/>
          </w:tcPr>
          <w:p w14:paraId="49412FA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4CEA77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15.0</w:t>
            </w:r>
          </w:p>
        </w:tc>
        <w:tc>
          <w:tcPr>
            <w:tcW w:w="794" w:type="dxa"/>
          </w:tcPr>
          <w:p w14:paraId="66FC1D4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57.0</w:t>
            </w:r>
          </w:p>
        </w:tc>
        <w:tc>
          <w:tcPr>
            <w:tcW w:w="794" w:type="dxa"/>
          </w:tcPr>
          <w:p w14:paraId="70FB455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93.0</w:t>
            </w:r>
          </w:p>
        </w:tc>
      </w:tr>
      <w:tr w:rsidR="004D509B" w14:paraId="451B5645"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5BD62E4F" w14:textId="77777777" w:rsidR="004D509B" w:rsidRDefault="004D509B" w:rsidP="008670FF">
            <w:r>
              <w:t>Bulk</w:t>
            </w:r>
            <w:r>
              <w:noBreakHyphen/>
              <w:t>billing payroll tax exemption for general practitioners</w:t>
            </w:r>
          </w:p>
        </w:tc>
        <w:tc>
          <w:tcPr>
            <w:tcW w:w="794" w:type="dxa"/>
            <w:gridSpan w:val="2"/>
          </w:tcPr>
          <w:p w14:paraId="42BB617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2996169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(26.0)</w:t>
            </w:r>
          </w:p>
        </w:tc>
        <w:tc>
          <w:tcPr>
            <w:tcW w:w="794" w:type="dxa"/>
          </w:tcPr>
          <w:p w14:paraId="7DEDD0A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(26.0)</w:t>
            </w:r>
          </w:p>
        </w:tc>
        <w:tc>
          <w:tcPr>
            <w:tcW w:w="794" w:type="dxa"/>
          </w:tcPr>
          <w:p w14:paraId="276ABE8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(26.0)</w:t>
            </w:r>
          </w:p>
        </w:tc>
      </w:tr>
      <w:tr w:rsidR="004D509B" w14:paraId="3C21B305"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44C97520" w14:textId="77777777" w:rsidR="004D509B" w:rsidRDefault="004D509B" w:rsidP="008670FF">
            <w:r>
              <w:t>Emergency Services and Volunteers Fund</w:t>
            </w:r>
          </w:p>
        </w:tc>
        <w:tc>
          <w:tcPr>
            <w:tcW w:w="794" w:type="dxa"/>
            <w:gridSpan w:val="2"/>
          </w:tcPr>
          <w:p w14:paraId="7F9F213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6CA3DF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610.9</w:t>
            </w:r>
          </w:p>
        </w:tc>
        <w:tc>
          <w:tcPr>
            <w:tcW w:w="794" w:type="dxa"/>
          </w:tcPr>
          <w:p w14:paraId="67B7A6F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765.0</w:t>
            </w:r>
          </w:p>
        </w:tc>
        <w:tc>
          <w:tcPr>
            <w:tcW w:w="794" w:type="dxa"/>
          </w:tcPr>
          <w:p w14:paraId="0B8D05B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765.0</w:t>
            </w:r>
          </w:p>
        </w:tc>
      </w:tr>
      <w:tr w:rsidR="004D509B" w14:paraId="7957006A" w14:textId="77777777" w:rsidTr="007920E8">
        <w:tc>
          <w:tcPr>
            <w:cnfStyle w:val="001000000000" w:firstRow="0" w:lastRow="0" w:firstColumn="1" w:lastColumn="0" w:oddVBand="0" w:evenVBand="0" w:oddHBand="0" w:evenHBand="0" w:firstRowFirstColumn="0" w:firstRowLastColumn="0" w:lastRowFirstColumn="0" w:lastRowLastColumn="0"/>
            <w:tcW w:w="4678" w:type="dxa"/>
            <w:gridSpan w:val="2"/>
          </w:tcPr>
          <w:p w14:paraId="73DDA9B8" w14:textId="77777777" w:rsidR="004D509B" w:rsidRDefault="004D509B" w:rsidP="008670FF">
            <w:r>
              <w:t>Exclude Alpine Resort Areas from the Vacant Residential Land Tax</w:t>
            </w:r>
          </w:p>
        </w:tc>
        <w:tc>
          <w:tcPr>
            <w:tcW w:w="650" w:type="dxa"/>
          </w:tcPr>
          <w:p w14:paraId="19C4EF0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313C5A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891674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D34456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0B6E36BD"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9B7E2B6" w14:textId="77777777" w:rsidR="004D509B" w:rsidRDefault="004D509B" w:rsidP="008670FF">
            <w:r>
              <w:t>Harmonising congestion levy rates with Sydney and expanding the congestion boundary</w:t>
            </w:r>
          </w:p>
        </w:tc>
        <w:tc>
          <w:tcPr>
            <w:tcW w:w="794" w:type="dxa"/>
            <w:gridSpan w:val="2"/>
          </w:tcPr>
          <w:p w14:paraId="3E8131D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D62CBA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99.8</w:t>
            </w:r>
          </w:p>
        </w:tc>
        <w:tc>
          <w:tcPr>
            <w:tcW w:w="794" w:type="dxa"/>
          </w:tcPr>
          <w:p w14:paraId="522B430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102.5</w:t>
            </w:r>
          </w:p>
        </w:tc>
        <w:tc>
          <w:tcPr>
            <w:tcW w:w="794" w:type="dxa"/>
          </w:tcPr>
          <w:p w14:paraId="60B7EF8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105.1</w:t>
            </w:r>
          </w:p>
        </w:tc>
      </w:tr>
      <w:tr w:rsidR="004D509B" w14:paraId="7785BF95"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E36B8D2" w14:textId="77777777" w:rsidR="004D509B" w:rsidRDefault="004D509B" w:rsidP="008670FF">
            <w:r>
              <w:t>New exemption from land tax for charitable housing</w:t>
            </w:r>
          </w:p>
        </w:tc>
        <w:tc>
          <w:tcPr>
            <w:tcW w:w="794" w:type="dxa"/>
            <w:gridSpan w:val="2"/>
          </w:tcPr>
          <w:p w14:paraId="345D00B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EF06D2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899404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A42961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39247858"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6113AA4B" w14:textId="77777777" w:rsidR="004D509B" w:rsidRDefault="004D509B" w:rsidP="008670FF">
            <w:r>
              <w:t>Off</w:t>
            </w:r>
            <w:r>
              <w:noBreakHyphen/>
              <w:t>the</w:t>
            </w:r>
            <w:r>
              <w:noBreakHyphen/>
              <w:t>plan stamp duty concession for apartments, units and townhouses</w:t>
            </w:r>
          </w:p>
        </w:tc>
        <w:tc>
          <w:tcPr>
            <w:tcW w:w="794" w:type="dxa"/>
            <w:gridSpan w:val="2"/>
          </w:tcPr>
          <w:p w14:paraId="4A78E02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(2.6)</w:t>
            </w:r>
          </w:p>
        </w:tc>
        <w:tc>
          <w:tcPr>
            <w:tcW w:w="794" w:type="dxa"/>
          </w:tcPr>
          <w:p w14:paraId="1A3B268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(17.2)</w:t>
            </w:r>
          </w:p>
        </w:tc>
        <w:tc>
          <w:tcPr>
            <w:tcW w:w="794" w:type="dxa"/>
          </w:tcPr>
          <w:p w14:paraId="6A411ED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(19.9)</w:t>
            </w:r>
          </w:p>
        </w:tc>
        <w:tc>
          <w:tcPr>
            <w:tcW w:w="794" w:type="dxa"/>
          </w:tcPr>
          <w:p w14:paraId="5F4A1C1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(15.1)</w:t>
            </w:r>
          </w:p>
        </w:tc>
      </w:tr>
      <w:tr w:rsidR="004D509B" w14:paraId="222EE570"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4" w:space="0" w:color="auto"/>
            </w:tcBorders>
          </w:tcPr>
          <w:p w14:paraId="4729A794" w14:textId="77777777" w:rsidR="004D509B" w:rsidRDefault="004D509B" w:rsidP="008670FF">
            <w:r>
              <w:t>Removing the friendly society tax exemptions for demutualised and commercially</w:t>
            </w:r>
            <w:r>
              <w:noBreakHyphen/>
              <w:t>controlled entities</w:t>
            </w:r>
          </w:p>
        </w:tc>
        <w:tc>
          <w:tcPr>
            <w:tcW w:w="794" w:type="dxa"/>
            <w:gridSpan w:val="2"/>
            <w:tcBorders>
              <w:bottom w:val="single" w:sz="4" w:space="0" w:color="auto"/>
            </w:tcBorders>
          </w:tcPr>
          <w:p w14:paraId="240EA9E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3.3</w:t>
            </w:r>
          </w:p>
        </w:tc>
        <w:tc>
          <w:tcPr>
            <w:tcW w:w="794" w:type="dxa"/>
            <w:tcBorders>
              <w:bottom w:val="single" w:sz="4" w:space="0" w:color="auto"/>
            </w:tcBorders>
          </w:tcPr>
          <w:p w14:paraId="619944F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7.0</w:t>
            </w:r>
          </w:p>
        </w:tc>
        <w:tc>
          <w:tcPr>
            <w:tcW w:w="794" w:type="dxa"/>
            <w:tcBorders>
              <w:bottom w:val="single" w:sz="4" w:space="0" w:color="auto"/>
            </w:tcBorders>
          </w:tcPr>
          <w:p w14:paraId="4FF83C4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7.3</w:t>
            </w:r>
          </w:p>
        </w:tc>
        <w:tc>
          <w:tcPr>
            <w:tcW w:w="794" w:type="dxa"/>
            <w:tcBorders>
              <w:bottom w:val="single" w:sz="4" w:space="0" w:color="auto"/>
            </w:tcBorders>
          </w:tcPr>
          <w:p w14:paraId="012C791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7.7</w:t>
            </w:r>
          </w:p>
        </w:tc>
      </w:tr>
      <w:tr w:rsidR="004D509B" w14:paraId="6E5AF437"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4" w:space="0" w:color="auto"/>
              <w:bottom w:val="single" w:sz="12" w:space="0" w:color="auto"/>
            </w:tcBorders>
          </w:tcPr>
          <w:p w14:paraId="7C24D15A" w14:textId="77777777" w:rsidR="004D509B" w:rsidRDefault="004D509B" w:rsidP="008670FF">
            <w:r>
              <w:rPr>
                <w:b/>
              </w:rPr>
              <w:t>Total revenue initiatives</w:t>
            </w:r>
          </w:p>
        </w:tc>
        <w:tc>
          <w:tcPr>
            <w:tcW w:w="794" w:type="dxa"/>
            <w:gridSpan w:val="2"/>
            <w:tcBorders>
              <w:top w:val="single" w:sz="4" w:space="0" w:color="auto"/>
              <w:bottom w:val="single" w:sz="12" w:space="0" w:color="auto"/>
            </w:tcBorders>
            <w:vAlign w:val="center"/>
          </w:tcPr>
          <w:p w14:paraId="2B8062F8" w14:textId="77777777" w:rsidR="004D509B" w:rsidRPr="008A7EAB"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8A7EAB">
              <w:rPr>
                <w:rFonts w:ascii="Calibri" w:hAnsi="Calibri" w:cs="Calibri"/>
                <w:b/>
                <w:bCs/>
                <w:szCs w:val="17"/>
              </w:rPr>
              <w:t>0.7</w:t>
            </w:r>
          </w:p>
        </w:tc>
        <w:tc>
          <w:tcPr>
            <w:tcW w:w="794" w:type="dxa"/>
            <w:tcBorders>
              <w:top w:val="single" w:sz="4" w:space="0" w:color="auto"/>
              <w:bottom w:val="single" w:sz="12" w:space="0" w:color="auto"/>
            </w:tcBorders>
            <w:vAlign w:val="center"/>
          </w:tcPr>
          <w:p w14:paraId="77618A4C" w14:textId="77777777" w:rsidR="004D509B" w:rsidRPr="008A7EAB"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8A7EAB">
              <w:rPr>
                <w:rFonts w:ascii="Calibri" w:hAnsi="Calibri" w:cs="Calibri"/>
                <w:b/>
                <w:bCs/>
                <w:szCs w:val="17"/>
              </w:rPr>
              <w:t>689.5</w:t>
            </w:r>
          </w:p>
        </w:tc>
        <w:tc>
          <w:tcPr>
            <w:tcW w:w="794" w:type="dxa"/>
            <w:tcBorders>
              <w:top w:val="single" w:sz="4" w:space="0" w:color="auto"/>
              <w:bottom w:val="single" w:sz="12" w:space="0" w:color="auto"/>
            </w:tcBorders>
            <w:vAlign w:val="center"/>
          </w:tcPr>
          <w:p w14:paraId="74038D60" w14:textId="77777777" w:rsidR="004D509B" w:rsidRPr="008A7EAB"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8A7EAB">
              <w:rPr>
                <w:rFonts w:ascii="Calibri" w:hAnsi="Calibri" w:cs="Calibri"/>
                <w:b/>
                <w:bCs/>
                <w:szCs w:val="17"/>
              </w:rPr>
              <w:t>885.9</w:t>
            </w:r>
          </w:p>
        </w:tc>
        <w:tc>
          <w:tcPr>
            <w:tcW w:w="794" w:type="dxa"/>
            <w:tcBorders>
              <w:top w:val="single" w:sz="4" w:space="0" w:color="auto"/>
              <w:bottom w:val="single" w:sz="12" w:space="0" w:color="auto"/>
            </w:tcBorders>
            <w:vAlign w:val="center"/>
          </w:tcPr>
          <w:p w14:paraId="4753A12C" w14:textId="77777777" w:rsidR="004D509B" w:rsidRPr="008A7EAB"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8A7EAB">
              <w:rPr>
                <w:rFonts w:ascii="Calibri" w:hAnsi="Calibri" w:cs="Calibri"/>
                <w:b/>
                <w:bCs/>
                <w:szCs w:val="17"/>
              </w:rPr>
              <w:t>929.7</w:t>
            </w:r>
          </w:p>
        </w:tc>
      </w:tr>
    </w:tbl>
    <w:p w14:paraId="6FC69FD1" w14:textId="77777777" w:rsidR="004D509B" w:rsidRPr="0069632E" w:rsidRDefault="004D509B" w:rsidP="004D509B">
      <w:pPr>
        <w:pStyle w:val="Heading30"/>
      </w:pPr>
      <w:r>
        <w:t>Revenue initiatives</w:t>
      </w:r>
    </w:p>
    <w:p w14:paraId="31EE0C10" w14:textId="77777777" w:rsidR="004D509B" w:rsidRPr="00AB3AAC" w:rsidRDefault="004D509B" w:rsidP="004D509B">
      <w:pPr>
        <w:pStyle w:val="Heading4"/>
      </w:pPr>
      <w:bookmarkStart w:id="179" w:name="_Hlk184672544"/>
      <w:r w:rsidRPr="0046557A">
        <w:t>Aligning vehicle registration fees for zero and low emission vehicles</w:t>
      </w:r>
      <w:r w:rsidRPr="007D1E90">
        <w:t xml:space="preserve"> </w:t>
      </w:r>
    </w:p>
    <w:bookmarkEnd w:id="179"/>
    <w:p w14:paraId="56228944" w14:textId="518CFCFB" w:rsidR="00610AF4" w:rsidRDefault="00610AF4" w:rsidP="00610AF4">
      <w:pPr>
        <w:rPr>
          <w:rFonts w:ascii="Garamond" w:eastAsia="Garamond" w:hAnsi="Garamond" w:cs="Garamond"/>
        </w:rPr>
      </w:pPr>
      <w:r w:rsidRPr="5D6E5EC3">
        <w:rPr>
          <w:rFonts w:ascii="Garamond" w:eastAsia="Garamond" w:hAnsi="Garamond" w:cs="Garamond"/>
        </w:rPr>
        <w:t>From 1 January 202</w:t>
      </w:r>
      <w:r>
        <w:rPr>
          <w:rFonts w:ascii="Garamond" w:eastAsia="Garamond" w:hAnsi="Garamond" w:cs="Garamond"/>
        </w:rPr>
        <w:t>6</w:t>
      </w:r>
      <w:r w:rsidRPr="5D6E5EC3">
        <w:rPr>
          <w:rFonts w:ascii="Garamond" w:eastAsia="Garamond" w:hAnsi="Garamond" w:cs="Garamond"/>
        </w:rPr>
        <w:t xml:space="preserve">, </w:t>
      </w:r>
      <w:r>
        <w:rPr>
          <w:rFonts w:ascii="Garamond" w:eastAsia="Garamond" w:hAnsi="Garamond" w:cs="Garamond"/>
        </w:rPr>
        <w:t xml:space="preserve">zero and low emission vehicles (ZLEVs) </w:t>
      </w:r>
      <w:r w:rsidRPr="00006F19">
        <w:rPr>
          <w:rFonts w:ascii="Garamond" w:eastAsia="Garamond" w:hAnsi="Garamond" w:cs="Garamond"/>
        </w:rPr>
        <w:t xml:space="preserve">will no longer receive the annual $100 registration discount. The proportion of </w:t>
      </w:r>
      <w:r>
        <w:rPr>
          <w:rFonts w:ascii="Garamond" w:eastAsia="Garamond" w:hAnsi="Garamond" w:cs="Garamond"/>
        </w:rPr>
        <w:t xml:space="preserve">sales of </w:t>
      </w:r>
      <w:r w:rsidRPr="00006F19">
        <w:rPr>
          <w:rFonts w:ascii="Garamond" w:eastAsia="Garamond" w:hAnsi="Garamond" w:cs="Garamond"/>
        </w:rPr>
        <w:t>light vehicle</w:t>
      </w:r>
      <w:r>
        <w:rPr>
          <w:rFonts w:ascii="Garamond" w:eastAsia="Garamond" w:hAnsi="Garamond" w:cs="Garamond"/>
        </w:rPr>
        <w:t>s</w:t>
      </w:r>
      <w:r w:rsidRPr="00006F19">
        <w:rPr>
          <w:rFonts w:ascii="Garamond" w:eastAsia="Garamond" w:hAnsi="Garamond" w:cs="Garamond"/>
        </w:rPr>
        <w:t xml:space="preserve"> </w:t>
      </w:r>
      <w:r>
        <w:rPr>
          <w:rFonts w:ascii="Garamond" w:eastAsia="Garamond" w:hAnsi="Garamond" w:cs="Garamond"/>
        </w:rPr>
        <w:t xml:space="preserve">without internal combustion engines </w:t>
      </w:r>
      <w:r w:rsidRPr="00006F19">
        <w:rPr>
          <w:rFonts w:ascii="Garamond" w:eastAsia="Garamond" w:hAnsi="Garamond" w:cs="Garamond"/>
        </w:rPr>
        <w:t xml:space="preserve">is growing rapidly, from </w:t>
      </w:r>
      <w:r>
        <w:rPr>
          <w:rFonts w:ascii="Garamond" w:eastAsia="Garamond" w:hAnsi="Garamond" w:cs="Garamond"/>
        </w:rPr>
        <w:t>8.9 per cent</w:t>
      </w:r>
      <w:r w:rsidRPr="00006F19">
        <w:rPr>
          <w:rFonts w:ascii="Garamond" w:eastAsia="Garamond" w:hAnsi="Garamond" w:cs="Garamond"/>
        </w:rPr>
        <w:t xml:space="preserve"> in the </w:t>
      </w:r>
      <w:r>
        <w:rPr>
          <w:rFonts w:ascii="Garamond" w:eastAsia="Garamond" w:hAnsi="Garamond" w:cs="Garamond"/>
        </w:rPr>
        <w:t xml:space="preserve">second </w:t>
      </w:r>
      <w:r w:rsidRPr="00006F19">
        <w:rPr>
          <w:rFonts w:ascii="Garamond" w:eastAsia="Garamond" w:hAnsi="Garamond" w:cs="Garamond"/>
        </w:rPr>
        <w:t xml:space="preserve">quarter of 2022 to </w:t>
      </w:r>
      <w:r>
        <w:rPr>
          <w:rFonts w:ascii="Garamond" w:eastAsia="Garamond" w:hAnsi="Garamond" w:cs="Garamond"/>
        </w:rPr>
        <w:t>24.2 per cent</w:t>
      </w:r>
      <w:r w:rsidRPr="00006F19">
        <w:rPr>
          <w:rFonts w:ascii="Garamond" w:eastAsia="Garamond" w:hAnsi="Garamond" w:cs="Garamond"/>
        </w:rPr>
        <w:t xml:space="preserve"> in the </w:t>
      </w:r>
      <w:r>
        <w:rPr>
          <w:rFonts w:ascii="Garamond" w:eastAsia="Garamond" w:hAnsi="Garamond" w:cs="Garamond"/>
        </w:rPr>
        <w:t>second</w:t>
      </w:r>
      <w:r w:rsidRPr="00006F19">
        <w:rPr>
          <w:rFonts w:ascii="Garamond" w:eastAsia="Garamond" w:hAnsi="Garamond" w:cs="Garamond"/>
        </w:rPr>
        <w:t xml:space="preserve"> quarter of 2024</w:t>
      </w:r>
      <w:r>
        <w:rPr>
          <w:rFonts w:ascii="Garamond" w:eastAsia="Garamond" w:hAnsi="Garamond" w:cs="Garamond"/>
        </w:rPr>
        <w:t>, with the proportion of electric vehicle variants more than quadrupling over the same two-year period</w:t>
      </w:r>
      <w:r w:rsidRPr="00006F19">
        <w:rPr>
          <w:rFonts w:ascii="Garamond" w:eastAsia="Garamond" w:hAnsi="Garamond" w:cs="Garamond"/>
        </w:rPr>
        <w:t>.</w:t>
      </w:r>
      <w:r w:rsidRPr="00492684">
        <w:rPr>
          <w:rFonts w:ascii="Garamond" w:eastAsia="Garamond" w:hAnsi="Garamond" w:cs="Garamond"/>
        </w:rPr>
        <w:t xml:space="preserve"> </w:t>
      </w:r>
      <w:r w:rsidRPr="00006F19">
        <w:rPr>
          <w:rFonts w:ascii="Garamond" w:eastAsia="Garamond" w:hAnsi="Garamond" w:cs="Garamond"/>
        </w:rPr>
        <w:t>Re</w:t>
      </w:r>
      <w:r>
        <w:rPr>
          <w:rFonts w:ascii="Garamond" w:eastAsia="Garamond" w:hAnsi="Garamond" w:cs="Garamond"/>
        </w:rPr>
        <w:t>gistration renewal fees for ZLEVs will automatically revert to the standard light vehicle registration charge.</w:t>
      </w:r>
    </w:p>
    <w:p w14:paraId="18B933C2" w14:textId="77777777" w:rsidR="004D509B" w:rsidRDefault="004D509B" w:rsidP="004D509B">
      <w:pPr>
        <w:rPr>
          <w:rFonts w:ascii="Garamond" w:eastAsia="Garamond" w:hAnsi="Garamond" w:cs="Garamond"/>
        </w:rPr>
      </w:pPr>
      <w:r>
        <w:rPr>
          <w:rFonts w:ascii="Garamond" w:eastAsia="Garamond" w:hAnsi="Garamond" w:cs="Garamond"/>
        </w:rPr>
        <w:t>ZLEVs pay less or no fuel excise, and this will help ensure that all road users contribute their fair share to building and maintaining Victoria’s roads.</w:t>
      </w:r>
    </w:p>
    <w:p w14:paraId="1403587F" w14:textId="77777777" w:rsidR="004D509B" w:rsidRPr="00B678AD" w:rsidRDefault="004D509B" w:rsidP="004D509B">
      <w:pPr>
        <w:pStyle w:val="Heading4"/>
      </w:pPr>
      <w:r w:rsidRPr="00175E95">
        <w:t>Bulk-billing payroll tax exemption for general practitioners</w:t>
      </w:r>
      <w:r w:rsidRPr="00B678AD">
        <w:t xml:space="preserve"> </w:t>
      </w:r>
    </w:p>
    <w:p w14:paraId="5F66AA65" w14:textId="4C5A2D55" w:rsidR="004D509B" w:rsidRDefault="004D509B" w:rsidP="007920E8">
      <w:pPr>
        <w:ind w:right="-142"/>
      </w:pPr>
      <w:r w:rsidRPr="25347F33">
        <w:t xml:space="preserve">From 1 July 2025, </w:t>
      </w:r>
      <w:r>
        <w:t xml:space="preserve">payments made by </w:t>
      </w:r>
      <w:r w:rsidRPr="25347F33">
        <w:t>general practitioner</w:t>
      </w:r>
      <w:r>
        <w:t xml:space="preserve"> (GP) clinics </w:t>
      </w:r>
      <w:r w:rsidRPr="25347F33">
        <w:t xml:space="preserve">to employee and contractor </w:t>
      </w:r>
      <w:r>
        <w:t xml:space="preserve">GPs </w:t>
      </w:r>
      <w:r w:rsidRPr="25347F33">
        <w:t>relating to bulk-billed consultations will be exempt from payroll tax. Bulk</w:t>
      </w:r>
      <w:r>
        <w:noBreakHyphen/>
      </w:r>
      <w:r w:rsidRPr="25347F33">
        <w:t>billing occurs when a doctor accepts the full Medicare rebate as payment, with no out</w:t>
      </w:r>
      <w:r w:rsidR="007920E8">
        <w:noBreakHyphen/>
      </w:r>
      <w:r w:rsidRPr="25347F33">
        <w:t>of</w:t>
      </w:r>
      <w:r w:rsidR="007920E8">
        <w:noBreakHyphen/>
      </w:r>
      <w:r w:rsidRPr="25347F33">
        <w:t>pocket costs for patients. For the purposes of this exemption, payments made through the Department of Veterans</w:t>
      </w:r>
      <w:r>
        <w:t>’</w:t>
      </w:r>
      <w:r w:rsidRPr="25347F33">
        <w:t xml:space="preserve"> Affairs, as well as the Transport Accident Commission and WorkCover, will also be treated as bulk-billed if there are no out</w:t>
      </w:r>
      <w:r w:rsidR="007920E8">
        <w:noBreakHyphen/>
      </w:r>
      <w:r w:rsidRPr="25347F33">
        <w:t>of</w:t>
      </w:r>
      <w:r w:rsidR="007920E8">
        <w:noBreakHyphen/>
      </w:r>
      <w:r w:rsidRPr="25347F33">
        <w:t xml:space="preserve">pocket costs for patients. </w:t>
      </w:r>
    </w:p>
    <w:p w14:paraId="00A3CF9E" w14:textId="77777777" w:rsidR="004D509B" w:rsidRDefault="004D509B" w:rsidP="004D509B">
      <w:r w:rsidRPr="25347F33">
        <w:t xml:space="preserve">The exemption </w:t>
      </w:r>
      <w:r>
        <w:t xml:space="preserve">will </w:t>
      </w:r>
      <w:r w:rsidRPr="25347F33">
        <w:t xml:space="preserve">support </w:t>
      </w:r>
      <w:r>
        <w:t xml:space="preserve">GPs to provide </w:t>
      </w:r>
      <w:r w:rsidRPr="25347F33">
        <w:t>more bulk-billed consultations and improve access to healthcare for Victorians.</w:t>
      </w:r>
    </w:p>
    <w:p w14:paraId="27609B98" w14:textId="77777777" w:rsidR="004D509B" w:rsidRPr="00D86E63" w:rsidRDefault="004D509B" w:rsidP="004D509B">
      <w:pPr>
        <w:pStyle w:val="Heading4"/>
      </w:pPr>
      <w:r w:rsidRPr="00175E95">
        <w:t>Emergency Services and Volunteers Fund</w:t>
      </w:r>
    </w:p>
    <w:p w14:paraId="403DDCBA" w14:textId="77777777" w:rsidR="004D509B" w:rsidRPr="00A74BF5" w:rsidRDefault="004D509B" w:rsidP="007920E8">
      <w:pPr>
        <w:keepNext/>
      </w:pPr>
      <w:r w:rsidRPr="00A74BF5">
        <w:t xml:space="preserve">The Fire Services Property Levy will be replaced </w:t>
      </w:r>
      <w:r w:rsidRPr="00DA59BF">
        <w:t>by the</w:t>
      </w:r>
      <w:r w:rsidRPr="00DA59BF">
        <w:rPr>
          <w:i/>
          <w:iCs/>
        </w:rPr>
        <w:t xml:space="preserve"> </w:t>
      </w:r>
      <w:r w:rsidRPr="00D051FC">
        <w:rPr>
          <w:i/>
          <w:iCs/>
        </w:rPr>
        <w:t>Emergency Services and Volunteers Fund</w:t>
      </w:r>
      <w:r w:rsidRPr="00DA59BF">
        <w:rPr>
          <w:i/>
          <w:iCs/>
        </w:rPr>
        <w:t xml:space="preserve">, </w:t>
      </w:r>
      <w:r w:rsidRPr="00DA59BF">
        <w:t>and include emergency and disaster response</w:t>
      </w:r>
      <w:r w:rsidRPr="00A74BF5">
        <w:t xml:space="preserve"> services.</w:t>
      </w:r>
    </w:p>
    <w:p w14:paraId="2049ADFE" w14:textId="65E391D8" w:rsidR="004D509B" w:rsidRDefault="004D509B" w:rsidP="004D509B">
      <w:r w:rsidRPr="00812BA9">
        <w:t>From 1 July 2025, the Fund</w:t>
      </w:r>
      <w:r w:rsidRPr="00812BA9">
        <w:rPr>
          <w:b/>
          <w:bCs/>
          <w:i/>
          <w:iCs/>
        </w:rPr>
        <w:t xml:space="preserve"> </w:t>
      </w:r>
      <w:r w:rsidRPr="00812BA9">
        <w:t xml:space="preserve">will make sure </w:t>
      </w:r>
      <w:r>
        <w:t xml:space="preserve">Victoria’s emergency services – including </w:t>
      </w:r>
      <w:r w:rsidRPr="00812BA9">
        <w:t xml:space="preserve">FRV, the CFA, VicSES, Triple Zero Victoria, </w:t>
      </w:r>
      <w:r>
        <w:t>the State Control Centre, and Emergency Recovery Victoria –</w:t>
      </w:r>
      <w:r w:rsidRPr="00812BA9">
        <w:t xml:space="preserve"> have the resources they need to keep Victorians safe, and to help them recover</w:t>
      </w:r>
      <w:r>
        <w:t xml:space="preserve"> from natural disasters</w:t>
      </w:r>
      <w:r w:rsidRPr="00812BA9">
        <w:t>.</w:t>
      </w:r>
    </w:p>
    <w:p w14:paraId="025DF97B" w14:textId="77777777" w:rsidR="00274E38" w:rsidRPr="00317663" w:rsidRDefault="00274E38" w:rsidP="00274E38">
      <w:r w:rsidRPr="00317663">
        <w:t>This will bring Victoria into line with other states.</w:t>
      </w:r>
    </w:p>
    <w:p w14:paraId="6A3885D9" w14:textId="014651E3" w:rsidR="00274E38" w:rsidRPr="00317663" w:rsidRDefault="00274E38" w:rsidP="00274E38">
      <w:r w:rsidRPr="00317663">
        <w:t>Every dollar raised will go towards vital life-saving equipment, vehicles, staff, training for volunteers, community education, and recovery support for when Victorians need it most.</w:t>
      </w:r>
    </w:p>
    <w:p w14:paraId="1573CF72" w14:textId="7AA188C2" w:rsidR="00274E38" w:rsidRDefault="00274E38" w:rsidP="00274E38">
      <w:r w:rsidRPr="00317663">
        <w:t>And because</w:t>
      </w:r>
      <w:r w:rsidRPr="00317663" w:rsidDel="0018472D">
        <w:t xml:space="preserve"> </w:t>
      </w:r>
      <w:r w:rsidRPr="00317663">
        <w:t>emergency services volunteers give so much, an exemption will be available for eligible CFA and VicSES volunteers on their principal place of residence.</w:t>
      </w:r>
      <w:r w:rsidRPr="0042008E" w:rsidDel="0042008E">
        <w:t xml:space="preserve"> </w:t>
      </w:r>
    </w:p>
    <w:p w14:paraId="44E128EC" w14:textId="66ABC9FD" w:rsidR="004D509B" w:rsidRPr="00D86E63" w:rsidRDefault="004D509B" w:rsidP="004D509B">
      <w:r w:rsidRPr="00B46C83">
        <w:t xml:space="preserve">Fires, floods and storms are </w:t>
      </w:r>
      <w:r>
        <w:t>becoming more frequent</w:t>
      </w:r>
      <w:r w:rsidRPr="00B46C83">
        <w:t xml:space="preserve">. This dedicated funding will ensure </w:t>
      </w:r>
      <w:r>
        <w:t>hardworking</w:t>
      </w:r>
      <w:r w:rsidRPr="00B46C83">
        <w:t xml:space="preserve"> emergency services have the tools and resources they need to keep Victorians safe.</w:t>
      </w:r>
    </w:p>
    <w:p w14:paraId="0CEBC413" w14:textId="77777777" w:rsidR="004D509B" w:rsidRPr="00197424" w:rsidRDefault="004D509B" w:rsidP="004D509B">
      <w:pPr>
        <w:pStyle w:val="Heading4"/>
      </w:pPr>
      <w:r w:rsidRPr="00175E95">
        <w:t>Exclude Alpine Resort Areas from the Vacant Residential Land Tax</w:t>
      </w:r>
    </w:p>
    <w:p w14:paraId="4BCDB450" w14:textId="77777777" w:rsidR="004D509B" w:rsidRPr="00BA5BF1" w:rsidRDefault="004D509B" w:rsidP="004D509B">
      <w:r w:rsidRPr="00BA5BF1">
        <w:t xml:space="preserve">From 1 January 2025, residential land located in Victoria’s six alpine resort areas, </w:t>
      </w:r>
      <w:r>
        <w:t>specified</w:t>
      </w:r>
      <w:r w:rsidRPr="00BA5BF1">
        <w:t xml:space="preserve"> in the </w:t>
      </w:r>
      <w:r w:rsidRPr="00BA5BF1">
        <w:rPr>
          <w:i/>
          <w:iCs/>
        </w:rPr>
        <w:t>Alpine Resorts Act 1983</w:t>
      </w:r>
      <w:r w:rsidRPr="00197424">
        <w:t xml:space="preserve">, </w:t>
      </w:r>
      <w:r w:rsidRPr="00BA5BF1">
        <w:t xml:space="preserve">will be excluded from the Vacant Residential Land Tax (VRLT). Given the seasonal nature of demand for accommodation in alpine resort areas, properties in these areas </w:t>
      </w:r>
      <w:r>
        <w:t>may otherwise</w:t>
      </w:r>
      <w:r w:rsidRPr="00BA5BF1">
        <w:t xml:space="preserve"> be considered vacant for VRLT purposes, even though they are not suitable for use as long</w:t>
      </w:r>
      <w:r>
        <w:t>-</w:t>
      </w:r>
      <w:r w:rsidRPr="00BA5BF1">
        <w:t>term accommodation. The initiative will align with the expansion of the VRLT from inner and middle metropolitan Melbourne to the rest of Victoria from the 2025 land tax year.</w:t>
      </w:r>
    </w:p>
    <w:p w14:paraId="2D8B4FBC" w14:textId="77777777" w:rsidR="004D509B" w:rsidRPr="00B678AD" w:rsidRDefault="004D509B" w:rsidP="004D509B">
      <w:pPr>
        <w:pStyle w:val="Heading4"/>
      </w:pPr>
      <w:r w:rsidRPr="00175E95">
        <w:t>Harmonising congestion levy rates with Sydney and expanding the congestion boundary</w:t>
      </w:r>
    </w:p>
    <w:p w14:paraId="547E9DA3" w14:textId="77777777" w:rsidR="004D509B" w:rsidRDefault="004D509B" w:rsidP="004D509B">
      <w:r>
        <w:t>C</w:t>
      </w:r>
      <w:r w:rsidRPr="25347F33">
        <w:t>ongestion levy rates will increase</w:t>
      </w:r>
      <w:r>
        <w:t xml:space="preserve"> from 1 January 2026</w:t>
      </w:r>
      <w:r w:rsidRPr="25347F33">
        <w:t xml:space="preserve">, with </w:t>
      </w:r>
      <w:r>
        <w:t>c</w:t>
      </w:r>
      <w:r w:rsidRPr="25347F33">
        <w:t>ategory 1 areas increasing to approximately $3</w:t>
      </w:r>
      <w:r>
        <w:t> </w:t>
      </w:r>
      <w:r w:rsidRPr="25347F33">
        <w:t>030, in line with the expected parking space levy rates in Sydney</w:t>
      </w:r>
      <w:r>
        <w:t>’</w:t>
      </w:r>
      <w:r w:rsidRPr="25347F33">
        <w:t xml:space="preserve">s CBD, and </w:t>
      </w:r>
      <w:r>
        <w:t>c</w:t>
      </w:r>
      <w:r w:rsidRPr="25347F33">
        <w:t>ategory 2 areas increasing to approximately $2</w:t>
      </w:r>
      <w:r>
        <w:t> </w:t>
      </w:r>
      <w:r w:rsidRPr="25347F33">
        <w:t>150.</w:t>
      </w:r>
    </w:p>
    <w:p w14:paraId="187254DA" w14:textId="77777777" w:rsidR="004D509B" w:rsidRDefault="004D509B" w:rsidP="004D509B">
      <w:r w:rsidRPr="25347F33">
        <w:t xml:space="preserve">Further, the </w:t>
      </w:r>
      <w:r>
        <w:t>c</w:t>
      </w:r>
      <w:r w:rsidRPr="25347F33">
        <w:t xml:space="preserve">ategory 2 area boundary will be expanded to include additional inner suburbs along Hoddle Street and Punt Road. The current </w:t>
      </w:r>
      <w:r>
        <w:t>c</w:t>
      </w:r>
      <w:r w:rsidRPr="25347F33">
        <w:t>ategory 2 area boundary does not capture inner-eastern suburbs despite these areas having similar proximity to Melbourne</w:t>
      </w:r>
      <w:r>
        <w:t>’</w:t>
      </w:r>
      <w:r w:rsidRPr="25347F33">
        <w:t xml:space="preserve">s CBD as other suburbs that are subject to the levy. The increased </w:t>
      </w:r>
      <w:r>
        <w:t>c</w:t>
      </w:r>
      <w:r w:rsidRPr="25347F33">
        <w:t xml:space="preserve">ategory 2 rate will apply to the expansion area. </w:t>
      </w:r>
    </w:p>
    <w:p w14:paraId="752DF27A" w14:textId="77777777" w:rsidR="004D509B" w:rsidRDefault="004D509B" w:rsidP="004D509B">
      <w:r w:rsidRPr="25347F33">
        <w:t>The existing exemptions will continue to apply.</w:t>
      </w:r>
    </w:p>
    <w:p w14:paraId="302120A0" w14:textId="77777777" w:rsidR="0014639D" w:rsidRDefault="0014639D" w:rsidP="0014639D">
      <w:r>
        <w:t xml:space="preserve">The congestion levy boundary was last expanded in the </w:t>
      </w:r>
      <w:r w:rsidRPr="000E727F">
        <w:rPr>
          <w:i/>
          <w:iCs/>
        </w:rPr>
        <w:t>2013</w:t>
      </w:r>
      <w:r>
        <w:rPr>
          <w:i/>
          <w:iCs/>
        </w:rPr>
        <w:t>-</w:t>
      </w:r>
      <w:r w:rsidRPr="000E727F">
        <w:rPr>
          <w:i/>
          <w:iCs/>
        </w:rPr>
        <w:t>14 Budget</w:t>
      </w:r>
      <w:r>
        <w:t>.</w:t>
      </w:r>
    </w:p>
    <w:p w14:paraId="7EBC36DD" w14:textId="77777777" w:rsidR="004D509B" w:rsidRDefault="004D509B" w:rsidP="004D509B">
      <w:r w:rsidRPr="25347F33">
        <w:t>These changes aim to reduce congestion and encourage the use of public transport by commuters to the CBD and inner-city areas.</w:t>
      </w:r>
    </w:p>
    <w:p w14:paraId="1591C8EE" w14:textId="77777777" w:rsidR="004D509B" w:rsidRDefault="004D509B" w:rsidP="004D509B">
      <w:pPr>
        <w:pStyle w:val="Heading4"/>
      </w:pPr>
      <w:r w:rsidRPr="00175E95">
        <w:t>New exemption from land tax for charitable housing</w:t>
      </w:r>
    </w:p>
    <w:p w14:paraId="14D603B1" w14:textId="77777777" w:rsidR="004D509B" w:rsidRDefault="004D509B" w:rsidP="004D509B">
      <w:r w:rsidRPr="25347F33">
        <w:t xml:space="preserve">The Government </w:t>
      </w:r>
      <w:r>
        <w:t>has</w:t>
      </w:r>
      <w:r w:rsidRPr="25347F33">
        <w:t xml:space="preserve"> introduce</w:t>
      </w:r>
      <w:r>
        <w:t>d</w:t>
      </w:r>
      <w:r w:rsidRPr="25347F33">
        <w:t xml:space="preserve"> a land tax exemption for housing owned or managed by a charitable institution and provided to occupants in connection with the charitable purpose to relieve poverty. This exemption will also extend to vacant land owned by charitable institutions and declared by its owner to be held for such future use and occupation. The exemption will commence in the 2025 land tax year.</w:t>
      </w:r>
    </w:p>
    <w:p w14:paraId="71585DBD" w14:textId="77777777" w:rsidR="004D509B" w:rsidRPr="00D86E63" w:rsidRDefault="004D509B" w:rsidP="004D509B">
      <w:pPr>
        <w:pStyle w:val="Heading4"/>
      </w:pPr>
      <w:r w:rsidRPr="00175E95">
        <w:t>Off-the-plan stamp duty concession for apartments, units and townhouses</w:t>
      </w:r>
    </w:p>
    <w:p w14:paraId="6610FD97" w14:textId="77777777" w:rsidR="004D509B" w:rsidRDefault="004D509B" w:rsidP="004D509B">
      <w:r>
        <w:t>From 21 October 2024, the land transfer duty off-the-plan concession has been temporarily expanded to all eligible purchases of off-the-plan apartments, townhouses and units, with no price threshold. Prior to 21 October 2024, the concession was limited to purchases eligible for the first home buyer</w:t>
      </w:r>
      <w:r w:rsidRPr="00DC1FC9">
        <w:t xml:space="preserve"> </w:t>
      </w:r>
      <w:r>
        <w:t xml:space="preserve">concession or the principal place of residence concession, and price thresholds applied. </w:t>
      </w:r>
    </w:p>
    <w:p w14:paraId="34DD7348" w14:textId="77777777" w:rsidR="004D509B" w:rsidRDefault="004D509B" w:rsidP="004D509B">
      <w:r>
        <w:t>The concession applies to contracts signed o</w:t>
      </w:r>
      <w:r w:rsidRPr="00AB4307">
        <w:t>n or after 21 October 2024 and before 21</w:t>
      </w:r>
      <w:r>
        <w:t> </w:t>
      </w:r>
      <w:r w:rsidRPr="00AB4307">
        <w:t>October 2025</w:t>
      </w:r>
      <w:r>
        <w:t xml:space="preserve">, even if the transaction is settled after the end of the eligibility period. This applies to any apartment, townhouse or unit that is in a strata subdivision. Properties in a strata subdivision retain common property such as a shared driveway or hallway. </w:t>
      </w:r>
    </w:p>
    <w:p w14:paraId="2E9C5A70" w14:textId="77777777" w:rsidR="004D509B" w:rsidRDefault="004D509B" w:rsidP="004D509B">
      <w:r>
        <w:t>The concession will cut upfront costs for purchasers, speed up construction, and make it more affordable to buy off-the-plan. Additional off-the-plan</w:t>
      </w:r>
      <w:r w:rsidRPr="00D2146F">
        <w:t xml:space="preserve"> purchases will help kick-start residential developments that have been approved but are currently on hold due to a lack of pre-sales.</w:t>
      </w:r>
    </w:p>
    <w:p w14:paraId="3F4646E4" w14:textId="2EED189C" w:rsidR="004D509B" w:rsidRPr="00B678AD" w:rsidRDefault="004D509B" w:rsidP="004D509B">
      <w:pPr>
        <w:pStyle w:val="Heading4"/>
      </w:pPr>
      <w:r w:rsidRPr="007C6068">
        <w:t xml:space="preserve">Removing the friendly </w:t>
      </w:r>
      <w:r>
        <w:t>society tax exemptions for demutualised and commercially</w:t>
      </w:r>
      <w:r>
        <w:noBreakHyphen/>
        <w:t>controlled entities</w:t>
      </w:r>
    </w:p>
    <w:p w14:paraId="061A6842" w14:textId="77777777" w:rsidR="004D509B" w:rsidRPr="00B678AD" w:rsidRDefault="004D509B" w:rsidP="004D509B">
      <w:pPr>
        <w:rPr>
          <w:rFonts w:ascii="Garamond" w:eastAsia="Garamond" w:hAnsi="Garamond" w:cs="Garamond"/>
        </w:rPr>
      </w:pPr>
      <w:r w:rsidRPr="00B678AD">
        <w:rPr>
          <w:rFonts w:ascii="Garamond" w:eastAsia="Garamond" w:hAnsi="Garamond" w:cs="Garamond"/>
        </w:rPr>
        <w:t>From 1 January 2025, the insurance duty exemption for friendly societies will be restricted to certain traditional friendly societies. The restricted exemption will only apply to societies with a mutual structure that have dominant activities that fall within the scope of traditional beneficial objects for which friendly societies historically existed, such as providing health and welfare benefits, providing education, dispensing medicine, or other activities. Friendly societies that are demutualised or under commercial control will not qualify for the exemption.</w:t>
      </w:r>
    </w:p>
    <w:p w14:paraId="3E1E4DC5" w14:textId="77777777" w:rsidR="004D509B" w:rsidRDefault="004D509B" w:rsidP="004D509B">
      <w:pPr>
        <w:rPr>
          <w:rFonts w:ascii="Garamond" w:eastAsia="Garamond" w:hAnsi="Garamond" w:cs="Garamond"/>
        </w:rPr>
      </w:pPr>
      <w:r w:rsidRPr="00B678AD">
        <w:rPr>
          <w:rFonts w:ascii="Garamond" w:eastAsia="Garamond" w:hAnsi="Garamond" w:cs="Garamond"/>
        </w:rPr>
        <w:t>The Government will also abolish the land transfer duty exemption for friendly societies, as it is infrequently claimed and no longer appropriate to offer in modern circumstances. Friendly societies may still benefit from other duty exemptions where they are eligible, such as the charity exemption.</w:t>
      </w:r>
    </w:p>
    <w:p w14:paraId="2B9A5556" w14:textId="77777777" w:rsidR="004D509B" w:rsidRDefault="004D509B" w:rsidP="004D509B">
      <w:pPr>
        <w:rPr>
          <w:rFonts w:ascii="Garamond" w:eastAsia="Garamond" w:hAnsi="Garamond" w:cs="Garamond"/>
        </w:rPr>
      </w:pPr>
    </w:p>
    <w:p w14:paraId="5AC884C1" w14:textId="77777777" w:rsidR="004D509B" w:rsidRPr="00884854" w:rsidRDefault="004D509B" w:rsidP="004D509B">
      <w:pPr>
        <w:pStyle w:val="Heading10"/>
        <w:pageBreakBefore/>
      </w:pPr>
      <w:bookmarkStart w:id="180" w:name="_Toc184222986"/>
      <w:bookmarkStart w:id="181" w:name="_Toc184299291"/>
      <w:bookmarkStart w:id="182" w:name="_Toc184299460"/>
      <w:r w:rsidRPr="00884854">
        <w:t xml:space="preserve">Department of </w:t>
      </w:r>
      <w:r>
        <w:t>E</w:t>
      </w:r>
      <w:r w:rsidRPr="00884854">
        <w:t>ducation</w:t>
      </w:r>
      <w:bookmarkEnd w:id="180"/>
      <w:bookmarkEnd w:id="181"/>
      <w:bookmarkEnd w:id="182"/>
    </w:p>
    <w:p w14:paraId="5999C903" w14:textId="77777777" w:rsidR="004D509B" w:rsidRPr="00884854" w:rsidRDefault="004D509B" w:rsidP="004D509B">
      <w:pPr>
        <w:pStyle w:val="Heading20"/>
      </w:pPr>
      <w:r w:rsidRPr="00884854">
        <w:t>Output initiatives</w:t>
      </w:r>
    </w:p>
    <w:p w14:paraId="7BC15D51" w14:textId="77777777" w:rsidR="004D509B" w:rsidRDefault="004D509B" w:rsidP="004D509B">
      <w:pPr>
        <w:pStyle w:val="Caption"/>
      </w:pPr>
      <w:r w:rsidRPr="00884854">
        <w:t>Table A.</w:t>
      </w:r>
      <w:r>
        <w:t>2</w:t>
      </w:r>
      <w:r w:rsidRPr="00884854">
        <w:t>:</w:t>
      </w:r>
      <w:r w:rsidRPr="00884854">
        <w:tab/>
        <w:t>Output initiatives – Education</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E_Output|Extract: {&#10;   &quot;WomensSafetyPackageExpansionoftheRespectfulRelationshipsprogram&quot;:&quot;Carroll&quot;,&#10;   &quot;Helpingparentsandcarersimplementsafersocialsfortheirchildren&quot;:&quot;Carroll&quot;}"/>
      </w:tblPr>
      <w:tblGrid>
        <w:gridCol w:w="4534"/>
        <w:gridCol w:w="794"/>
        <w:gridCol w:w="794"/>
        <w:gridCol w:w="794"/>
        <w:gridCol w:w="794"/>
      </w:tblGrid>
      <w:tr w:rsidR="004D509B" w14:paraId="0B0EE25C"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425D57A" w14:textId="77777777" w:rsidR="004D509B" w:rsidRDefault="004D509B" w:rsidP="008670FF">
            <w:pPr>
              <w:keepNext/>
            </w:pPr>
          </w:p>
        </w:tc>
        <w:tc>
          <w:tcPr>
            <w:tcW w:w="794" w:type="dxa"/>
          </w:tcPr>
          <w:p w14:paraId="7A7B7645"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6D7523CF"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41EBA805"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0899B058"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2B6DAD1E"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550E9459" w14:textId="77777777" w:rsidR="004D509B" w:rsidRDefault="004D509B" w:rsidP="008670FF">
            <w:r>
              <w:rPr>
                <w:b/>
              </w:rPr>
              <w:t>School Education – Primary and Secondary</w:t>
            </w:r>
          </w:p>
        </w:tc>
        <w:tc>
          <w:tcPr>
            <w:tcW w:w="794" w:type="dxa"/>
          </w:tcPr>
          <w:p w14:paraId="2B5E0BA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1F0C52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CC9373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E576FE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30DA07E2"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29971F75" w14:textId="77777777" w:rsidR="004D509B" w:rsidRDefault="004D509B" w:rsidP="008670FF">
            <w:r>
              <w:t>Strengthening Women’s Safety – Expansion of the Respectful Relationships program</w:t>
            </w:r>
          </w:p>
        </w:tc>
        <w:tc>
          <w:tcPr>
            <w:tcW w:w="794" w:type="dxa"/>
            <w:tcBorders>
              <w:bottom w:val="single" w:sz="6" w:space="0" w:color="auto"/>
            </w:tcBorders>
          </w:tcPr>
          <w:p w14:paraId="259E90E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2.5</w:t>
            </w:r>
          </w:p>
        </w:tc>
        <w:tc>
          <w:tcPr>
            <w:tcW w:w="794" w:type="dxa"/>
            <w:tcBorders>
              <w:bottom w:val="single" w:sz="6" w:space="0" w:color="auto"/>
            </w:tcBorders>
          </w:tcPr>
          <w:p w14:paraId="4F2935F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2.0</w:t>
            </w:r>
          </w:p>
        </w:tc>
        <w:tc>
          <w:tcPr>
            <w:tcW w:w="794" w:type="dxa"/>
            <w:tcBorders>
              <w:bottom w:val="single" w:sz="6" w:space="0" w:color="auto"/>
            </w:tcBorders>
          </w:tcPr>
          <w:p w14:paraId="7B076AD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1.6</w:t>
            </w:r>
          </w:p>
        </w:tc>
        <w:tc>
          <w:tcPr>
            <w:tcW w:w="794" w:type="dxa"/>
            <w:tcBorders>
              <w:bottom w:val="single" w:sz="6" w:space="0" w:color="auto"/>
            </w:tcBorders>
          </w:tcPr>
          <w:p w14:paraId="6699AEF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1.7</w:t>
            </w:r>
          </w:p>
        </w:tc>
      </w:tr>
      <w:tr w:rsidR="004D509B" w14:paraId="233A7969"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76D2DE3" w14:textId="77777777" w:rsidR="004D509B" w:rsidRDefault="004D509B" w:rsidP="008670FF">
            <w:r>
              <w:rPr>
                <w:b/>
              </w:rPr>
              <w:t>Total output initiatives</w:t>
            </w:r>
          </w:p>
        </w:tc>
        <w:tc>
          <w:tcPr>
            <w:tcW w:w="794" w:type="dxa"/>
            <w:tcBorders>
              <w:top w:val="single" w:sz="6" w:space="0" w:color="auto"/>
              <w:bottom w:val="single" w:sz="12" w:space="0" w:color="auto"/>
            </w:tcBorders>
          </w:tcPr>
          <w:p w14:paraId="72862D8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2.5</w:t>
            </w:r>
          </w:p>
        </w:tc>
        <w:tc>
          <w:tcPr>
            <w:tcW w:w="794" w:type="dxa"/>
            <w:tcBorders>
              <w:top w:val="single" w:sz="6" w:space="0" w:color="auto"/>
              <w:bottom w:val="single" w:sz="12" w:space="0" w:color="auto"/>
            </w:tcBorders>
          </w:tcPr>
          <w:p w14:paraId="208ECDD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2.0</w:t>
            </w:r>
          </w:p>
        </w:tc>
        <w:tc>
          <w:tcPr>
            <w:tcW w:w="794" w:type="dxa"/>
            <w:tcBorders>
              <w:top w:val="single" w:sz="6" w:space="0" w:color="auto"/>
              <w:bottom w:val="single" w:sz="12" w:space="0" w:color="auto"/>
            </w:tcBorders>
          </w:tcPr>
          <w:p w14:paraId="217AC95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1.6</w:t>
            </w:r>
          </w:p>
        </w:tc>
        <w:tc>
          <w:tcPr>
            <w:tcW w:w="794" w:type="dxa"/>
            <w:tcBorders>
              <w:top w:val="single" w:sz="6" w:space="0" w:color="auto"/>
              <w:bottom w:val="single" w:sz="12" w:space="0" w:color="auto"/>
            </w:tcBorders>
          </w:tcPr>
          <w:p w14:paraId="7E8A85C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1.7</w:t>
            </w:r>
          </w:p>
        </w:tc>
      </w:tr>
    </w:tbl>
    <w:p w14:paraId="4ADD1AA7" w14:textId="77777777" w:rsidR="004D509B" w:rsidRPr="00884854" w:rsidRDefault="004D509B" w:rsidP="004D509B">
      <w:pPr>
        <w:pStyle w:val="Heading30"/>
      </w:pPr>
      <w:r w:rsidRPr="00884854">
        <w:t>School Education – Primary and Secondary</w:t>
      </w:r>
    </w:p>
    <w:p w14:paraId="1F5462B2" w14:textId="77777777" w:rsidR="004D509B" w:rsidRPr="00884854" w:rsidRDefault="004D509B" w:rsidP="004D509B">
      <w:pPr>
        <w:pStyle w:val="Heading4"/>
      </w:pPr>
      <w:r>
        <w:t xml:space="preserve">Strengthening </w:t>
      </w:r>
      <w:r w:rsidRPr="00884854">
        <w:t>Women’s Safety</w:t>
      </w:r>
      <w:r>
        <w:t xml:space="preserve"> </w:t>
      </w:r>
      <w:r w:rsidRPr="00884854">
        <w:t>– Expansion of the Respectful Relationships program</w:t>
      </w:r>
    </w:p>
    <w:p w14:paraId="035AFAF8" w14:textId="77777777" w:rsidR="004D509B" w:rsidRPr="00884854" w:rsidRDefault="004D509B" w:rsidP="004D509B">
      <w:r w:rsidRPr="00884854">
        <w:t xml:space="preserve">Funding is provided to </w:t>
      </w:r>
      <w:r>
        <w:t xml:space="preserve">support and </w:t>
      </w:r>
      <w:r w:rsidRPr="00884854">
        <w:t xml:space="preserve">expand delivery of the Respectful Relationships program to support schools to promote respectful and positive attitudes and behaviours. The expansion will deliver </w:t>
      </w:r>
      <w:r>
        <w:t>the program</w:t>
      </w:r>
      <w:r w:rsidRPr="00884854">
        <w:t xml:space="preserve"> to </w:t>
      </w:r>
      <w:r>
        <w:t xml:space="preserve">more </w:t>
      </w:r>
      <w:r w:rsidRPr="00884854">
        <w:t>Catholic and independent schools.</w:t>
      </w:r>
      <w:r>
        <w:t xml:space="preserve"> The investment will provide additional support and training to schools in delivering the program.</w:t>
      </w:r>
    </w:p>
    <w:p w14:paraId="545AA754" w14:textId="77777777" w:rsidR="004D509B" w:rsidRPr="00884854" w:rsidRDefault="004D509B" w:rsidP="004D509B">
      <w:r w:rsidRPr="00884854">
        <w:t>Funding is also provided for the expansion of the Modelling Respect and Equality program.</w:t>
      </w:r>
    </w:p>
    <w:p w14:paraId="34D213F0" w14:textId="77777777" w:rsidR="004D509B" w:rsidRPr="00884854" w:rsidRDefault="004D509B" w:rsidP="004D509B">
      <w:r w:rsidRPr="00884854">
        <w:t>This initiative contributes to the Department of Education’s:</w:t>
      </w:r>
    </w:p>
    <w:p w14:paraId="7A53B088" w14:textId="77777777" w:rsidR="004D509B" w:rsidRPr="00884854" w:rsidRDefault="004D509B" w:rsidP="004D509B">
      <w:pPr>
        <w:pStyle w:val="ListBullet"/>
      </w:pPr>
      <w:r w:rsidRPr="00884854">
        <w:t>School Education – Primary output</w:t>
      </w:r>
    </w:p>
    <w:p w14:paraId="77A84325" w14:textId="77777777" w:rsidR="004D509B" w:rsidRPr="00884854" w:rsidRDefault="004D509B" w:rsidP="004D509B">
      <w:pPr>
        <w:pStyle w:val="ListBullet"/>
      </w:pPr>
      <w:r w:rsidRPr="00884854">
        <w:t>School Education – Secondary output.</w:t>
      </w:r>
    </w:p>
    <w:p w14:paraId="0D24D875" w14:textId="77777777" w:rsidR="004D509B" w:rsidRPr="00884854" w:rsidRDefault="004D509B" w:rsidP="004D509B">
      <w:pPr>
        <w:pStyle w:val="Heading10"/>
        <w:pageBreakBefore/>
      </w:pPr>
      <w:bookmarkStart w:id="183" w:name="_Toc184222987"/>
      <w:bookmarkStart w:id="184" w:name="_Toc184299292"/>
      <w:bookmarkStart w:id="185" w:name="_Toc184299461"/>
      <w:r w:rsidRPr="00884854">
        <w:t>Department of Energy, Environment and Climate Action</w:t>
      </w:r>
      <w:bookmarkEnd w:id="183"/>
      <w:bookmarkEnd w:id="184"/>
      <w:bookmarkEnd w:id="185"/>
    </w:p>
    <w:p w14:paraId="5990B746" w14:textId="77777777" w:rsidR="004D509B" w:rsidRPr="00884854" w:rsidRDefault="004D509B" w:rsidP="004D509B">
      <w:pPr>
        <w:pStyle w:val="Heading20"/>
      </w:pPr>
      <w:r w:rsidRPr="00884854">
        <w:t>Output initiatives</w:t>
      </w:r>
    </w:p>
    <w:p w14:paraId="1FD3F02B" w14:textId="77777777" w:rsidR="004D509B" w:rsidRDefault="004D509B" w:rsidP="004D509B">
      <w:pPr>
        <w:pStyle w:val="Caption"/>
      </w:pPr>
      <w:r w:rsidRPr="00884854">
        <w:t>Table A.</w:t>
      </w:r>
      <w:r>
        <w:t>3</w:t>
      </w:r>
      <w:r w:rsidRPr="00884854">
        <w:t>:</w:t>
      </w:r>
      <w:r w:rsidRPr="00884854">
        <w:tab/>
        <w:t xml:space="preserve">Output initiatives – </w:t>
      </w:r>
      <w:r>
        <w:t>Energy, Environment and Climate Action</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EECA_Output|Extract: {&#10;   &quot;DroughtPackageforSouthWestregion&quot;:&quot;Spence&quot;,&#10;   &quot;Deliveringtheoffshorewindprogram&quot;:&quot;D'Ambrosio&quot;,&#10;   &quot;FundingParksVictoriaforFreeCampingInitiative&quot;:&quot;Dimopoulous&quot;}"/>
      </w:tblPr>
      <w:tblGrid>
        <w:gridCol w:w="4534"/>
        <w:gridCol w:w="794"/>
        <w:gridCol w:w="794"/>
        <w:gridCol w:w="794"/>
        <w:gridCol w:w="794"/>
      </w:tblGrid>
      <w:tr w:rsidR="004D509B" w14:paraId="718B1E9C"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20B15F24" w14:textId="77777777" w:rsidR="004D509B" w:rsidRDefault="004D509B" w:rsidP="008670FF">
            <w:pPr>
              <w:keepNext/>
            </w:pPr>
          </w:p>
        </w:tc>
        <w:tc>
          <w:tcPr>
            <w:tcW w:w="794" w:type="dxa"/>
          </w:tcPr>
          <w:p w14:paraId="4F9BA06C"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20663FDB"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0DAC6843"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2A28928E"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305520DF"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01223C63" w14:textId="77777777" w:rsidR="004D509B" w:rsidRDefault="004D509B" w:rsidP="008670FF">
            <w:r>
              <w:rPr>
                <w:b/>
              </w:rPr>
              <w:t>Agriculture</w:t>
            </w:r>
          </w:p>
        </w:tc>
        <w:tc>
          <w:tcPr>
            <w:tcW w:w="794" w:type="dxa"/>
          </w:tcPr>
          <w:p w14:paraId="1973633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AB289E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E6236F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8E4106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45C957F6"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4CDAD75D" w14:textId="77777777" w:rsidR="004D509B" w:rsidRDefault="004D509B" w:rsidP="008670FF">
            <w:r>
              <w:t>Drought Package for south west Victoria</w:t>
            </w:r>
          </w:p>
        </w:tc>
        <w:tc>
          <w:tcPr>
            <w:tcW w:w="794" w:type="dxa"/>
          </w:tcPr>
          <w:p w14:paraId="0284E82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13.2</w:t>
            </w:r>
          </w:p>
        </w:tc>
        <w:tc>
          <w:tcPr>
            <w:tcW w:w="794" w:type="dxa"/>
          </w:tcPr>
          <w:p w14:paraId="3FCAB9B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F439F5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045834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5F62A724"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5840622A" w14:textId="77777777" w:rsidR="004D509B" w:rsidRDefault="004D509B" w:rsidP="008670FF">
            <w:r>
              <w:rPr>
                <w:b/>
              </w:rPr>
              <w:t>Energy</w:t>
            </w:r>
          </w:p>
        </w:tc>
        <w:tc>
          <w:tcPr>
            <w:tcW w:w="794" w:type="dxa"/>
          </w:tcPr>
          <w:p w14:paraId="3902D16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C27543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BD5F9D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ADDF09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439DE963"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66B30065" w14:textId="77777777" w:rsidR="004D509B" w:rsidRDefault="004D509B" w:rsidP="008670FF">
            <w:r>
              <w:t>Deliver the Commonwealth’s Energy Bill Relief</w:t>
            </w:r>
          </w:p>
        </w:tc>
        <w:tc>
          <w:tcPr>
            <w:tcW w:w="794" w:type="dxa"/>
          </w:tcPr>
          <w:p w14:paraId="7C23073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4.3</w:t>
            </w:r>
          </w:p>
        </w:tc>
        <w:tc>
          <w:tcPr>
            <w:tcW w:w="794" w:type="dxa"/>
          </w:tcPr>
          <w:p w14:paraId="66D9CC9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C8A621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3E2171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6BE3D733"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C0F4ED0" w14:textId="77777777" w:rsidR="004D509B" w:rsidRDefault="004D509B" w:rsidP="008670FF">
            <w:r>
              <w:t>Delivering the offshore wind program</w:t>
            </w:r>
          </w:p>
        </w:tc>
        <w:tc>
          <w:tcPr>
            <w:tcW w:w="794" w:type="dxa"/>
          </w:tcPr>
          <w:p w14:paraId="124F3ED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15.7</w:t>
            </w:r>
          </w:p>
        </w:tc>
        <w:tc>
          <w:tcPr>
            <w:tcW w:w="794" w:type="dxa"/>
          </w:tcPr>
          <w:p w14:paraId="052B215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11.2</w:t>
            </w:r>
          </w:p>
        </w:tc>
        <w:tc>
          <w:tcPr>
            <w:tcW w:w="794" w:type="dxa"/>
          </w:tcPr>
          <w:p w14:paraId="62ABC36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72741F5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591C72EC"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EC3A429" w14:textId="77777777" w:rsidR="004D509B" w:rsidRDefault="004D509B" w:rsidP="008670FF">
            <w:r>
              <w:t>Gippsland Offshore Wind Transmission Project</w:t>
            </w:r>
          </w:p>
        </w:tc>
        <w:tc>
          <w:tcPr>
            <w:tcW w:w="794" w:type="dxa"/>
          </w:tcPr>
          <w:p w14:paraId="527D6A4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12.5</w:t>
            </w:r>
          </w:p>
        </w:tc>
        <w:tc>
          <w:tcPr>
            <w:tcW w:w="794" w:type="dxa"/>
          </w:tcPr>
          <w:p w14:paraId="3062CDC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97E318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593ECBC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37BD2EA1"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3371BB93" w14:textId="77777777" w:rsidR="004D509B" w:rsidRDefault="004D509B" w:rsidP="008670FF">
            <w:r>
              <w:rPr>
                <w:b/>
              </w:rPr>
              <w:t>Management of Public Land and Forests</w:t>
            </w:r>
          </w:p>
        </w:tc>
        <w:tc>
          <w:tcPr>
            <w:tcW w:w="794" w:type="dxa"/>
          </w:tcPr>
          <w:p w14:paraId="2D35C93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374785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639F1D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7FF49C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11A22FE5"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FB2B532" w14:textId="77777777" w:rsidR="004D509B" w:rsidRDefault="004D509B" w:rsidP="008670FF">
            <w:r>
              <w:t>Free Camping</w:t>
            </w:r>
          </w:p>
        </w:tc>
        <w:tc>
          <w:tcPr>
            <w:tcW w:w="794" w:type="dxa"/>
            <w:tcBorders>
              <w:bottom w:val="single" w:sz="6" w:space="0" w:color="auto"/>
            </w:tcBorders>
          </w:tcPr>
          <w:p w14:paraId="35DE2FC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9.0</w:t>
            </w:r>
          </w:p>
        </w:tc>
        <w:tc>
          <w:tcPr>
            <w:tcW w:w="794" w:type="dxa"/>
            <w:tcBorders>
              <w:bottom w:val="single" w:sz="6" w:space="0" w:color="auto"/>
            </w:tcBorders>
          </w:tcPr>
          <w:p w14:paraId="27DBE5C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A0B8A4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7C5282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06E4FD98"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161421DC" w14:textId="77777777" w:rsidR="004D509B" w:rsidRDefault="004D509B" w:rsidP="008670FF">
            <w:r>
              <w:rPr>
                <w:b/>
              </w:rPr>
              <w:t>Total output initiatives</w:t>
            </w:r>
          </w:p>
        </w:tc>
        <w:tc>
          <w:tcPr>
            <w:tcW w:w="794" w:type="dxa"/>
            <w:tcBorders>
              <w:top w:val="single" w:sz="6" w:space="0" w:color="auto"/>
              <w:bottom w:val="single" w:sz="12" w:space="0" w:color="auto"/>
            </w:tcBorders>
          </w:tcPr>
          <w:p w14:paraId="1D63BB3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54.6</w:t>
            </w:r>
          </w:p>
        </w:tc>
        <w:tc>
          <w:tcPr>
            <w:tcW w:w="794" w:type="dxa"/>
            <w:tcBorders>
              <w:top w:val="single" w:sz="6" w:space="0" w:color="auto"/>
              <w:bottom w:val="single" w:sz="12" w:space="0" w:color="auto"/>
            </w:tcBorders>
          </w:tcPr>
          <w:p w14:paraId="1611A24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11.2</w:t>
            </w:r>
          </w:p>
        </w:tc>
        <w:tc>
          <w:tcPr>
            <w:tcW w:w="794" w:type="dxa"/>
            <w:tcBorders>
              <w:top w:val="single" w:sz="6" w:space="0" w:color="auto"/>
              <w:bottom w:val="single" w:sz="12" w:space="0" w:color="auto"/>
            </w:tcBorders>
          </w:tcPr>
          <w:p w14:paraId="3D8AE58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20.0</w:t>
            </w:r>
          </w:p>
        </w:tc>
        <w:tc>
          <w:tcPr>
            <w:tcW w:w="794" w:type="dxa"/>
            <w:tcBorders>
              <w:top w:val="single" w:sz="6" w:space="0" w:color="auto"/>
              <w:bottom w:val="single" w:sz="12" w:space="0" w:color="auto"/>
            </w:tcBorders>
          </w:tcPr>
          <w:p w14:paraId="1493D87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r>
    </w:tbl>
    <w:p w14:paraId="75B7C0F9" w14:textId="77777777" w:rsidR="004D509B" w:rsidRPr="00884854" w:rsidRDefault="004D509B" w:rsidP="004D509B">
      <w:pPr>
        <w:pStyle w:val="Heading30"/>
      </w:pPr>
      <w:bookmarkStart w:id="186" w:name="_Hlk184151249"/>
      <w:r w:rsidRPr="00884854">
        <w:t>Agriculture</w:t>
      </w:r>
    </w:p>
    <w:p w14:paraId="25730379" w14:textId="77777777" w:rsidR="004D509B" w:rsidRPr="00884854" w:rsidRDefault="004D509B" w:rsidP="004D509B">
      <w:pPr>
        <w:pStyle w:val="Heading4"/>
      </w:pPr>
      <w:r w:rsidRPr="00884854">
        <w:t xml:space="preserve">Drought Package for </w:t>
      </w:r>
      <w:r>
        <w:t>s</w:t>
      </w:r>
      <w:r w:rsidRPr="00884854">
        <w:t xml:space="preserve">outh </w:t>
      </w:r>
      <w:r>
        <w:t>w</w:t>
      </w:r>
      <w:r w:rsidRPr="00884854">
        <w:t xml:space="preserve">est </w:t>
      </w:r>
      <w:r>
        <w:t>Victoria</w:t>
      </w:r>
    </w:p>
    <w:p w14:paraId="48590BE7" w14:textId="77777777" w:rsidR="004D509B" w:rsidRPr="00884854" w:rsidRDefault="004D509B" w:rsidP="004D509B">
      <w:r w:rsidRPr="00884854">
        <w:t xml:space="preserve">Funding is provided to support farming communities affected by the drought conditions in </w:t>
      </w:r>
      <w:r>
        <w:t>s</w:t>
      </w:r>
      <w:r w:rsidRPr="00884854">
        <w:t>outh</w:t>
      </w:r>
      <w:r>
        <w:t xml:space="preserve"> </w:t>
      </w:r>
      <w:r w:rsidRPr="00884854">
        <w:t>west Victoria. This includes the On-Farm Drought Infrastructure Grant program, enabl</w:t>
      </w:r>
      <w:r>
        <w:t>ing</w:t>
      </w:r>
      <w:r w:rsidRPr="00884854">
        <w:t xml:space="preserve"> farmers in eligible regions to apply for up to $5</w:t>
      </w:r>
      <w:r>
        <w:t> </w:t>
      </w:r>
      <w:r w:rsidRPr="00884854">
        <w:t xml:space="preserve">000 </w:t>
      </w:r>
      <w:r>
        <w:t xml:space="preserve">as a co-contribution grant </w:t>
      </w:r>
      <w:r w:rsidRPr="00884854">
        <w:t>for on</w:t>
      </w:r>
      <w:r>
        <w:noBreakHyphen/>
      </w:r>
      <w:r w:rsidRPr="00884854">
        <w:t xml:space="preserve">farm improvements to manage drought conditions and build preparedness and resilience for the future. Counselling and advice for farmers experiencing financial and emotional distress </w:t>
      </w:r>
      <w:r>
        <w:t>is</w:t>
      </w:r>
      <w:r w:rsidRPr="00884854">
        <w:t xml:space="preserve"> also available to </w:t>
      </w:r>
      <w:r>
        <w:t>assist</w:t>
      </w:r>
      <w:r w:rsidRPr="00884854">
        <w:t xml:space="preserve"> and safeguard wellbeing. </w:t>
      </w:r>
    </w:p>
    <w:p w14:paraId="1B2A79AF" w14:textId="77777777" w:rsidR="004D509B" w:rsidRPr="00884854" w:rsidRDefault="004D509B" w:rsidP="004D509B">
      <w:r w:rsidRPr="00884854">
        <w:t>This initiative contributes to the Department of Energy, Environment and Climate Action’s Agriculture output.</w:t>
      </w:r>
    </w:p>
    <w:p w14:paraId="478ADD1B" w14:textId="77777777" w:rsidR="004D509B" w:rsidRPr="00884854" w:rsidRDefault="004D509B" w:rsidP="004D509B">
      <w:pPr>
        <w:pStyle w:val="Heading30"/>
      </w:pPr>
      <w:r w:rsidRPr="00884854">
        <w:t>Energy</w:t>
      </w:r>
    </w:p>
    <w:p w14:paraId="355126EE" w14:textId="77777777" w:rsidR="004D509B" w:rsidRPr="00AB3AAC" w:rsidRDefault="004D509B" w:rsidP="004D509B">
      <w:pPr>
        <w:pStyle w:val="Heading4"/>
      </w:pPr>
      <w:r w:rsidRPr="00100822">
        <w:t>Deliver the Commonwealth’s Energy Bill Relief</w:t>
      </w:r>
    </w:p>
    <w:p w14:paraId="054F554D" w14:textId="77777777" w:rsidR="004D509B" w:rsidRPr="00C12FDC" w:rsidRDefault="004D509B" w:rsidP="004D509B">
      <w:r>
        <w:t xml:space="preserve">Funding is provided to support payments to residents and small businesses as part of the Commonwealth’s Energy Bill relief program. This program </w:t>
      </w:r>
      <w:r w:rsidRPr="00C12FDC">
        <w:t>provides rebates on electricity bills of $300 for residential customers and $325 for small business customers.</w:t>
      </w:r>
      <w:r>
        <w:t xml:space="preserve"> </w:t>
      </w:r>
    </w:p>
    <w:p w14:paraId="4F882079" w14:textId="77777777" w:rsidR="004D509B" w:rsidRDefault="004D509B" w:rsidP="004D509B">
      <w:r>
        <w:t>This initiative contributes to the Department of Energy, Environment and Climate Action’s Energy output.</w:t>
      </w:r>
    </w:p>
    <w:p w14:paraId="34528FF5" w14:textId="77777777" w:rsidR="004D509B" w:rsidRPr="00884854" w:rsidRDefault="004D509B" w:rsidP="004D509B">
      <w:pPr>
        <w:pStyle w:val="Heading4"/>
      </w:pPr>
      <w:r w:rsidRPr="00884854">
        <w:t>Delivering the offshore wind program</w:t>
      </w:r>
    </w:p>
    <w:p w14:paraId="5E698737" w14:textId="77777777" w:rsidR="004D509B" w:rsidRPr="00884854" w:rsidRDefault="004D509B" w:rsidP="004D509B">
      <w:r w:rsidRPr="00884854">
        <w:t xml:space="preserve">Funding is provided to support Australia’s first tranche of offshore wind procurement that will generate the first 2 </w:t>
      </w:r>
      <w:r>
        <w:t>g</w:t>
      </w:r>
      <w:r w:rsidRPr="00884854">
        <w:t xml:space="preserve">igawatts of grid-scale renewable energy. </w:t>
      </w:r>
    </w:p>
    <w:p w14:paraId="11752153" w14:textId="77777777" w:rsidR="004D509B" w:rsidRDefault="004D509B" w:rsidP="004D509B">
      <w:r w:rsidRPr="00884854">
        <w:t>This initiative contributes to the Department of Energy, Environment and Climate Action’s Energy output.</w:t>
      </w:r>
    </w:p>
    <w:p w14:paraId="558C268C" w14:textId="77777777" w:rsidR="004D509B" w:rsidRDefault="004D509B" w:rsidP="004D509B">
      <w:pPr>
        <w:pStyle w:val="Heading4"/>
      </w:pPr>
      <w:r w:rsidRPr="00100822">
        <w:t>Gippsland Offshore Wind Transmission Project</w:t>
      </w:r>
    </w:p>
    <w:p w14:paraId="7CAFA7F1" w14:textId="77777777" w:rsidR="004D509B" w:rsidRDefault="004D509B" w:rsidP="004D509B">
      <w:r>
        <w:t>Funding is provided to progress development of the Gippsland Offshore Wind Transmission Project to support future offshore wind energy generation.</w:t>
      </w:r>
    </w:p>
    <w:p w14:paraId="79CAB5A5" w14:textId="77777777" w:rsidR="004D509B" w:rsidRPr="00884854" w:rsidRDefault="004D509B" w:rsidP="004D509B">
      <w:r>
        <w:t>This initiative contributes to the Department of Energy, Environment and Climate Action’s Energy output.</w:t>
      </w:r>
    </w:p>
    <w:p w14:paraId="70A766C3" w14:textId="77777777" w:rsidR="004D509B" w:rsidRPr="00884854" w:rsidRDefault="004D509B" w:rsidP="004D509B">
      <w:pPr>
        <w:pStyle w:val="Heading30"/>
      </w:pPr>
      <w:r w:rsidRPr="00884854">
        <w:t>Management of Public Land and Forests</w:t>
      </w:r>
    </w:p>
    <w:p w14:paraId="611E2F5D" w14:textId="77777777" w:rsidR="004D509B" w:rsidRPr="00884854" w:rsidRDefault="004D509B" w:rsidP="004D509B">
      <w:pPr>
        <w:pStyle w:val="Heading4"/>
      </w:pPr>
      <w:r w:rsidRPr="00884854">
        <w:t xml:space="preserve">Free Camping </w:t>
      </w:r>
    </w:p>
    <w:p w14:paraId="5E0BEB9C" w14:textId="77777777" w:rsidR="004D509B" w:rsidRPr="00884854" w:rsidRDefault="004D509B" w:rsidP="004D509B">
      <w:r w:rsidRPr="00884854">
        <w:t xml:space="preserve">Funding is provided to support free camping </w:t>
      </w:r>
      <w:r w:rsidRPr="002B6AF0">
        <w:t>at all 131 of Parks Victoria’s paid campgrounds</w:t>
      </w:r>
      <w:r>
        <w:t xml:space="preserve"> </w:t>
      </w:r>
      <w:r w:rsidRPr="00884854">
        <w:t>from 1</w:t>
      </w:r>
      <w:r>
        <w:t> </w:t>
      </w:r>
      <w:r w:rsidRPr="00884854">
        <w:t>December 2024</w:t>
      </w:r>
      <w:r w:rsidRPr="006651C6">
        <w:t xml:space="preserve"> </w:t>
      </w:r>
      <w:r>
        <w:t>until 30 June 2025</w:t>
      </w:r>
      <w:r w:rsidRPr="00884854">
        <w:t xml:space="preserve">. </w:t>
      </w:r>
    </w:p>
    <w:p w14:paraId="0A5A9DEF" w14:textId="77777777" w:rsidR="004D509B" w:rsidRPr="00884854" w:rsidRDefault="004D509B" w:rsidP="004D509B">
      <w:r w:rsidRPr="00884854">
        <w:t>This initiative contributes to the Department of Energy, Environment and Climate Action’s Management of Public Land and Forests output.</w:t>
      </w:r>
    </w:p>
    <w:bookmarkEnd w:id="186"/>
    <w:p w14:paraId="5169A0A1" w14:textId="77777777" w:rsidR="004D509B" w:rsidRPr="00884854" w:rsidRDefault="004D509B" w:rsidP="004D509B"/>
    <w:p w14:paraId="5C443347" w14:textId="77777777" w:rsidR="004D509B" w:rsidRPr="00884854" w:rsidRDefault="004D509B" w:rsidP="004D509B">
      <w:pPr>
        <w:pStyle w:val="Heading10"/>
        <w:pageBreakBefore/>
      </w:pPr>
      <w:bookmarkStart w:id="187" w:name="_Toc184222988"/>
      <w:bookmarkStart w:id="188" w:name="_Toc184299293"/>
      <w:bookmarkStart w:id="189" w:name="_Toc184299462"/>
      <w:r w:rsidRPr="00884854">
        <w:t>Department of Families, Fairness and Housing</w:t>
      </w:r>
      <w:bookmarkEnd w:id="187"/>
      <w:bookmarkEnd w:id="188"/>
      <w:bookmarkEnd w:id="189"/>
    </w:p>
    <w:p w14:paraId="3F700F1F" w14:textId="77777777" w:rsidR="004D509B" w:rsidRPr="00884854" w:rsidRDefault="004D509B" w:rsidP="004D509B">
      <w:pPr>
        <w:pStyle w:val="Heading20"/>
      </w:pPr>
      <w:r w:rsidRPr="00884854">
        <w:t>Output initiatives</w:t>
      </w:r>
    </w:p>
    <w:p w14:paraId="4900FA6B" w14:textId="77777777" w:rsidR="004D509B" w:rsidRDefault="004D509B" w:rsidP="004D509B">
      <w:pPr>
        <w:pStyle w:val="Caption"/>
      </w:pPr>
      <w:r w:rsidRPr="00884854">
        <w:t>Table A.</w:t>
      </w:r>
      <w:r>
        <w:t>4</w:t>
      </w:r>
      <w:r w:rsidRPr="00884854">
        <w:t>:</w:t>
      </w:r>
      <w:r w:rsidRPr="00884854">
        <w:tab/>
        <w:t xml:space="preserve">Output initiatives – </w:t>
      </w:r>
      <w:r>
        <w:t>Families, Fairness and Housing</w:t>
      </w:r>
      <w:r w:rsidRPr="00884854">
        <w:t xml:space="preserve"> </w:t>
      </w:r>
      <w:r w:rsidRPr="00884854">
        <w:tab/>
        <w:t>($ million)</w:t>
      </w:r>
    </w:p>
    <w:tbl>
      <w:tblPr>
        <w:tblStyle w:val="DTFTableNumeric"/>
        <w:tblW w:w="7747" w:type="dxa"/>
        <w:tblLayout w:type="fixed"/>
        <w:tblLook w:val="06A0" w:firstRow="1" w:lastRow="0" w:firstColumn="1" w:lastColumn="0" w:noHBand="1" w:noVBand="1"/>
        <w:tblDescription w:val="Type:DtfTable|Workbook:https://vicgov.sharepoint.com/sites/VG002735/Budget%20Update/Appendix%20A/Initiatives%20funded%20since%202024-25%20Budget.xlsx|Table:DFFH_Output|Extract: {&#10;   &quot;VictorianRedressforpeoplewhoexperiencedchildabuseandneglectwhilelivingininstitutionalsettingsbefore1990&quot;:&quot;Blandthorn&quot;,&#10;   &quot;WorkerandCarerExclusionSchemeWCES&quot;:&quot;Blandthorn&quot;,&#10;   &quot;Criticalfamilyandsexualviolenceprograms&quot;:&quot;Ward&quot;,&#10;   &quot;StrengtheningWomensSafetypackage&quot;:&quot;Ward&quot;,&#10;   &quot;RainbowTickprogram&quot;:&quot;Shing&quot;}"/>
      </w:tblPr>
      <w:tblGrid>
        <w:gridCol w:w="4191"/>
        <w:gridCol w:w="889"/>
        <w:gridCol w:w="889"/>
        <w:gridCol w:w="889"/>
        <w:gridCol w:w="889"/>
      </w:tblGrid>
      <w:tr w:rsidR="004D509B" w14:paraId="6F211DED" w14:textId="77777777" w:rsidTr="008670FF">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000" w:firstRow="0" w:lastRow="0" w:firstColumn="1" w:lastColumn="0" w:oddVBand="0" w:evenVBand="0" w:oddHBand="0" w:evenHBand="0" w:firstRowFirstColumn="0" w:firstRowLastColumn="0" w:lastRowFirstColumn="0" w:lastRowLastColumn="0"/>
            <w:tcW w:w="4191" w:type="dxa"/>
          </w:tcPr>
          <w:p w14:paraId="4593B2C3" w14:textId="77777777" w:rsidR="004D509B" w:rsidRDefault="004D509B" w:rsidP="008670FF">
            <w:pPr>
              <w:keepNext/>
            </w:pPr>
          </w:p>
        </w:tc>
        <w:tc>
          <w:tcPr>
            <w:tcW w:w="889" w:type="dxa"/>
          </w:tcPr>
          <w:p w14:paraId="4E3DBF27"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889" w:type="dxa"/>
          </w:tcPr>
          <w:p w14:paraId="31DB0C9E"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889" w:type="dxa"/>
          </w:tcPr>
          <w:p w14:paraId="3B7FCDE2"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889" w:type="dxa"/>
          </w:tcPr>
          <w:p w14:paraId="310A31B1"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0B9E28C7" w14:textId="77777777" w:rsidTr="008670FF">
        <w:trPr>
          <w:trHeight w:val="256"/>
        </w:trPr>
        <w:tc>
          <w:tcPr>
            <w:cnfStyle w:val="001000000000" w:firstRow="0" w:lastRow="0" w:firstColumn="1" w:lastColumn="0" w:oddVBand="0" w:evenVBand="0" w:oddHBand="0" w:evenHBand="0" w:firstRowFirstColumn="0" w:firstRowLastColumn="0" w:lastRowFirstColumn="0" w:lastRowLastColumn="0"/>
            <w:tcW w:w="4191" w:type="dxa"/>
          </w:tcPr>
          <w:p w14:paraId="64860A00" w14:textId="77777777" w:rsidR="004D509B" w:rsidRDefault="004D509B" w:rsidP="008670FF">
            <w:r>
              <w:rPr>
                <w:b/>
              </w:rPr>
              <w:t>Disability Services</w:t>
            </w:r>
          </w:p>
        </w:tc>
        <w:tc>
          <w:tcPr>
            <w:tcW w:w="889" w:type="dxa"/>
          </w:tcPr>
          <w:p w14:paraId="053A9A6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89" w:type="dxa"/>
          </w:tcPr>
          <w:p w14:paraId="3442840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89" w:type="dxa"/>
          </w:tcPr>
          <w:p w14:paraId="76CF471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89" w:type="dxa"/>
          </w:tcPr>
          <w:p w14:paraId="08E6718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37AB05AD" w14:textId="77777777" w:rsidTr="008670FF">
        <w:trPr>
          <w:trHeight w:val="272"/>
        </w:trPr>
        <w:tc>
          <w:tcPr>
            <w:cnfStyle w:val="001000000000" w:firstRow="0" w:lastRow="0" w:firstColumn="1" w:lastColumn="0" w:oddVBand="0" w:evenVBand="0" w:oddHBand="0" w:evenHBand="0" w:firstRowFirstColumn="0" w:firstRowLastColumn="0" w:lastRowFirstColumn="0" w:lastRowLastColumn="0"/>
            <w:tcW w:w="4191" w:type="dxa"/>
          </w:tcPr>
          <w:p w14:paraId="4D8F20E0" w14:textId="77777777" w:rsidR="004D509B" w:rsidRDefault="004D509B" w:rsidP="008670FF">
            <w:r>
              <w:t>Worker and Carer Exclusion Scheme</w:t>
            </w:r>
          </w:p>
        </w:tc>
        <w:tc>
          <w:tcPr>
            <w:tcW w:w="889" w:type="dxa"/>
          </w:tcPr>
          <w:p w14:paraId="06ED0F4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1.6</w:t>
            </w:r>
          </w:p>
        </w:tc>
        <w:tc>
          <w:tcPr>
            <w:tcW w:w="889" w:type="dxa"/>
          </w:tcPr>
          <w:p w14:paraId="4F6F47A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889" w:type="dxa"/>
          </w:tcPr>
          <w:p w14:paraId="7B1D4C2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889" w:type="dxa"/>
          </w:tcPr>
          <w:p w14:paraId="2DFF56A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6A286009" w14:textId="77777777" w:rsidTr="008670FF">
        <w:trPr>
          <w:trHeight w:val="256"/>
        </w:trPr>
        <w:tc>
          <w:tcPr>
            <w:cnfStyle w:val="001000000000" w:firstRow="0" w:lastRow="0" w:firstColumn="1" w:lastColumn="0" w:oddVBand="0" w:evenVBand="0" w:oddHBand="0" w:evenHBand="0" w:firstRowFirstColumn="0" w:firstRowLastColumn="0" w:lastRowFirstColumn="0" w:lastRowLastColumn="0"/>
            <w:tcW w:w="4191" w:type="dxa"/>
          </w:tcPr>
          <w:p w14:paraId="3705979D" w14:textId="77777777" w:rsidR="004D509B" w:rsidRDefault="004D509B" w:rsidP="008670FF">
            <w:r>
              <w:rPr>
                <w:b/>
              </w:rPr>
              <w:t>Family Violence Service Delivery</w:t>
            </w:r>
          </w:p>
        </w:tc>
        <w:tc>
          <w:tcPr>
            <w:tcW w:w="889" w:type="dxa"/>
          </w:tcPr>
          <w:p w14:paraId="6C962CB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89" w:type="dxa"/>
          </w:tcPr>
          <w:p w14:paraId="583F2C2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89" w:type="dxa"/>
          </w:tcPr>
          <w:p w14:paraId="0A8E61D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89" w:type="dxa"/>
          </w:tcPr>
          <w:p w14:paraId="134C1E0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3F933E79" w14:textId="77777777" w:rsidTr="008670FF">
        <w:trPr>
          <w:trHeight w:val="272"/>
        </w:trPr>
        <w:tc>
          <w:tcPr>
            <w:cnfStyle w:val="001000000000" w:firstRow="0" w:lastRow="0" w:firstColumn="1" w:lastColumn="0" w:oddVBand="0" w:evenVBand="0" w:oddHBand="0" w:evenHBand="0" w:firstRowFirstColumn="0" w:firstRowLastColumn="0" w:lastRowFirstColumn="0" w:lastRowLastColumn="0"/>
            <w:tcW w:w="4191" w:type="dxa"/>
            <w:tcBorders>
              <w:bottom w:val="single" w:sz="6" w:space="0" w:color="auto"/>
            </w:tcBorders>
          </w:tcPr>
          <w:p w14:paraId="29F91848" w14:textId="77777777" w:rsidR="004D509B" w:rsidRDefault="004D509B" w:rsidP="008670FF">
            <w:r>
              <w:t>Strengthening Women’s Safety</w:t>
            </w:r>
          </w:p>
        </w:tc>
        <w:tc>
          <w:tcPr>
            <w:tcW w:w="889" w:type="dxa"/>
            <w:tcBorders>
              <w:bottom w:val="single" w:sz="6" w:space="0" w:color="auto"/>
            </w:tcBorders>
          </w:tcPr>
          <w:p w14:paraId="542541E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20.8</w:t>
            </w:r>
          </w:p>
        </w:tc>
        <w:tc>
          <w:tcPr>
            <w:tcW w:w="889" w:type="dxa"/>
            <w:tcBorders>
              <w:bottom w:val="single" w:sz="6" w:space="0" w:color="auto"/>
            </w:tcBorders>
          </w:tcPr>
          <w:p w14:paraId="345EC45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22.5</w:t>
            </w:r>
          </w:p>
        </w:tc>
        <w:tc>
          <w:tcPr>
            <w:tcW w:w="889" w:type="dxa"/>
            <w:tcBorders>
              <w:bottom w:val="single" w:sz="6" w:space="0" w:color="auto"/>
            </w:tcBorders>
          </w:tcPr>
          <w:p w14:paraId="329E192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21.9</w:t>
            </w:r>
          </w:p>
        </w:tc>
        <w:tc>
          <w:tcPr>
            <w:tcW w:w="889" w:type="dxa"/>
            <w:tcBorders>
              <w:bottom w:val="single" w:sz="6" w:space="0" w:color="auto"/>
            </w:tcBorders>
          </w:tcPr>
          <w:p w14:paraId="7637390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5.1</w:t>
            </w:r>
          </w:p>
        </w:tc>
      </w:tr>
      <w:tr w:rsidR="004D509B" w14:paraId="2B90C216" w14:textId="77777777" w:rsidTr="008670FF">
        <w:trPr>
          <w:trHeight w:val="256"/>
        </w:trPr>
        <w:tc>
          <w:tcPr>
            <w:cnfStyle w:val="001000000000" w:firstRow="0" w:lastRow="0" w:firstColumn="1" w:lastColumn="0" w:oddVBand="0" w:evenVBand="0" w:oddHBand="0" w:evenHBand="0" w:firstRowFirstColumn="0" w:firstRowLastColumn="0" w:lastRowFirstColumn="0" w:lastRowLastColumn="0"/>
            <w:tcW w:w="4191" w:type="dxa"/>
            <w:tcBorders>
              <w:top w:val="single" w:sz="6" w:space="0" w:color="auto"/>
              <w:bottom w:val="single" w:sz="12" w:space="0" w:color="auto"/>
            </w:tcBorders>
          </w:tcPr>
          <w:p w14:paraId="0ED070B7" w14:textId="77777777" w:rsidR="004D509B" w:rsidRDefault="004D509B" w:rsidP="008670FF">
            <w:r>
              <w:rPr>
                <w:b/>
              </w:rPr>
              <w:t>Total output initiatives</w:t>
            </w:r>
          </w:p>
        </w:tc>
        <w:tc>
          <w:tcPr>
            <w:tcW w:w="889" w:type="dxa"/>
            <w:tcBorders>
              <w:top w:val="single" w:sz="6" w:space="0" w:color="auto"/>
              <w:bottom w:val="single" w:sz="12" w:space="0" w:color="auto"/>
            </w:tcBorders>
          </w:tcPr>
          <w:p w14:paraId="6D80DE4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22.4</w:t>
            </w:r>
          </w:p>
        </w:tc>
        <w:tc>
          <w:tcPr>
            <w:tcW w:w="889" w:type="dxa"/>
            <w:tcBorders>
              <w:top w:val="single" w:sz="6" w:space="0" w:color="auto"/>
              <w:bottom w:val="single" w:sz="12" w:space="0" w:color="auto"/>
            </w:tcBorders>
          </w:tcPr>
          <w:p w14:paraId="03DBC2F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22.5</w:t>
            </w:r>
          </w:p>
        </w:tc>
        <w:tc>
          <w:tcPr>
            <w:tcW w:w="889" w:type="dxa"/>
            <w:tcBorders>
              <w:top w:val="single" w:sz="6" w:space="0" w:color="auto"/>
              <w:bottom w:val="single" w:sz="12" w:space="0" w:color="auto"/>
            </w:tcBorders>
          </w:tcPr>
          <w:p w14:paraId="20D3B66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21.9</w:t>
            </w:r>
          </w:p>
        </w:tc>
        <w:tc>
          <w:tcPr>
            <w:tcW w:w="889" w:type="dxa"/>
            <w:tcBorders>
              <w:top w:val="single" w:sz="6" w:space="0" w:color="auto"/>
              <w:bottom w:val="single" w:sz="12" w:space="0" w:color="auto"/>
            </w:tcBorders>
          </w:tcPr>
          <w:p w14:paraId="750A69F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5.1</w:t>
            </w:r>
          </w:p>
        </w:tc>
      </w:tr>
    </w:tbl>
    <w:p w14:paraId="27C67BEA" w14:textId="77777777" w:rsidR="004D509B" w:rsidRPr="00884854" w:rsidRDefault="004D509B" w:rsidP="004D509B">
      <w:pPr>
        <w:pStyle w:val="Heading30"/>
      </w:pPr>
      <w:r w:rsidRPr="00884854">
        <w:t>Disability Services</w:t>
      </w:r>
    </w:p>
    <w:p w14:paraId="048C88C4" w14:textId="77777777" w:rsidR="004D509B" w:rsidRPr="00884854" w:rsidRDefault="004D509B" w:rsidP="004D509B">
      <w:pPr>
        <w:pStyle w:val="Heading4"/>
      </w:pPr>
      <w:r w:rsidRPr="00884854">
        <w:t>Worker and Carer Exclusion Schem</w:t>
      </w:r>
      <w:r>
        <w:t>e</w:t>
      </w:r>
    </w:p>
    <w:p w14:paraId="1E6788FE" w14:textId="77777777" w:rsidR="004D509B" w:rsidRPr="00884854" w:rsidRDefault="004D509B" w:rsidP="004D509B">
      <w:r w:rsidRPr="00884854">
        <w:t xml:space="preserve">Funding </w:t>
      </w:r>
      <w:r>
        <w:t>is</w:t>
      </w:r>
      <w:r w:rsidRPr="00884854">
        <w:t xml:space="preserve"> provided to implement the Worker and Carer Exclusion Scheme to address risks posed by individual out-of-home care workers and carers who are not suitable to work in the sector. The scheme increases protections for children and young people in out-of-home care by establishing Worker and Carer Exclusion Scheme Panels, a</w:t>
      </w:r>
      <w:r>
        <w:t> </w:t>
      </w:r>
      <w:r w:rsidRPr="00884854">
        <w:t>Worker and Carer Exclusion Scheme database and by expanding the range of conduct that can result in a worker or carer being excluded from working.</w:t>
      </w:r>
    </w:p>
    <w:p w14:paraId="04FF3E2F" w14:textId="77777777" w:rsidR="004D509B" w:rsidRPr="00884854" w:rsidRDefault="004D509B" w:rsidP="004D509B">
      <w:r w:rsidRPr="00884854">
        <w:t xml:space="preserve">This initiative contributes to the Department of Families, Fairness and Housing’s Disability Services output. </w:t>
      </w:r>
    </w:p>
    <w:p w14:paraId="4F01569B" w14:textId="77777777" w:rsidR="004D509B" w:rsidRPr="00884854" w:rsidRDefault="004D509B" w:rsidP="004D509B">
      <w:pPr>
        <w:pStyle w:val="Heading30"/>
      </w:pPr>
      <w:r w:rsidRPr="00884854">
        <w:t>Family Violence Service Delivery</w:t>
      </w:r>
    </w:p>
    <w:p w14:paraId="016467BB" w14:textId="77777777" w:rsidR="004D509B" w:rsidRPr="00884854" w:rsidRDefault="004D509B" w:rsidP="004D509B">
      <w:pPr>
        <w:pStyle w:val="Heading4"/>
      </w:pPr>
      <w:r w:rsidRPr="00884854">
        <w:t>Strengthening Women’s Safety</w:t>
      </w:r>
    </w:p>
    <w:p w14:paraId="03EC283C" w14:textId="77777777" w:rsidR="004D509B" w:rsidRPr="00884854" w:rsidRDefault="004D509B" w:rsidP="004D509B">
      <w:r w:rsidRPr="00884854">
        <w:t xml:space="preserve">Funding </w:t>
      </w:r>
      <w:r>
        <w:t>is</w:t>
      </w:r>
      <w:r w:rsidRPr="00884854">
        <w:t xml:space="preserve"> provided </w:t>
      </w:r>
      <w:r>
        <w:t>for</w:t>
      </w:r>
      <w:r w:rsidRPr="00C8300D">
        <w:t xml:space="preserve"> </w:t>
      </w:r>
      <w:r>
        <w:t>reforms</w:t>
      </w:r>
      <w:r w:rsidRPr="00E219AE">
        <w:rPr>
          <w:rFonts w:ascii="VIC" w:hAnsi="VIC"/>
          <w:color w:val="1A1A1A"/>
          <w:spacing w:val="5"/>
          <w:shd w:val="clear" w:color="auto" w:fill="FFFFFF"/>
        </w:rPr>
        <w:t xml:space="preserve"> </w:t>
      </w:r>
      <w:r>
        <w:t xml:space="preserve">to </w:t>
      </w:r>
      <w:r w:rsidRPr="00E219AE">
        <w:t>change culture and deliver new support for victim survivors</w:t>
      </w:r>
      <w:r>
        <w:t xml:space="preserve"> of violence against women</w:t>
      </w:r>
      <w:r w:rsidRPr="00884854">
        <w:t>, including the following initiatives:</w:t>
      </w:r>
    </w:p>
    <w:p w14:paraId="15D03B3A" w14:textId="77777777" w:rsidR="004D509B" w:rsidRPr="00884854" w:rsidRDefault="004D509B" w:rsidP="007920E8">
      <w:pPr>
        <w:pStyle w:val="ListBullet"/>
      </w:pPr>
      <w:r w:rsidRPr="00884854">
        <w:t>A justice navigator pilot to support victim survivors of sexual assault</w:t>
      </w:r>
    </w:p>
    <w:p w14:paraId="707CCC3C" w14:textId="77777777" w:rsidR="004D509B" w:rsidRPr="00884854" w:rsidRDefault="004D509B" w:rsidP="007920E8">
      <w:pPr>
        <w:pStyle w:val="ListBullet"/>
      </w:pPr>
      <w:r w:rsidRPr="00884854">
        <w:t>A saturation prevention model pilot in Ballarat</w:t>
      </w:r>
    </w:p>
    <w:p w14:paraId="7EB40226" w14:textId="77777777" w:rsidR="004D509B" w:rsidRPr="00884854" w:rsidRDefault="004D509B" w:rsidP="007920E8">
      <w:pPr>
        <w:pStyle w:val="ListBullet"/>
      </w:pPr>
      <w:r w:rsidRPr="00884854">
        <w:t>Effective perpetrator interventions, including strengthening response</w:t>
      </w:r>
      <w:r>
        <w:t>s</w:t>
      </w:r>
      <w:r w:rsidRPr="00884854">
        <w:t xml:space="preserve"> for high</w:t>
      </w:r>
      <w:r>
        <w:noBreakHyphen/>
      </w:r>
      <w:r w:rsidRPr="00884854">
        <w:t>risk perpetrators</w:t>
      </w:r>
    </w:p>
    <w:p w14:paraId="5AC374D9" w14:textId="77777777" w:rsidR="004D509B" w:rsidRPr="00884854" w:rsidRDefault="004D509B" w:rsidP="007920E8">
      <w:pPr>
        <w:pStyle w:val="ListBullet"/>
      </w:pPr>
      <w:r w:rsidRPr="00884854">
        <w:t>Support for women and children to stay safely in their homes</w:t>
      </w:r>
    </w:p>
    <w:p w14:paraId="17668B37" w14:textId="77777777" w:rsidR="004D509B" w:rsidRPr="00884854" w:rsidRDefault="004D509B" w:rsidP="007920E8">
      <w:pPr>
        <w:pStyle w:val="ListBullet"/>
      </w:pPr>
      <w:r w:rsidRPr="00884854">
        <w:t>Therapeutic supports for children and victim survivors.</w:t>
      </w:r>
    </w:p>
    <w:p w14:paraId="53F7836A" w14:textId="77777777" w:rsidR="004D509B" w:rsidRPr="00884854" w:rsidRDefault="004D509B" w:rsidP="004D509B">
      <w:r w:rsidRPr="00884854">
        <w:t>This initiative contributes to the Department of Families, Fairness and Housing’s Family Violence Service Delivery and Primary Prevention of Family Violence outputs.</w:t>
      </w:r>
    </w:p>
    <w:p w14:paraId="4B59B32F" w14:textId="77777777" w:rsidR="007920E8" w:rsidRDefault="007920E8">
      <w:pPr>
        <w:keepLines w:val="0"/>
        <w:rPr>
          <w:rFonts w:asciiTheme="majorHAnsi" w:eastAsiaTheme="majorEastAsia" w:hAnsiTheme="majorHAnsi" w:cstheme="majorBidi"/>
          <w:b/>
          <w:sz w:val="27"/>
          <w:szCs w:val="26"/>
        </w:rPr>
      </w:pPr>
      <w:r>
        <w:br w:type="page"/>
      </w:r>
    </w:p>
    <w:p w14:paraId="59794974" w14:textId="77A335F3" w:rsidR="004D509B" w:rsidRPr="00884854" w:rsidRDefault="004D509B" w:rsidP="004D509B">
      <w:pPr>
        <w:pStyle w:val="Heading20"/>
      </w:pPr>
      <w:r w:rsidRPr="00884854">
        <w:t>Asset initiatives</w:t>
      </w:r>
    </w:p>
    <w:p w14:paraId="1D03E014" w14:textId="77777777" w:rsidR="004D509B" w:rsidRDefault="004D509B" w:rsidP="004D509B">
      <w:pPr>
        <w:pStyle w:val="Caption"/>
      </w:pPr>
      <w:r w:rsidRPr="00884854">
        <w:t>Table A.</w:t>
      </w:r>
      <w:r>
        <w:t>5</w:t>
      </w:r>
      <w:r w:rsidRPr="00884854">
        <w:t>:</w:t>
      </w:r>
      <w:r w:rsidRPr="00884854">
        <w:tab/>
        <w:t xml:space="preserve">Asset initiatives – </w:t>
      </w:r>
      <w:r>
        <w:t>Families, Fairness and Housing</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FFH_Asset|Extract: {&#10;   &quot;StrengtheningWomensSafetypackage&quot;:&quot;Ward&quot;}"/>
      </w:tblPr>
      <w:tblGrid>
        <w:gridCol w:w="3544"/>
        <w:gridCol w:w="851"/>
        <w:gridCol w:w="850"/>
        <w:gridCol w:w="851"/>
        <w:gridCol w:w="820"/>
        <w:gridCol w:w="794"/>
      </w:tblGrid>
      <w:tr w:rsidR="004D509B" w14:paraId="446D964C"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6" w:space="0" w:color="auto"/>
            </w:tcBorders>
          </w:tcPr>
          <w:p w14:paraId="38B81930" w14:textId="77777777" w:rsidR="004D509B" w:rsidRDefault="004D509B" w:rsidP="008670FF">
            <w:pPr>
              <w:keepNext/>
            </w:pPr>
          </w:p>
        </w:tc>
        <w:tc>
          <w:tcPr>
            <w:tcW w:w="851" w:type="dxa"/>
            <w:tcBorders>
              <w:top w:val="single" w:sz="6" w:space="0" w:color="auto"/>
              <w:bottom w:val="single" w:sz="6" w:space="0" w:color="auto"/>
            </w:tcBorders>
          </w:tcPr>
          <w:p w14:paraId="09AB0994"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850" w:type="dxa"/>
            <w:tcBorders>
              <w:top w:val="single" w:sz="6" w:space="0" w:color="auto"/>
              <w:bottom w:val="single" w:sz="6" w:space="0" w:color="auto"/>
            </w:tcBorders>
          </w:tcPr>
          <w:p w14:paraId="019B1CA8"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851" w:type="dxa"/>
            <w:tcBorders>
              <w:top w:val="single" w:sz="6" w:space="0" w:color="auto"/>
              <w:bottom w:val="single" w:sz="6" w:space="0" w:color="auto"/>
            </w:tcBorders>
          </w:tcPr>
          <w:p w14:paraId="36A6FAC0"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820" w:type="dxa"/>
            <w:tcBorders>
              <w:top w:val="single" w:sz="6" w:space="0" w:color="auto"/>
              <w:bottom w:val="single" w:sz="6" w:space="0" w:color="auto"/>
            </w:tcBorders>
          </w:tcPr>
          <w:p w14:paraId="3EEE678D"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c>
          <w:tcPr>
            <w:tcW w:w="794" w:type="dxa"/>
            <w:tcBorders>
              <w:top w:val="single" w:sz="6" w:space="0" w:color="auto"/>
              <w:bottom w:val="single" w:sz="6" w:space="0" w:color="auto"/>
            </w:tcBorders>
          </w:tcPr>
          <w:p w14:paraId="5B075C52"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TEI</w:t>
            </w:r>
          </w:p>
        </w:tc>
      </w:tr>
      <w:tr w:rsidR="004D509B" w14:paraId="7832C2C4"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tcBorders>
          </w:tcPr>
          <w:p w14:paraId="3B2BB9A7" w14:textId="77777777" w:rsidR="004D509B" w:rsidRDefault="004D509B" w:rsidP="008670FF">
            <w:r>
              <w:rPr>
                <w:b/>
              </w:rPr>
              <w:t>Family Violence Service Delivery</w:t>
            </w:r>
          </w:p>
        </w:tc>
        <w:tc>
          <w:tcPr>
            <w:tcW w:w="851" w:type="dxa"/>
            <w:tcBorders>
              <w:top w:val="single" w:sz="6" w:space="0" w:color="auto"/>
            </w:tcBorders>
          </w:tcPr>
          <w:p w14:paraId="177DFF8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6" w:space="0" w:color="auto"/>
            </w:tcBorders>
          </w:tcPr>
          <w:p w14:paraId="57C1B3C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3D1B37F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20" w:type="dxa"/>
            <w:tcBorders>
              <w:top w:val="single" w:sz="6" w:space="0" w:color="auto"/>
            </w:tcBorders>
          </w:tcPr>
          <w:p w14:paraId="583F6BB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414ACB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5BB8C36F"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bottom w:val="single" w:sz="6" w:space="0" w:color="auto"/>
            </w:tcBorders>
          </w:tcPr>
          <w:p w14:paraId="4E66D4AF" w14:textId="77777777" w:rsidR="004D509B" w:rsidRDefault="004D509B" w:rsidP="008670FF">
            <w:r>
              <w:t>Strengthening Women’s Safety</w:t>
            </w:r>
          </w:p>
        </w:tc>
        <w:tc>
          <w:tcPr>
            <w:tcW w:w="851" w:type="dxa"/>
            <w:tcBorders>
              <w:bottom w:val="single" w:sz="6" w:space="0" w:color="auto"/>
            </w:tcBorders>
          </w:tcPr>
          <w:p w14:paraId="59FA249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1.6</w:t>
            </w:r>
          </w:p>
        </w:tc>
        <w:tc>
          <w:tcPr>
            <w:tcW w:w="850" w:type="dxa"/>
            <w:tcBorders>
              <w:bottom w:val="single" w:sz="6" w:space="0" w:color="auto"/>
            </w:tcBorders>
          </w:tcPr>
          <w:p w14:paraId="6C5AF86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1.7</w:t>
            </w:r>
          </w:p>
        </w:tc>
        <w:tc>
          <w:tcPr>
            <w:tcW w:w="851" w:type="dxa"/>
            <w:tcBorders>
              <w:bottom w:val="single" w:sz="6" w:space="0" w:color="auto"/>
            </w:tcBorders>
          </w:tcPr>
          <w:p w14:paraId="78F8FDD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1.7</w:t>
            </w:r>
          </w:p>
        </w:tc>
        <w:tc>
          <w:tcPr>
            <w:tcW w:w="820" w:type="dxa"/>
            <w:tcBorders>
              <w:bottom w:val="single" w:sz="6" w:space="0" w:color="auto"/>
            </w:tcBorders>
          </w:tcPr>
          <w:p w14:paraId="032FA47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5C4032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5.0</w:t>
            </w:r>
          </w:p>
        </w:tc>
      </w:tr>
      <w:tr w:rsidR="004D509B" w14:paraId="0B549D71" w14:textId="77777777" w:rsidTr="008670FF">
        <w:tc>
          <w:tcPr>
            <w:cnfStyle w:val="001000000000" w:firstRow="0" w:lastRow="0" w:firstColumn="1" w:lastColumn="0" w:oddVBand="0" w:evenVBand="0" w:oddHBand="0" w:evenHBand="0" w:firstRowFirstColumn="0" w:firstRowLastColumn="0" w:lastRowFirstColumn="0" w:lastRowLastColumn="0"/>
            <w:tcW w:w="3544" w:type="dxa"/>
            <w:tcBorders>
              <w:top w:val="single" w:sz="6" w:space="0" w:color="auto"/>
              <w:bottom w:val="single" w:sz="12" w:space="0" w:color="auto"/>
            </w:tcBorders>
          </w:tcPr>
          <w:p w14:paraId="5A2E5DE0" w14:textId="77777777" w:rsidR="004D509B" w:rsidRDefault="004D509B" w:rsidP="008670FF">
            <w:r>
              <w:rPr>
                <w:b/>
              </w:rPr>
              <w:t>Total asset initiatives</w:t>
            </w:r>
          </w:p>
        </w:tc>
        <w:tc>
          <w:tcPr>
            <w:tcW w:w="851" w:type="dxa"/>
            <w:tcBorders>
              <w:top w:val="single" w:sz="6" w:space="0" w:color="auto"/>
              <w:bottom w:val="single" w:sz="12" w:space="0" w:color="auto"/>
            </w:tcBorders>
          </w:tcPr>
          <w:p w14:paraId="3FD4517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1.6</w:t>
            </w:r>
          </w:p>
        </w:tc>
        <w:tc>
          <w:tcPr>
            <w:tcW w:w="850" w:type="dxa"/>
            <w:tcBorders>
              <w:top w:val="single" w:sz="6" w:space="0" w:color="auto"/>
              <w:bottom w:val="single" w:sz="12" w:space="0" w:color="auto"/>
            </w:tcBorders>
          </w:tcPr>
          <w:p w14:paraId="4F45013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1.7</w:t>
            </w:r>
          </w:p>
        </w:tc>
        <w:tc>
          <w:tcPr>
            <w:tcW w:w="851" w:type="dxa"/>
            <w:tcBorders>
              <w:top w:val="single" w:sz="6" w:space="0" w:color="auto"/>
              <w:bottom w:val="single" w:sz="12" w:space="0" w:color="auto"/>
            </w:tcBorders>
          </w:tcPr>
          <w:p w14:paraId="254C786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1.7</w:t>
            </w:r>
          </w:p>
        </w:tc>
        <w:tc>
          <w:tcPr>
            <w:tcW w:w="820" w:type="dxa"/>
            <w:tcBorders>
              <w:top w:val="single" w:sz="6" w:space="0" w:color="auto"/>
              <w:bottom w:val="single" w:sz="12" w:space="0" w:color="auto"/>
            </w:tcBorders>
          </w:tcPr>
          <w:p w14:paraId="01B467C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00FD2A8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5.0</w:t>
            </w:r>
          </w:p>
        </w:tc>
      </w:tr>
    </w:tbl>
    <w:p w14:paraId="5A491DBC" w14:textId="77777777" w:rsidR="004D509B" w:rsidRPr="00884854" w:rsidRDefault="004D509B" w:rsidP="004D509B">
      <w:pPr>
        <w:pStyle w:val="Heading30"/>
      </w:pPr>
      <w:r w:rsidRPr="00884854">
        <w:t>Family Violence Service Delivery</w:t>
      </w:r>
    </w:p>
    <w:p w14:paraId="42069FD8" w14:textId="77777777" w:rsidR="004D509B" w:rsidRPr="00884854" w:rsidRDefault="004D509B" w:rsidP="004D509B">
      <w:pPr>
        <w:pStyle w:val="Heading4"/>
      </w:pPr>
      <w:r>
        <w:t>Strengthening Women’s Safety</w:t>
      </w:r>
    </w:p>
    <w:p w14:paraId="132F068D" w14:textId="77777777" w:rsidR="004D509B" w:rsidRPr="00884854" w:rsidRDefault="004D509B" w:rsidP="004D509B">
      <w:r w:rsidRPr="00884854">
        <w:t xml:space="preserve">Funding </w:t>
      </w:r>
      <w:r>
        <w:t>is</w:t>
      </w:r>
      <w:r w:rsidRPr="00884854">
        <w:t xml:space="preserve"> provided to improve the Central Information Point </w:t>
      </w:r>
      <w:r>
        <w:t>system</w:t>
      </w:r>
      <w:r w:rsidRPr="00884854">
        <w:t>.</w:t>
      </w:r>
    </w:p>
    <w:p w14:paraId="0E1B03FA" w14:textId="77777777" w:rsidR="004D509B" w:rsidRPr="00884854" w:rsidRDefault="004D509B" w:rsidP="004D509B">
      <w:r w:rsidRPr="00884854">
        <w:t>This contributes to the Department of Families, Fairness and Housing’s Family Violence Service Delivery output.</w:t>
      </w:r>
    </w:p>
    <w:p w14:paraId="3D743C80" w14:textId="77777777" w:rsidR="004D509B" w:rsidRDefault="004D509B" w:rsidP="004D509B">
      <w:pPr>
        <w:keepLines w:val="0"/>
      </w:pPr>
      <w:r>
        <w:br w:type="page"/>
      </w:r>
    </w:p>
    <w:p w14:paraId="2F41DA8F" w14:textId="77777777" w:rsidR="004D509B" w:rsidRPr="00884854" w:rsidRDefault="004D509B" w:rsidP="004D509B">
      <w:pPr>
        <w:pStyle w:val="Heading10"/>
      </w:pPr>
      <w:bookmarkStart w:id="190" w:name="_Toc184222989"/>
      <w:bookmarkStart w:id="191" w:name="_Toc184299294"/>
      <w:bookmarkStart w:id="192" w:name="_Toc184299463"/>
      <w:r w:rsidRPr="00884854">
        <w:t>Department of Health</w:t>
      </w:r>
      <w:bookmarkEnd w:id="190"/>
      <w:bookmarkEnd w:id="191"/>
      <w:bookmarkEnd w:id="192"/>
    </w:p>
    <w:p w14:paraId="0C6A748C" w14:textId="77777777" w:rsidR="004D509B" w:rsidRPr="00884854" w:rsidRDefault="004D509B" w:rsidP="004D509B">
      <w:pPr>
        <w:pStyle w:val="Heading20"/>
      </w:pPr>
      <w:r w:rsidRPr="00884854">
        <w:t>Output initiatives</w:t>
      </w:r>
    </w:p>
    <w:p w14:paraId="6B05D51B" w14:textId="77777777" w:rsidR="004D509B" w:rsidRDefault="004D509B" w:rsidP="004D509B">
      <w:pPr>
        <w:pStyle w:val="Caption"/>
      </w:pPr>
      <w:r w:rsidRPr="00884854">
        <w:t>Table A.</w:t>
      </w:r>
      <w:r>
        <w:t>6</w:t>
      </w:r>
      <w:r w:rsidRPr="00884854">
        <w:t>:</w:t>
      </w:r>
      <w:r w:rsidRPr="00884854">
        <w:tab/>
        <w:t xml:space="preserve">Output initiatives – </w:t>
      </w:r>
      <w:r>
        <w:t>Health</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H_Output|Extract: {&#10;   &quot;Furthersupportingourpublichospitals&quot;:&quot;Thomas&quot;,&#10;   &quot;DrugCheckingImplementationTrial&quot;:&quot;Williams&quot;,&#10;   &quot;RSVImmunisationProgram&quot;:&quot;Thomas&quot;}"/>
      </w:tblPr>
      <w:tblGrid>
        <w:gridCol w:w="4534"/>
        <w:gridCol w:w="794"/>
        <w:gridCol w:w="794"/>
        <w:gridCol w:w="794"/>
        <w:gridCol w:w="794"/>
      </w:tblGrid>
      <w:tr w:rsidR="004D509B" w14:paraId="79990FBA"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59CD5A21" w14:textId="77777777" w:rsidR="004D509B" w:rsidRDefault="004D509B" w:rsidP="008670FF">
            <w:pPr>
              <w:keepNext/>
            </w:pPr>
          </w:p>
        </w:tc>
        <w:tc>
          <w:tcPr>
            <w:tcW w:w="794" w:type="dxa"/>
          </w:tcPr>
          <w:p w14:paraId="36077E6D"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5889FEA7"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40FB2B74"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7EBED25C"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6FF45550"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7FFD3998" w14:textId="77777777" w:rsidR="004D509B" w:rsidRDefault="004D509B" w:rsidP="008670FF">
            <w:r>
              <w:rPr>
                <w:b/>
              </w:rPr>
              <w:t>Admitted Services</w:t>
            </w:r>
          </w:p>
        </w:tc>
        <w:tc>
          <w:tcPr>
            <w:tcW w:w="794" w:type="dxa"/>
          </w:tcPr>
          <w:p w14:paraId="3097732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D289D0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A1C8F1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4AA9A7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579D5E37"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0B79E3F7" w14:textId="77777777" w:rsidR="004D509B" w:rsidRDefault="004D509B" w:rsidP="008670FF">
            <w:r>
              <w:t>Delivering a better health system</w:t>
            </w:r>
          </w:p>
        </w:tc>
        <w:tc>
          <w:tcPr>
            <w:tcW w:w="794" w:type="dxa"/>
          </w:tcPr>
          <w:p w14:paraId="5E2B1E9F" w14:textId="4005EB29" w:rsidR="004D509B" w:rsidRDefault="004D509B" w:rsidP="008670FF">
            <w:pPr>
              <w:cnfStyle w:val="000000000000" w:firstRow="0" w:lastRow="0" w:firstColumn="0" w:lastColumn="0" w:oddVBand="0" w:evenVBand="0" w:oddHBand="0" w:evenHBand="0" w:firstRowFirstColumn="0" w:firstRowLastColumn="0" w:lastRowFirstColumn="0" w:lastRowLastColumn="0"/>
            </w:pPr>
            <w:r>
              <w:t>1</w:t>
            </w:r>
            <w:r w:rsidR="008829E8">
              <w:t xml:space="preserve"> </w:t>
            </w:r>
            <w:r>
              <w:t>535.5</w:t>
            </w:r>
          </w:p>
        </w:tc>
        <w:tc>
          <w:tcPr>
            <w:tcW w:w="794" w:type="dxa"/>
          </w:tcPr>
          <w:p w14:paraId="374293D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102DEC3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CCC607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71F547C2"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4B344B88" w14:textId="77777777" w:rsidR="004D509B" w:rsidRDefault="004D509B" w:rsidP="008670FF">
            <w:r>
              <w:rPr>
                <w:b/>
              </w:rPr>
              <w:t>Drug Services</w:t>
            </w:r>
          </w:p>
        </w:tc>
        <w:tc>
          <w:tcPr>
            <w:tcW w:w="794" w:type="dxa"/>
          </w:tcPr>
          <w:p w14:paraId="30427B4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180D2C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621D5C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B1439A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1B2FC8C4"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69CEDA3B" w14:textId="77777777" w:rsidR="004D509B" w:rsidRDefault="004D509B" w:rsidP="008670FF">
            <w:r>
              <w:t>Pill Testing Trial</w:t>
            </w:r>
          </w:p>
        </w:tc>
        <w:tc>
          <w:tcPr>
            <w:tcW w:w="794" w:type="dxa"/>
          </w:tcPr>
          <w:p w14:paraId="3F96F3E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1.9</w:t>
            </w:r>
          </w:p>
        </w:tc>
        <w:tc>
          <w:tcPr>
            <w:tcW w:w="794" w:type="dxa"/>
          </w:tcPr>
          <w:p w14:paraId="1D17E96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2.5</w:t>
            </w:r>
          </w:p>
        </w:tc>
        <w:tc>
          <w:tcPr>
            <w:tcW w:w="794" w:type="dxa"/>
          </w:tcPr>
          <w:p w14:paraId="3961809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6C8DE8F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6DBF7533"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335CA1E" w14:textId="77777777" w:rsidR="004D509B" w:rsidRDefault="004D509B" w:rsidP="008670FF">
            <w:r>
              <w:rPr>
                <w:b/>
              </w:rPr>
              <w:t>Public Health</w:t>
            </w:r>
          </w:p>
        </w:tc>
        <w:tc>
          <w:tcPr>
            <w:tcW w:w="794" w:type="dxa"/>
          </w:tcPr>
          <w:p w14:paraId="11979C3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051CAF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CE45AC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F7B06C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18E6BCE2"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4" w:space="0" w:color="auto"/>
            </w:tcBorders>
          </w:tcPr>
          <w:p w14:paraId="65002A39" w14:textId="77777777" w:rsidR="004D509B" w:rsidRDefault="004D509B" w:rsidP="008670FF">
            <w:r w:rsidRPr="006D3B37">
              <w:t>Newborn and infant RSV immunisation</w:t>
            </w:r>
          </w:p>
        </w:tc>
        <w:tc>
          <w:tcPr>
            <w:tcW w:w="794" w:type="dxa"/>
            <w:tcBorders>
              <w:bottom w:val="single" w:sz="4" w:space="0" w:color="auto"/>
            </w:tcBorders>
          </w:tcPr>
          <w:p w14:paraId="5260C0E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18.7</w:t>
            </w:r>
          </w:p>
        </w:tc>
        <w:tc>
          <w:tcPr>
            <w:tcW w:w="794" w:type="dxa"/>
            <w:tcBorders>
              <w:bottom w:val="single" w:sz="4" w:space="0" w:color="auto"/>
            </w:tcBorders>
          </w:tcPr>
          <w:p w14:paraId="64D5ED0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4" w:space="0" w:color="auto"/>
            </w:tcBorders>
          </w:tcPr>
          <w:p w14:paraId="7DF2464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4" w:space="0" w:color="auto"/>
            </w:tcBorders>
          </w:tcPr>
          <w:p w14:paraId="528023B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4218E06C"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4" w:space="0" w:color="auto"/>
              <w:bottom w:val="single" w:sz="12" w:space="0" w:color="auto"/>
            </w:tcBorders>
          </w:tcPr>
          <w:p w14:paraId="66E8F3AE" w14:textId="77777777" w:rsidR="004D509B" w:rsidRPr="005B64F0" w:rsidRDefault="004D509B" w:rsidP="008670FF">
            <w:pPr>
              <w:rPr>
                <w:szCs w:val="17"/>
              </w:rPr>
            </w:pPr>
            <w:r w:rsidRPr="005B64F0">
              <w:rPr>
                <w:rFonts w:ascii="Calibri" w:hAnsi="Calibri" w:cs="Calibri"/>
                <w:b/>
                <w:szCs w:val="17"/>
              </w:rPr>
              <w:t>Total output initiatives</w:t>
            </w:r>
          </w:p>
        </w:tc>
        <w:tc>
          <w:tcPr>
            <w:tcW w:w="794" w:type="dxa"/>
            <w:tcBorders>
              <w:top w:val="single" w:sz="4" w:space="0" w:color="auto"/>
              <w:bottom w:val="single" w:sz="12" w:space="0" w:color="auto"/>
            </w:tcBorders>
            <w:vAlign w:val="center"/>
          </w:tcPr>
          <w:p w14:paraId="11D9424A" w14:textId="59FFA912" w:rsidR="004D509B" w:rsidRPr="00FF1E90"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FF1E90">
              <w:rPr>
                <w:rFonts w:ascii="Calibri" w:hAnsi="Calibri" w:cs="Calibri"/>
                <w:b/>
                <w:bCs/>
                <w:szCs w:val="17"/>
              </w:rPr>
              <w:t>1</w:t>
            </w:r>
            <w:r w:rsidR="008829E8">
              <w:rPr>
                <w:rFonts w:ascii="Calibri" w:hAnsi="Calibri" w:cs="Calibri"/>
                <w:b/>
                <w:bCs/>
                <w:szCs w:val="17"/>
              </w:rPr>
              <w:t xml:space="preserve"> </w:t>
            </w:r>
            <w:r w:rsidRPr="00FF1E90">
              <w:rPr>
                <w:rFonts w:ascii="Calibri" w:hAnsi="Calibri" w:cs="Calibri"/>
                <w:b/>
                <w:bCs/>
                <w:szCs w:val="17"/>
              </w:rPr>
              <w:t>556.0</w:t>
            </w:r>
          </w:p>
        </w:tc>
        <w:tc>
          <w:tcPr>
            <w:tcW w:w="794" w:type="dxa"/>
            <w:tcBorders>
              <w:top w:val="single" w:sz="4" w:space="0" w:color="auto"/>
              <w:bottom w:val="single" w:sz="12" w:space="0" w:color="auto"/>
            </w:tcBorders>
            <w:vAlign w:val="center"/>
          </w:tcPr>
          <w:p w14:paraId="56D0CFD2" w14:textId="77777777" w:rsidR="004D509B" w:rsidRPr="00FF1E90"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FF1E90">
              <w:rPr>
                <w:rFonts w:ascii="Calibri" w:hAnsi="Calibri" w:cs="Calibri"/>
                <w:b/>
                <w:bCs/>
                <w:szCs w:val="17"/>
              </w:rPr>
              <w:t>2.5</w:t>
            </w:r>
          </w:p>
        </w:tc>
        <w:tc>
          <w:tcPr>
            <w:tcW w:w="794" w:type="dxa"/>
            <w:tcBorders>
              <w:top w:val="single" w:sz="4" w:space="0" w:color="auto"/>
              <w:bottom w:val="single" w:sz="12" w:space="0" w:color="auto"/>
            </w:tcBorders>
            <w:vAlign w:val="center"/>
          </w:tcPr>
          <w:p w14:paraId="23C19B4F" w14:textId="77777777" w:rsidR="004D509B" w:rsidRPr="005B64F0"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5B64F0">
              <w:rPr>
                <w:rFonts w:ascii="Calibri" w:hAnsi="Calibri" w:cs="Calibri"/>
                <w:b/>
                <w:szCs w:val="17"/>
              </w:rPr>
              <w:t>..</w:t>
            </w:r>
          </w:p>
        </w:tc>
        <w:tc>
          <w:tcPr>
            <w:tcW w:w="794" w:type="dxa"/>
            <w:tcBorders>
              <w:top w:val="single" w:sz="4" w:space="0" w:color="auto"/>
              <w:bottom w:val="single" w:sz="12" w:space="0" w:color="auto"/>
            </w:tcBorders>
            <w:vAlign w:val="center"/>
          </w:tcPr>
          <w:p w14:paraId="556FEE61" w14:textId="77777777" w:rsidR="004D509B" w:rsidRPr="005B64F0" w:rsidRDefault="004D509B" w:rsidP="008670FF">
            <w:pPr>
              <w:cnfStyle w:val="000000000000" w:firstRow="0" w:lastRow="0" w:firstColumn="0" w:lastColumn="0" w:oddVBand="0" w:evenVBand="0" w:oddHBand="0" w:evenHBand="0" w:firstRowFirstColumn="0" w:firstRowLastColumn="0" w:lastRowFirstColumn="0" w:lastRowLastColumn="0"/>
              <w:rPr>
                <w:szCs w:val="17"/>
              </w:rPr>
            </w:pPr>
            <w:r w:rsidRPr="005B64F0">
              <w:rPr>
                <w:rFonts w:ascii="Calibri" w:hAnsi="Calibri" w:cs="Calibri"/>
                <w:b/>
                <w:szCs w:val="17"/>
              </w:rPr>
              <w:t>..</w:t>
            </w:r>
          </w:p>
        </w:tc>
      </w:tr>
    </w:tbl>
    <w:p w14:paraId="247B4ADD" w14:textId="77777777" w:rsidR="004D509B" w:rsidRPr="00884854" w:rsidRDefault="004D509B" w:rsidP="004D509B">
      <w:pPr>
        <w:pStyle w:val="Heading30"/>
      </w:pPr>
      <w:r w:rsidRPr="00884854">
        <w:t xml:space="preserve">Admitted Services </w:t>
      </w:r>
    </w:p>
    <w:p w14:paraId="28F3CCDD" w14:textId="77777777" w:rsidR="004D509B" w:rsidRPr="00884854" w:rsidRDefault="004D509B" w:rsidP="004D509B">
      <w:pPr>
        <w:pStyle w:val="Heading4"/>
      </w:pPr>
      <w:r>
        <w:t>Delivering a better health system</w:t>
      </w:r>
    </w:p>
    <w:p w14:paraId="2C070630" w14:textId="77777777" w:rsidR="004D509B" w:rsidRPr="00884854" w:rsidRDefault="004D509B" w:rsidP="004D509B">
      <w:r w:rsidRPr="00884854">
        <w:t xml:space="preserve">Funding is provided to support </w:t>
      </w:r>
      <w:r>
        <w:t>Victoria’s</w:t>
      </w:r>
      <w:r w:rsidRPr="005B1265">
        <w:t xml:space="preserve"> hospitals </w:t>
      </w:r>
      <w:r>
        <w:t xml:space="preserve">to </w:t>
      </w:r>
      <w:r w:rsidRPr="005B1265">
        <w:t>deliver world-class care</w:t>
      </w:r>
      <w:r>
        <w:t>, supported by establishment of Hospitals Victoria and Local Health Service Networks</w:t>
      </w:r>
      <w:r w:rsidRPr="00884854">
        <w:t xml:space="preserve">. Funding will also </w:t>
      </w:r>
      <w:r>
        <w:t xml:space="preserve">support a further </w:t>
      </w:r>
      <w:r w:rsidRPr="00884854">
        <w:t>10</w:t>
      </w:r>
      <w:r>
        <w:t> </w:t>
      </w:r>
      <w:r w:rsidRPr="00884854">
        <w:t xml:space="preserve">000 </w:t>
      </w:r>
      <w:r>
        <w:t xml:space="preserve">elective </w:t>
      </w:r>
      <w:r w:rsidRPr="00884854">
        <w:t>surgeries.</w:t>
      </w:r>
    </w:p>
    <w:p w14:paraId="2485395A" w14:textId="77777777" w:rsidR="004D509B" w:rsidRPr="00884854" w:rsidRDefault="004D509B" w:rsidP="004D509B">
      <w:r w:rsidRPr="00884854">
        <w:t xml:space="preserve">This initiative contributes to the Department of Health’s: </w:t>
      </w:r>
    </w:p>
    <w:p w14:paraId="25F60A56" w14:textId="77777777" w:rsidR="004D509B" w:rsidRPr="00884854" w:rsidRDefault="004D509B" w:rsidP="007920E8">
      <w:pPr>
        <w:pStyle w:val="ListBullet"/>
      </w:pPr>
      <w:r w:rsidRPr="00884854">
        <w:t>Admitted Services output</w:t>
      </w:r>
    </w:p>
    <w:p w14:paraId="6AF75A82" w14:textId="77777777" w:rsidR="004D509B" w:rsidRPr="00884854" w:rsidRDefault="004D509B" w:rsidP="007920E8">
      <w:pPr>
        <w:pStyle w:val="ListBullet"/>
      </w:pPr>
      <w:r w:rsidRPr="00884854">
        <w:t xml:space="preserve">Small Rural Services </w:t>
      </w:r>
      <w:r>
        <w:t>–</w:t>
      </w:r>
      <w:r w:rsidRPr="00884854">
        <w:t xml:space="preserve"> Acute Health output.</w:t>
      </w:r>
    </w:p>
    <w:p w14:paraId="2E582231" w14:textId="77777777" w:rsidR="004D509B" w:rsidRPr="00884854" w:rsidRDefault="004D509B" w:rsidP="004D509B">
      <w:pPr>
        <w:pStyle w:val="Heading30"/>
      </w:pPr>
      <w:r w:rsidRPr="00884854">
        <w:t>Drug Services</w:t>
      </w:r>
    </w:p>
    <w:p w14:paraId="06247A1C" w14:textId="77777777" w:rsidR="004D509B" w:rsidRPr="00884854" w:rsidRDefault="004D509B" w:rsidP="004D509B">
      <w:pPr>
        <w:pStyle w:val="Heading4"/>
      </w:pPr>
      <w:r>
        <w:t xml:space="preserve">Pill Testing </w:t>
      </w:r>
      <w:r w:rsidRPr="00884854">
        <w:t>Trial</w:t>
      </w:r>
    </w:p>
    <w:p w14:paraId="406D4283" w14:textId="77777777" w:rsidR="004D509B" w:rsidRPr="00884854" w:rsidRDefault="004D509B" w:rsidP="004D509B">
      <w:r w:rsidRPr="00884854">
        <w:t xml:space="preserve">Funding is provided to establish a </w:t>
      </w:r>
      <w:r>
        <w:t>pill testing</w:t>
      </w:r>
      <w:r w:rsidRPr="00884854">
        <w:t xml:space="preserve"> trial, including a fixed site in metropolitan Melbourne and mobile testing at music festival sites. Funding also provides an uplift to drug surveillance capability.</w:t>
      </w:r>
    </w:p>
    <w:p w14:paraId="3A9D7A3A" w14:textId="77777777" w:rsidR="004D509B" w:rsidRPr="00884854" w:rsidRDefault="004D509B" w:rsidP="004D509B">
      <w:r w:rsidRPr="00884854">
        <w:t>This initiative contributes to the Department of Health’s Drug Services output.</w:t>
      </w:r>
    </w:p>
    <w:p w14:paraId="4666C65B" w14:textId="77777777" w:rsidR="004D509B" w:rsidRPr="00884854" w:rsidRDefault="004D509B" w:rsidP="004D509B">
      <w:pPr>
        <w:pStyle w:val="Heading30"/>
      </w:pPr>
      <w:r w:rsidRPr="00884854">
        <w:t>Public Health</w:t>
      </w:r>
    </w:p>
    <w:p w14:paraId="6FD46F3E" w14:textId="77777777" w:rsidR="004D509B" w:rsidRPr="00884854" w:rsidRDefault="004D509B" w:rsidP="004D509B">
      <w:pPr>
        <w:pStyle w:val="Heading4"/>
      </w:pPr>
      <w:r>
        <w:t xml:space="preserve">Newborn and infant </w:t>
      </w:r>
      <w:r w:rsidRPr="00884854">
        <w:t xml:space="preserve">RSV </w:t>
      </w:r>
      <w:r>
        <w:t>i</w:t>
      </w:r>
      <w:r w:rsidRPr="00884854">
        <w:t xml:space="preserve">mmunisation </w:t>
      </w:r>
    </w:p>
    <w:p w14:paraId="43BC83BA" w14:textId="77777777" w:rsidR="004D509B" w:rsidRPr="00884854" w:rsidRDefault="004D509B" w:rsidP="004D509B">
      <w:r w:rsidRPr="00884854">
        <w:t>Funding is provided for the Respiratory Syncytial Virus (RSV) immunisation program</w:t>
      </w:r>
      <w:r>
        <w:t xml:space="preserve"> to</w:t>
      </w:r>
      <w:r w:rsidRPr="00884854">
        <w:t xml:space="preserve"> deliver maternal </w:t>
      </w:r>
      <w:bookmarkStart w:id="193" w:name="_Hlk183272386"/>
      <w:r>
        <w:t>and infant</w:t>
      </w:r>
      <w:bookmarkEnd w:id="193"/>
      <w:r>
        <w:t xml:space="preserve"> </w:t>
      </w:r>
      <w:r w:rsidRPr="00884854">
        <w:t xml:space="preserve">vaccinations to </w:t>
      </w:r>
      <w:r>
        <w:t xml:space="preserve">protect newborns and </w:t>
      </w:r>
      <w:r w:rsidRPr="00884854">
        <w:t xml:space="preserve">infants at risk of RSV, which is a major cause of </w:t>
      </w:r>
      <w:bookmarkStart w:id="194" w:name="_Hlk183272421"/>
      <w:r>
        <w:t>emergency department presentations</w:t>
      </w:r>
      <w:bookmarkEnd w:id="194"/>
      <w:r w:rsidRPr="00884854">
        <w:t xml:space="preserve"> for infants under five years.</w:t>
      </w:r>
    </w:p>
    <w:p w14:paraId="3216471F" w14:textId="77777777" w:rsidR="004D509B" w:rsidRPr="00884854" w:rsidRDefault="004D509B" w:rsidP="004D509B">
      <w:r w:rsidRPr="00884854">
        <w:t>This initiative contributes to the Department of Health’s Public Health output.</w:t>
      </w:r>
    </w:p>
    <w:p w14:paraId="1BB32DDB" w14:textId="77777777" w:rsidR="004D509B" w:rsidRPr="00884854" w:rsidRDefault="004D509B" w:rsidP="004D509B">
      <w:pPr>
        <w:pStyle w:val="Heading10"/>
        <w:pageBreakBefore/>
      </w:pPr>
      <w:bookmarkStart w:id="195" w:name="_Toc184222990"/>
      <w:bookmarkStart w:id="196" w:name="_Toc184299295"/>
      <w:bookmarkStart w:id="197" w:name="_Toc184299464"/>
      <w:r w:rsidRPr="00884854">
        <w:t>Department of Jobs, Skills, Industry and Regions</w:t>
      </w:r>
      <w:bookmarkEnd w:id="195"/>
      <w:bookmarkEnd w:id="196"/>
      <w:bookmarkEnd w:id="197"/>
    </w:p>
    <w:p w14:paraId="43F2E9E0" w14:textId="77777777" w:rsidR="004D509B" w:rsidRPr="00884854" w:rsidRDefault="004D509B" w:rsidP="004D509B">
      <w:pPr>
        <w:pStyle w:val="Heading20"/>
      </w:pPr>
      <w:r w:rsidRPr="00884854">
        <w:t>Output initiatives</w:t>
      </w:r>
    </w:p>
    <w:p w14:paraId="5902FC82" w14:textId="77777777" w:rsidR="004D509B" w:rsidRDefault="004D509B" w:rsidP="004D509B">
      <w:pPr>
        <w:pStyle w:val="Caption"/>
      </w:pPr>
      <w:r w:rsidRPr="00884854">
        <w:t>Table A.</w:t>
      </w:r>
      <w:r>
        <w:t>7</w:t>
      </w:r>
      <w:r w:rsidRPr="00884854">
        <w:t>:</w:t>
      </w:r>
      <w:r w:rsidRPr="00884854">
        <w:tab/>
        <w:t xml:space="preserve">Output initiatives – </w:t>
      </w:r>
      <w:r>
        <w:t>Jobs, Skills, Industry and Regions</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JSIR_Output|Extract: {&#10;   &quot;SmallBusinessImmediateFloodReliefProgram&quot;:&quot;Hutchins&quot;,&#10;   &quot;ImplementationoftheGovernmentsresponsetotheApprenticeshipsTaskforce&quot;:&quot;Tierney&quot;,&#10;   &quot;TAFETechnologyFundNationalPartnershipAgreement&quot;:&quot;Tierney&quot;}"/>
      </w:tblPr>
      <w:tblGrid>
        <w:gridCol w:w="4534"/>
        <w:gridCol w:w="794"/>
        <w:gridCol w:w="794"/>
        <w:gridCol w:w="794"/>
        <w:gridCol w:w="794"/>
      </w:tblGrid>
      <w:tr w:rsidR="004D509B" w14:paraId="288DE500"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29DE1AA" w14:textId="77777777" w:rsidR="004D509B" w:rsidRDefault="004D509B" w:rsidP="008670FF">
            <w:pPr>
              <w:keepNext/>
            </w:pPr>
          </w:p>
        </w:tc>
        <w:tc>
          <w:tcPr>
            <w:tcW w:w="794" w:type="dxa"/>
            <w:tcBorders>
              <w:bottom w:val="single" w:sz="6" w:space="0" w:color="auto"/>
            </w:tcBorders>
          </w:tcPr>
          <w:p w14:paraId="5DE719D0"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bottom w:val="single" w:sz="6" w:space="0" w:color="auto"/>
            </w:tcBorders>
          </w:tcPr>
          <w:p w14:paraId="05D61F5A"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bottom w:val="single" w:sz="6" w:space="0" w:color="auto"/>
            </w:tcBorders>
          </w:tcPr>
          <w:p w14:paraId="027D6A8F"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Borders>
              <w:bottom w:val="single" w:sz="6" w:space="0" w:color="auto"/>
            </w:tcBorders>
          </w:tcPr>
          <w:p w14:paraId="206D9F88"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4CD051CE"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091FB256" w14:textId="77777777" w:rsidR="004D509B" w:rsidRDefault="004D509B" w:rsidP="008670FF">
            <w:r>
              <w:rPr>
                <w:b/>
              </w:rPr>
              <w:t>Training, Higher Education and Workforce Development</w:t>
            </w:r>
          </w:p>
        </w:tc>
        <w:tc>
          <w:tcPr>
            <w:tcW w:w="794" w:type="dxa"/>
          </w:tcPr>
          <w:p w14:paraId="200946C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EED7A0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76FB67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3B89F9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2F67C082"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6EDF2AC4" w14:textId="77777777" w:rsidR="004D509B" w:rsidRDefault="004D509B" w:rsidP="008670FF">
            <w:r>
              <w:t>Implementing Apprenticeships Taskforce recommendations</w:t>
            </w:r>
          </w:p>
        </w:tc>
        <w:tc>
          <w:tcPr>
            <w:tcW w:w="794" w:type="dxa"/>
            <w:tcBorders>
              <w:bottom w:val="single" w:sz="6" w:space="0" w:color="auto"/>
            </w:tcBorders>
          </w:tcPr>
          <w:p w14:paraId="0278A6B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3.3</w:t>
            </w:r>
          </w:p>
        </w:tc>
        <w:tc>
          <w:tcPr>
            <w:tcW w:w="794" w:type="dxa"/>
            <w:tcBorders>
              <w:bottom w:val="single" w:sz="6" w:space="0" w:color="auto"/>
            </w:tcBorders>
          </w:tcPr>
          <w:p w14:paraId="69A0FB6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1.7</w:t>
            </w:r>
          </w:p>
        </w:tc>
        <w:tc>
          <w:tcPr>
            <w:tcW w:w="794" w:type="dxa"/>
            <w:tcBorders>
              <w:bottom w:val="single" w:sz="6" w:space="0" w:color="auto"/>
            </w:tcBorders>
          </w:tcPr>
          <w:p w14:paraId="5FDA2D8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5010CBD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39D4DE46"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A50FBD1" w14:textId="77777777" w:rsidR="004D509B" w:rsidRDefault="004D509B" w:rsidP="008670FF">
            <w:r>
              <w:rPr>
                <w:b/>
              </w:rPr>
              <w:t>Total output initiatives</w:t>
            </w:r>
          </w:p>
        </w:tc>
        <w:tc>
          <w:tcPr>
            <w:tcW w:w="794" w:type="dxa"/>
            <w:tcBorders>
              <w:top w:val="single" w:sz="6" w:space="0" w:color="auto"/>
              <w:bottom w:val="single" w:sz="12" w:space="0" w:color="auto"/>
            </w:tcBorders>
          </w:tcPr>
          <w:p w14:paraId="4FD94A6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3.3</w:t>
            </w:r>
          </w:p>
        </w:tc>
        <w:tc>
          <w:tcPr>
            <w:tcW w:w="794" w:type="dxa"/>
            <w:tcBorders>
              <w:top w:val="single" w:sz="6" w:space="0" w:color="auto"/>
              <w:bottom w:val="single" w:sz="12" w:space="0" w:color="auto"/>
            </w:tcBorders>
          </w:tcPr>
          <w:p w14:paraId="5E093F1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1.7</w:t>
            </w:r>
          </w:p>
        </w:tc>
        <w:tc>
          <w:tcPr>
            <w:tcW w:w="794" w:type="dxa"/>
            <w:tcBorders>
              <w:top w:val="single" w:sz="6" w:space="0" w:color="auto"/>
              <w:bottom w:val="single" w:sz="12" w:space="0" w:color="auto"/>
            </w:tcBorders>
          </w:tcPr>
          <w:p w14:paraId="23C5589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64E4D53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r>
    </w:tbl>
    <w:p w14:paraId="19F483B8" w14:textId="77777777" w:rsidR="004D509B" w:rsidRPr="00085502" w:rsidRDefault="004D509B" w:rsidP="004D509B">
      <w:pPr>
        <w:pStyle w:val="Heading30"/>
        <w:rPr>
          <w:rFonts w:ascii="Calibri" w:eastAsia="Calibri" w:hAnsi="Calibri" w:cs="Calibri"/>
          <w:b w:val="0"/>
        </w:rPr>
      </w:pPr>
      <w:r w:rsidRPr="00085502">
        <w:t xml:space="preserve">Training, Higher Education and Workforce </w:t>
      </w:r>
      <w:r w:rsidRPr="00085502">
        <w:rPr>
          <w:rFonts w:ascii="Calibri" w:eastAsia="Calibri" w:hAnsi="Calibri" w:cs="Calibri"/>
        </w:rPr>
        <w:t>Development</w:t>
      </w:r>
    </w:p>
    <w:p w14:paraId="546DDA3F" w14:textId="77777777" w:rsidR="004D509B" w:rsidRPr="00884854" w:rsidRDefault="004D509B" w:rsidP="004D509B">
      <w:pPr>
        <w:pStyle w:val="Heading4"/>
      </w:pPr>
      <w:r w:rsidRPr="00884854">
        <w:t>Implementing Apprenticeships Taskforce recommendations</w:t>
      </w:r>
    </w:p>
    <w:p w14:paraId="155A89C4" w14:textId="77777777" w:rsidR="004D509B" w:rsidRPr="00884854" w:rsidRDefault="004D509B" w:rsidP="004D509B">
      <w:r w:rsidRPr="00884854">
        <w:t xml:space="preserve">Funding </w:t>
      </w:r>
      <w:r>
        <w:t>is</w:t>
      </w:r>
      <w:r w:rsidRPr="00884854">
        <w:t xml:space="preserve"> provided to </w:t>
      </w:r>
      <w:r w:rsidRPr="00E90468">
        <w:t>commence work to implement the supported</w:t>
      </w:r>
      <w:r w:rsidRPr="006D6E11">
        <w:rPr>
          <w:u w:val="single"/>
        </w:rPr>
        <w:t xml:space="preserve"> </w:t>
      </w:r>
      <w:r w:rsidRPr="00884854">
        <w:t>recommendations from the Apprenticeships Taskforce</w:t>
      </w:r>
      <w:r>
        <w:t xml:space="preserve"> </w:t>
      </w:r>
      <w:r w:rsidRPr="00E90468">
        <w:t>and to undertake further work on recommendations</w:t>
      </w:r>
      <w:r w:rsidRPr="006D6E11">
        <w:rPr>
          <w:u w:val="single"/>
        </w:rPr>
        <w:t xml:space="preserve"> </w:t>
      </w:r>
      <w:r w:rsidRPr="00E90468">
        <w:t>where their implementation requires further consideration.</w:t>
      </w:r>
      <w:r w:rsidRPr="00191396">
        <w:t xml:space="preserve"> </w:t>
      </w:r>
      <w:r>
        <w:t>This includes</w:t>
      </w:r>
      <w:r w:rsidRPr="00884854">
        <w:t xml:space="preserve"> establishment of a dedicated regulator, piloting a central helpdesk service for apprentices and trainees, and provision of additional supports to address safety, harassment, training quality and fairness at work.</w:t>
      </w:r>
    </w:p>
    <w:p w14:paraId="4D63E6BD" w14:textId="77777777" w:rsidR="004D509B" w:rsidRPr="00884854" w:rsidRDefault="004D509B" w:rsidP="004D509B">
      <w:r w:rsidRPr="00884854">
        <w:t xml:space="preserve">This initiative contributes to the Department of Jobs, Skills, Industry and Regions’ Training, Higher Education and Workforce </w:t>
      </w:r>
      <w:r>
        <w:t>Development</w:t>
      </w:r>
      <w:r w:rsidRPr="00884854">
        <w:t xml:space="preserve"> output.</w:t>
      </w:r>
    </w:p>
    <w:p w14:paraId="0C97C5E4" w14:textId="77777777" w:rsidR="004D509B" w:rsidRPr="00884854" w:rsidRDefault="004D509B" w:rsidP="004D509B">
      <w:pPr>
        <w:pStyle w:val="Heading10"/>
        <w:pageBreakBefore/>
      </w:pPr>
      <w:bookmarkStart w:id="198" w:name="_Toc184222991"/>
      <w:bookmarkStart w:id="199" w:name="_Toc184299296"/>
      <w:bookmarkStart w:id="200" w:name="_Toc184299465"/>
      <w:r w:rsidRPr="00884854">
        <w:t>Department of Justice and Community Safety</w:t>
      </w:r>
      <w:bookmarkEnd w:id="198"/>
      <w:bookmarkEnd w:id="199"/>
      <w:bookmarkEnd w:id="200"/>
    </w:p>
    <w:p w14:paraId="358F7E84" w14:textId="77777777" w:rsidR="004D509B" w:rsidRPr="00884854" w:rsidRDefault="004D509B" w:rsidP="004D509B">
      <w:pPr>
        <w:pStyle w:val="Heading20"/>
      </w:pPr>
      <w:r w:rsidRPr="00884854">
        <w:t>Output initiatives</w:t>
      </w:r>
    </w:p>
    <w:p w14:paraId="5CF55AC1" w14:textId="77777777" w:rsidR="004D509B" w:rsidRDefault="004D509B" w:rsidP="004D509B">
      <w:pPr>
        <w:pStyle w:val="Caption"/>
      </w:pPr>
      <w:r w:rsidRPr="00884854">
        <w:t>Table A.</w:t>
      </w:r>
      <w:r>
        <w:t>8</w:t>
      </w:r>
      <w:r w:rsidRPr="00884854">
        <w:t>:</w:t>
      </w:r>
      <w:r w:rsidRPr="00884854">
        <w:tab/>
        <w:t xml:space="preserve">Output initiatives – </w:t>
      </w:r>
      <w:r>
        <w:t>Justice and Community Safety</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JCS_Output|Extract: {&#10;   &quot;WomensSafetyPackageWoVG&quot;:&quot;Symes&quot;,&#10;   &quot;VictoriaStateEmergencyServicesunitsupport&quot;:&quot;Symes&quot;,&#10;   &quot;ModernisingtheMensPrisonNetwork&quot;:&quot;Erdogan&quot;,&#10;   &quot;Subsidisingphonecallsforpeopleinprison&quot;:&quot;Erdogan&quot;,&#10;   &quot;Establishingthetobaccolicensingscheme&quot;:&quot;Horne&quot;}"/>
      </w:tblPr>
      <w:tblGrid>
        <w:gridCol w:w="4534"/>
        <w:gridCol w:w="794"/>
        <w:gridCol w:w="794"/>
        <w:gridCol w:w="794"/>
        <w:gridCol w:w="794"/>
      </w:tblGrid>
      <w:tr w:rsidR="004D509B" w14:paraId="090853FB"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4BA77EEC" w14:textId="77777777" w:rsidR="004D509B" w:rsidRDefault="004D509B" w:rsidP="008670FF">
            <w:pPr>
              <w:keepNext/>
            </w:pPr>
          </w:p>
        </w:tc>
        <w:tc>
          <w:tcPr>
            <w:tcW w:w="794" w:type="dxa"/>
          </w:tcPr>
          <w:p w14:paraId="73BCF148"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2815749"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26FE5660"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064465F6"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71F97BA9"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F8A6DD9" w14:textId="77777777" w:rsidR="004D509B" w:rsidRDefault="004D509B" w:rsidP="008670FF">
            <w:r>
              <w:rPr>
                <w:b/>
              </w:rPr>
              <w:t>Advocacy, Human Rights and Victim Support</w:t>
            </w:r>
          </w:p>
        </w:tc>
        <w:tc>
          <w:tcPr>
            <w:tcW w:w="794" w:type="dxa"/>
          </w:tcPr>
          <w:p w14:paraId="1CA4D10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9F315E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D9B8F5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53D6C96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782A2A4A"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0B09FD48" w14:textId="5D862986" w:rsidR="004D509B" w:rsidRDefault="004D509B" w:rsidP="008670FF">
            <w:r w:rsidRPr="00E01AA3">
              <w:t xml:space="preserve">Strengthening </w:t>
            </w:r>
            <w:r>
              <w:t xml:space="preserve">Women’s Safety </w:t>
            </w:r>
            <w:r w:rsidRPr="00E01AA3">
              <w:t>–</w:t>
            </w:r>
            <w:r>
              <w:t xml:space="preserve"> </w:t>
            </w:r>
            <w:r w:rsidR="000F572C" w:rsidRPr="000F572C">
              <w:t>legal services and supports</w:t>
            </w:r>
          </w:p>
        </w:tc>
        <w:tc>
          <w:tcPr>
            <w:tcW w:w="794" w:type="dxa"/>
          </w:tcPr>
          <w:p w14:paraId="1946627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11.5</w:t>
            </w:r>
          </w:p>
        </w:tc>
        <w:tc>
          <w:tcPr>
            <w:tcW w:w="794" w:type="dxa"/>
          </w:tcPr>
          <w:p w14:paraId="3C3B2DC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4.3</w:t>
            </w:r>
          </w:p>
        </w:tc>
        <w:tc>
          <w:tcPr>
            <w:tcW w:w="794" w:type="dxa"/>
          </w:tcPr>
          <w:p w14:paraId="4557923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2.1</w:t>
            </w:r>
          </w:p>
        </w:tc>
        <w:tc>
          <w:tcPr>
            <w:tcW w:w="794" w:type="dxa"/>
          </w:tcPr>
          <w:p w14:paraId="4B90416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0.5</w:t>
            </w:r>
          </w:p>
        </w:tc>
      </w:tr>
      <w:tr w:rsidR="004D509B" w14:paraId="46283F8C"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04A54E39" w14:textId="77777777" w:rsidR="004D509B" w:rsidRDefault="004D509B" w:rsidP="008670FF">
            <w:r>
              <w:rPr>
                <w:b/>
              </w:rPr>
              <w:t>Emergency Management Capability</w:t>
            </w:r>
          </w:p>
        </w:tc>
        <w:tc>
          <w:tcPr>
            <w:tcW w:w="794" w:type="dxa"/>
          </w:tcPr>
          <w:p w14:paraId="54B6A59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DFA82B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E768F6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56887A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50AF0576"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11AB4B4" w14:textId="77777777" w:rsidR="004D509B" w:rsidRDefault="004D509B" w:rsidP="008670FF">
            <w:r>
              <w:t xml:space="preserve">Supporting our emergency services and volunteers </w:t>
            </w:r>
            <w:r>
              <w:rPr>
                <w:vertAlign w:val="superscript"/>
              </w:rPr>
              <w:t>(a)</w:t>
            </w:r>
          </w:p>
        </w:tc>
        <w:tc>
          <w:tcPr>
            <w:tcW w:w="794" w:type="dxa"/>
          </w:tcPr>
          <w:p w14:paraId="489324D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FFA63C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50.0</w:t>
            </w:r>
          </w:p>
        </w:tc>
        <w:tc>
          <w:tcPr>
            <w:tcW w:w="794" w:type="dxa"/>
          </w:tcPr>
          <w:p w14:paraId="53D321F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50.0</w:t>
            </w:r>
          </w:p>
        </w:tc>
        <w:tc>
          <w:tcPr>
            <w:tcW w:w="794" w:type="dxa"/>
          </w:tcPr>
          <w:p w14:paraId="65CBA61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50.0</w:t>
            </w:r>
          </w:p>
        </w:tc>
      </w:tr>
      <w:tr w:rsidR="004D509B" w14:paraId="5F043ECB"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BEE40EE" w14:textId="77777777" w:rsidR="004D509B" w:rsidRDefault="004D509B" w:rsidP="008670FF">
            <w:r>
              <w:rPr>
                <w:b/>
              </w:rPr>
              <w:t>Racing, Gambling, Liquor and Casino Regulation</w:t>
            </w:r>
          </w:p>
        </w:tc>
        <w:tc>
          <w:tcPr>
            <w:tcW w:w="794" w:type="dxa"/>
          </w:tcPr>
          <w:p w14:paraId="1E3DB996"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105822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0B5E5FF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E946C1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18572D8B"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40E9DCAB" w14:textId="77777777" w:rsidR="004D509B" w:rsidRDefault="004D509B" w:rsidP="008670FF">
            <w:r>
              <w:t>Establishing the tobacco licensing scheme</w:t>
            </w:r>
          </w:p>
        </w:tc>
        <w:tc>
          <w:tcPr>
            <w:tcW w:w="794" w:type="dxa"/>
            <w:tcBorders>
              <w:bottom w:val="single" w:sz="6" w:space="0" w:color="auto"/>
            </w:tcBorders>
          </w:tcPr>
          <w:p w14:paraId="66C36DA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3.0</w:t>
            </w:r>
          </w:p>
        </w:tc>
        <w:tc>
          <w:tcPr>
            <w:tcW w:w="794" w:type="dxa"/>
            <w:tcBorders>
              <w:bottom w:val="single" w:sz="6" w:space="0" w:color="auto"/>
            </w:tcBorders>
          </w:tcPr>
          <w:p w14:paraId="725372B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0664D3C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651CAE4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rsidRPr="00CA3C82" w14:paraId="148FD869"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637AED1C" w14:textId="77777777" w:rsidR="004D509B" w:rsidRPr="00CA3C82" w:rsidRDefault="004D509B" w:rsidP="008670FF">
            <w:pPr>
              <w:rPr>
                <w:b/>
              </w:rPr>
            </w:pPr>
            <w:r>
              <w:rPr>
                <w:b/>
              </w:rPr>
              <w:t>Total output initiatives</w:t>
            </w:r>
          </w:p>
        </w:tc>
        <w:tc>
          <w:tcPr>
            <w:tcW w:w="794" w:type="dxa"/>
            <w:tcBorders>
              <w:top w:val="single" w:sz="6" w:space="0" w:color="auto"/>
              <w:bottom w:val="single" w:sz="12" w:space="0" w:color="auto"/>
            </w:tcBorders>
          </w:tcPr>
          <w:p w14:paraId="7DE72D2D" w14:textId="73148FF1" w:rsidR="004D509B" w:rsidRPr="00CA3C82" w:rsidRDefault="004D509B" w:rsidP="008670FF">
            <w:pPr>
              <w:cnfStyle w:val="000000000000" w:firstRow="0" w:lastRow="0" w:firstColumn="0" w:lastColumn="0" w:oddVBand="0" w:evenVBand="0" w:oddHBand="0" w:evenHBand="0" w:firstRowFirstColumn="0" w:firstRowLastColumn="0" w:lastRowFirstColumn="0" w:lastRowLastColumn="0"/>
              <w:rPr>
                <w:b/>
              </w:rPr>
            </w:pPr>
            <w:r>
              <w:rPr>
                <w:b/>
              </w:rPr>
              <w:t>14.</w:t>
            </w:r>
            <w:r w:rsidR="00EC49ED">
              <w:rPr>
                <w:b/>
              </w:rPr>
              <w:t>5</w:t>
            </w:r>
          </w:p>
        </w:tc>
        <w:tc>
          <w:tcPr>
            <w:tcW w:w="794" w:type="dxa"/>
            <w:tcBorders>
              <w:top w:val="single" w:sz="6" w:space="0" w:color="auto"/>
              <w:bottom w:val="single" w:sz="12" w:space="0" w:color="auto"/>
            </w:tcBorders>
          </w:tcPr>
          <w:p w14:paraId="28BD07AB" w14:textId="77777777" w:rsidR="004D509B" w:rsidRPr="00CA3C82" w:rsidRDefault="004D509B" w:rsidP="008670FF">
            <w:pPr>
              <w:cnfStyle w:val="000000000000" w:firstRow="0" w:lastRow="0" w:firstColumn="0" w:lastColumn="0" w:oddVBand="0" w:evenVBand="0" w:oddHBand="0" w:evenHBand="0" w:firstRowFirstColumn="0" w:firstRowLastColumn="0" w:lastRowFirstColumn="0" w:lastRowLastColumn="0"/>
              <w:rPr>
                <w:b/>
              </w:rPr>
            </w:pPr>
            <w:r>
              <w:rPr>
                <w:b/>
              </w:rPr>
              <w:t>54.3</w:t>
            </w:r>
          </w:p>
        </w:tc>
        <w:tc>
          <w:tcPr>
            <w:tcW w:w="794" w:type="dxa"/>
            <w:tcBorders>
              <w:top w:val="single" w:sz="6" w:space="0" w:color="auto"/>
              <w:bottom w:val="single" w:sz="12" w:space="0" w:color="auto"/>
            </w:tcBorders>
          </w:tcPr>
          <w:p w14:paraId="76DBE962" w14:textId="77777777" w:rsidR="004D509B" w:rsidRPr="00CA3C82" w:rsidRDefault="004D509B" w:rsidP="008670FF">
            <w:pPr>
              <w:cnfStyle w:val="000000000000" w:firstRow="0" w:lastRow="0" w:firstColumn="0" w:lastColumn="0" w:oddVBand="0" w:evenVBand="0" w:oddHBand="0" w:evenHBand="0" w:firstRowFirstColumn="0" w:firstRowLastColumn="0" w:lastRowFirstColumn="0" w:lastRowLastColumn="0"/>
              <w:rPr>
                <w:b/>
              </w:rPr>
            </w:pPr>
            <w:r>
              <w:rPr>
                <w:b/>
              </w:rPr>
              <w:t>52.1</w:t>
            </w:r>
          </w:p>
        </w:tc>
        <w:tc>
          <w:tcPr>
            <w:tcW w:w="794" w:type="dxa"/>
            <w:tcBorders>
              <w:top w:val="single" w:sz="6" w:space="0" w:color="auto"/>
              <w:bottom w:val="single" w:sz="12" w:space="0" w:color="auto"/>
            </w:tcBorders>
          </w:tcPr>
          <w:p w14:paraId="6D9552A1" w14:textId="77777777" w:rsidR="004D509B" w:rsidRPr="00CA3C82" w:rsidRDefault="004D509B" w:rsidP="008670FF">
            <w:pPr>
              <w:cnfStyle w:val="000000000000" w:firstRow="0" w:lastRow="0" w:firstColumn="0" w:lastColumn="0" w:oddVBand="0" w:evenVBand="0" w:oddHBand="0" w:evenHBand="0" w:firstRowFirstColumn="0" w:firstRowLastColumn="0" w:lastRowFirstColumn="0" w:lastRowLastColumn="0"/>
              <w:rPr>
                <w:b/>
              </w:rPr>
            </w:pPr>
            <w:r>
              <w:rPr>
                <w:b/>
              </w:rPr>
              <w:t>50.5</w:t>
            </w:r>
          </w:p>
        </w:tc>
      </w:tr>
    </w:tbl>
    <w:p w14:paraId="2F0D7166" w14:textId="77777777" w:rsidR="004D509B" w:rsidRDefault="004D509B" w:rsidP="004D509B">
      <w:pPr>
        <w:pStyle w:val="Note"/>
      </w:pPr>
      <w:r>
        <w:t>Note:</w:t>
      </w:r>
    </w:p>
    <w:p w14:paraId="31C411A0" w14:textId="052F036E" w:rsidR="004D509B" w:rsidRPr="007920E8" w:rsidRDefault="004D509B" w:rsidP="007920E8">
      <w:pPr>
        <w:pStyle w:val="Note"/>
      </w:pPr>
      <w:r w:rsidRPr="007920E8">
        <w:t xml:space="preserve">(a) </w:t>
      </w:r>
      <w:r w:rsidR="007920E8" w:rsidRPr="007920E8">
        <w:tab/>
      </w:r>
      <w:r w:rsidRPr="007920E8">
        <w:t>This initiative also includes $50 million of funding in 2028-29</w:t>
      </w:r>
      <w:r w:rsidR="007920E8">
        <w:t>.</w:t>
      </w:r>
      <w:r w:rsidRPr="007920E8">
        <w:t xml:space="preserve"> </w:t>
      </w:r>
    </w:p>
    <w:p w14:paraId="49E4EA1C" w14:textId="77777777" w:rsidR="004D509B" w:rsidRPr="00884854" w:rsidRDefault="004D509B" w:rsidP="004D509B">
      <w:pPr>
        <w:pStyle w:val="Heading30"/>
      </w:pPr>
      <w:r w:rsidRPr="00884854">
        <w:t>Advocacy, Human Rights and Victim Support</w:t>
      </w:r>
    </w:p>
    <w:p w14:paraId="6DF61CD8" w14:textId="77777777" w:rsidR="004D509B" w:rsidRPr="00884854" w:rsidRDefault="004D509B" w:rsidP="004D509B">
      <w:pPr>
        <w:pStyle w:val="Heading4"/>
      </w:pPr>
      <w:r>
        <w:t xml:space="preserve">Strengthening </w:t>
      </w:r>
      <w:r w:rsidRPr="00884854">
        <w:t>Women</w:t>
      </w:r>
      <w:r>
        <w:t>’</w:t>
      </w:r>
      <w:r w:rsidRPr="00884854">
        <w:t xml:space="preserve">s Safety </w:t>
      </w:r>
      <w:r>
        <w:t>– legal services and supports</w:t>
      </w:r>
    </w:p>
    <w:p w14:paraId="15BD8128" w14:textId="77777777" w:rsidR="004D509B" w:rsidRPr="00884854" w:rsidRDefault="004D509B" w:rsidP="004D509B">
      <w:r w:rsidRPr="00884854">
        <w:t xml:space="preserve">Funding </w:t>
      </w:r>
      <w:r>
        <w:t>is</w:t>
      </w:r>
      <w:r w:rsidRPr="00884854">
        <w:t xml:space="preserve"> provided for initiatives to strengthen women’s safety. This includes improving how Family Violence Intervention Orders are issued and served, increased funding for legal assistance services for victim survivors of family violence</w:t>
      </w:r>
      <w:r>
        <w:t>,</w:t>
      </w:r>
      <w:r w:rsidRPr="00884854">
        <w:t xml:space="preserve"> and a range of family violence programs.  </w:t>
      </w:r>
    </w:p>
    <w:p w14:paraId="2210AA95" w14:textId="77777777" w:rsidR="004D509B" w:rsidRPr="00884854" w:rsidRDefault="004D509B" w:rsidP="004D509B">
      <w:r w:rsidRPr="00884854">
        <w:t xml:space="preserve">This initiative contributes to the </w:t>
      </w:r>
      <w:r>
        <w:t xml:space="preserve">Department of Justice and Community Safety’s </w:t>
      </w:r>
      <w:r w:rsidRPr="00884854">
        <w:t>Advocacy, Human Rights and Victim Support output.</w:t>
      </w:r>
    </w:p>
    <w:p w14:paraId="746CE1CE" w14:textId="77777777" w:rsidR="004D509B" w:rsidRPr="00884854" w:rsidRDefault="004D509B" w:rsidP="004D509B">
      <w:pPr>
        <w:pStyle w:val="Heading30"/>
      </w:pPr>
      <w:r w:rsidRPr="00884854">
        <w:t>Emergency Management Capability</w:t>
      </w:r>
    </w:p>
    <w:p w14:paraId="101F8736" w14:textId="77777777" w:rsidR="004D509B" w:rsidRDefault="004D509B" w:rsidP="004D509B">
      <w:pPr>
        <w:pStyle w:val="Heading4"/>
        <w:rPr>
          <w:i w:val="0"/>
        </w:rPr>
      </w:pPr>
      <w:r>
        <w:t>Supporting our emergency services and volunteers</w:t>
      </w:r>
    </w:p>
    <w:p w14:paraId="2492E156" w14:textId="77777777" w:rsidR="004D509B" w:rsidRPr="00886FB8" w:rsidRDefault="004D509B" w:rsidP="004D509B">
      <w:r w:rsidRPr="002A272D">
        <w:rPr>
          <w:rFonts w:eastAsiaTheme="minorEastAsia"/>
        </w:rPr>
        <w:t>Funding is provided for a range of additional supports to ensure our hardworking emergency services and volunteers have the tools and resources they need to keep Victorians safe and to help them recover from natural disasters.</w:t>
      </w:r>
      <w:r>
        <w:t xml:space="preserve"> </w:t>
      </w:r>
    </w:p>
    <w:p w14:paraId="31DB54FE" w14:textId="77777777" w:rsidR="004D509B" w:rsidRPr="002A272D" w:rsidRDefault="004D509B" w:rsidP="004D509B">
      <w:r w:rsidRPr="002A272D">
        <w:rPr>
          <w:rFonts w:eastAsiaTheme="minorEastAsia"/>
        </w:rPr>
        <w:t>This initiative contributes to the Department of Justice and Community Safety’s Emergency Management Capability output.</w:t>
      </w:r>
    </w:p>
    <w:p w14:paraId="16C0FD31" w14:textId="77777777" w:rsidR="004D509B" w:rsidRPr="00884854" w:rsidRDefault="004D509B" w:rsidP="004D509B">
      <w:pPr>
        <w:pStyle w:val="Heading30"/>
      </w:pPr>
      <w:r w:rsidRPr="00884854">
        <w:t>Racing, Gambling, Liquor and Casino Regulation</w:t>
      </w:r>
    </w:p>
    <w:p w14:paraId="04BE07C3" w14:textId="77777777" w:rsidR="004D509B" w:rsidRPr="00884854" w:rsidRDefault="004D509B" w:rsidP="004D509B">
      <w:pPr>
        <w:pStyle w:val="Heading4"/>
      </w:pPr>
      <w:r>
        <w:t>E</w:t>
      </w:r>
      <w:r w:rsidRPr="00884854">
        <w:t>stablish</w:t>
      </w:r>
      <w:r>
        <w:t>ing</w:t>
      </w:r>
      <w:r w:rsidRPr="00884854">
        <w:t xml:space="preserve"> the tobacco licensing scheme</w:t>
      </w:r>
    </w:p>
    <w:p w14:paraId="093C8358" w14:textId="77777777" w:rsidR="004D509B" w:rsidRPr="00884854" w:rsidRDefault="004D509B" w:rsidP="004D509B">
      <w:r w:rsidRPr="00884854">
        <w:t xml:space="preserve">Funding is provided to support the establishment of a new tobacco licensing scheme, including </w:t>
      </w:r>
      <w:r>
        <w:t xml:space="preserve">a </w:t>
      </w:r>
      <w:r w:rsidRPr="008C416E">
        <w:t>dedicated tobacco regulator</w:t>
      </w:r>
      <w:r>
        <w:t xml:space="preserve"> and tougher enforcement</w:t>
      </w:r>
      <w:r w:rsidRPr="00884854">
        <w:t xml:space="preserve">. </w:t>
      </w:r>
    </w:p>
    <w:p w14:paraId="71878B57" w14:textId="77777777" w:rsidR="004D509B" w:rsidRPr="00884854" w:rsidRDefault="004D509B" w:rsidP="004D509B">
      <w:r w:rsidRPr="00884854">
        <w:t xml:space="preserve">This initiative contributes to the </w:t>
      </w:r>
      <w:r>
        <w:t xml:space="preserve">Department of Justice and Community Safety’s </w:t>
      </w:r>
      <w:r w:rsidRPr="00884854">
        <w:t>Racing, Gambling, Liquor and Casino Regulation output.</w:t>
      </w:r>
    </w:p>
    <w:p w14:paraId="35746EEC" w14:textId="77777777" w:rsidR="004D509B" w:rsidRPr="00884854" w:rsidRDefault="004D509B" w:rsidP="004D509B">
      <w:pPr>
        <w:pStyle w:val="Heading10"/>
        <w:pageBreakBefore/>
      </w:pPr>
      <w:bookmarkStart w:id="201" w:name="_Toc184222992"/>
      <w:bookmarkStart w:id="202" w:name="_Toc184299297"/>
      <w:bookmarkStart w:id="203" w:name="_Toc184299466"/>
      <w:r w:rsidRPr="00884854">
        <w:t>Department of Premier and Cabinet</w:t>
      </w:r>
      <w:bookmarkEnd w:id="201"/>
      <w:bookmarkEnd w:id="202"/>
      <w:bookmarkEnd w:id="203"/>
    </w:p>
    <w:p w14:paraId="4ED03657" w14:textId="77777777" w:rsidR="004D509B" w:rsidRPr="00884854" w:rsidRDefault="004D509B" w:rsidP="004D509B">
      <w:pPr>
        <w:pStyle w:val="Heading20"/>
      </w:pPr>
      <w:r w:rsidRPr="00884854">
        <w:t>Output initiatives</w:t>
      </w:r>
    </w:p>
    <w:p w14:paraId="24C182F2" w14:textId="77777777" w:rsidR="004D509B" w:rsidRDefault="004D509B" w:rsidP="004D509B">
      <w:pPr>
        <w:pStyle w:val="Caption"/>
      </w:pPr>
      <w:r w:rsidRPr="00884854">
        <w:t>Table A.1</w:t>
      </w:r>
      <w:r>
        <w:t>0</w:t>
      </w:r>
      <w:r w:rsidRPr="00884854">
        <w:t>:</w:t>
      </w:r>
      <w:r w:rsidRPr="00884854">
        <w:tab/>
        <w:t xml:space="preserve">Output initiatives – </w:t>
      </w:r>
      <w:r>
        <w:t>Premier and Cabinet</w:t>
      </w:r>
      <w:r w:rsidRPr="00884854">
        <w:t xml:space="preserve"> </w:t>
      </w:r>
      <w:r w:rsidRPr="00884854">
        <w:tab/>
        <w:t>($ million)</w:t>
      </w:r>
    </w:p>
    <w:tbl>
      <w:tblPr>
        <w:tblStyle w:val="DTFTableNumeric"/>
        <w:tblW w:w="7702" w:type="dxa"/>
        <w:tblLayout w:type="fixed"/>
        <w:tblLook w:val="06A0" w:firstRow="1" w:lastRow="0" w:firstColumn="1" w:lastColumn="0" w:noHBand="1" w:noVBand="1"/>
        <w:tblDescription w:val="Type:DtfTable|Workbook:https://vicgov.sharepoint.com/sites/VG002735/Budget%20Update/Appendix%20A/Initiatives%20funded%20since%202024-25%20Budget.xlsx|Table:DPC_Output|Extract: {&#10;   &quot;DonationfortheMyRoomChildrensCancerCharity&quot;:&quot;Allan&quot;}"/>
      </w:tblPr>
      <w:tblGrid>
        <w:gridCol w:w="4502"/>
        <w:gridCol w:w="800"/>
        <w:gridCol w:w="800"/>
        <w:gridCol w:w="800"/>
        <w:gridCol w:w="800"/>
      </w:tblGrid>
      <w:tr w:rsidR="004D509B" w14:paraId="31BE4F78"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2" w:type="dxa"/>
          </w:tcPr>
          <w:p w14:paraId="2EC94180" w14:textId="77777777" w:rsidR="004D509B" w:rsidRDefault="004D509B" w:rsidP="008670FF">
            <w:pPr>
              <w:keepNext/>
            </w:pPr>
          </w:p>
        </w:tc>
        <w:tc>
          <w:tcPr>
            <w:tcW w:w="800" w:type="dxa"/>
          </w:tcPr>
          <w:p w14:paraId="79E29F31"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800" w:type="dxa"/>
          </w:tcPr>
          <w:p w14:paraId="060216E3"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800" w:type="dxa"/>
          </w:tcPr>
          <w:p w14:paraId="1934AE27"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800" w:type="dxa"/>
          </w:tcPr>
          <w:p w14:paraId="1509BDAD"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4F0C7E38" w14:textId="77777777" w:rsidTr="008670FF">
        <w:tc>
          <w:tcPr>
            <w:cnfStyle w:val="001000000000" w:firstRow="0" w:lastRow="0" w:firstColumn="1" w:lastColumn="0" w:oddVBand="0" w:evenVBand="0" w:oddHBand="0" w:evenHBand="0" w:firstRowFirstColumn="0" w:firstRowLastColumn="0" w:lastRowFirstColumn="0" w:lastRowLastColumn="0"/>
            <w:tcW w:w="4502" w:type="dxa"/>
          </w:tcPr>
          <w:p w14:paraId="6CFB7C38" w14:textId="77777777" w:rsidR="004D509B" w:rsidRDefault="004D509B" w:rsidP="008670FF">
            <w:r>
              <w:rPr>
                <w:b/>
              </w:rPr>
              <w:t>Social Policy Advice and Intergovernmental Relations</w:t>
            </w:r>
          </w:p>
        </w:tc>
        <w:tc>
          <w:tcPr>
            <w:tcW w:w="800" w:type="dxa"/>
          </w:tcPr>
          <w:p w14:paraId="06D9511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00" w:type="dxa"/>
          </w:tcPr>
          <w:p w14:paraId="5A0832E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00" w:type="dxa"/>
          </w:tcPr>
          <w:p w14:paraId="07966C9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800" w:type="dxa"/>
          </w:tcPr>
          <w:p w14:paraId="30D0A31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4C651E27" w14:textId="77777777" w:rsidTr="008670FF">
        <w:tc>
          <w:tcPr>
            <w:cnfStyle w:val="001000000000" w:firstRow="0" w:lastRow="0" w:firstColumn="1" w:lastColumn="0" w:oddVBand="0" w:evenVBand="0" w:oddHBand="0" w:evenHBand="0" w:firstRowFirstColumn="0" w:firstRowLastColumn="0" w:lastRowFirstColumn="0" w:lastRowLastColumn="0"/>
            <w:tcW w:w="4502" w:type="dxa"/>
            <w:tcBorders>
              <w:bottom w:val="single" w:sz="6" w:space="0" w:color="auto"/>
            </w:tcBorders>
          </w:tcPr>
          <w:p w14:paraId="2D530948" w14:textId="77777777" w:rsidR="004D509B" w:rsidRDefault="004D509B" w:rsidP="008670FF">
            <w:r>
              <w:t>Donation for the My Room Children’s Cancer Charity</w:t>
            </w:r>
          </w:p>
        </w:tc>
        <w:tc>
          <w:tcPr>
            <w:tcW w:w="800" w:type="dxa"/>
            <w:tcBorders>
              <w:bottom w:val="single" w:sz="6" w:space="0" w:color="auto"/>
            </w:tcBorders>
          </w:tcPr>
          <w:p w14:paraId="6597C7F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0.5</w:t>
            </w:r>
          </w:p>
        </w:tc>
        <w:tc>
          <w:tcPr>
            <w:tcW w:w="800" w:type="dxa"/>
            <w:tcBorders>
              <w:bottom w:val="single" w:sz="6" w:space="0" w:color="auto"/>
            </w:tcBorders>
          </w:tcPr>
          <w:p w14:paraId="0ADEA95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800" w:type="dxa"/>
            <w:tcBorders>
              <w:bottom w:val="single" w:sz="6" w:space="0" w:color="auto"/>
            </w:tcBorders>
          </w:tcPr>
          <w:p w14:paraId="1B13564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800" w:type="dxa"/>
            <w:tcBorders>
              <w:bottom w:val="single" w:sz="6" w:space="0" w:color="auto"/>
            </w:tcBorders>
          </w:tcPr>
          <w:p w14:paraId="4FE2D72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530F94B8" w14:textId="77777777" w:rsidTr="008670FF">
        <w:tc>
          <w:tcPr>
            <w:cnfStyle w:val="001000000000" w:firstRow="0" w:lastRow="0" w:firstColumn="1" w:lastColumn="0" w:oddVBand="0" w:evenVBand="0" w:oddHBand="0" w:evenHBand="0" w:firstRowFirstColumn="0" w:firstRowLastColumn="0" w:lastRowFirstColumn="0" w:lastRowLastColumn="0"/>
            <w:tcW w:w="4502" w:type="dxa"/>
            <w:tcBorders>
              <w:top w:val="single" w:sz="6" w:space="0" w:color="auto"/>
              <w:bottom w:val="single" w:sz="12" w:space="0" w:color="auto"/>
            </w:tcBorders>
          </w:tcPr>
          <w:p w14:paraId="5E42AB56" w14:textId="77777777" w:rsidR="004D509B" w:rsidRDefault="004D509B" w:rsidP="008670FF">
            <w:r>
              <w:rPr>
                <w:b/>
              </w:rPr>
              <w:t>Total output initiatives</w:t>
            </w:r>
          </w:p>
        </w:tc>
        <w:tc>
          <w:tcPr>
            <w:tcW w:w="800" w:type="dxa"/>
            <w:tcBorders>
              <w:top w:val="single" w:sz="6" w:space="0" w:color="auto"/>
              <w:bottom w:val="single" w:sz="12" w:space="0" w:color="auto"/>
            </w:tcBorders>
          </w:tcPr>
          <w:p w14:paraId="3EB3F50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0.5</w:t>
            </w:r>
          </w:p>
        </w:tc>
        <w:tc>
          <w:tcPr>
            <w:tcW w:w="800" w:type="dxa"/>
            <w:tcBorders>
              <w:top w:val="single" w:sz="6" w:space="0" w:color="auto"/>
              <w:bottom w:val="single" w:sz="12" w:space="0" w:color="auto"/>
            </w:tcBorders>
          </w:tcPr>
          <w:p w14:paraId="18CC183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800" w:type="dxa"/>
            <w:tcBorders>
              <w:top w:val="single" w:sz="6" w:space="0" w:color="auto"/>
              <w:bottom w:val="single" w:sz="12" w:space="0" w:color="auto"/>
            </w:tcBorders>
          </w:tcPr>
          <w:p w14:paraId="68CA97F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800" w:type="dxa"/>
            <w:tcBorders>
              <w:top w:val="single" w:sz="6" w:space="0" w:color="auto"/>
              <w:bottom w:val="single" w:sz="12" w:space="0" w:color="auto"/>
            </w:tcBorders>
          </w:tcPr>
          <w:p w14:paraId="3F34438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r>
    </w:tbl>
    <w:p w14:paraId="1B1B89BC" w14:textId="77777777" w:rsidR="004D509B" w:rsidRPr="00884854" w:rsidRDefault="004D509B" w:rsidP="004D509B">
      <w:pPr>
        <w:pStyle w:val="Heading30"/>
      </w:pPr>
      <w:r w:rsidRPr="00884854">
        <w:t xml:space="preserve">Social Policy Advice and Intergovernmental Relations  </w:t>
      </w:r>
    </w:p>
    <w:p w14:paraId="0A7FA587" w14:textId="77777777" w:rsidR="004D509B" w:rsidRPr="00884854" w:rsidRDefault="004D509B" w:rsidP="004D509B">
      <w:pPr>
        <w:pStyle w:val="Heading4"/>
      </w:pPr>
      <w:r w:rsidRPr="00884854">
        <w:t xml:space="preserve">Donation for the My Room Children’s Cancer Charity </w:t>
      </w:r>
    </w:p>
    <w:p w14:paraId="5DFDD04F" w14:textId="77777777" w:rsidR="004D509B" w:rsidRPr="00884854" w:rsidRDefault="004D509B" w:rsidP="004D509B">
      <w:r w:rsidRPr="00884854">
        <w:t>Funding is provided for a donation to My Room Children</w:t>
      </w:r>
      <w:r>
        <w:t>’</w:t>
      </w:r>
      <w:r w:rsidRPr="00884854">
        <w:t>s Cancer Charity, a volunteer</w:t>
      </w:r>
      <w:r>
        <w:noBreakHyphen/>
      </w:r>
      <w:r w:rsidRPr="00884854">
        <w:t xml:space="preserve">led organisation working to support patients and families affected by cancer. </w:t>
      </w:r>
    </w:p>
    <w:p w14:paraId="6D2D3D3D" w14:textId="77777777" w:rsidR="004D509B" w:rsidRPr="00884854" w:rsidRDefault="004D509B" w:rsidP="004D509B">
      <w:r w:rsidRPr="00884854">
        <w:t xml:space="preserve">This initiative contributes to the Department of Premier and Cabinet’s Social Policy Advice and Intergovernmental Relations output. </w:t>
      </w:r>
    </w:p>
    <w:p w14:paraId="7B93457E" w14:textId="77777777" w:rsidR="004D509B" w:rsidRPr="00884854" w:rsidRDefault="004D509B" w:rsidP="004D509B"/>
    <w:p w14:paraId="5BDDE82F" w14:textId="77777777" w:rsidR="004D509B" w:rsidRPr="00884854" w:rsidRDefault="004D509B" w:rsidP="004D509B">
      <w:pPr>
        <w:pStyle w:val="Heading10"/>
        <w:pageBreakBefore/>
      </w:pPr>
      <w:bookmarkStart w:id="204" w:name="_Toc184222993"/>
      <w:bookmarkStart w:id="205" w:name="_Toc184299298"/>
      <w:bookmarkStart w:id="206" w:name="_Toc184299467"/>
      <w:r w:rsidRPr="00884854">
        <w:t>Department of Transport and Planning</w:t>
      </w:r>
      <w:bookmarkEnd w:id="204"/>
      <w:bookmarkEnd w:id="205"/>
      <w:bookmarkEnd w:id="206"/>
    </w:p>
    <w:p w14:paraId="6B214530" w14:textId="77777777" w:rsidR="004D509B" w:rsidRPr="00884854" w:rsidRDefault="004D509B" w:rsidP="004D509B">
      <w:pPr>
        <w:pStyle w:val="Heading20"/>
      </w:pPr>
      <w:r w:rsidRPr="00884854">
        <w:t>Output initiatives</w:t>
      </w:r>
    </w:p>
    <w:p w14:paraId="766834C6" w14:textId="77777777" w:rsidR="004D509B" w:rsidRDefault="004D509B" w:rsidP="004D509B">
      <w:pPr>
        <w:pStyle w:val="Caption"/>
      </w:pPr>
      <w:r w:rsidRPr="00884854">
        <w:t>Table A.1</w:t>
      </w:r>
      <w:r>
        <w:t>1</w:t>
      </w:r>
      <w:r w:rsidRPr="00884854">
        <w:t>:</w:t>
      </w:r>
      <w:r w:rsidRPr="00884854">
        <w:tab/>
        <w:t xml:space="preserve">Output initiatives – </w:t>
      </w:r>
      <w:r>
        <w:t>Transport and Planning</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TP_Output|Extract: {&#10;   &quot;ZeroEmissionBusTransition&quot;:&quot;Williams&quot;,&#10;   &quot;10yearGreenfieldplan&quot;:&quot;Kilkenny&quot;,&#10;   &quot;ActivityCentreProgramExpansion&quot;:&quot;Kilkenny&quot;,&#10;   &quot;HousingSupportPayment&quot;:&quot;Kilkenny&quot;,&#10;   &quot;PickMyPark&quot;:&quot;Kilkenny&quot;,&#10;   &quot;MoretrainsforWaurnPonds&quot;:&quot;Williams&quot;,&#10;   &quot;Metropolitantramfranchiseagreement&quot;:&quot;Williams&quot;,&#10;   &quot;SunshineStationDevelopmentworks&quot;:&quot;Pearson&quot;}"/>
      </w:tblPr>
      <w:tblGrid>
        <w:gridCol w:w="4534"/>
        <w:gridCol w:w="794"/>
        <w:gridCol w:w="794"/>
        <w:gridCol w:w="794"/>
        <w:gridCol w:w="794"/>
      </w:tblGrid>
      <w:tr w:rsidR="004D509B" w14:paraId="6A3BC33D"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16BD9754" w14:textId="77777777" w:rsidR="004D509B" w:rsidRDefault="004D509B" w:rsidP="008670FF">
            <w:pPr>
              <w:keepNext/>
            </w:pPr>
          </w:p>
        </w:tc>
        <w:tc>
          <w:tcPr>
            <w:tcW w:w="794" w:type="dxa"/>
          </w:tcPr>
          <w:p w14:paraId="02632DB0"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1DC66F2"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6F66199F"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3AF1D316"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3E600547"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11BDE99C" w14:textId="77777777" w:rsidR="004D509B" w:rsidRDefault="004D509B" w:rsidP="008670FF">
            <w:r>
              <w:rPr>
                <w:b/>
              </w:rPr>
              <w:t>Bus Services</w:t>
            </w:r>
          </w:p>
        </w:tc>
        <w:tc>
          <w:tcPr>
            <w:tcW w:w="794" w:type="dxa"/>
          </w:tcPr>
          <w:p w14:paraId="3DB7AF1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AC589C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7448C5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BC98E2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256F968C"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04B73FBA" w14:textId="77777777" w:rsidR="004D509B" w:rsidRDefault="004D509B" w:rsidP="008670FF">
            <w:pPr>
              <w:rPr>
                <w:vertAlign w:val="superscript"/>
              </w:rPr>
            </w:pPr>
            <w:r>
              <w:t xml:space="preserve">Zero Emission Buses </w:t>
            </w:r>
            <w:r w:rsidRPr="6C61575A">
              <w:rPr>
                <w:vertAlign w:val="superscript"/>
              </w:rPr>
              <w:t>(a)</w:t>
            </w:r>
          </w:p>
        </w:tc>
        <w:tc>
          <w:tcPr>
            <w:tcW w:w="794" w:type="dxa"/>
          </w:tcPr>
          <w:p w14:paraId="0514684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7AF093D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7A63FC6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tbc</w:t>
            </w:r>
          </w:p>
        </w:tc>
        <w:tc>
          <w:tcPr>
            <w:tcW w:w="794" w:type="dxa"/>
          </w:tcPr>
          <w:p w14:paraId="68D7449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tbc</w:t>
            </w:r>
          </w:p>
        </w:tc>
      </w:tr>
      <w:tr w:rsidR="004D509B" w14:paraId="22718DB5"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44EF4117" w14:textId="77777777" w:rsidR="004D509B" w:rsidRDefault="004D509B" w:rsidP="008670FF">
            <w:r>
              <w:rPr>
                <w:b/>
              </w:rPr>
              <w:t>Planning and Heritage</w:t>
            </w:r>
          </w:p>
        </w:tc>
        <w:tc>
          <w:tcPr>
            <w:tcW w:w="794" w:type="dxa"/>
          </w:tcPr>
          <w:p w14:paraId="29A0ED1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1DB46E1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2DF1117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Pr>
          <w:p w14:paraId="1437242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r>
      <w:tr w:rsidR="004D509B" w14:paraId="48AE34C2"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7956276D" w14:textId="77777777" w:rsidR="004D509B" w:rsidRDefault="004D509B" w:rsidP="008670FF">
            <w:r>
              <w:t>Activity Centre Program Expansion</w:t>
            </w:r>
          </w:p>
        </w:tc>
        <w:tc>
          <w:tcPr>
            <w:tcW w:w="794" w:type="dxa"/>
          </w:tcPr>
          <w:p w14:paraId="7933762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5.6</w:t>
            </w:r>
          </w:p>
        </w:tc>
        <w:tc>
          <w:tcPr>
            <w:tcW w:w="794" w:type="dxa"/>
          </w:tcPr>
          <w:p w14:paraId="4648DC9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4432A4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4FBAB49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787B0977"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5E2AC9A5" w14:textId="77777777" w:rsidR="004D509B" w:rsidRDefault="004D509B" w:rsidP="008670FF">
            <w:r>
              <w:t>10-year Greenfields plan</w:t>
            </w:r>
          </w:p>
        </w:tc>
        <w:tc>
          <w:tcPr>
            <w:tcW w:w="794" w:type="dxa"/>
          </w:tcPr>
          <w:p w14:paraId="2A86B09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1.8</w:t>
            </w:r>
          </w:p>
        </w:tc>
        <w:tc>
          <w:tcPr>
            <w:tcW w:w="794" w:type="dxa"/>
          </w:tcPr>
          <w:p w14:paraId="0C32193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78FDB32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37CE17F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74D18BDD"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23272227" w14:textId="77777777" w:rsidR="004D509B" w:rsidRDefault="004D509B" w:rsidP="008670FF">
            <w:r>
              <w:rPr>
                <w:b/>
              </w:rPr>
              <w:t>Suburbs</w:t>
            </w:r>
          </w:p>
        </w:tc>
        <w:tc>
          <w:tcPr>
            <w:tcW w:w="794" w:type="dxa"/>
          </w:tcPr>
          <w:p w14:paraId="2F55F8D4"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0379B8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055906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2D92D3B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39F99E9B"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25EFA2CF" w14:textId="77777777" w:rsidR="004D509B" w:rsidRDefault="004D509B" w:rsidP="008670FF">
            <w:r>
              <w:t>Pick My Park</w:t>
            </w:r>
          </w:p>
        </w:tc>
        <w:tc>
          <w:tcPr>
            <w:tcW w:w="794" w:type="dxa"/>
          </w:tcPr>
          <w:p w14:paraId="7545AD0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10.0</w:t>
            </w:r>
          </w:p>
        </w:tc>
        <w:tc>
          <w:tcPr>
            <w:tcW w:w="794" w:type="dxa"/>
          </w:tcPr>
          <w:p w14:paraId="0D0C9B0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20.0</w:t>
            </w:r>
          </w:p>
        </w:tc>
        <w:tc>
          <w:tcPr>
            <w:tcW w:w="794" w:type="dxa"/>
          </w:tcPr>
          <w:p w14:paraId="37A3095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Pr>
          <w:p w14:paraId="04AB481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r>
      <w:tr w:rsidR="004D509B" w14:paraId="5B2AA4C3"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38466AA3" w14:textId="77777777" w:rsidR="004D509B" w:rsidRDefault="004D509B" w:rsidP="008670FF">
            <w:r>
              <w:rPr>
                <w:b/>
              </w:rPr>
              <w:t>Tram Services</w:t>
            </w:r>
          </w:p>
        </w:tc>
        <w:tc>
          <w:tcPr>
            <w:tcW w:w="794" w:type="dxa"/>
          </w:tcPr>
          <w:p w14:paraId="0075D04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2C2E35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4998745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78B537C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4CBAC567"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0DFFBF42" w14:textId="77777777" w:rsidR="004D509B" w:rsidRDefault="004D509B" w:rsidP="008670FF">
            <w:r>
              <w:t xml:space="preserve">Metropolitan tram franchise agreement </w:t>
            </w:r>
            <w:r w:rsidRPr="00A46C85">
              <w:rPr>
                <w:vertAlign w:val="superscript"/>
              </w:rPr>
              <w:t>(b)</w:t>
            </w:r>
          </w:p>
        </w:tc>
        <w:tc>
          <w:tcPr>
            <w:tcW w:w="794" w:type="dxa"/>
            <w:tcBorders>
              <w:bottom w:val="single" w:sz="6" w:space="0" w:color="auto"/>
            </w:tcBorders>
          </w:tcPr>
          <w:p w14:paraId="27590877"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256.7</w:t>
            </w:r>
          </w:p>
        </w:tc>
        <w:tc>
          <w:tcPr>
            <w:tcW w:w="794" w:type="dxa"/>
            <w:tcBorders>
              <w:bottom w:val="single" w:sz="6" w:space="0" w:color="auto"/>
            </w:tcBorders>
          </w:tcPr>
          <w:p w14:paraId="1DA68DA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347.2</w:t>
            </w:r>
          </w:p>
        </w:tc>
        <w:tc>
          <w:tcPr>
            <w:tcW w:w="794" w:type="dxa"/>
            <w:tcBorders>
              <w:bottom w:val="single" w:sz="6" w:space="0" w:color="auto"/>
            </w:tcBorders>
          </w:tcPr>
          <w:p w14:paraId="19942F8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325.2</w:t>
            </w:r>
          </w:p>
        </w:tc>
        <w:tc>
          <w:tcPr>
            <w:tcW w:w="794" w:type="dxa"/>
            <w:tcBorders>
              <w:bottom w:val="single" w:sz="6" w:space="0" w:color="auto"/>
            </w:tcBorders>
          </w:tcPr>
          <w:p w14:paraId="64EF55C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324.0</w:t>
            </w:r>
          </w:p>
        </w:tc>
      </w:tr>
      <w:tr w:rsidR="004D509B" w14:paraId="39402490"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3433E1E7" w14:textId="77777777" w:rsidR="004D509B" w:rsidRDefault="004D509B" w:rsidP="008670FF">
            <w:r>
              <w:rPr>
                <w:b/>
              </w:rPr>
              <w:t>Total output initiatives</w:t>
            </w:r>
          </w:p>
        </w:tc>
        <w:tc>
          <w:tcPr>
            <w:tcW w:w="794" w:type="dxa"/>
            <w:tcBorders>
              <w:top w:val="single" w:sz="6" w:space="0" w:color="auto"/>
              <w:bottom w:val="single" w:sz="12" w:space="0" w:color="auto"/>
            </w:tcBorders>
          </w:tcPr>
          <w:p w14:paraId="456E1A7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274.1</w:t>
            </w:r>
          </w:p>
        </w:tc>
        <w:tc>
          <w:tcPr>
            <w:tcW w:w="794" w:type="dxa"/>
            <w:tcBorders>
              <w:top w:val="single" w:sz="6" w:space="0" w:color="auto"/>
              <w:bottom w:val="single" w:sz="12" w:space="0" w:color="auto"/>
            </w:tcBorders>
          </w:tcPr>
          <w:p w14:paraId="2BF9D58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367.2</w:t>
            </w:r>
          </w:p>
        </w:tc>
        <w:tc>
          <w:tcPr>
            <w:tcW w:w="794" w:type="dxa"/>
            <w:tcBorders>
              <w:top w:val="single" w:sz="6" w:space="0" w:color="auto"/>
              <w:bottom w:val="single" w:sz="12" w:space="0" w:color="auto"/>
            </w:tcBorders>
          </w:tcPr>
          <w:p w14:paraId="2A82039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325.2</w:t>
            </w:r>
          </w:p>
        </w:tc>
        <w:tc>
          <w:tcPr>
            <w:tcW w:w="794" w:type="dxa"/>
            <w:tcBorders>
              <w:top w:val="single" w:sz="6" w:space="0" w:color="auto"/>
              <w:bottom w:val="single" w:sz="12" w:space="0" w:color="auto"/>
            </w:tcBorders>
          </w:tcPr>
          <w:p w14:paraId="58CFDC3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324.0</w:t>
            </w:r>
          </w:p>
        </w:tc>
      </w:tr>
    </w:tbl>
    <w:p w14:paraId="3DCA58FA" w14:textId="77777777" w:rsidR="004D509B" w:rsidRDefault="004D509B" w:rsidP="004D509B">
      <w:pPr>
        <w:pStyle w:val="Note"/>
      </w:pPr>
      <w:r>
        <w:t>Note:</w:t>
      </w:r>
    </w:p>
    <w:p w14:paraId="16C44777" w14:textId="77777777" w:rsidR="004D509B" w:rsidRPr="00C369F7" w:rsidRDefault="004D509B" w:rsidP="004D509B">
      <w:pPr>
        <w:pStyle w:val="Note"/>
      </w:pPr>
      <w:r>
        <w:t xml:space="preserve">(a) </w:t>
      </w:r>
      <w:r>
        <w:tab/>
        <w:t>Funding is not reported at this time as commercial arrangements are still to be finalised.</w:t>
      </w:r>
    </w:p>
    <w:p w14:paraId="02F64F24" w14:textId="77777777" w:rsidR="004D509B" w:rsidRPr="00C369F7" w:rsidRDefault="004D509B" w:rsidP="004D509B">
      <w:pPr>
        <w:pStyle w:val="Note"/>
      </w:pPr>
      <w:r>
        <w:t>(b)    Excludes existing provisions for the tram contract.</w:t>
      </w:r>
    </w:p>
    <w:p w14:paraId="3E46C051" w14:textId="77777777" w:rsidR="004D509B" w:rsidRPr="00884854" w:rsidRDefault="004D509B" w:rsidP="004D509B">
      <w:pPr>
        <w:pStyle w:val="Heading30"/>
      </w:pPr>
      <w:r w:rsidRPr="00884854">
        <w:t>Bus Services</w:t>
      </w:r>
    </w:p>
    <w:p w14:paraId="3B4CABA9" w14:textId="77777777" w:rsidR="004D509B" w:rsidRPr="00884854" w:rsidRDefault="004D509B" w:rsidP="007920E8">
      <w:pPr>
        <w:pStyle w:val="Heading4"/>
        <w:spacing w:before="140"/>
      </w:pPr>
      <w:r>
        <w:t xml:space="preserve">Zero Emission Buses </w:t>
      </w:r>
    </w:p>
    <w:p w14:paraId="076240C6" w14:textId="77777777" w:rsidR="004D509B" w:rsidRPr="00884854" w:rsidRDefault="004D509B" w:rsidP="007920E8">
      <w:pPr>
        <w:spacing w:before="80"/>
      </w:pPr>
      <w:r w:rsidRPr="00884854">
        <w:t xml:space="preserve">Funding is provided </w:t>
      </w:r>
      <w:r>
        <w:t>for</w:t>
      </w:r>
      <w:r w:rsidRPr="00884854">
        <w:t xml:space="preserve"> the </w:t>
      </w:r>
      <w:r>
        <w:t>replacement of existing</w:t>
      </w:r>
      <w:r w:rsidRPr="00884854">
        <w:t xml:space="preserve"> diesel bus</w:t>
      </w:r>
      <w:r>
        <w:t>es</w:t>
      </w:r>
      <w:r w:rsidRPr="00884854">
        <w:t xml:space="preserve"> </w:t>
      </w:r>
      <w:r>
        <w:t>with</w:t>
      </w:r>
      <w:r w:rsidRPr="00884854">
        <w:t xml:space="preserve"> Zero Emission Buses, delivering a cleaner, and more </w:t>
      </w:r>
      <w:r>
        <w:t>sustainable bus fleet</w:t>
      </w:r>
      <w:r w:rsidRPr="00884854">
        <w:t xml:space="preserve">. This supports the Government’s commitment for all new buses purchased for Victoria’s public transport routes </w:t>
      </w:r>
      <w:r>
        <w:t>from 1 July 2025</w:t>
      </w:r>
      <w:r w:rsidRPr="00884854">
        <w:t xml:space="preserve"> to be </w:t>
      </w:r>
      <w:r>
        <w:t>Z</w:t>
      </w:r>
      <w:r w:rsidRPr="00884854">
        <w:t xml:space="preserve">ero </w:t>
      </w:r>
      <w:r>
        <w:t>E</w:t>
      </w:r>
      <w:r w:rsidRPr="00884854">
        <w:t>mission</w:t>
      </w:r>
      <w:r>
        <w:t xml:space="preserve"> Buse</w:t>
      </w:r>
      <w:r w:rsidRPr="00884854">
        <w:t xml:space="preserve">s and </w:t>
      </w:r>
      <w:r>
        <w:t>a</w:t>
      </w:r>
      <w:r w:rsidRPr="00884854">
        <w:t xml:space="preserve"> pathway towards net zero emissions by 2045.</w:t>
      </w:r>
    </w:p>
    <w:p w14:paraId="5F5B9F41" w14:textId="77777777" w:rsidR="004D509B" w:rsidRPr="00884854" w:rsidRDefault="004D509B" w:rsidP="007920E8">
      <w:pPr>
        <w:spacing w:before="80"/>
      </w:pPr>
      <w:r>
        <w:t>This initiative contributes to the Department of Transport and Planning’s Bus Services output.</w:t>
      </w:r>
    </w:p>
    <w:p w14:paraId="58F96AB6" w14:textId="77777777" w:rsidR="004D509B" w:rsidRPr="00884854" w:rsidRDefault="004D509B" w:rsidP="004D509B">
      <w:pPr>
        <w:pStyle w:val="Heading30"/>
      </w:pPr>
      <w:r w:rsidRPr="00884854">
        <w:t>Planning and Heritage</w:t>
      </w:r>
    </w:p>
    <w:p w14:paraId="737FA9BF" w14:textId="77777777" w:rsidR="004D509B" w:rsidRPr="00884854" w:rsidRDefault="004D509B" w:rsidP="007920E8">
      <w:pPr>
        <w:pStyle w:val="Heading4"/>
        <w:spacing w:before="140"/>
      </w:pPr>
      <w:r w:rsidRPr="00884854">
        <w:t>Activity Centre Program Expansion</w:t>
      </w:r>
    </w:p>
    <w:p w14:paraId="039FF83B" w14:textId="77777777" w:rsidR="004D509B" w:rsidRPr="00884854" w:rsidRDefault="004D509B" w:rsidP="007920E8">
      <w:pPr>
        <w:spacing w:before="80"/>
      </w:pPr>
      <w:r w:rsidRPr="00884854">
        <w:t xml:space="preserve">Funding is provided for an expansion of the Activity Centre Program to deliver more homes for young people, families and downsizers around 50 train stations and tram stops in Melbourne’s inner suburbs. </w:t>
      </w:r>
    </w:p>
    <w:p w14:paraId="2B029C04" w14:textId="77777777" w:rsidR="004D509B" w:rsidRDefault="004D509B" w:rsidP="007920E8">
      <w:pPr>
        <w:spacing w:before="80"/>
      </w:pPr>
      <w:r w:rsidRPr="00884854">
        <w:t xml:space="preserve">This initiative contributes to the Department of Transport and Planning’s Planning and Heritage output. </w:t>
      </w:r>
    </w:p>
    <w:p w14:paraId="1E282237" w14:textId="77777777" w:rsidR="004D509B" w:rsidRPr="00AA7415" w:rsidRDefault="004D509B" w:rsidP="007920E8">
      <w:pPr>
        <w:pStyle w:val="Heading4"/>
        <w:spacing w:before="140" w:line="259" w:lineRule="auto"/>
      </w:pPr>
      <w:r w:rsidRPr="00AA7415">
        <w:t>10-year Greenfields plan</w:t>
      </w:r>
    </w:p>
    <w:p w14:paraId="04B56CE1" w14:textId="77777777" w:rsidR="004D509B" w:rsidRDefault="004D509B" w:rsidP="007920E8">
      <w:pPr>
        <w:spacing w:before="80"/>
      </w:pPr>
      <w:r w:rsidRPr="00FE531C">
        <w:t xml:space="preserve">Funding is provided to </w:t>
      </w:r>
      <w:bookmarkStart w:id="207" w:name="_Hlk183285917"/>
      <w:r w:rsidRPr="00FE531C">
        <w:t>rollout a greenfields plan to unlock a decade-long pipeline of new homes and backyards, including the review of several existing greenfield</w:t>
      </w:r>
      <w:bookmarkEnd w:id="207"/>
      <w:r w:rsidRPr="00FE531C">
        <w:t>s Precinct Structure Plans</w:t>
      </w:r>
      <w:r>
        <w:t xml:space="preserve"> within Melbourne. </w:t>
      </w:r>
    </w:p>
    <w:p w14:paraId="3F1E9F7F" w14:textId="77777777" w:rsidR="004D509B" w:rsidRDefault="004D509B" w:rsidP="007920E8">
      <w:pPr>
        <w:spacing w:before="80"/>
      </w:pPr>
      <w:r>
        <w:t>This initiative contributes to the Department of Transport and Planning’s Planning and Heritage output.</w:t>
      </w:r>
    </w:p>
    <w:p w14:paraId="14D9A7FA" w14:textId="77777777" w:rsidR="004D509B" w:rsidRPr="00884854" w:rsidRDefault="004D509B" w:rsidP="004D509B">
      <w:pPr>
        <w:pStyle w:val="Heading30"/>
        <w:ind w:left="0" w:firstLine="0"/>
      </w:pPr>
      <w:r w:rsidRPr="00884854">
        <w:t>Suburbs</w:t>
      </w:r>
    </w:p>
    <w:p w14:paraId="7D0DD751" w14:textId="77777777" w:rsidR="004D509B" w:rsidRPr="00884854" w:rsidRDefault="004D509B" w:rsidP="004D509B">
      <w:pPr>
        <w:pStyle w:val="Heading4"/>
      </w:pPr>
      <w:r w:rsidRPr="00884854">
        <w:t>Pick My Park</w:t>
      </w:r>
    </w:p>
    <w:p w14:paraId="170A32CB" w14:textId="77777777" w:rsidR="004D509B" w:rsidRPr="00884854" w:rsidRDefault="004D509B" w:rsidP="004D509B">
      <w:r w:rsidRPr="00884854">
        <w:t xml:space="preserve">Funding is provided to create </w:t>
      </w:r>
      <w:r>
        <w:t xml:space="preserve">and upgrade more </w:t>
      </w:r>
      <w:r w:rsidRPr="00884854">
        <w:t>green spaces in growing suburbs through:</w:t>
      </w:r>
    </w:p>
    <w:p w14:paraId="7D4B4CAA" w14:textId="77777777" w:rsidR="004D509B" w:rsidRPr="00884854" w:rsidRDefault="004D509B" w:rsidP="007920E8">
      <w:pPr>
        <w:pStyle w:val="ListBullet"/>
      </w:pPr>
      <w:r w:rsidRPr="00884854">
        <w:t>Park Upgrades: focused on improving existing parks and open spaces</w:t>
      </w:r>
    </w:p>
    <w:p w14:paraId="4CC91B6E" w14:textId="77777777" w:rsidR="004D509B" w:rsidRPr="00884854" w:rsidRDefault="004D509B" w:rsidP="007920E8">
      <w:pPr>
        <w:pStyle w:val="ListBullet"/>
      </w:pPr>
      <w:r w:rsidRPr="00884854">
        <w:t xml:space="preserve">New Urban Parks: focused on transforming underutilised land in </w:t>
      </w:r>
      <w:r>
        <w:t xml:space="preserve">growing </w:t>
      </w:r>
      <w:r w:rsidRPr="00884854">
        <w:t>urban areas into new, accessible green spaces.</w:t>
      </w:r>
    </w:p>
    <w:p w14:paraId="5A2E2699" w14:textId="77777777" w:rsidR="004D509B" w:rsidRPr="00884854" w:rsidRDefault="004D509B" w:rsidP="004D509B">
      <w:r w:rsidRPr="00884854">
        <w:t>This initiative contributes to the Department of Transport and Planning’s Suburbs output.</w:t>
      </w:r>
    </w:p>
    <w:p w14:paraId="378B9B0B" w14:textId="77777777" w:rsidR="004D509B" w:rsidRPr="00884854" w:rsidRDefault="004D509B" w:rsidP="004D509B">
      <w:pPr>
        <w:pStyle w:val="Heading30"/>
      </w:pPr>
      <w:r w:rsidRPr="00884854">
        <w:t>Tram Services</w:t>
      </w:r>
    </w:p>
    <w:p w14:paraId="01C7B836" w14:textId="77777777" w:rsidR="004D509B" w:rsidRPr="00884854" w:rsidRDefault="004D509B" w:rsidP="004D509B">
      <w:pPr>
        <w:pStyle w:val="Heading4"/>
      </w:pPr>
      <w:r w:rsidRPr="00884854">
        <w:t>Metropolitan tram franchise agreement</w:t>
      </w:r>
    </w:p>
    <w:p w14:paraId="65F2A078" w14:textId="77777777" w:rsidR="004D509B" w:rsidRPr="00884854" w:rsidRDefault="004D509B" w:rsidP="004D509B">
      <w:r>
        <w:t>Funding is provided for the</w:t>
      </w:r>
      <w:r w:rsidRPr="00884854">
        <w:t xml:space="preserve"> new franchise agreement to operate Melbourne’s tram network for the next nine years</w:t>
      </w:r>
      <w:r>
        <w:t>,</w:t>
      </w:r>
      <w:r w:rsidRPr="00884854">
        <w:t xml:space="preserve"> </w:t>
      </w:r>
      <w:r>
        <w:t>including</w:t>
      </w:r>
      <w:r w:rsidRPr="00884854">
        <w:t xml:space="preserve"> manage</w:t>
      </w:r>
      <w:r>
        <w:t>ment of</w:t>
      </w:r>
      <w:r w:rsidRPr="00884854">
        <w:t xml:space="preserve"> 500 trams, 1</w:t>
      </w:r>
      <w:r>
        <w:t> </w:t>
      </w:r>
      <w:r w:rsidRPr="00884854">
        <w:t>600 tram stops, 24</w:t>
      </w:r>
      <w:r>
        <w:t> </w:t>
      </w:r>
      <w:r w:rsidRPr="00884854">
        <w:t>routes and more than 250 kilometres of double track. The new franchise term commenced on 1</w:t>
      </w:r>
      <w:r>
        <w:t> </w:t>
      </w:r>
      <w:r w:rsidRPr="00884854">
        <w:t>December 2024.</w:t>
      </w:r>
    </w:p>
    <w:p w14:paraId="280305EC" w14:textId="77777777" w:rsidR="004D509B" w:rsidRPr="00884854" w:rsidRDefault="004D509B" w:rsidP="004D509B">
      <w:r w:rsidRPr="00884854">
        <w:t>The new contract focus</w:t>
      </w:r>
      <w:r>
        <w:t>es</w:t>
      </w:r>
      <w:r w:rsidRPr="00884854">
        <w:t xml:space="preserve"> on performance</w:t>
      </w:r>
      <w:r>
        <w:t>,</w:t>
      </w:r>
      <w:r w:rsidRPr="00884854">
        <w:t xml:space="preserve"> with strict benchmarks and more monitoring across day and night services to improve reliability. Funding is also provided to deliver passengers more consistent real time information about tram services and better customer </w:t>
      </w:r>
      <w:r>
        <w:t>experience</w:t>
      </w:r>
      <w:r w:rsidRPr="00884854">
        <w:t xml:space="preserve">. </w:t>
      </w:r>
    </w:p>
    <w:p w14:paraId="1706EF8D" w14:textId="77777777" w:rsidR="004D509B" w:rsidRPr="00884854" w:rsidRDefault="004D509B" w:rsidP="004D509B">
      <w:r w:rsidRPr="00884854">
        <w:t>This initiative contributes to the Department of Transport and Planning’s Tram Services output.</w:t>
      </w:r>
    </w:p>
    <w:p w14:paraId="54468825" w14:textId="67FED455" w:rsidR="007920E8" w:rsidRDefault="007920E8">
      <w:pPr>
        <w:keepLines w:val="0"/>
        <w:rPr>
          <w:rFonts w:asciiTheme="majorHAnsi" w:eastAsiaTheme="majorEastAsia" w:hAnsiTheme="majorHAnsi" w:cstheme="majorBidi"/>
          <w:b/>
          <w:sz w:val="27"/>
          <w:szCs w:val="26"/>
        </w:rPr>
      </w:pPr>
    </w:p>
    <w:p w14:paraId="0020AC46" w14:textId="4B3BE82B" w:rsidR="004D509B" w:rsidRPr="00884854" w:rsidRDefault="004D509B" w:rsidP="004D509B">
      <w:pPr>
        <w:pStyle w:val="Heading20"/>
      </w:pPr>
      <w:r>
        <w:t>Asset initiatives</w:t>
      </w:r>
    </w:p>
    <w:p w14:paraId="007DA7D1" w14:textId="77777777" w:rsidR="004D509B" w:rsidRDefault="004D509B" w:rsidP="004D509B">
      <w:pPr>
        <w:pStyle w:val="Caption"/>
      </w:pPr>
      <w:r w:rsidRPr="00884854">
        <w:t>Table A.1</w:t>
      </w:r>
      <w:r>
        <w:t>2</w:t>
      </w:r>
      <w:r w:rsidRPr="00884854">
        <w:t>:</w:t>
      </w:r>
      <w:r w:rsidRPr="00884854">
        <w:tab/>
        <w:t xml:space="preserve">Asset initiatives – </w:t>
      </w:r>
      <w:r>
        <w:t>Transport and Planning</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DTP_Asset|Extract: {&#10;   &quot;PlanningandHeritage&quot;:&quot; &quot;,&#10;   &quot;HousingSupportPayment&quot;:&quot;Kilkenny&quot;,&#10;   &quot;TramServices&quot;:&quot; &quot;,&#10;   &quot;Metropolitantramfranchiseagreement&quot;:&quot;Williams&quot;,&#10;   &quot;TransportInfrastructure&quot;:&quot; &quot;,&#10;   &quot;YanYeanRoadUpgradeStage2&quot;:&quot;Pearson&quot;,&#10;   &quot;MetroTunnelUpdate&quot;:&quot;Pearson&quot;,&#10;   &quot;Totalassetinitiatives&quot;:&quot; &quot;}"/>
      </w:tblPr>
      <w:tblGrid>
        <w:gridCol w:w="3740"/>
        <w:gridCol w:w="794"/>
        <w:gridCol w:w="794"/>
        <w:gridCol w:w="794"/>
        <w:gridCol w:w="794"/>
        <w:gridCol w:w="794"/>
      </w:tblGrid>
      <w:tr w:rsidR="004D509B" w14:paraId="7737F434"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6" w:space="0" w:color="auto"/>
            </w:tcBorders>
          </w:tcPr>
          <w:p w14:paraId="6F9B9ABF" w14:textId="77777777" w:rsidR="004D509B" w:rsidRDefault="004D509B" w:rsidP="008670FF">
            <w:pPr>
              <w:keepNext/>
            </w:pPr>
          </w:p>
        </w:tc>
        <w:tc>
          <w:tcPr>
            <w:tcW w:w="794" w:type="dxa"/>
            <w:tcBorders>
              <w:top w:val="single" w:sz="6" w:space="0" w:color="auto"/>
              <w:bottom w:val="single" w:sz="6" w:space="0" w:color="auto"/>
            </w:tcBorders>
          </w:tcPr>
          <w:p w14:paraId="3F8C84D7"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Borders>
              <w:top w:val="single" w:sz="6" w:space="0" w:color="auto"/>
              <w:bottom w:val="single" w:sz="6" w:space="0" w:color="auto"/>
            </w:tcBorders>
          </w:tcPr>
          <w:p w14:paraId="0CD0F71D"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Borders>
              <w:top w:val="single" w:sz="6" w:space="0" w:color="auto"/>
              <w:bottom w:val="single" w:sz="6" w:space="0" w:color="auto"/>
            </w:tcBorders>
          </w:tcPr>
          <w:p w14:paraId="47A4C031"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Borders>
              <w:top w:val="single" w:sz="6" w:space="0" w:color="auto"/>
              <w:bottom w:val="single" w:sz="6" w:space="0" w:color="auto"/>
            </w:tcBorders>
          </w:tcPr>
          <w:p w14:paraId="166DFB88"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c>
          <w:tcPr>
            <w:tcW w:w="794" w:type="dxa"/>
            <w:tcBorders>
              <w:top w:val="single" w:sz="6" w:space="0" w:color="auto"/>
              <w:bottom w:val="single" w:sz="6" w:space="0" w:color="auto"/>
            </w:tcBorders>
          </w:tcPr>
          <w:p w14:paraId="1457612F"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TEI</w:t>
            </w:r>
          </w:p>
        </w:tc>
      </w:tr>
      <w:tr w:rsidR="004D509B" w14:paraId="0E40C0EB"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tcBorders>
          </w:tcPr>
          <w:p w14:paraId="38A06E92" w14:textId="77777777" w:rsidR="004D509B" w:rsidRDefault="004D509B" w:rsidP="008670FF">
            <w:r>
              <w:rPr>
                <w:b/>
              </w:rPr>
              <w:t>Tram Services</w:t>
            </w:r>
          </w:p>
        </w:tc>
        <w:tc>
          <w:tcPr>
            <w:tcW w:w="794" w:type="dxa"/>
            <w:tcBorders>
              <w:top w:val="single" w:sz="6" w:space="0" w:color="auto"/>
            </w:tcBorders>
          </w:tcPr>
          <w:p w14:paraId="7DBE9E4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4CB997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1CBF5C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68A1857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Borders>
              <w:top w:val="single" w:sz="6" w:space="0" w:color="auto"/>
            </w:tcBorders>
          </w:tcPr>
          <w:p w14:paraId="17896DAA"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6CCD23F1"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bottom w:val="single" w:sz="6" w:space="0" w:color="auto"/>
            </w:tcBorders>
          </w:tcPr>
          <w:p w14:paraId="6535A6A6" w14:textId="2E0A3C33" w:rsidR="004D509B" w:rsidRDefault="004D509B" w:rsidP="008670FF">
            <w:r>
              <w:t>Metropolitan tram franchise agreement</w:t>
            </w:r>
            <w:r w:rsidR="007920E8">
              <w:t xml:space="preserve"> </w:t>
            </w:r>
            <w:r w:rsidRPr="00A46C85">
              <w:rPr>
                <w:vertAlign w:val="superscript"/>
              </w:rPr>
              <w:t>(a)</w:t>
            </w:r>
          </w:p>
        </w:tc>
        <w:tc>
          <w:tcPr>
            <w:tcW w:w="794" w:type="dxa"/>
            <w:tcBorders>
              <w:bottom w:val="single" w:sz="6" w:space="0" w:color="auto"/>
            </w:tcBorders>
          </w:tcPr>
          <w:p w14:paraId="56471FB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28.2</w:t>
            </w:r>
          </w:p>
        </w:tc>
        <w:tc>
          <w:tcPr>
            <w:tcW w:w="794" w:type="dxa"/>
            <w:tcBorders>
              <w:bottom w:val="single" w:sz="6" w:space="0" w:color="auto"/>
            </w:tcBorders>
          </w:tcPr>
          <w:p w14:paraId="0199BC6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38.7</w:t>
            </w:r>
          </w:p>
        </w:tc>
        <w:tc>
          <w:tcPr>
            <w:tcW w:w="794" w:type="dxa"/>
            <w:tcBorders>
              <w:bottom w:val="single" w:sz="6" w:space="0" w:color="auto"/>
            </w:tcBorders>
          </w:tcPr>
          <w:p w14:paraId="01DC8E7D"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16.5</w:t>
            </w:r>
          </w:p>
        </w:tc>
        <w:tc>
          <w:tcPr>
            <w:tcW w:w="794" w:type="dxa"/>
            <w:tcBorders>
              <w:bottom w:val="single" w:sz="6" w:space="0" w:color="auto"/>
            </w:tcBorders>
          </w:tcPr>
          <w:p w14:paraId="0552FC3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29.8</w:t>
            </w:r>
          </w:p>
        </w:tc>
        <w:tc>
          <w:tcPr>
            <w:tcW w:w="794" w:type="dxa"/>
            <w:tcBorders>
              <w:bottom w:val="single" w:sz="6" w:space="0" w:color="auto"/>
            </w:tcBorders>
          </w:tcPr>
          <w:p w14:paraId="5BA1E4A3"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211.7</w:t>
            </w:r>
          </w:p>
        </w:tc>
      </w:tr>
      <w:tr w:rsidR="004D509B" w14:paraId="10AA266E" w14:textId="77777777" w:rsidTr="008670FF">
        <w:tc>
          <w:tcPr>
            <w:cnfStyle w:val="001000000000" w:firstRow="0" w:lastRow="0" w:firstColumn="1" w:lastColumn="0" w:oddVBand="0" w:evenVBand="0" w:oddHBand="0" w:evenHBand="0" w:firstRowFirstColumn="0" w:firstRowLastColumn="0" w:lastRowFirstColumn="0" w:lastRowLastColumn="0"/>
            <w:tcW w:w="3740" w:type="dxa"/>
            <w:tcBorders>
              <w:top w:val="single" w:sz="6" w:space="0" w:color="auto"/>
              <w:bottom w:val="single" w:sz="12" w:space="0" w:color="auto"/>
            </w:tcBorders>
          </w:tcPr>
          <w:p w14:paraId="14E8B669" w14:textId="77777777" w:rsidR="004D509B" w:rsidRDefault="004D509B" w:rsidP="008670FF">
            <w:r>
              <w:rPr>
                <w:b/>
              </w:rPr>
              <w:t>Total asset initiatives</w:t>
            </w:r>
          </w:p>
        </w:tc>
        <w:tc>
          <w:tcPr>
            <w:tcW w:w="794" w:type="dxa"/>
            <w:tcBorders>
              <w:top w:val="single" w:sz="6" w:space="0" w:color="auto"/>
              <w:bottom w:val="single" w:sz="12" w:space="0" w:color="auto"/>
            </w:tcBorders>
          </w:tcPr>
          <w:p w14:paraId="3EAA965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28.2</w:t>
            </w:r>
          </w:p>
        </w:tc>
        <w:tc>
          <w:tcPr>
            <w:tcW w:w="794" w:type="dxa"/>
            <w:tcBorders>
              <w:top w:val="single" w:sz="6" w:space="0" w:color="auto"/>
              <w:bottom w:val="single" w:sz="12" w:space="0" w:color="auto"/>
            </w:tcBorders>
          </w:tcPr>
          <w:p w14:paraId="31554F6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38.7</w:t>
            </w:r>
          </w:p>
        </w:tc>
        <w:tc>
          <w:tcPr>
            <w:tcW w:w="794" w:type="dxa"/>
            <w:tcBorders>
              <w:top w:val="single" w:sz="6" w:space="0" w:color="auto"/>
              <w:bottom w:val="single" w:sz="12" w:space="0" w:color="auto"/>
            </w:tcBorders>
          </w:tcPr>
          <w:p w14:paraId="30D51D08"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16.5</w:t>
            </w:r>
          </w:p>
        </w:tc>
        <w:tc>
          <w:tcPr>
            <w:tcW w:w="794" w:type="dxa"/>
            <w:tcBorders>
              <w:top w:val="single" w:sz="6" w:space="0" w:color="auto"/>
              <w:bottom w:val="single" w:sz="12" w:space="0" w:color="auto"/>
            </w:tcBorders>
          </w:tcPr>
          <w:p w14:paraId="7AC78F39"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29.8</w:t>
            </w:r>
          </w:p>
        </w:tc>
        <w:tc>
          <w:tcPr>
            <w:tcW w:w="794" w:type="dxa"/>
            <w:tcBorders>
              <w:top w:val="single" w:sz="6" w:space="0" w:color="auto"/>
              <w:bottom w:val="single" w:sz="12" w:space="0" w:color="auto"/>
            </w:tcBorders>
          </w:tcPr>
          <w:p w14:paraId="54CE7D4F"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211.7</w:t>
            </w:r>
          </w:p>
        </w:tc>
      </w:tr>
    </w:tbl>
    <w:p w14:paraId="5782A16B" w14:textId="77777777" w:rsidR="004D509B" w:rsidRDefault="004D509B" w:rsidP="004D509B">
      <w:pPr>
        <w:pStyle w:val="Note"/>
      </w:pPr>
      <w:r>
        <w:t>Note:</w:t>
      </w:r>
    </w:p>
    <w:p w14:paraId="49776E2C" w14:textId="77777777" w:rsidR="004D509B" w:rsidRPr="00A52753" w:rsidRDefault="004D509B" w:rsidP="004D509B">
      <w:pPr>
        <w:pStyle w:val="Note"/>
      </w:pPr>
      <w:r>
        <w:t>(a)</w:t>
      </w:r>
      <w:r w:rsidRPr="00204E9D">
        <w:t xml:space="preserve"> </w:t>
      </w:r>
      <w:r>
        <w:tab/>
        <w:t>TEI includes funding beyond 2027-28 and excludes existing provisions for the tram contract.</w:t>
      </w:r>
    </w:p>
    <w:p w14:paraId="05CA61D5" w14:textId="77777777" w:rsidR="004D509B" w:rsidRPr="00884854" w:rsidRDefault="004D509B" w:rsidP="004D509B">
      <w:pPr>
        <w:pStyle w:val="Heading30"/>
      </w:pPr>
      <w:r w:rsidRPr="00884854">
        <w:t>Tram Services</w:t>
      </w:r>
    </w:p>
    <w:p w14:paraId="4017E5AC" w14:textId="77777777" w:rsidR="004D509B" w:rsidRPr="00884854" w:rsidRDefault="004D509B" w:rsidP="004D509B">
      <w:pPr>
        <w:pStyle w:val="Heading4"/>
      </w:pPr>
      <w:r w:rsidRPr="00884854">
        <w:t>Metropolitan tram franchise agreement</w:t>
      </w:r>
    </w:p>
    <w:p w14:paraId="6FD2C149" w14:textId="77777777" w:rsidR="004D509B" w:rsidRDefault="004D509B" w:rsidP="004D509B">
      <w:r w:rsidRPr="00884854">
        <w:t>Refer to the output initiative for a description of this initiative</w:t>
      </w:r>
      <w:r>
        <w:t>.</w:t>
      </w:r>
    </w:p>
    <w:p w14:paraId="034E0A81" w14:textId="77777777" w:rsidR="004D509B" w:rsidRPr="00884854" w:rsidRDefault="004D509B" w:rsidP="004D509B">
      <w:pPr>
        <w:keepLines w:val="0"/>
      </w:pPr>
      <w:r>
        <w:rPr>
          <w:b/>
          <w:caps/>
        </w:rPr>
        <w:br w:type="page"/>
      </w:r>
    </w:p>
    <w:p w14:paraId="63F5A970" w14:textId="77777777" w:rsidR="004D509B" w:rsidRPr="00884854" w:rsidRDefault="004D509B" w:rsidP="004D509B">
      <w:pPr>
        <w:pStyle w:val="Heading10"/>
      </w:pPr>
      <w:bookmarkStart w:id="208" w:name="_Toc184222994"/>
      <w:bookmarkStart w:id="209" w:name="_Toc184299299"/>
      <w:bookmarkStart w:id="210" w:name="_Toc184299468"/>
      <w:r w:rsidRPr="00884854">
        <w:t>Court Services Victoria</w:t>
      </w:r>
      <w:bookmarkEnd w:id="208"/>
      <w:bookmarkEnd w:id="209"/>
      <w:bookmarkEnd w:id="210"/>
    </w:p>
    <w:p w14:paraId="62721ED4" w14:textId="77777777" w:rsidR="004D509B" w:rsidRPr="00884854" w:rsidRDefault="004D509B" w:rsidP="004D509B">
      <w:pPr>
        <w:pStyle w:val="Heading20"/>
      </w:pPr>
      <w:r w:rsidRPr="00884854">
        <w:t>Output initiatives</w:t>
      </w:r>
    </w:p>
    <w:p w14:paraId="4F15A67F" w14:textId="77777777" w:rsidR="004D509B" w:rsidRDefault="004D509B" w:rsidP="004D509B">
      <w:pPr>
        <w:pStyle w:val="Caption"/>
      </w:pPr>
      <w:r w:rsidRPr="00884854">
        <w:t>Table A.1</w:t>
      </w:r>
      <w:r>
        <w:t>3</w:t>
      </w:r>
      <w:r w:rsidRPr="00884854">
        <w:t>:</w:t>
      </w:r>
      <w:r w:rsidRPr="00884854">
        <w:tab/>
        <w:t xml:space="preserve">Output initiatives – </w:t>
      </w:r>
      <w:r>
        <w:t>Court Services Victoria</w:t>
      </w:r>
      <w:r w:rsidRPr="00884854">
        <w:t xml:space="preserve"> </w:t>
      </w:r>
      <w:r w:rsidRPr="00884854">
        <w:tab/>
        <w:t>($ million)</w:t>
      </w:r>
    </w:p>
    <w:tbl>
      <w:tblPr>
        <w:tblStyle w:val="DTFTableNumeric"/>
        <w:tblW w:w="7710" w:type="dxa"/>
        <w:tblLayout w:type="fixed"/>
        <w:tblLook w:val="06A0" w:firstRow="1" w:lastRow="0" w:firstColumn="1" w:lastColumn="0" w:noHBand="1" w:noVBand="1"/>
        <w:tblDescription w:val="Type:DtfTable|Workbook:https://vicgov.sharepoint.com/sites/VG002735/Budget%20Update/Appendix%20A/Initiatives%20funded%20since%202024-25%20Budget.xlsx|Table:CSV_Output|Extract: {&#10;   &quot;EarlycommencementofanadditionalMagistrateintheChildrensCourt&quot;:&quot;Symes&quot;}"/>
      </w:tblPr>
      <w:tblGrid>
        <w:gridCol w:w="4534"/>
        <w:gridCol w:w="794"/>
        <w:gridCol w:w="794"/>
        <w:gridCol w:w="794"/>
        <w:gridCol w:w="794"/>
      </w:tblGrid>
      <w:tr w:rsidR="004D509B" w14:paraId="4A0AF6FC" w14:textId="77777777" w:rsidTr="008670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4" w:type="dxa"/>
          </w:tcPr>
          <w:p w14:paraId="0CA13D2B" w14:textId="77777777" w:rsidR="004D509B" w:rsidRDefault="004D509B" w:rsidP="008670FF">
            <w:pPr>
              <w:keepNext/>
            </w:pPr>
          </w:p>
        </w:tc>
        <w:tc>
          <w:tcPr>
            <w:tcW w:w="794" w:type="dxa"/>
          </w:tcPr>
          <w:p w14:paraId="20B444BC"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2024</w:t>
            </w:r>
            <w:r>
              <w:noBreakHyphen/>
              <w:t>25</w:t>
            </w:r>
          </w:p>
        </w:tc>
        <w:tc>
          <w:tcPr>
            <w:tcW w:w="794" w:type="dxa"/>
          </w:tcPr>
          <w:p w14:paraId="3EBD96EC"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2025</w:t>
            </w:r>
            <w:r>
              <w:noBreakHyphen/>
              <w:t>26</w:t>
            </w:r>
          </w:p>
        </w:tc>
        <w:tc>
          <w:tcPr>
            <w:tcW w:w="794" w:type="dxa"/>
          </w:tcPr>
          <w:p w14:paraId="0A539F2C"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2026</w:t>
            </w:r>
            <w:r>
              <w:noBreakHyphen/>
              <w:t>27</w:t>
            </w:r>
          </w:p>
        </w:tc>
        <w:tc>
          <w:tcPr>
            <w:tcW w:w="794" w:type="dxa"/>
          </w:tcPr>
          <w:p w14:paraId="450E20BE" w14:textId="77777777" w:rsidR="004D509B" w:rsidRDefault="004D509B" w:rsidP="008670FF">
            <w:pPr>
              <w:keepNext/>
              <w:cnfStyle w:val="100000000000" w:firstRow="1" w:lastRow="0" w:firstColumn="0" w:lastColumn="0" w:oddVBand="0" w:evenVBand="0" w:oddHBand="0" w:evenHBand="0" w:firstRowFirstColumn="0" w:firstRowLastColumn="0" w:lastRowFirstColumn="0" w:lastRowLastColumn="0"/>
            </w:pPr>
            <w:r>
              <w:t>2027</w:t>
            </w:r>
            <w:r>
              <w:noBreakHyphen/>
              <w:t>28</w:t>
            </w:r>
          </w:p>
        </w:tc>
      </w:tr>
      <w:tr w:rsidR="004D509B" w14:paraId="067E9854" w14:textId="77777777" w:rsidTr="008670FF">
        <w:tc>
          <w:tcPr>
            <w:cnfStyle w:val="001000000000" w:firstRow="0" w:lastRow="0" w:firstColumn="1" w:lastColumn="0" w:oddVBand="0" w:evenVBand="0" w:oddHBand="0" w:evenHBand="0" w:firstRowFirstColumn="0" w:firstRowLastColumn="0" w:lastRowFirstColumn="0" w:lastRowLastColumn="0"/>
            <w:tcW w:w="4534" w:type="dxa"/>
          </w:tcPr>
          <w:p w14:paraId="21B1F2D9" w14:textId="77777777" w:rsidR="004D509B" w:rsidRDefault="004D509B" w:rsidP="008670FF">
            <w:r>
              <w:rPr>
                <w:b/>
              </w:rPr>
              <w:t>Courts</w:t>
            </w:r>
          </w:p>
        </w:tc>
        <w:tc>
          <w:tcPr>
            <w:tcW w:w="794" w:type="dxa"/>
          </w:tcPr>
          <w:p w14:paraId="42BE256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13ACDD1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69A9C56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c>
          <w:tcPr>
            <w:tcW w:w="794" w:type="dxa"/>
          </w:tcPr>
          <w:p w14:paraId="3107777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p>
        </w:tc>
      </w:tr>
      <w:tr w:rsidR="004D509B" w14:paraId="56519B7D"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bottom w:val="single" w:sz="6" w:space="0" w:color="auto"/>
            </w:tcBorders>
          </w:tcPr>
          <w:p w14:paraId="41A6734E" w14:textId="77777777" w:rsidR="004D509B" w:rsidRDefault="004D509B" w:rsidP="008670FF">
            <w:r>
              <w:t>Additional magistrate in the Children’s Court</w:t>
            </w:r>
          </w:p>
        </w:tc>
        <w:tc>
          <w:tcPr>
            <w:tcW w:w="794" w:type="dxa"/>
            <w:tcBorders>
              <w:bottom w:val="single" w:sz="6" w:space="0" w:color="auto"/>
            </w:tcBorders>
          </w:tcPr>
          <w:p w14:paraId="29A2584B"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0.7</w:t>
            </w:r>
          </w:p>
        </w:tc>
        <w:tc>
          <w:tcPr>
            <w:tcW w:w="794" w:type="dxa"/>
            <w:tcBorders>
              <w:bottom w:val="single" w:sz="6" w:space="0" w:color="auto"/>
            </w:tcBorders>
          </w:tcPr>
          <w:p w14:paraId="542210B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9E8CDD2"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w:t>
            </w:r>
          </w:p>
        </w:tc>
        <w:tc>
          <w:tcPr>
            <w:tcW w:w="794" w:type="dxa"/>
            <w:tcBorders>
              <w:bottom w:val="single" w:sz="6" w:space="0" w:color="auto"/>
            </w:tcBorders>
          </w:tcPr>
          <w:p w14:paraId="332CBCBE"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t>0.1</w:t>
            </w:r>
          </w:p>
        </w:tc>
      </w:tr>
      <w:tr w:rsidR="004D509B" w14:paraId="6D0A6057" w14:textId="77777777" w:rsidTr="008670FF">
        <w:tc>
          <w:tcPr>
            <w:cnfStyle w:val="001000000000" w:firstRow="0" w:lastRow="0" w:firstColumn="1" w:lastColumn="0" w:oddVBand="0" w:evenVBand="0" w:oddHBand="0" w:evenHBand="0" w:firstRowFirstColumn="0" w:firstRowLastColumn="0" w:lastRowFirstColumn="0" w:lastRowLastColumn="0"/>
            <w:tcW w:w="4534" w:type="dxa"/>
            <w:tcBorders>
              <w:top w:val="single" w:sz="6" w:space="0" w:color="auto"/>
              <w:bottom w:val="single" w:sz="12" w:space="0" w:color="auto"/>
            </w:tcBorders>
          </w:tcPr>
          <w:p w14:paraId="13C6FBC8" w14:textId="77777777" w:rsidR="004D509B" w:rsidRDefault="004D509B" w:rsidP="008670FF">
            <w:r>
              <w:rPr>
                <w:b/>
              </w:rPr>
              <w:t>Total output initiatives</w:t>
            </w:r>
          </w:p>
        </w:tc>
        <w:tc>
          <w:tcPr>
            <w:tcW w:w="794" w:type="dxa"/>
            <w:tcBorders>
              <w:top w:val="single" w:sz="6" w:space="0" w:color="auto"/>
              <w:bottom w:val="single" w:sz="12" w:space="0" w:color="auto"/>
            </w:tcBorders>
          </w:tcPr>
          <w:p w14:paraId="53B5D450"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0.7</w:t>
            </w:r>
          </w:p>
        </w:tc>
        <w:tc>
          <w:tcPr>
            <w:tcW w:w="794" w:type="dxa"/>
            <w:tcBorders>
              <w:top w:val="single" w:sz="6" w:space="0" w:color="auto"/>
              <w:bottom w:val="single" w:sz="12" w:space="0" w:color="auto"/>
            </w:tcBorders>
          </w:tcPr>
          <w:p w14:paraId="019EE4CC"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47BC1085"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w:t>
            </w:r>
          </w:p>
        </w:tc>
        <w:tc>
          <w:tcPr>
            <w:tcW w:w="794" w:type="dxa"/>
            <w:tcBorders>
              <w:top w:val="single" w:sz="6" w:space="0" w:color="auto"/>
              <w:bottom w:val="single" w:sz="12" w:space="0" w:color="auto"/>
            </w:tcBorders>
          </w:tcPr>
          <w:p w14:paraId="14D290D1" w14:textId="77777777" w:rsidR="004D509B" w:rsidRDefault="004D509B" w:rsidP="008670FF">
            <w:pPr>
              <w:cnfStyle w:val="000000000000" w:firstRow="0" w:lastRow="0" w:firstColumn="0" w:lastColumn="0" w:oddVBand="0" w:evenVBand="0" w:oddHBand="0" w:evenHBand="0" w:firstRowFirstColumn="0" w:firstRowLastColumn="0" w:lastRowFirstColumn="0" w:lastRowLastColumn="0"/>
            </w:pPr>
            <w:r>
              <w:rPr>
                <w:b/>
              </w:rPr>
              <w:t>0.1</w:t>
            </w:r>
          </w:p>
        </w:tc>
      </w:tr>
    </w:tbl>
    <w:p w14:paraId="330009C8" w14:textId="77777777" w:rsidR="004D509B" w:rsidRPr="00884854" w:rsidRDefault="004D509B" w:rsidP="004D509B">
      <w:pPr>
        <w:pStyle w:val="Heading30"/>
      </w:pPr>
      <w:r w:rsidRPr="00884854">
        <w:t>Courts</w:t>
      </w:r>
    </w:p>
    <w:p w14:paraId="23841C38" w14:textId="77777777" w:rsidR="004D509B" w:rsidRPr="00884854" w:rsidRDefault="004D509B" w:rsidP="004D509B">
      <w:pPr>
        <w:pStyle w:val="Heading4"/>
      </w:pPr>
      <w:r>
        <w:t>A</w:t>
      </w:r>
      <w:r w:rsidRPr="00884854">
        <w:t>dditional magistrate in the Children’s Court</w:t>
      </w:r>
    </w:p>
    <w:p w14:paraId="1E3B4CAA" w14:textId="77777777" w:rsidR="004D509B" w:rsidRPr="00884854" w:rsidRDefault="004D509B" w:rsidP="004D509B">
      <w:r w:rsidRPr="00884854">
        <w:t xml:space="preserve">Funding </w:t>
      </w:r>
      <w:r>
        <w:t>is</w:t>
      </w:r>
      <w:r w:rsidRPr="00884854">
        <w:t xml:space="preserve"> provided to </w:t>
      </w:r>
      <w:r>
        <w:t xml:space="preserve">deliver an additional </w:t>
      </w:r>
      <w:r w:rsidRPr="00884854">
        <w:t xml:space="preserve">magistrate in the Children’s Court, to support the implementation of the </w:t>
      </w:r>
      <w:r w:rsidRPr="00C67E36">
        <w:rPr>
          <w:i/>
        </w:rPr>
        <w:t>Youth Justice Act 2024</w:t>
      </w:r>
      <w:r w:rsidRPr="00884854">
        <w:t>.</w:t>
      </w:r>
    </w:p>
    <w:p w14:paraId="63F8D1B3" w14:textId="77777777" w:rsidR="004D509B" w:rsidRDefault="004D509B" w:rsidP="004D509B">
      <w:r w:rsidRPr="00884854">
        <w:t>This initiative contributes to the Court Services Victoria’s Courts output.</w:t>
      </w:r>
    </w:p>
    <w:p w14:paraId="50119173" w14:textId="421740C8" w:rsidR="00B84BA2" w:rsidRPr="00F7203A" w:rsidRDefault="00B84BA2">
      <w:pPr>
        <w:keepLines w:val="0"/>
      </w:pPr>
    </w:p>
    <w:p w14:paraId="1C47E721" w14:textId="77777777" w:rsidR="00B84BA2" w:rsidRPr="00F7203A" w:rsidRDefault="00B84BA2"/>
    <w:p w14:paraId="6A3E7F74" w14:textId="77777777" w:rsidR="00341416" w:rsidRDefault="00341416" w:rsidP="00341416">
      <w:pPr>
        <w:keepLines w:val="0"/>
      </w:pPr>
    </w:p>
    <w:p w14:paraId="7AAC6D10" w14:textId="77777777" w:rsidR="00341416" w:rsidRDefault="00341416" w:rsidP="00341416">
      <w:pPr>
        <w:sectPr w:rsidR="00341416" w:rsidSect="00570639">
          <w:footerReference w:type="even" r:id="rId53"/>
          <w:footerReference w:type="default" r:id="rId54"/>
          <w:pgSz w:w="9979" w:h="14175" w:code="34"/>
          <w:pgMar w:top="1134" w:right="1134" w:bottom="1134" w:left="1134" w:header="624" w:footer="567" w:gutter="0"/>
          <w:cols w:space="708"/>
          <w:docGrid w:linePitch="360"/>
        </w:sectPr>
      </w:pPr>
    </w:p>
    <w:p w14:paraId="5FAC0F2C" w14:textId="5FA489B9" w:rsidR="00AB205D" w:rsidRDefault="00471A3B">
      <w:pPr>
        <w:pStyle w:val="ChapterHeading"/>
      </w:pPr>
      <w:bookmarkStart w:id="211" w:name="_Toc184299469"/>
      <w:r>
        <w:t>Appendix B – Amendments to the 202</w:t>
      </w:r>
      <w:r w:rsidR="00A713BA">
        <w:t>4</w:t>
      </w:r>
      <w:r>
        <w:t>-2</w:t>
      </w:r>
      <w:r w:rsidR="00A713BA">
        <w:t>5</w:t>
      </w:r>
      <w:r>
        <w:t xml:space="preserve"> output performance measures</w:t>
      </w:r>
      <w:bookmarkEnd w:id="211"/>
    </w:p>
    <w:p w14:paraId="346E7080" w14:textId="2FBD8488" w:rsidR="00616D11" w:rsidRDefault="00616D11" w:rsidP="00616D11">
      <w:r>
        <w:t xml:space="preserve">Output measures for all departments were published in the </w:t>
      </w:r>
      <w:r w:rsidRPr="005F0DB6">
        <w:rPr>
          <w:i/>
        </w:rPr>
        <w:t>2024-25 Department Performance Statement</w:t>
      </w:r>
      <w:r>
        <w:t>. The Public Accounts and Estimates Committee has completed its review of the measures which were substantially changed or proposed to be discontinued, and tabled its report in Parliament on 31 October 2024. The Government will consider the Committee’s report and respond to the recommendations within the legislated timeline. All agreed changes to output performance measures will be reflected in the next budget publication.</w:t>
      </w:r>
    </w:p>
    <w:p w14:paraId="66CEF023" w14:textId="111D0C34" w:rsidR="00AB205D" w:rsidRDefault="00AB205D"/>
    <w:p w14:paraId="2BDF50CC" w14:textId="54E3140F" w:rsidR="005F294E" w:rsidRDefault="005F294E">
      <w:pPr>
        <w:keepLines w:val="0"/>
      </w:pPr>
      <w:r>
        <w:br w:type="page"/>
      </w:r>
    </w:p>
    <w:p w14:paraId="268561B6" w14:textId="77777777" w:rsidR="00AB205D" w:rsidRDefault="00AB205D">
      <w:pPr>
        <w:keepLines w:val="0"/>
      </w:pPr>
    </w:p>
    <w:p w14:paraId="312B7308" w14:textId="77777777" w:rsidR="00B84BA2" w:rsidRPr="004F156B" w:rsidRDefault="00B84BA2"/>
    <w:p w14:paraId="4472C304" w14:textId="77777777" w:rsidR="00341416" w:rsidRDefault="00341416" w:rsidP="00341416">
      <w:pPr>
        <w:keepLines w:val="0"/>
      </w:pPr>
    </w:p>
    <w:p w14:paraId="01B04B45" w14:textId="77777777" w:rsidR="00341416" w:rsidRDefault="00341416" w:rsidP="00341416">
      <w:pPr>
        <w:sectPr w:rsidR="00341416" w:rsidSect="00570639">
          <w:headerReference w:type="even" r:id="rId55"/>
          <w:headerReference w:type="default" r:id="rId56"/>
          <w:footerReference w:type="even" r:id="rId57"/>
          <w:footerReference w:type="default" r:id="rId58"/>
          <w:headerReference w:type="first" r:id="rId59"/>
          <w:footerReference w:type="first" r:id="rId60"/>
          <w:pgSz w:w="9979" w:h="14175" w:code="34"/>
          <w:pgMar w:top="1134" w:right="1134" w:bottom="1134" w:left="1134" w:header="624" w:footer="567" w:gutter="0"/>
          <w:cols w:space="708"/>
          <w:docGrid w:linePitch="360"/>
        </w:sectPr>
      </w:pPr>
    </w:p>
    <w:p w14:paraId="151F6A6E" w14:textId="77777777" w:rsidR="00AB205D" w:rsidRDefault="00471A3B">
      <w:pPr>
        <w:pStyle w:val="ChapterHeading"/>
      </w:pPr>
      <w:bookmarkStart w:id="212" w:name="_Toc184299470"/>
      <w:r>
        <w:t>Appendix C – Tax expenditures and concessions</w:t>
      </w:r>
      <w:bookmarkEnd w:id="212"/>
    </w:p>
    <w:p w14:paraId="7E934B06" w14:textId="77777777" w:rsidR="00616D11" w:rsidRDefault="00616D11" w:rsidP="00616D11">
      <w:r>
        <w:t>Tax expenditures and concessions represent forgone revenue to the State. They take different forms, including exemptions, benefits and incentives delivered through the tax system, and preferentially benefit certain taxpayers, activities or assets compared with normal treatment.</w:t>
      </w:r>
    </w:p>
    <w:p w14:paraId="73B22D52" w14:textId="77777777" w:rsidR="00616D11" w:rsidRDefault="00616D11" w:rsidP="00616D11">
      <w:pPr>
        <w:pStyle w:val="Heading10"/>
        <w:spacing w:before="240"/>
      </w:pPr>
      <w:bookmarkStart w:id="213" w:name="_Toc184198778"/>
      <w:bookmarkStart w:id="214" w:name="_Toc184222997"/>
      <w:bookmarkStart w:id="215" w:name="_Toc184299302"/>
      <w:bookmarkStart w:id="216" w:name="_Toc184299471"/>
      <w:r>
        <w:t>Tax expenditures</w:t>
      </w:r>
      <w:bookmarkEnd w:id="213"/>
      <w:bookmarkEnd w:id="214"/>
      <w:bookmarkEnd w:id="215"/>
      <w:bookmarkEnd w:id="216"/>
    </w:p>
    <w:p w14:paraId="1581A4A5" w14:textId="1C4F0A35" w:rsidR="00616D11" w:rsidRDefault="00616D11" w:rsidP="00616D11">
      <w:r>
        <w:t>Tax expenditures are estimated by taking the difference between the tax paid by a person or entity receiving preferential treatment and the tax paid by taxpayers who do not receive that treatment. Benefits arising from marginal tax rates and tax-free thresholds are not considered to be tax expenditures, since they apply to all taxpayers</w:t>
      </w:r>
      <w:r w:rsidR="00D96BAD">
        <w:t>.</w:t>
      </w:r>
    </w:p>
    <w:p w14:paraId="2995F92D" w14:textId="77777777" w:rsidR="00616D11" w:rsidRDefault="00616D11" w:rsidP="00616D11">
      <w:r w:rsidRPr="007D3D75">
        <w:t>Over the decade to 2023-24, the State has forgone $</w:t>
      </w:r>
      <w:r>
        <w:t xml:space="preserve">96.7 </w:t>
      </w:r>
      <w:r w:rsidRPr="007D3D75">
        <w:t>billion in revenue from tax expenditures. In 2024-25, tax expenditures are forecast to be $</w:t>
      </w:r>
      <w:r>
        <w:t xml:space="preserve">17.6 </w:t>
      </w:r>
      <w:r w:rsidRPr="007D3D75">
        <w:t xml:space="preserve">billion. </w:t>
      </w:r>
    </w:p>
    <w:p w14:paraId="798505C4" w14:textId="2536DE0E" w:rsidR="00616D11" w:rsidRDefault="00616D11" w:rsidP="00616D11">
      <w:pPr>
        <w:ind w:right="96"/>
      </w:pPr>
      <w:r>
        <w:t xml:space="preserve">The tax expenditures outlined below include exemptions, reduced rates and deductions or rebates of tax for a certain type of taxpayer, activity or asset. Table C.1 aggregates tax expenditure estimates by the main tax categories for the </w:t>
      </w:r>
      <w:r w:rsidRPr="0063041A">
        <w:t xml:space="preserve">period </w:t>
      </w:r>
      <w:r>
        <w:t>2024-25</w:t>
      </w:r>
      <w:r w:rsidRPr="0063041A">
        <w:t xml:space="preserve"> to </w:t>
      </w:r>
      <w:r>
        <w:t>2027-28</w:t>
      </w:r>
      <w:r w:rsidRPr="0063041A">
        <w:t>.</w:t>
      </w:r>
      <w:r>
        <w:t xml:space="preserve"> </w:t>
      </w:r>
      <w:r w:rsidRPr="000051FE">
        <w:t>Tax</w:t>
      </w:r>
      <w:r>
        <w:t> </w:t>
      </w:r>
      <w:r w:rsidRPr="000051FE">
        <w:t xml:space="preserve">expenditure estimates have been revised </w:t>
      </w:r>
      <w:r>
        <w:t xml:space="preserve">since the </w:t>
      </w:r>
      <w:r>
        <w:rPr>
          <w:i/>
          <w:iCs/>
        </w:rPr>
        <w:t xml:space="preserve">2024-25 Budget </w:t>
      </w:r>
      <w:r w:rsidRPr="000051FE">
        <w:t>to reflect updated revenue collections</w:t>
      </w:r>
      <w:r>
        <w:t>.</w:t>
      </w:r>
    </w:p>
    <w:p w14:paraId="7F3B28E9" w14:textId="77777777" w:rsidR="00616D11" w:rsidDel="00722E6C" w:rsidRDefault="00616D11" w:rsidP="00616D11">
      <w:pPr>
        <w:ind w:right="-100"/>
      </w:pPr>
      <w:r>
        <w:t>Consistent with previous years, l</w:t>
      </w:r>
      <w:r w:rsidRPr="00212A4F">
        <w:t xml:space="preserve">and tax makes the largest contribution to total estimated tax expenditures in </w:t>
      </w:r>
      <w:r>
        <w:t>2024-25</w:t>
      </w:r>
      <w:r w:rsidRPr="00212A4F">
        <w:t xml:space="preserve">, primarily due to the principal place of residence and primary production exemptions. </w:t>
      </w:r>
      <w:r>
        <w:t xml:space="preserve">Payroll tax expenditures form the highest non-property related tax expenditure. The following decisions have been reflected in the tax expenditure totals for the </w:t>
      </w:r>
      <w:r w:rsidRPr="00025E83">
        <w:rPr>
          <w:i/>
          <w:iCs/>
        </w:rPr>
        <w:t>2024-25 Budget Update</w:t>
      </w:r>
      <w:r>
        <w:t>:</w:t>
      </w:r>
    </w:p>
    <w:p w14:paraId="1B9D6477" w14:textId="77777777" w:rsidR="00616D11" w:rsidRDefault="00616D11" w:rsidP="00616D11">
      <w:pPr>
        <w:pStyle w:val="ListBullet"/>
      </w:pPr>
      <w:r w:rsidRPr="00883DBC">
        <w:t>From 1 July 2024</w:t>
      </w:r>
      <w:r>
        <w:t>,</w:t>
      </w:r>
      <w:r w:rsidRPr="00883DBC">
        <w:t xml:space="preserve"> transfers of commercial and industrial property may be exempt from land transfer duty if the transaction is at least the second transaction of the property since 1</w:t>
      </w:r>
      <w:r>
        <w:t> </w:t>
      </w:r>
      <w:r w:rsidRPr="00883DBC">
        <w:t>July 2024.</w:t>
      </w:r>
      <w:r>
        <w:t xml:space="preserve"> </w:t>
      </w:r>
    </w:p>
    <w:p w14:paraId="0023D96A" w14:textId="77777777" w:rsidR="00616D11" w:rsidRDefault="00616D11" w:rsidP="00616D11">
      <w:pPr>
        <w:pStyle w:val="ListBullet"/>
      </w:pPr>
      <w:r>
        <w:t>From 21 October 2024, purchases of dwellings in a strata subdivision may be eligible for a 12-month temporary</w:t>
      </w:r>
      <w:r w:rsidRPr="00E4302E">
        <w:t xml:space="preserve"> off-the-plan concession.</w:t>
      </w:r>
      <w:r>
        <w:t xml:space="preserve"> </w:t>
      </w:r>
    </w:p>
    <w:p w14:paraId="7A58631D" w14:textId="77777777" w:rsidR="00616D11" w:rsidRDefault="00616D11" w:rsidP="00616D11">
      <w:pPr>
        <w:pStyle w:val="ListBullet"/>
      </w:pPr>
      <w:r w:rsidRPr="00B4224C">
        <w:t xml:space="preserve">From 1 July 2025, an ongoing exemption for wages paid to general practitioners for bulk-billed consultations </w:t>
      </w:r>
      <w:r>
        <w:t>will be</w:t>
      </w:r>
      <w:r w:rsidRPr="00B4224C">
        <w:t xml:space="preserve"> introduced</w:t>
      </w:r>
      <w:r>
        <w:t xml:space="preserve">. </w:t>
      </w:r>
    </w:p>
    <w:p w14:paraId="2BDF44CD" w14:textId="77777777" w:rsidR="00616D11" w:rsidRPr="00025E83" w:rsidRDefault="00616D11" w:rsidP="00616D11">
      <w:pPr>
        <w:pStyle w:val="ListBullet"/>
      </w:pPr>
      <w:r w:rsidRPr="00025E83">
        <w:t>From 1 January 2026, congestion levy rates will increase and the congestion area boundary will be expanded to include</w:t>
      </w:r>
      <w:r w:rsidRPr="006121E1">
        <w:t xml:space="preserve"> </w:t>
      </w:r>
      <w:r w:rsidRPr="00025E83">
        <w:t xml:space="preserve">additional inner-eastern suburbs along Hoddle Street and Punt Road. </w:t>
      </w:r>
      <w:r w:rsidRPr="00123721">
        <w:t xml:space="preserve">As existing exemptions will continue to apply, </w:t>
      </w:r>
      <w:r>
        <w:t>associated</w:t>
      </w:r>
      <w:r w:rsidRPr="00123721">
        <w:t xml:space="preserve"> tax expenditures are expected to increase.</w:t>
      </w:r>
      <w:r w:rsidRPr="00123721" w:rsidDel="009C6B9B">
        <w:t xml:space="preserve"> </w:t>
      </w:r>
    </w:p>
    <w:p w14:paraId="2F5F38AD" w14:textId="77777777" w:rsidR="00616D11" w:rsidRDefault="00616D11" w:rsidP="00616D11">
      <w:pPr>
        <w:pStyle w:val="ListBullet"/>
      </w:pPr>
      <w:r>
        <w:t xml:space="preserve">From 1 January 2026, </w:t>
      </w:r>
      <w:r w:rsidRPr="002554CD">
        <w:t xml:space="preserve">zero and low emission vehicles will no longer receive </w:t>
      </w:r>
      <w:r>
        <w:t>an</w:t>
      </w:r>
      <w:r w:rsidRPr="002554CD">
        <w:t xml:space="preserve"> annual registration discount</w:t>
      </w:r>
      <w:r w:rsidRPr="003E31AD">
        <w:t>.</w:t>
      </w:r>
    </w:p>
    <w:p w14:paraId="6A463AC0" w14:textId="5F8F3F60" w:rsidR="009E0BCF" w:rsidRPr="0008542D" w:rsidRDefault="009E0BCF" w:rsidP="009E0BCF">
      <w:pPr>
        <w:pStyle w:val="ListBullet"/>
      </w:pPr>
      <w:r w:rsidRPr="0008542D">
        <w:t xml:space="preserve">From 1 July 2026, eligible volunteers for the Country Fire Authority and Victoria State Emergency Service will receive an exemption from the </w:t>
      </w:r>
      <w:r w:rsidRPr="0008542D" w:rsidDel="005628FB">
        <w:t xml:space="preserve">Emergency </w:t>
      </w:r>
      <w:r w:rsidRPr="0008542D">
        <w:t>Services and Volunteers Fund  on their principal place of residence.</w:t>
      </w:r>
    </w:p>
    <w:p w14:paraId="6A15CA8E" w14:textId="77777777" w:rsidR="00616D11" w:rsidRPr="00BB3EE3" w:rsidRDefault="00616D11" w:rsidP="00616D11"/>
    <w:p w14:paraId="7E2C8995" w14:textId="77777777" w:rsidR="00616D11" w:rsidRDefault="00616D11" w:rsidP="00616D11">
      <w:pPr>
        <w:pStyle w:val="TableHeading"/>
        <w:ind w:right="-100"/>
      </w:pPr>
      <w:r w:rsidRPr="00E90AEA">
        <w:t>Table C.1:</w:t>
      </w:r>
      <w:r w:rsidRPr="00E90AEA">
        <w:tab/>
        <w:t xml:space="preserve">Estimates of aggregate tax expenditures by type of tax </w:t>
      </w:r>
      <w:r w:rsidRPr="00E90AEA">
        <w:rPr>
          <w:vertAlign w:val="superscript"/>
        </w:rPr>
        <w:t>(a)</w:t>
      </w:r>
      <w:r>
        <w:tab/>
      </w:r>
      <w:r w:rsidRPr="00E90AEA">
        <w:t>($</w:t>
      </w:r>
      <w:r>
        <w:t> </w:t>
      </w:r>
      <w:r w:rsidRPr="00E90AEA">
        <w:t>million)</w:t>
      </w:r>
    </w:p>
    <w:tbl>
      <w:tblPr>
        <w:tblStyle w:val="DTFTableNumeric"/>
        <w:tblW w:w="7711" w:type="dxa"/>
        <w:tblLook w:val="06E0" w:firstRow="1" w:lastRow="1" w:firstColumn="1" w:lastColumn="0" w:noHBand="1" w:noVBand="1"/>
      </w:tblPr>
      <w:tblGrid>
        <w:gridCol w:w="3320"/>
        <w:gridCol w:w="1221"/>
        <w:gridCol w:w="1045"/>
        <w:gridCol w:w="1045"/>
        <w:gridCol w:w="1080"/>
      </w:tblGrid>
      <w:tr w:rsidR="00616D11" w:rsidRPr="00031635" w14:paraId="3B1537CF" w14:textId="77777777" w:rsidTr="008670F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20" w:type="dxa"/>
            <w:noWrap/>
            <w:hideMark/>
          </w:tcPr>
          <w:p w14:paraId="0DA71656" w14:textId="77777777" w:rsidR="00616D11" w:rsidRPr="00031635" w:rsidRDefault="00616D11" w:rsidP="008670FF">
            <w:pPr>
              <w:rPr>
                <w:i w:val="0"/>
                <w:lang w:eastAsia="en-AU"/>
              </w:rPr>
            </w:pPr>
            <w:r w:rsidRPr="00031635">
              <w:rPr>
                <w:lang w:eastAsia="en-AU"/>
              </w:rPr>
              <w:t>Description</w:t>
            </w:r>
          </w:p>
        </w:tc>
        <w:tc>
          <w:tcPr>
            <w:tcW w:w="1221" w:type="dxa"/>
            <w:noWrap/>
            <w:hideMark/>
          </w:tcPr>
          <w:p w14:paraId="5E10A8CC" w14:textId="77777777" w:rsidR="00616D11" w:rsidRPr="00031635" w:rsidRDefault="00616D11" w:rsidP="008670FF">
            <w:pPr>
              <w:cnfStyle w:val="100000000000" w:firstRow="1" w:lastRow="0" w:firstColumn="0" w:lastColumn="0" w:oddVBand="0" w:evenVBand="0" w:oddHBand="0" w:evenHBand="0" w:firstRowFirstColumn="0" w:firstRowLastColumn="0" w:lastRowFirstColumn="0" w:lastRowLastColumn="0"/>
              <w:rPr>
                <w:i w:val="0"/>
                <w:lang w:eastAsia="en-AU"/>
              </w:rPr>
            </w:pPr>
            <w:r w:rsidRPr="0030224E">
              <w:t>2024-25</w:t>
            </w:r>
          </w:p>
        </w:tc>
        <w:tc>
          <w:tcPr>
            <w:tcW w:w="1045" w:type="dxa"/>
            <w:noWrap/>
            <w:hideMark/>
          </w:tcPr>
          <w:p w14:paraId="402885DB" w14:textId="77777777" w:rsidR="00616D11" w:rsidRPr="00031635" w:rsidRDefault="00616D11" w:rsidP="008670FF">
            <w:pPr>
              <w:cnfStyle w:val="100000000000" w:firstRow="1" w:lastRow="0" w:firstColumn="0" w:lastColumn="0" w:oddVBand="0" w:evenVBand="0" w:oddHBand="0" w:evenHBand="0" w:firstRowFirstColumn="0" w:firstRowLastColumn="0" w:lastRowFirstColumn="0" w:lastRowLastColumn="0"/>
              <w:rPr>
                <w:i w:val="0"/>
                <w:lang w:eastAsia="en-AU"/>
              </w:rPr>
            </w:pPr>
            <w:r w:rsidRPr="0030224E">
              <w:t>2025-26</w:t>
            </w:r>
          </w:p>
        </w:tc>
        <w:tc>
          <w:tcPr>
            <w:tcW w:w="1045" w:type="dxa"/>
            <w:noWrap/>
            <w:hideMark/>
          </w:tcPr>
          <w:p w14:paraId="6DA4040A" w14:textId="77777777" w:rsidR="00616D11" w:rsidRPr="00031635" w:rsidRDefault="00616D11" w:rsidP="008670FF">
            <w:pPr>
              <w:cnfStyle w:val="100000000000" w:firstRow="1" w:lastRow="0" w:firstColumn="0" w:lastColumn="0" w:oddVBand="0" w:evenVBand="0" w:oddHBand="0" w:evenHBand="0" w:firstRowFirstColumn="0" w:firstRowLastColumn="0" w:lastRowFirstColumn="0" w:lastRowLastColumn="0"/>
              <w:rPr>
                <w:i w:val="0"/>
                <w:lang w:eastAsia="en-AU"/>
              </w:rPr>
            </w:pPr>
            <w:r w:rsidRPr="0030224E">
              <w:t>2026-27</w:t>
            </w:r>
          </w:p>
        </w:tc>
        <w:tc>
          <w:tcPr>
            <w:tcW w:w="1080" w:type="dxa"/>
            <w:noWrap/>
            <w:hideMark/>
          </w:tcPr>
          <w:p w14:paraId="483BD989" w14:textId="77777777" w:rsidR="00616D11" w:rsidRPr="00031635" w:rsidRDefault="00616D11" w:rsidP="008670FF">
            <w:pPr>
              <w:cnfStyle w:val="100000000000" w:firstRow="1" w:lastRow="0" w:firstColumn="0" w:lastColumn="0" w:oddVBand="0" w:evenVBand="0" w:oddHBand="0" w:evenHBand="0" w:firstRowFirstColumn="0" w:firstRowLastColumn="0" w:lastRowFirstColumn="0" w:lastRowLastColumn="0"/>
              <w:rPr>
                <w:i w:val="0"/>
                <w:lang w:eastAsia="en-AU"/>
              </w:rPr>
            </w:pPr>
            <w:r w:rsidRPr="0030224E">
              <w:t>2027-28</w:t>
            </w:r>
          </w:p>
        </w:tc>
      </w:tr>
      <w:tr w:rsidR="00616D11" w:rsidRPr="00031635" w14:paraId="0D9C1FF4"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380ACE46" w14:textId="77777777" w:rsidR="00616D11" w:rsidRPr="00031635" w:rsidRDefault="00616D11" w:rsidP="008670FF">
            <w:pPr>
              <w:rPr>
                <w:lang w:eastAsia="en-AU"/>
              </w:rPr>
            </w:pPr>
            <w:r w:rsidRPr="00031635">
              <w:rPr>
                <w:lang w:eastAsia="en-AU"/>
              </w:rPr>
              <w:t>Payroll tax</w:t>
            </w:r>
          </w:p>
        </w:tc>
        <w:tc>
          <w:tcPr>
            <w:tcW w:w="1221" w:type="dxa"/>
            <w:noWrap/>
          </w:tcPr>
          <w:p w14:paraId="1198379D"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1 815</w:t>
            </w:r>
          </w:p>
        </w:tc>
        <w:tc>
          <w:tcPr>
            <w:tcW w:w="1045" w:type="dxa"/>
            <w:noWrap/>
          </w:tcPr>
          <w:p w14:paraId="179A2FE5"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1 908</w:t>
            </w:r>
          </w:p>
        </w:tc>
        <w:tc>
          <w:tcPr>
            <w:tcW w:w="1045" w:type="dxa"/>
            <w:noWrap/>
          </w:tcPr>
          <w:p w14:paraId="112C1DF7"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2 014</w:t>
            </w:r>
          </w:p>
        </w:tc>
        <w:tc>
          <w:tcPr>
            <w:tcW w:w="1080" w:type="dxa"/>
            <w:noWrap/>
          </w:tcPr>
          <w:p w14:paraId="648641ED"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2 120</w:t>
            </w:r>
          </w:p>
        </w:tc>
      </w:tr>
      <w:tr w:rsidR="00616D11" w:rsidRPr="00031635" w14:paraId="5CAC55FC"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39829AF9" w14:textId="77777777" w:rsidR="00616D11" w:rsidRPr="00031635" w:rsidRDefault="00616D11" w:rsidP="008670FF">
            <w:pPr>
              <w:rPr>
                <w:lang w:eastAsia="en-AU"/>
              </w:rPr>
            </w:pPr>
            <w:r w:rsidRPr="00156E93">
              <w:rPr>
                <w:color w:val="000000"/>
                <w:lang w:eastAsia="en-AU"/>
              </w:rPr>
              <w:t xml:space="preserve">COVID Debt </w:t>
            </w:r>
            <w:r>
              <w:rPr>
                <w:color w:val="000000"/>
                <w:lang w:eastAsia="en-AU"/>
              </w:rPr>
              <w:t>Levy – Payroll $10m+</w:t>
            </w:r>
          </w:p>
        </w:tc>
        <w:tc>
          <w:tcPr>
            <w:tcW w:w="1221" w:type="dxa"/>
            <w:noWrap/>
          </w:tcPr>
          <w:p w14:paraId="6280194C"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107</w:t>
            </w:r>
          </w:p>
        </w:tc>
        <w:tc>
          <w:tcPr>
            <w:tcW w:w="1045" w:type="dxa"/>
            <w:noWrap/>
          </w:tcPr>
          <w:p w14:paraId="67576674"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116</w:t>
            </w:r>
          </w:p>
        </w:tc>
        <w:tc>
          <w:tcPr>
            <w:tcW w:w="1045" w:type="dxa"/>
            <w:noWrap/>
          </w:tcPr>
          <w:p w14:paraId="1F0254EC"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123</w:t>
            </w:r>
          </w:p>
        </w:tc>
        <w:tc>
          <w:tcPr>
            <w:tcW w:w="1080" w:type="dxa"/>
            <w:noWrap/>
          </w:tcPr>
          <w:p w14:paraId="3780A0FA" w14:textId="77777777" w:rsidR="00616D11" w:rsidRPr="0030224E"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131</w:t>
            </w:r>
          </w:p>
        </w:tc>
      </w:tr>
      <w:tr w:rsidR="00616D11" w:rsidRPr="00031635" w14:paraId="5F2521C3"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5A6B831B" w14:textId="77777777" w:rsidR="00616D11" w:rsidRPr="00031635" w:rsidRDefault="00616D11" w:rsidP="008670FF">
            <w:pPr>
              <w:rPr>
                <w:lang w:eastAsia="en-AU"/>
              </w:rPr>
            </w:pPr>
            <w:r w:rsidRPr="00031635">
              <w:rPr>
                <w:lang w:eastAsia="en-AU"/>
              </w:rPr>
              <w:t>Mental Health and Wellbeing Levy</w:t>
            </w:r>
            <w:r>
              <w:rPr>
                <w:lang w:eastAsia="en-AU"/>
              </w:rPr>
              <w:t xml:space="preserve"> </w:t>
            </w:r>
          </w:p>
        </w:tc>
        <w:tc>
          <w:tcPr>
            <w:tcW w:w="1221" w:type="dxa"/>
            <w:noWrap/>
          </w:tcPr>
          <w:p w14:paraId="6991857D"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107</w:t>
            </w:r>
          </w:p>
        </w:tc>
        <w:tc>
          <w:tcPr>
            <w:tcW w:w="1045" w:type="dxa"/>
            <w:noWrap/>
          </w:tcPr>
          <w:p w14:paraId="0EBAEEB8"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116</w:t>
            </w:r>
          </w:p>
        </w:tc>
        <w:tc>
          <w:tcPr>
            <w:tcW w:w="1045" w:type="dxa"/>
            <w:noWrap/>
          </w:tcPr>
          <w:p w14:paraId="3464C84F"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123</w:t>
            </w:r>
          </w:p>
        </w:tc>
        <w:tc>
          <w:tcPr>
            <w:tcW w:w="1080" w:type="dxa"/>
            <w:noWrap/>
          </w:tcPr>
          <w:p w14:paraId="196552C5"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131</w:t>
            </w:r>
          </w:p>
        </w:tc>
      </w:tr>
      <w:tr w:rsidR="00616D11" w:rsidRPr="00031635" w14:paraId="5D68D76D"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2E8D19A5" w14:textId="77777777" w:rsidR="00616D11" w:rsidRPr="00031635" w:rsidRDefault="00616D11" w:rsidP="008670FF">
            <w:pPr>
              <w:rPr>
                <w:color w:val="000000"/>
                <w:lang w:eastAsia="en-AU"/>
              </w:rPr>
            </w:pPr>
            <w:r w:rsidRPr="00031635">
              <w:rPr>
                <w:lang w:eastAsia="en-AU"/>
              </w:rPr>
              <w:t>Land tax</w:t>
            </w:r>
            <w:r>
              <w:rPr>
                <w:lang w:eastAsia="en-AU"/>
              </w:rPr>
              <w:t xml:space="preserve"> </w:t>
            </w:r>
            <w:r w:rsidRPr="00E90AEA">
              <w:rPr>
                <w:vertAlign w:val="superscript"/>
              </w:rPr>
              <w:t>(</w:t>
            </w:r>
            <w:r>
              <w:rPr>
                <w:vertAlign w:val="superscript"/>
              </w:rPr>
              <w:t>b)</w:t>
            </w:r>
          </w:p>
        </w:tc>
        <w:tc>
          <w:tcPr>
            <w:tcW w:w="1221" w:type="dxa"/>
            <w:noWrap/>
          </w:tcPr>
          <w:p w14:paraId="761DA6AE"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12 253</w:t>
            </w:r>
          </w:p>
        </w:tc>
        <w:tc>
          <w:tcPr>
            <w:tcW w:w="1045" w:type="dxa"/>
            <w:noWrap/>
          </w:tcPr>
          <w:p w14:paraId="6A9055F2"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12 375</w:t>
            </w:r>
          </w:p>
        </w:tc>
        <w:tc>
          <w:tcPr>
            <w:tcW w:w="1045" w:type="dxa"/>
            <w:noWrap/>
          </w:tcPr>
          <w:p w14:paraId="3E3E251E"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13 179</w:t>
            </w:r>
          </w:p>
        </w:tc>
        <w:tc>
          <w:tcPr>
            <w:tcW w:w="1080" w:type="dxa"/>
            <w:noWrap/>
          </w:tcPr>
          <w:p w14:paraId="7122C191"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14 190</w:t>
            </w:r>
          </w:p>
        </w:tc>
      </w:tr>
      <w:tr w:rsidR="00616D11" w:rsidRPr="00031635" w14:paraId="428C193D"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1A1D6543" w14:textId="77777777" w:rsidR="00616D11" w:rsidRPr="00BB3EE3" w:rsidRDefault="00616D11" w:rsidP="008670FF">
            <w:pPr>
              <w:rPr>
                <w:color w:val="000000"/>
                <w:lang w:eastAsia="en-AU"/>
              </w:rPr>
            </w:pPr>
            <w:r w:rsidRPr="005628FB">
              <w:rPr>
                <w:color w:val="000000" w:themeColor="text1"/>
                <w:lang w:eastAsia="en-AU"/>
              </w:rPr>
              <w:t>Emergency Services and Volunteers Fund</w:t>
            </w:r>
            <w:r w:rsidRPr="00BB3EE3">
              <w:rPr>
                <w:color w:val="000000" w:themeColor="text1"/>
                <w:lang w:eastAsia="en-AU"/>
              </w:rPr>
              <w:t xml:space="preserve"> </w:t>
            </w:r>
            <w:r w:rsidRPr="00BB3EE3">
              <w:rPr>
                <w:vertAlign w:val="superscript"/>
              </w:rPr>
              <w:t>(c)</w:t>
            </w:r>
          </w:p>
        </w:tc>
        <w:tc>
          <w:tcPr>
            <w:tcW w:w="1221" w:type="dxa"/>
            <w:noWrap/>
          </w:tcPr>
          <w:p w14:paraId="74C28E0F" w14:textId="77777777" w:rsidR="00616D11" w:rsidRPr="00CB628A" w:rsidRDefault="00616D11" w:rsidP="008670FF">
            <w:pPr>
              <w:cnfStyle w:val="000000000000" w:firstRow="0" w:lastRow="0" w:firstColumn="0" w:lastColumn="0" w:oddVBand="0" w:evenVBand="0" w:oddHBand="0" w:evenHBand="0" w:firstRowFirstColumn="0" w:firstRowLastColumn="0" w:lastRowFirstColumn="0" w:lastRowLastColumn="0"/>
            </w:pPr>
            <w:r w:rsidRPr="00CB628A">
              <w:t xml:space="preserve"> 30</w:t>
            </w:r>
          </w:p>
        </w:tc>
        <w:tc>
          <w:tcPr>
            <w:tcW w:w="1045" w:type="dxa"/>
            <w:noWrap/>
          </w:tcPr>
          <w:p w14:paraId="66D0C3AB" w14:textId="77777777" w:rsidR="00616D11" w:rsidRPr="00CB628A" w:rsidRDefault="00616D11" w:rsidP="008670FF">
            <w:pPr>
              <w:cnfStyle w:val="000000000000" w:firstRow="0" w:lastRow="0" w:firstColumn="0" w:lastColumn="0" w:oddVBand="0" w:evenVBand="0" w:oddHBand="0" w:evenHBand="0" w:firstRowFirstColumn="0" w:firstRowLastColumn="0" w:lastRowFirstColumn="0" w:lastRowLastColumn="0"/>
            </w:pPr>
            <w:r w:rsidRPr="00FF3D6B">
              <w:t xml:space="preserve"> 30</w:t>
            </w:r>
          </w:p>
        </w:tc>
        <w:tc>
          <w:tcPr>
            <w:tcW w:w="1045" w:type="dxa"/>
            <w:noWrap/>
          </w:tcPr>
          <w:p w14:paraId="71EF5873" w14:textId="77777777" w:rsidR="00616D11" w:rsidRPr="00CB628A" w:rsidRDefault="00616D11" w:rsidP="008670FF">
            <w:pPr>
              <w:cnfStyle w:val="000000000000" w:firstRow="0" w:lastRow="0" w:firstColumn="0" w:lastColumn="0" w:oddVBand="0" w:evenVBand="0" w:oddHBand="0" w:evenHBand="0" w:firstRowFirstColumn="0" w:firstRowLastColumn="0" w:lastRowFirstColumn="0" w:lastRowLastColumn="0"/>
            </w:pPr>
            <w:r w:rsidRPr="00CB628A">
              <w:t xml:space="preserve"> 37</w:t>
            </w:r>
          </w:p>
        </w:tc>
        <w:tc>
          <w:tcPr>
            <w:tcW w:w="1080" w:type="dxa"/>
            <w:noWrap/>
          </w:tcPr>
          <w:p w14:paraId="0621321C" w14:textId="77777777" w:rsidR="00616D11" w:rsidRPr="00CB628A" w:rsidRDefault="00616D11" w:rsidP="008670FF">
            <w:pPr>
              <w:cnfStyle w:val="000000000000" w:firstRow="0" w:lastRow="0" w:firstColumn="0" w:lastColumn="0" w:oddVBand="0" w:evenVBand="0" w:oddHBand="0" w:evenHBand="0" w:firstRowFirstColumn="0" w:firstRowLastColumn="0" w:lastRowFirstColumn="0" w:lastRowLastColumn="0"/>
            </w:pPr>
            <w:r w:rsidRPr="00FF3D6B">
              <w:t xml:space="preserve"> 37</w:t>
            </w:r>
          </w:p>
        </w:tc>
      </w:tr>
      <w:tr w:rsidR="00616D11" w:rsidRPr="00031635" w14:paraId="6BD58360"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13B1146D" w14:textId="77777777" w:rsidR="00616D11" w:rsidRPr="00031635" w:rsidRDefault="00616D11" w:rsidP="008670FF">
            <w:pPr>
              <w:rPr>
                <w:lang w:eastAsia="en-AU"/>
              </w:rPr>
            </w:pPr>
            <w:r w:rsidRPr="00031635">
              <w:rPr>
                <w:lang w:eastAsia="en-AU"/>
              </w:rPr>
              <w:t xml:space="preserve">Land transfer </w:t>
            </w:r>
            <w:r>
              <w:rPr>
                <w:lang w:eastAsia="en-AU"/>
              </w:rPr>
              <w:t xml:space="preserve">duty </w:t>
            </w:r>
            <w:r w:rsidRPr="00E90AEA">
              <w:rPr>
                <w:vertAlign w:val="superscript"/>
              </w:rPr>
              <w:t>(</w:t>
            </w:r>
            <w:r>
              <w:rPr>
                <w:vertAlign w:val="superscript"/>
              </w:rPr>
              <w:t>d</w:t>
            </w:r>
            <w:r w:rsidRPr="00E90AEA">
              <w:rPr>
                <w:vertAlign w:val="superscript"/>
              </w:rPr>
              <w:t>)</w:t>
            </w:r>
          </w:p>
        </w:tc>
        <w:tc>
          <w:tcPr>
            <w:tcW w:w="1221" w:type="dxa"/>
            <w:noWrap/>
          </w:tcPr>
          <w:p w14:paraId="0B695638"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1 744</w:t>
            </w:r>
          </w:p>
        </w:tc>
        <w:tc>
          <w:tcPr>
            <w:tcW w:w="1045" w:type="dxa"/>
            <w:noWrap/>
          </w:tcPr>
          <w:p w14:paraId="631D53CB"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1 860</w:t>
            </w:r>
          </w:p>
        </w:tc>
        <w:tc>
          <w:tcPr>
            <w:tcW w:w="1045" w:type="dxa"/>
            <w:noWrap/>
          </w:tcPr>
          <w:p w14:paraId="77248E73"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2 014</w:t>
            </w:r>
          </w:p>
        </w:tc>
        <w:tc>
          <w:tcPr>
            <w:tcW w:w="1080" w:type="dxa"/>
            <w:noWrap/>
          </w:tcPr>
          <w:p w14:paraId="5079CDB5"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2 176</w:t>
            </w:r>
          </w:p>
        </w:tc>
      </w:tr>
      <w:tr w:rsidR="00616D11" w:rsidRPr="00031635" w14:paraId="0C74DAA2"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hideMark/>
          </w:tcPr>
          <w:p w14:paraId="791DE5EB" w14:textId="77777777" w:rsidR="00616D11" w:rsidRPr="00031635" w:rsidRDefault="00616D11" w:rsidP="008670FF">
            <w:pPr>
              <w:rPr>
                <w:lang w:eastAsia="en-AU"/>
              </w:rPr>
            </w:pPr>
            <w:r w:rsidRPr="00031635">
              <w:rPr>
                <w:lang w:eastAsia="en-AU"/>
              </w:rPr>
              <w:t>Gambling ta</w:t>
            </w:r>
            <w:r>
              <w:rPr>
                <w:lang w:eastAsia="en-AU"/>
              </w:rPr>
              <w:t xml:space="preserve">xes </w:t>
            </w:r>
            <w:r w:rsidRPr="00E90AEA">
              <w:rPr>
                <w:vertAlign w:val="superscript"/>
              </w:rPr>
              <w:t>(</w:t>
            </w:r>
            <w:r>
              <w:rPr>
                <w:vertAlign w:val="superscript"/>
              </w:rPr>
              <w:t>e</w:t>
            </w:r>
            <w:r w:rsidRPr="00E90AEA">
              <w:rPr>
                <w:vertAlign w:val="superscript"/>
              </w:rPr>
              <w:t>)</w:t>
            </w:r>
          </w:p>
        </w:tc>
        <w:tc>
          <w:tcPr>
            <w:tcW w:w="1221" w:type="dxa"/>
            <w:noWrap/>
            <w:hideMark/>
          </w:tcPr>
          <w:p w14:paraId="0B0A65E1" w14:textId="77777777" w:rsidR="00616D11" w:rsidRPr="0025799A" w:rsidRDefault="00616D11" w:rsidP="008670FF">
            <w:pPr>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733BF4">
              <w:t xml:space="preserve"> 92</w:t>
            </w:r>
          </w:p>
        </w:tc>
        <w:tc>
          <w:tcPr>
            <w:tcW w:w="1045" w:type="dxa"/>
            <w:noWrap/>
            <w:hideMark/>
          </w:tcPr>
          <w:p w14:paraId="28F325CE" w14:textId="77777777" w:rsidR="00616D11" w:rsidRPr="0025799A" w:rsidRDefault="00616D11" w:rsidP="008670FF">
            <w:pPr>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733BF4">
              <w:t xml:space="preserve"> 90</w:t>
            </w:r>
          </w:p>
        </w:tc>
        <w:tc>
          <w:tcPr>
            <w:tcW w:w="1045" w:type="dxa"/>
            <w:noWrap/>
            <w:hideMark/>
          </w:tcPr>
          <w:p w14:paraId="12FE2B1A" w14:textId="77777777" w:rsidR="00616D11" w:rsidRPr="0025799A" w:rsidRDefault="00616D11" w:rsidP="008670FF">
            <w:pPr>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733BF4">
              <w:t xml:space="preserve"> 80</w:t>
            </w:r>
          </w:p>
        </w:tc>
        <w:tc>
          <w:tcPr>
            <w:tcW w:w="1080" w:type="dxa"/>
            <w:noWrap/>
            <w:hideMark/>
          </w:tcPr>
          <w:p w14:paraId="3BC84110" w14:textId="77777777" w:rsidR="00616D11" w:rsidRPr="0025799A" w:rsidRDefault="00616D11" w:rsidP="008670FF">
            <w:pPr>
              <w:cnfStyle w:val="000000000000" w:firstRow="0" w:lastRow="0" w:firstColumn="0" w:lastColumn="0" w:oddVBand="0" w:evenVBand="0" w:oddHBand="0" w:evenHBand="0" w:firstRowFirstColumn="0" w:firstRowLastColumn="0" w:lastRowFirstColumn="0" w:lastRowLastColumn="0"/>
              <w:rPr>
                <w:color w:val="000000"/>
                <w:highlight w:val="magenta"/>
                <w:lang w:eastAsia="en-AU"/>
              </w:rPr>
            </w:pPr>
            <w:r w:rsidRPr="00733BF4">
              <w:t xml:space="preserve"> 81</w:t>
            </w:r>
          </w:p>
        </w:tc>
      </w:tr>
      <w:tr w:rsidR="00616D11" w:rsidRPr="00031635" w14:paraId="18AFA0CB"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79F427D4" w14:textId="77777777" w:rsidR="00616D11" w:rsidRPr="00031635" w:rsidRDefault="00616D11" w:rsidP="008670FF">
            <w:pPr>
              <w:rPr>
                <w:color w:val="000000"/>
                <w:lang w:eastAsia="en-AU"/>
              </w:rPr>
            </w:pPr>
            <w:r w:rsidRPr="007E29D9">
              <w:rPr>
                <w:color w:val="000000"/>
                <w:lang w:eastAsia="en-AU"/>
              </w:rPr>
              <w:t>Insurance duty</w:t>
            </w:r>
            <w:r>
              <w:rPr>
                <w:color w:val="000000"/>
                <w:lang w:eastAsia="en-AU"/>
              </w:rPr>
              <w:t xml:space="preserve"> </w:t>
            </w:r>
          </w:p>
        </w:tc>
        <w:tc>
          <w:tcPr>
            <w:tcW w:w="1221" w:type="dxa"/>
            <w:noWrap/>
          </w:tcPr>
          <w:p w14:paraId="26A8EBF3"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841</w:t>
            </w:r>
          </w:p>
        </w:tc>
        <w:tc>
          <w:tcPr>
            <w:tcW w:w="1045" w:type="dxa"/>
            <w:noWrap/>
          </w:tcPr>
          <w:p w14:paraId="39708D8A"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924</w:t>
            </w:r>
          </w:p>
        </w:tc>
        <w:tc>
          <w:tcPr>
            <w:tcW w:w="1045" w:type="dxa"/>
            <w:noWrap/>
          </w:tcPr>
          <w:p w14:paraId="2DF2ACD1"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1 031</w:t>
            </w:r>
          </w:p>
        </w:tc>
        <w:tc>
          <w:tcPr>
            <w:tcW w:w="1080" w:type="dxa"/>
            <w:noWrap/>
          </w:tcPr>
          <w:p w14:paraId="51DCA4EB"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1 150</w:t>
            </w:r>
          </w:p>
        </w:tc>
      </w:tr>
      <w:tr w:rsidR="00616D11" w:rsidRPr="00031635" w14:paraId="4A7BC168"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24B841EC" w14:textId="77777777" w:rsidR="00616D11" w:rsidRPr="007E29D9" w:rsidRDefault="00616D11" w:rsidP="008670FF">
            <w:pPr>
              <w:rPr>
                <w:color w:val="000000"/>
                <w:lang w:eastAsia="en-AU"/>
              </w:rPr>
            </w:pPr>
            <w:r w:rsidRPr="00031635">
              <w:rPr>
                <w:lang w:eastAsia="en-AU"/>
              </w:rPr>
              <w:t>Motor vehicle taxes</w:t>
            </w:r>
            <w:r>
              <w:rPr>
                <w:lang w:eastAsia="en-AU"/>
              </w:rPr>
              <w:t xml:space="preserve"> </w:t>
            </w:r>
            <w:r w:rsidRPr="00E90AEA">
              <w:rPr>
                <w:vertAlign w:val="superscript"/>
              </w:rPr>
              <w:t>(</w:t>
            </w:r>
            <w:r>
              <w:rPr>
                <w:vertAlign w:val="superscript"/>
              </w:rPr>
              <w:t>f</w:t>
            </w:r>
            <w:r w:rsidRPr="00E90AEA">
              <w:rPr>
                <w:vertAlign w:val="superscript"/>
              </w:rPr>
              <w:t>)</w:t>
            </w:r>
          </w:p>
        </w:tc>
        <w:tc>
          <w:tcPr>
            <w:tcW w:w="1221" w:type="dxa"/>
            <w:noWrap/>
          </w:tcPr>
          <w:p w14:paraId="4BC5BAB9" w14:textId="77777777" w:rsidR="00616D11" w:rsidRPr="005E16CC"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w:t>
            </w:r>
            <w:r>
              <w:t>556</w:t>
            </w:r>
          </w:p>
        </w:tc>
        <w:tc>
          <w:tcPr>
            <w:tcW w:w="1045" w:type="dxa"/>
            <w:noWrap/>
          </w:tcPr>
          <w:p w14:paraId="7B9929B0" w14:textId="77777777" w:rsidR="00616D11" w:rsidRPr="005E16CC"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w:t>
            </w:r>
            <w:r>
              <w:t>574</w:t>
            </w:r>
          </w:p>
        </w:tc>
        <w:tc>
          <w:tcPr>
            <w:tcW w:w="1045" w:type="dxa"/>
            <w:noWrap/>
          </w:tcPr>
          <w:p w14:paraId="3DE14703" w14:textId="77777777" w:rsidR="00616D11" w:rsidRPr="005E16CC" w:rsidRDefault="00616D11" w:rsidP="008670FF">
            <w:pPr>
              <w:cnfStyle w:val="000000000000" w:firstRow="0" w:lastRow="0" w:firstColumn="0" w:lastColumn="0" w:oddVBand="0" w:evenVBand="0" w:oddHBand="0" w:evenHBand="0" w:firstRowFirstColumn="0" w:firstRowLastColumn="0" w:lastRowFirstColumn="0" w:lastRowLastColumn="0"/>
            </w:pPr>
            <w:r>
              <w:t>579</w:t>
            </w:r>
          </w:p>
        </w:tc>
        <w:tc>
          <w:tcPr>
            <w:tcW w:w="1080" w:type="dxa"/>
            <w:noWrap/>
          </w:tcPr>
          <w:p w14:paraId="066E2485" w14:textId="77777777" w:rsidR="00616D11" w:rsidRPr="005E16CC" w:rsidRDefault="00616D11" w:rsidP="008670FF">
            <w:pPr>
              <w:cnfStyle w:val="000000000000" w:firstRow="0" w:lastRow="0" w:firstColumn="0" w:lastColumn="0" w:oddVBand="0" w:evenVBand="0" w:oddHBand="0" w:evenHBand="0" w:firstRowFirstColumn="0" w:firstRowLastColumn="0" w:lastRowFirstColumn="0" w:lastRowLastColumn="0"/>
            </w:pPr>
            <w:r w:rsidRPr="00733BF4">
              <w:t xml:space="preserve"> </w:t>
            </w:r>
            <w:r>
              <w:t>599</w:t>
            </w:r>
          </w:p>
        </w:tc>
      </w:tr>
      <w:tr w:rsidR="00616D11" w:rsidRPr="00031635" w14:paraId="31A41103" w14:textId="77777777" w:rsidTr="008670FF">
        <w:trPr>
          <w:trHeight w:val="258"/>
        </w:trPr>
        <w:tc>
          <w:tcPr>
            <w:cnfStyle w:val="001000000000" w:firstRow="0" w:lastRow="0" w:firstColumn="1" w:lastColumn="0" w:oddVBand="0" w:evenVBand="0" w:oddHBand="0" w:evenHBand="0" w:firstRowFirstColumn="0" w:firstRowLastColumn="0" w:lastRowFirstColumn="0" w:lastRowLastColumn="0"/>
            <w:tcW w:w="3320" w:type="dxa"/>
            <w:noWrap/>
          </w:tcPr>
          <w:p w14:paraId="08B78A60" w14:textId="77777777" w:rsidR="00616D11" w:rsidRPr="00031635" w:rsidRDefault="00616D11" w:rsidP="008670FF">
            <w:pPr>
              <w:rPr>
                <w:lang w:eastAsia="en-AU"/>
              </w:rPr>
            </w:pPr>
            <w:r w:rsidRPr="6B90CA8A">
              <w:rPr>
                <w:color w:val="000000" w:themeColor="text1"/>
                <w:lang w:eastAsia="en-AU"/>
              </w:rPr>
              <w:t>Congestion levy</w:t>
            </w:r>
            <w:r>
              <w:rPr>
                <w:lang w:eastAsia="en-AU"/>
              </w:rPr>
              <w:t xml:space="preserve"> </w:t>
            </w:r>
            <w:r w:rsidRPr="00E90AEA">
              <w:rPr>
                <w:vertAlign w:val="superscript"/>
              </w:rPr>
              <w:t>(</w:t>
            </w:r>
            <w:r>
              <w:rPr>
                <w:vertAlign w:val="superscript"/>
              </w:rPr>
              <w:t>g</w:t>
            </w:r>
            <w:r w:rsidRPr="00E90AEA">
              <w:rPr>
                <w:vertAlign w:val="superscript"/>
              </w:rPr>
              <w:t>)</w:t>
            </w:r>
          </w:p>
        </w:tc>
        <w:tc>
          <w:tcPr>
            <w:tcW w:w="1221" w:type="dxa"/>
            <w:noWrap/>
          </w:tcPr>
          <w:p w14:paraId="04444551"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81</w:t>
            </w:r>
          </w:p>
        </w:tc>
        <w:tc>
          <w:tcPr>
            <w:tcW w:w="1045" w:type="dxa"/>
            <w:noWrap/>
          </w:tcPr>
          <w:p w14:paraId="4A23EFFE"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t>146</w:t>
            </w:r>
          </w:p>
        </w:tc>
        <w:tc>
          <w:tcPr>
            <w:tcW w:w="1045" w:type="dxa"/>
            <w:noWrap/>
          </w:tcPr>
          <w:p w14:paraId="5FBACC9F"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t>149</w:t>
            </w:r>
          </w:p>
        </w:tc>
        <w:tc>
          <w:tcPr>
            <w:tcW w:w="1080" w:type="dxa"/>
            <w:noWrap/>
          </w:tcPr>
          <w:p w14:paraId="1C48D870"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color w:val="000000"/>
                <w:lang w:eastAsia="en-AU"/>
              </w:rPr>
            </w:pPr>
            <w:r w:rsidRPr="00733BF4">
              <w:t xml:space="preserve"> </w:t>
            </w:r>
            <w:r>
              <w:t>153</w:t>
            </w:r>
          </w:p>
        </w:tc>
      </w:tr>
      <w:tr w:rsidR="00616D11" w:rsidRPr="00031635" w14:paraId="2DD79C38" w14:textId="77777777" w:rsidTr="008670FF">
        <w:trPr>
          <w:cnfStyle w:val="010000000000" w:firstRow="0" w:lastRow="1"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320" w:type="dxa"/>
            <w:hideMark/>
          </w:tcPr>
          <w:p w14:paraId="7E2D6F23" w14:textId="77777777" w:rsidR="00616D11" w:rsidRPr="00031635" w:rsidRDefault="00616D11" w:rsidP="008670FF">
            <w:pPr>
              <w:rPr>
                <w:bCs/>
                <w:lang w:eastAsia="en-AU"/>
              </w:rPr>
            </w:pPr>
            <w:r w:rsidRPr="00031635">
              <w:rPr>
                <w:bCs/>
                <w:lang w:eastAsia="en-AU"/>
              </w:rPr>
              <w:t>Total estimated tax expenditures</w:t>
            </w:r>
          </w:p>
        </w:tc>
        <w:tc>
          <w:tcPr>
            <w:tcW w:w="1221" w:type="dxa"/>
            <w:noWrap/>
            <w:hideMark/>
          </w:tcPr>
          <w:p w14:paraId="300D83C2" w14:textId="77777777" w:rsidR="00616D11" w:rsidRPr="0025799A" w:rsidRDefault="00616D11" w:rsidP="008670FF">
            <w:pPr>
              <w:cnfStyle w:val="010000000000" w:firstRow="0" w:lastRow="1" w:firstColumn="0" w:lastColumn="0" w:oddVBand="0" w:evenVBand="0" w:oddHBand="0" w:evenHBand="0" w:firstRowFirstColumn="0" w:firstRowLastColumn="0" w:lastRowFirstColumn="0" w:lastRowLastColumn="0"/>
              <w:rPr>
                <w:bCs/>
                <w:color w:val="000000"/>
                <w:highlight w:val="magenta"/>
                <w:lang w:eastAsia="en-AU"/>
              </w:rPr>
            </w:pPr>
            <w:r w:rsidRPr="005152AD">
              <w:t>17 626</w:t>
            </w:r>
          </w:p>
        </w:tc>
        <w:tc>
          <w:tcPr>
            <w:tcW w:w="1045" w:type="dxa"/>
            <w:noWrap/>
            <w:hideMark/>
          </w:tcPr>
          <w:p w14:paraId="11846EA3" w14:textId="77777777" w:rsidR="00616D11" w:rsidRPr="0025799A" w:rsidRDefault="00616D11" w:rsidP="008670FF">
            <w:pPr>
              <w:cnfStyle w:val="010000000000" w:firstRow="0" w:lastRow="1" w:firstColumn="0" w:lastColumn="0" w:oddVBand="0" w:evenVBand="0" w:oddHBand="0" w:evenHBand="0" w:firstRowFirstColumn="0" w:firstRowLastColumn="0" w:lastRowFirstColumn="0" w:lastRowLastColumn="0"/>
              <w:rPr>
                <w:bCs/>
                <w:color w:val="000000"/>
                <w:highlight w:val="magenta"/>
                <w:lang w:eastAsia="en-AU"/>
              </w:rPr>
            </w:pPr>
            <w:r w:rsidRPr="00F86A39">
              <w:t>18 139</w:t>
            </w:r>
          </w:p>
        </w:tc>
        <w:tc>
          <w:tcPr>
            <w:tcW w:w="1045" w:type="dxa"/>
            <w:noWrap/>
            <w:hideMark/>
          </w:tcPr>
          <w:p w14:paraId="20952FCB" w14:textId="77777777" w:rsidR="00616D11" w:rsidRPr="0025799A" w:rsidRDefault="00616D11" w:rsidP="008670FF">
            <w:pPr>
              <w:cnfStyle w:val="010000000000" w:firstRow="0" w:lastRow="1" w:firstColumn="0" w:lastColumn="0" w:oddVBand="0" w:evenVBand="0" w:oddHBand="0" w:evenHBand="0" w:firstRowFirstColumn="0" w:firstRowLastColumn="0" w:lastRowFirstColumn="0" w:lastRowLastColumn="0"/>
              <w:rPr>
                <w:bCs/>
                <w:color w:val="000000"/>
                <w:highlight w:val="magenta"/>
                <w:lang w:eastAsia="en-AU"/>
              </w:rPr>
            </w:pPr>
            <w:r w:rsidRPr="00F86A39">
              <w:t>19 328</w:t>
            </w:r>
          </w:p>
        </w:tc>
        <w:tc>
          <w:tcPr>
            <w:tcW w:w="1080" w:type="dxa"/>
            <w:noWrap/>
            <w:hideMark/>
          </w:tcPr>
          <w:p w14:paraId="16574AA7" w14:textId="77777777" w:rsidR="00616D11" w:rsidRPr="009208C9" w:rsidRDefault="00616D11" w:rsidP="008670FF">
            <w:pPr>
              <w:cnfStyle w:val="010000000000" w:firstRow="0" w:lastRow="1" w:firstColumn="0" w:lastColumn="0" w:oddVBand="0" w:evenVBand="0" w:oddHBand="0" w:evenHBand="0" w:firstRowFirstColumn="0" w:firstRowLastColumn="0" w:lastRowFirstColumn="0" w:lastRowLastColumn="0"/>
              <w:rPr>
                <w:bCs/>
                <w:color w:val="000000"/>
                <w:lang w:eastAsia="en-AU"/>
              </w:rPr>
            </w:pPr>
            <w:r w:rsidRPr="00F86A39">
              <w:t>20 769</w:t>
            </w:r>
          </w:p>
        </w:tc>
      </w:tr>
    </w:tbl>
    <w:p w14:paraId="4390E8FC" w14:textId="77777777" w:rsidR="00616D11" w:rsidRDefault="00616D11" w:rsidP="00616D11">
      <w:pPr>
        <w:pStyle w:val="Note"/>
      </w:pPr>
      <w:r>
        <w:t>Notes:</w:t>
      </w:r>
    </w:p>
    <w:p w14:paraId="2946E0D1" w14:textId="77777777" w:rsidR="00616D11" w:rsidRDefault="00616D11" w:rsidP="00616D11">
      <w:pPr>
        <w:pStyle w:val="Note"/>
      </w:pPr>
      <w:r>
        <w:t xml:space="preserve">(a) </w:t>
      </w:r>
      <w:r>
        <w:tab/>
        <w:t>All amounts have been rounded to the nearest $1 million unless otherwise stated. Figures may not add due to rounding.</w:t>
      </w:r>
    </w:p>
    <w:p w14:paraId="1F2B8087" w14:textId="77777777" w:rsidR="00616D11" w:rsidRDefault="00616D11" w:rsidP="00616D11">
      <w:pPr>
        <w:pStyle w:val="Note"/>
      </w:pPr>
      <w:r w:rsidRPr="00E2125C">
        <w:t>(</w:t>
      </w:r>
      <w:r>
        <w:t>b</w:t>
      </w:r>
      <w:r w:rsidRPr="00E2125C">
        <w:t>)</w:t>
      </w:r>
      <w:r>
        <w:t xml:space="preserve"> </w:t>
      </w:r>
      <w:r>
        <w:tab/>
      </w:r>
      <w:r w:rsidRPr="00E2125C">
        <w:t>Land tax estimates include the COVID Debt Levy – Landholdings.</w:t>
      </w:r>
    </w:p>
    <w:p w14:paraId="62EE8346" w14:textId="77777777" w:rsidR="00616D11" w:rsidRDefault="00616D11" w:rsidP="00616D11">
      <w:pPr>
        <w:pStyle w:val="Note"/>
      </w:pPr>
      <w:r>
        <w:t>(c)</w:t>
      </w:r>
      <w:r>
        <w:tab/>
      </w:r>
      <w:r w:rsidRPr="00051D3D">
        <w:t xml:space="preserve">This line item was previously listed as the </w:t>
      </w:r>
      <w:r w:rsidRPr="00051D3D">
        <w:rPr>
          <w:i w:val="0"/>
        </w:rPr>
        <w:t>Fire Services Property Levy</w:t>
      </w:r>
      <w:r w:rsidRPr="00051D3D">
        <w:t xml:space="preserve">. The increase in this expenditure since the </w:t>
      </w:r>
      <w:r w:rsidRPr="00051D3D">
        <w:rPr>
          <w:i w:val="0"/>
        </w:rPr>
        <w:t>2024-25 Budget</w:t>
      </w:r>
      <w:r w:rsidRPr="00051D3D">
        <w:t xml:space="preserve"> reflects the replacement of the </w:t>
      </w:r>
      <w:r w:rsidRPr="00051D3D">
        <w:rPr>
          <w:i w:val="0"/>
        </w:rPr>
        <w:t xml:space="preserve">Fire Services Property Levy </w:t>
      </w:r>
      <w:r w:rsidRPr="00801F69">
        <w:t xml:space="preserve">with the </w:t>
      </w:r>
      <w:r w:rsidRPr="00051D3D">
        <w:rPr>
          <w:i w:val="0"/>
        </w:rPr>
        <w:t>Emergency Services and Volunteers Fund</w:t>
      </w:r>
      <w:r w:rsidRPr="00801F69">
        <w:t>,</w:t>
      </w:r>
      <w:r w:rsidRPr="00801F69">
        <w:rPr>
          <w:b/>
        </w:rPr>
        <w:t xml:space="preserve"> </w:t>
      </w:r>
      <w:r w:rsidRPr="00801F69">
        <w:t>and</w:t>
      </w:r>
      <w:r w:rsidRPr="00801F69" w:rsidDel="002E058F">
        <w:t xml:space="preserve"> </w:t>
      </w:r>
      <w:r w:rsidRPr="00801F69">
        <w:t>inclusion of emergency and disaster response services</w:t>
      </w:r>
      <w:r w:rsidRPr="00051D3D">
        <w:t xml:space="preserve">, as outlined in Appendix A, which includes an exemption for </w:t>
      </w:r>
      <w:r>
        <w:t>eligible</w:t>
      </w:r>
      <w:r w:rsidRPr="00051D3D">
        <w:t xml:space="preserve"> volunteers from the Country Fire Authority and Victoria State Emergency Service from </w:t>
      </w:r>
      <w:r>
        <w:t>1 July 2026</w:t>
      </w:r>
      <w:r w:rsidRPr="00051D3D">
        <w:t>.</w:t>
      </w:r>
    </w:p>
    <w:p w14:paraId="732EF22A" w14:textId="77777777" w:rsidR="00616D11" w:rsidRDefault="00616D11" w:rsidP="00616D11">
      <w:pPr>
        <w:pStyle w:val="Note"/>
      </w:pPr>
      <w:r>
        <w:t>(d)</w:t>
      </w:r>
      <w:r>
        <w:tab/>
      </w:r>
      <w:r w:rsidRPr="00C454DF">
        <w:t xml:space="preserve">The </w:t>
      </w:r>
      <w:r>
        <w:t>increase in land transfer duty tax</w:t>
      </w:r>
      <w:r w:rsidRPr="00C454DF">
        <w:t xml:space="preserve"> expenditures since </w:t>
      </w:r>
      <w:r w:rsidRPr="0003458F">
        <w:rPr>
          <w:i w:val="0"/>
        </w:rPr>
        <w:t xml:space="preserve">the </w:t>
      </w:r>
      <w:r>
        <w:rPr>
          <w:i w:val="0"/>
        </w:rPr>
        <w:t>2024-25</w:t>
      </w:r>
      <w:r w:rsidRPr="0003458F">
        <w:rPr>
          <w:i w:val="0"/>
        </w:rPr>
        <w:t xml:space="preserve"> </w:t>
      </w:r>
      <w:r w:rsidRPr="0003458F">
        <w:rPr>
          <w:i w:val="0"/>
          <w:iCs/>
        </w:rPr>
        <w:t>Budget</w:t>
      </w:r>
      <w:r w:rsidRPr="00AF403A">
        <w:t xml:space="preserve"> </w:t>
      </w:r>
      <w:r>
        <w:t xml:space="preserve">reflects the </w:t>
      </w:r>
      <w:r w:rsidRPr="00E50F45">
        <w:rPr>
          <w:i w:val="0"/>
          <w:iCs/>
        </w:rPr>
        <w:t>Off</w:t>
      </w:r>
      <w:r w:rsidRPr="00E50F45">
        <w:rPr>
          <w:i w:val="0"/>
        </w:rPr>
        <w:t xml:space="preserve">-the-plan </w:t>
      </w:r>
      <w:r w:rsidRPr="00E50F45">
        <w:rPr>
          <w:i w:val="0"/>
          <w:iCs/>
        </w:rPr>
        <w:t xml:space="preserve">stamp </w:t>
      </w:r>
      <w:r w:rsidRPr="00E50F45">
        <w:rPr>
          <w:i w:val="0"/>
        </w:rPr>
        <w:t xml:space="preserve">duty concession for </w:t>
      </w:r>
      <w:r w:rsidRPr="00E50F45">
        <w:rPr>
          <w:i w:val="0"/>
          <w:iCs/>
        </w:rPr>
        <w:t>apartments, units and townhouse</w:t>
      </w:r>
      <w:r w:rsidRPr="00066E00">
        <w:t>,</w:t>
      </w:r>
      <w:r w:rsidRPr="00051D3D">
        <w:t xml:space="preserve"> as outlined in Appendix A,</w:t>
      </w:r>
      <w:r>
        <w:t xml:space="preserve"> and the introduction of exemptions</w:t>
      </w:r>
      <w:r w:rsidRPr="00E023BD">
        <w:t xml:space="preserve"> </w:t>
      </w:r>
      <w:r>
        <w:t>for</w:t>
      </w:r>
      <w:r w:rsidRPr="00E023BD">
        <w:t xml:space="preserve"> commercial and industrial property </w:t>
      </w:r>
      <w:r>
        <w:t>where</w:t>
      </w:r>
      <w:r w:rsidRPr="00E023BD">
        <w:t xml:space="preserve"> the transaction is at least the second transaction of the property since 1 July 2024.</w:t>
      </w:r>
    </w:p>
    <w:p w14:paraId="6B0D1803" w14:textId="77777777" w:rsidR="00616D11" w:rsidRDefault="00616D11" w:rsidP="00616D11">
      <w:pPr>
        <w:pStyle w:val="Note"/>
      </w:pPr>
      <w:r>
        <w:t>(e)</w:t>
      </w:r>
      <w:r>
        <w:tab/>
      </w:r>
      <w:r w:rsidRPr="008E6B57">
        <w:t>The</w:t>
      </w:r>
      <w:r>
        <w:t xml:space="preserve"> changes to gambling taxes expenditures </w:t>
      </w:r>
      <w:r w:rsidRPr="00C454DF">
        <w:t xml:space="preserve">since </w:t>
      </w:r>
      <w:r w:rsidRPr="0003458F">
        <w:rPr>
          <w:i w:val="0"/>
        </w:rPr>
        <w:t xml:space="preserve">the </w:t>
      </w:r>
      <w:r>
        <w:rPr>
          <w:i w:val="0"/>
        </w:rPr>
        <w:t>2024-25</w:t>
      </w:r>
      <w:r w:rsidRPr="0003458F">
        <w:rPr>
          <w:i w:val="0"/>
        </w:rPr>
        <w:t xml:space="preserve"> </w:t>
      </w:r>
      <w:r w:rsidRPr="0003458F">
        <w:rPr>
          <w:i w:val="0"/>
          <w:iCs/>
        </w:rPr>
        <w:t>Budget</w:t>
      </w:r>
      <w:r w:rsidRPr="00AF403A">
        <w:t xml:space="preserve"> </w:t>
      </w:r>
      <w:r>
        <w:t>reflect revisions in underlying electronic gaming machine tax revenue estimates from updated data and changes to estimated revenue impacts of harm minimisation reforms.</w:t>
      </w:r>
    </w:p>
    <w:p w14:paraId="705F1483" w14:textId="77777777" w:rsidR="00616D11" w:rsidRDefault="00616D11" w:rsidP="00616D11">
      <w:pPr>
        <w:pStyle w:val="Note"/>
      </w:pPr>
      <w:r>
        <w:t>(f)</w:t>
      </w:r>
      <w:r>
        <w:tab/>
      </w:r>
      <w:r w:rsidRPr="007C5DCB">
        <w:t xml:space="preserve">The </w:t>
      </w:r>
      <w:r>
        <w:t>movement</w:t>
      </w:r>
      <w:r w:rsidRPr="007C5DCB">
        <w:t xml:space="preserve"> in motor vehicle taxes expenditures since </w:t>
      </w:r>
      <w:r w:rsidRPr="007C5DCB">
        <w:rPr>
          <w:i w:val="0"/>
        </w:rPr>
        <w:t>the 2024-25 Budget</w:t>
      </w:r>
      <w:r w:rsidRPr="007C5DCB">
        <w:t xml:space="preserve"> reflects an increase in luxury duty for non</w:t>
      </w:r>
      <w:r w:rsidRPr="007C5DCB">
        <w:noBreakHyphen/>
        <w:t>passenger motor vehicles due to a change in data availability</w:t>
      </w:r>
      <w:r w:rsidRPr="00801F69">
        <w:t xml:space="preserve"> and the </w:t>
      </w:r>
      <w:r w:rsidRPr="00801F69">
        <w:rPr>
          <w:i w:val="0"/>
        </w:rPr>
        <w:t>Aligning vehicle registration fees for zero and low emission vehicles</w:t>
      </w:r>
      <w:r w:rsidRPr="00801F69">
        <w:t xml:space="preserve"> initiative which removes registration discounts for zero and low emission vehicles from </w:t>
      </w:r>
      <w:r>
        <w:t>1 January 2026</w:t>
      </w:r>
      <w:r w:rsidRPr="007C5DCB">
        <w:t>.</w:t>
      </w:r>
    </w:p>
    <w:p w14:paraId="0AA2D550" w14:textId="77777777" w:rsidR="00616D11" w:rsidRDefault="00616D11" w:rsidP="00616D11">
      <w:pPr>
        <w:pStyle w:val="Note"/>
      </w:pPr>
      <w:r>
        <w:t>(g)</w:t>
      </w:r>
      <w:r>
        <w:tab/>
        <w:t xml:space="preserve">The increase in </w:t>
      </w:r>
      <w:r w:rsidRPr="00162B95">
        <w:t>congestion levy tax expenditures since</w:t>
      </w:r>
      <w:r w:rsidRPr="005A7FFB">
        <w:t xml:space="preserve"> the </w:t>
      </w:r>
      <w:r w:rsidRPr="0012278C">
        <w:rPr>
          <w:i w:val="0"/>
        </w:rPr>
        <w:t>2024-25 Budget</w:t>
      </w:r>
      <w:r w:rsidRPr="005A7FFB">
        <w:t xml:space="preserve"> reflects</w:t>
      </w:r>
      <w:r w:rsidRPr="0025200C">
        <w:t xml:space="preserve"> </w:t>
      </w:r>
      <w:r>
        <w:t xml:space="preserve">the introduction of the </w:t>
      </w:r>
      <w:r>
        <w:rPr>
          <w:i w:val="0"/>
          <w:iCs/>
        </w:rPr>
        <w:t xml:space="preserve">Harmonising </w:t>
      </w:r>
      <w:r w:rsidRPr="00025E83">
        <w:rPr>
          <w:i w:val="0"/>
          <w:iCs/>
        </w:rPr>
        <w:t xml:space="preserve">congestion levy </w:t>
      </w:r>
      <w:r>
        <w:rPr>
          <w:i w:val="0"/>
          <w:iCs/>
        </w:rPr>
        <w:t xml:space="preserve">rates with Sydney </w:t>
      </w:r>
      <w:r w:rsidRPr="00025E83">
        <w:rPr>
          <w:i w:val="0"/>
          <w:iCs/>
        </w:rPr>
        <w:t>and expand</w:t>
      </w:r>
      <w:r>
        <w:rPr>
          <w:i w:val="0"/>
          <w:iCs/>
        </w:rPr>
        <w:t>ing</w:t>
      </w:r>
      <w:r w:rsidRPr="00025E83">
        <w:rPr>
          <w:i w:val="0"/>
          <w:iCs/>
        </w:rPr>
        <w:t xml:space="preserve"> the congestion boundary</w:t>
      </w:r>
      <w:r>
        <w:t xml:space="preserve"> initiative which increases the congestion levy rates and expands the congestion area boundary from 1 January 2026. </w:t>
      </w:r>
    </w:p>
    <w:p w14:paraId="23DE0AF2" w14:textId="77777777" w:rsidR="00616D11" w:rsidRDefault="00616D11" w:rsidP="00616D11">
      <w:pPr>
        <w:pStyle w:val="Note"/>
        <w:ind w:left="0" w:firstLine="0"/>
      </w:pPr>
    </w:p>
    <w:p w14:paraId="1856B830" w14:textId="77777777" w:rsidR="00616D11" w:rsidRDefault="00616D11" w:rsidP="00616D11">
      <w:pPr>
        <w:pStyle w:val="Heading10"/>
        <w:pageBreakBefore/>
      </w:pPr>
      <w:bookmarkStart w:id="217" w:name="_Toc184198779"/>
      <w:bookmarkStart w:id="218" w:name="_Toc184222998"/>
      <w:bookmarkStart w:id="219" w:name="_Toc184299303"/>
      <w:bookmarkStart w:id="220" w:name="_Toc184299472"/>
      <w:r>
        <w:t>Concessions</w:t>
      </w:r>
      <w:bookmarkEnd w:id="217"/>
      <w:bookmarkEnd w:id="218"/>
      <w:bookmarkEnd w:id="219"/>
      <w:bookmarkEnd w:id="220"/>
    </w:p>
    <w:p w14:paraId="51E4CDD9" w14:textId="77777777" w:rsidR="00616D11" w:rsidRDefault="00616D11" w:rsidP="00616D11">
      <w:r>
        <w:t>Concessions are direct budget outlays or reduced government charges that reduce the price of a good or service for particular groups. Over the decade to 2023-24, the State has provided approximately $18.2 billion in concessions. In 2024-25, concessions are forecast to be around $2.5 billion.</w:t>
      </w:r>
    </w:p>
    <w:p w14:paraId="51B9D174" w14:textId="77777777" w:rsidR="00616D11" w:rsidRDefault="00616D11" w:rsidP="00D96BAD">
      <w:pPr>
        <w:ind w:right="-184"/>
      </w:pPr>
      <w:r>
        <w:t>Certain characteristics of a consumer, such as possession of a Commonwealth Government Pensioner Concession Card or Health Care Card, can be the basis for such entitlements. Concessions allow recipients to access or purchase important public services such as energy, education, health and transportation at a reduced cost. Table C.2 classifies the major concessions by category.</w:t>
      </w:r>
    </w:p>
    <w:p w14:paraId="60A51DE3" w14:textId="77777777" w:rsidR="00616D11" w:rsidRDefault="00616D11" w:rsidP="00616D11">
      <w:r>
        <w:t>Eligible concession card holders receive reduced bills for energy, municipal rates, water and sewerage funded by the State via service providers.</w:t>
      </w:r>
    </w:p>
    <w:p w14:paraId="397889FF" w14:textId="77777777" w:rsidR="00616D11" w:rsidRDefault="00616D11" w:rsidP="00616D11">
      <w:r>
        <w:t>Education concessions include concessions for preschool and for vocational education and training.</w:t>
      </w:r>
    </w:p>
    <w:p w14:paraId="6052D121" w14:textId="77777777" w:rsidR="00616D11" w:rsidRDefault="00616D11" w:rsidP="00616D11">
      <w:r>
        <w:t>Hardship schemes include the Utility Relief Grant Scheme and payments to State Trustees through a Community Service Agreement. The Utility Relief Grant Scheme assists Victorians unable to pay utility bills due to temporary financial hardship. State Trustees provide trustee services, including managing the legal and financial affairs of Victorians unable to do so independently.</w:t>
      </w:r>
    </w:p>
    <w:p w14:paraId="642DC27E" w14:textId="77777777" w:rsidR="00616D11" w:rsidRDefault="00616D11" w:rsidP="00616D11">
      <w:r>
        <w:t>The social and community services category includes assistance to not</w:t>
      </w:r>
      <w:r>
        <w:noBreakHyphen/>
        <w:t>for</w:t>
      </w:r>
      <w:r>
        <w:noBreakHyphen/>
        <w:t xml:space="preserve">profit organisations such as Bereavement Assistance Limited, the Charity Freight Service and food relief organisations. </w:t>
      </w:r>
    </w:p>
    <w:p w14:paraId="5EA541A1" w14:textId="77777777" w:rsidR="00616D11" w:rsidRDefault="00616D11" w:rsidP="00616D11">
      <w:r>
        <w:t>Private transport concessions include a discount on Transport Accident Commission premiums, funding of the Multi</w:t>
      </w:r>
      <w:r>
        <w:noBreakHyphen/>
        <w:t>Purpose Taxi Program and vehicle registration discounts through the Victorian Veterans Card initiative.</w:t>
      </w:r>
    </w:p>
    <w:p w14:paraId="5AD68B39" w14:textId="77777777" w:rsidR="00616D11" w:rsidRDefault="00616D11" w:rsidP="00616D11">
      <w:r>
        <w:t xml:space="preserve">Public transport concessions consist of free travel passes and concessional fares provided to eligible customers to travel free or on discounted fares on the public transport network. </w:t>
      </w:r>
    </w:p>
    <w:p w14:paraId="73A7E1E5" w14:textId="77777777" w:rsidR="00616D11" w:rsidRDefault="00616D11" w:rsidP="00616D11"/>
    <w:p w14:paraId="0A920661" w14:textId="77777777" w:rsidR="00616D11" w:rsidRDefault="00616D11" w:rsidP="00616D11">
      <w:pPr>
        <w:keepLines w:val="0"/>
        <w:rPr>
          <w:rFonts w:asciiTheme="majorHAnsi" w:hAnsiTheme="majorHAnsi" w:cstheme="minorBidi"/>
          <w:b/>
          <w:iCs/>
          <w:sz w:val="20"/>
          <w:szCs w:val="18"/>
        </w:rPr>
      </w:pPr>
      <w:r>
        <w:br w:type="page"/>
      </w:r>
    </w:p>
    <w:p w14:paraId="1F0B7834" w14:textId="77777777" w:rsidR="00616D11" w:rsidRDefault="00616D11" w:rsidP="00616D11">
      <w:pPr>
        <w:pStyle w:val="TableHeading"/>
      </w:pPr>
      <w:r w:rsidRPr="0067799E">
        <w:t>Table C.2:</w:t>
      </w:r>
      <w:r w:rsidRPr="0067799E">
        <w:tab/>
        <w:t xml:space="preserve">Concessions by category </w:t>
      </w:r>
      <w:r w:rsidRPr="0067799E">
        <w:rPr>
          <w:vertAlign w:val="superscript"/>
        </w:rPr>
        <w:t>(a)</w:t>
      </w:r>
      <w:r>
        <w:rPr>
          <w:vertAlign w:val="superscript"/>
        </w:rPr>
        <w:t>(b)</w:t>
      </w:r>
      <w:r w:rsidRPr="0067799E">
        <w:tab/>
        <w:t>($</w:t>
      </w:r>
      <w:r>
        <w:t> </w:t>
      </w:r>
      <w:r w:rsidRPr="0067799E">
        <w:t>million)</w:t>
      </w:r>
    </w:p>
    <w:tbl>
      <w:tblPr>
        <w:tblStyle w:val="DTFTableNumeric"/>
        <w:tblW w:w="7728" w:type="dxa"/>
        <w:tblLook w:val="06E0" w:firstRow="1" w:lastRow="1" w:firstColumn="1" w:lastColumn="0" w:noHBand="1" w:noVBand="1"/>
      </w:tblPr>
      <w:tblGrid>
        <w:gridCol w:w="6396"/>
        <w:gridCol w:w="1332"/>
      </w:tblGrid>
      <w:tr w:rsidR="00616D11" w:rsidRPr="00031635" w14:paraId="3742ADAC" w14:textId="77777777" w:rsidTr="008670F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60F28E0" w14:textId="77777777" w:rsidR="00616D11" w:rsidRPr="00031635" w:rsidRDefault="00616D11" w:rsidP="008670FF">
            <w:pPr>
              <w:rPr>
                <w:lang w:eastAsia="en-AU"/>
              </w:rPr>
            </w:pPr>
            <w:r w:rsidRPr="00031635">
              <w:rPr>
                <w:lang w:eastAsia="en-AU"/>
              </w:rPr>
              <w:t>Description</w:t>
            </w:r>
          </w:p>
        </w:tc>
        <w:tc>
          <w:tcPr>
            <w:tcW w:w="1332" w:type="dxa"/>
            <w:noWrap/>
            <w:hideMark/>
          </w:tcPr>
          <w:p w14:paraId="5E9FE5E0" w14:textId="77777777" w:rsidR="00616D11" w:rsidRPr="00031635" w:rsidRDefault="00616D11" w:rsidP="008670FF">
            <w:pPr>
              <w:cnfStyle w:val="100000000000" w:firstRow="1" w:lastRow="0" w:firstColumn="0" w:lastColumn="0" w:oddVBand="0" w:evenVBand="0" w:oddHBand="0" w:evenHBand="0" w:firstRowFirstColumn="0" w:firstRowLastColumn="0" w:lastRowFirstColumn="0" w:lastRowLastColumn="0"/>
              <w:rPr>
                <w:lang w:eastAsia="en-AU"/>
              </w:rPr>
            </w:pPr>
            <w:r>
              <w:t>2024-25</w:t>
            </w:r>
          </w:p>
        </w:tc>
      </w:tr>
      <w:tr w:rsidR="00616D11" w:rsidRPr="00031635" w14:paraId="4A4F3FEB"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40D7D86" w14:textId="77777777" w:rsidR="00616D11" w:rsidRPr="00031635" w:rsidRDefault="00616D11" w:rsidP="008670FF">
            <w:pPr>
              <w:rPr>
                <w:lang w:eastAsia="en-AU"/>
              </w:rPr>
            </w:pPr>
            <w:r w:rsidRPr="00031635">
              <w:rPr>
                <w:lang w:eastAsia="en-AU"/>
              </w:rPr>
              <w:t>Electricity</w:t>
            </w:r>
          </w:p>
        </w:tc>
        <w:tc>
          <w:tcPr>
            <w:tcW w:w="1332" w:type="dxa"/>
            <w:noWrap/>
            <w:hideMark/>
          </w:tcPr>
          <w:p w14:paraId="64952F94"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135</w:t>
            </w:r>
          </w:p>
        </w:tc>
      </w:tr>
      <w:tr w:rsidR="00616D11" w:rsidRPr="00031635" w14:paraId="32B6DD9B"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5D53FD93" w14:textId="77777777" w:rsidR="00616D11" w:rsidRPr="00031635" w:rsidRDefault="00616D11" w:rsidP="008670FF">
            <w:pPr>
              <w:rPr>
                <w:lang w:eastAsia="en-AU"/>
              </w:rPr>
            </w:pPr>
            <w:r w:rsidRPr="00031635">
              <w:rPr>
                <w:lang w:eastAsia="en-AU"/>
              </w:rPr>
              <w:t>Mains gas</w:t>
            </w:r>
          </w:p>
        </w:tc>
        <w:tc>
          <w:tcPr>
            <w:tcW w:w="1332" w:type="dxa"/>
            <w:noWrap/>
            <w:hideMark/>
          </w:tcPr>
          <w:p w14:paraId="7A33DD1F"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80</w:t>
            </w:r>
          </w:p>
        </w:tc>
      </w:tr>
      <w:tr w:rsidR="00616D11" w:rsidRPr="00031635" w14:paraId="549C3215"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2C605A27" w14:textId="77777777" w:rsidR="00616D11" w:rsidRPr="00031635" w:rsidRDefault="00616D11" w:rsidP="008670FF">
            <w:pPr>
              <w:rPr>
                <w:lang w:eastAsia="en-AU"/>
              </w:rPr>
            </w:pPr>
            <w:r w:rsidRPr="00031635">
              <w:rPr>
                <w:lang w:eastAsia="en-AU"/>
              </w:rPr>
              <w:t>Municipal rates</w:t>
            </w:r>
          </w:p>
        </w:tc>
        <w:tc>
          <w:tcPr>
            <w:tcW w:w="1332" w:type="dxa"/>
            <w:noWrap/>
            <w:hideMark/>
          </w:tcPr>
          <w:p w14:paraId="076F51A7"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104</w:t>
            </w:r>
          </w:p>
        </w:tc>
      </w:tr>
      <w:tr w:rsidR="00616D11" w:rsidRPr="00031635" w14:paraId="5CD3A4ED"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073A353C" w14:textId="77777777" w:rsidR="00616D11" w:rsidRPr="00031635" w:rsidRDefault="00616D11" w:rsidP="008670FF">
            <w:pPr>
              <w:rPr>
                <w:lang w:eastAsia="en-AU"/>
              </w:rPr>
            </w:pPr>
            <w:r w:rsidRPr="00031635">
              <w:rPr>
                <w:lang w:eastAsia="en-AU"/>
              </w:rPr>
              <w:t>Water and sewerage</w:t>
            </w:r>
          </w:p>
        </w:tc>
        <w:tc>
          <w:tcPr>
            <w:tcW w:w="1332" w:type="dxa"/>
            <w:noWrap/>
            <w:hideMark/>
          </w:tcPr>
          <w:p w14:paraId="5F18FDF6"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182</w:t>
            </w:r>
          </w:p>
        </w:tc>
      </w:tr>
      <w:tr w:rsidR="00616D11" w:rsidRPr="00031635" w14:paraId="52EF8169"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3E6AFAC7" w14:textId="77777777" w:rsidR="00616D11" w:rsidRPr="00031635" w:rsidRDefault="00616D11" w:rsidP="008670FF">
            <w:pPr>
              <w:rPr>
                <w:b/>
                <w:bCs/>
                <w:lang w:eastAsia="en-AU"/>
              </w:rPr>
            </w:pPr>
            <w:r w:rsidRPr="00031635">
              <w:rPr>
                <w:b/>
                <w:bCs/>
                <w:lang w:eastAsia="en-AU"/>
              </w:rPr>
              <w:t>Total energy, municipal rates, water and sewerage</w:t>
            </w:r>
          </w:p>
        </w:tc>
        <w:tc>
          <w:tcPr>
            <w:tcW w:w="1332" w:type="dxa"/>
            <w:noWrap/>
            <w:hideMark/>
          </w:tcPr>
          <w:p w14:paraId="2923869A"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501</w:t>
            </w:r>
          </w:p>
        </w:tc>
      </w:tr>
      <w:tr w:rsidR="00616D11" w:rsidRPr="00031635" w14:paraId="704D0726"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49446D37" w14:textId="77777777" w:rsidR="00616D11" w:rsidRPr="00031635" w:rsidRDefault="00616D11" w:rsidP="008670FF">
            <w:pPr>
              <w:rPr>
                <w:lang w:eastAsia="en-AU"/>
              </w:rPr>
            </w:pPr>
            <w:r w:rsidRPr="00031635">
              <w:rPr>
                <w:lang w:eastAsia="en-AU"/>
              </w:rPr>
              <w:t>Ambulance</w:t>
            </w:r>
          </w:p>
        </w:tc>
        <w:tc>
          <w:tcPr>
            <w:tcW w:w="1332" w:type="dxa"/>
            <w:noWrap/>
            <w:hideMark/>
          </w:tcPr>
          <w:p w14:paraId="611EA92D"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587</w:t>
            </w:r>
          </w:p>
        </w:tc>
      </w:tr>
      <w:tr w:rsidR="00616D11" w:rsidRPr="00031635" w14:paraId="52B43860"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56183AE8" w14:textId="77777777" w:rsidR="00616D11" w:rsidRPr="00025E83" w:rsidRDefault="00616D11" w:rsidP="008670FF">
            <w:pPr>
              <w:rPr>
                <w:vertAlign w:val="superscript"/>
                <w:lang w:eastAsia="en-AU"/>
              </w:rPr>
            </w:pPr>
            <w:r w:rsidRPr="00031635">
              <w:rPr>
                <w:lang w:eastAsia="en-AU"/>
              </w:rPr>
              <w:t>Dental services and spectacles</w:t>
            </w:r>
            <w:r>
              <w:rPr>
                <w:lang w:eastAsia="en-AU"/>
              </w:rPr>
              <w:t xml:space="preserve"> </w:t>
            </w:r>
          </w:p>
        </w:tc>
        <w:tc>
          <w:tcPr>
            <w:tcW w:w="1332" w:type="dxa"/>
            <w:noWrap/>
            <w:hideMark/>
          </w:tcPr>
          <w:p w14:paraId="7A98CB17"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169</w:t>
            </w:r>
          </w:p>
        </w:tc>
      </w:tr>
      <w:tr w:rsidR="00616D11" w:rsidRPr="00031635" w14:paraId="4FF441A0"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6E3A100" w14:textId="77777777" w:rsidR="00616D11" w:rsidRPr="00031635" w:rsidRDefault="00616D11" w:rsidP="008670FF">
            <w:pPr>
              <w:rPr>
                <w:lang w:eastAsia="en-AU"/>
              </w:rPr>
            </w:pPr>
            <w:r w:rsidRPr="00031635">
              <w:rPr>
                <w:lang w:eastAsia="en-AU"/>
              </w:rPr>
              <w:t>Community health programs</w:t>
            </w:r>
            <w:r>
              <w:rPr>
                <w:lang w:eastAsia="en-AU"/>
              </w:rPr>
              <w:t xml:space="preserve"> </w:t>
            </w:r>
          </w:p>
        </w:tc>
        <w:tc>
          <w:tcPr>
            <w:tcW w:w="1332" w:type="dxa"/>
            <w:noWrap/>
            <w:hideMark/>
          </w:tcPr>
          <w:p w14:paraId="45A46CF1" w14:textId="77777777" w:rsidR="00616D11" w:rsidRPr="00031635" w:rsidRDefault="00616D11" w:rsidP="008670FF">
            <w:pPr>
              <w:cnfStyle w:val="000000000000" w:firstRow="0" w:lastRow="0" w:firstColumn="0" w:lastColumn="0" w:oddVBand="0" w:evenVBand="0" w:oddHBand="0" w:evenHBand="0" w:firstRowFirstColumn="0" w:firstRowLastColumn="0" w:lastRowFirstColumn="0" w:lastRowLastColumn="0"/>
              <w:rPr>
                <w:lang w:eastAsia="en-AU"/>
              </w:rPr>
            </w:pPr>
            <w:r w:rsidRPr="00D15147">
              <w:t xml:space="preserve"> 155</w:t>
            </w:r>
          </w:p>
        </w:tc>
      </w:tr>
      <w:tr w:rsidR="00616D11" w:rsidRPr="00031635" w14:paraId="2C27E315"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68867C6D" w14:textId="77777777" w:rsidR="00616D11" w:rsidRPr="00031635" w:rsidRDefault="00616D11" w:rsidP="008670FF">
            <w:pPr>
              <w:rPr>
                <w:b/>
                <w:bCs/>
                <w:lang w:eastAsia="en-AU"/>
              </w:rPr>
            </w:pPr>
            <w:r w:rsidRPr="00031635">
              <w:rPr>
                <w:b/>
                <w:bCs/>
                <w:lang w:eastAsia="en-AU"/>
              </w:rPr>
              <w:t>Total health</w:t>
            </w:r>
          </w:p>
        </w:tc>
        <w:tc>
          <w:tcPr>
            <w:tcW w:w="1332" w:type="dxa"/>
            <w:noWrap/>
            <w:hideMark/>
          </w:tcPr>
          <w:p w14:paraId="0A60519E"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911</w:t>
            </w:r>
          </w:p>
        </w:tc>
      </w:tr>
      <w:tr w:rsidR="00616D11" w:rsidRPr="00031635" w14:paraId="20C7EA5C"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113F5773" w14:textId="77777777" w:rsidR="00616D11" w:rsidRPr="00031635" w:rsidRDefault="00616D11" w:rsidP="008670FF">
            <w:pPr>
              <w:rPr>
                <w:b/>
                <w:bCs/>
                <w:lang w:eastAsia="en-AU"/>
              </w:rPr>
            </w:pPr>
            <w:r w:rsidRPr="00031635">
              <w:rPr>
                <w:b/>
                <w:bCs/>
                <w:lang w:eastAsia="en-AU"/>
              </w:rPr>
              <w:t xml:space="preserve">Education </w:t>
            </w:r>
          </w:p>
        </w:tc>
        <w:tc>
          <w:tcPr>
            <w:tcW w:w="1332" w:type="dxa"/>
            <w:noWrap/>
            <w:hideMark/>
          </w:tcPr>
          <w:p w14:paraId="460AA0CE"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443</w:t>
            </w:r>
          </w:p>
        </w:tc>
      </w:tr>
      <w:tr w:rsidR="00616D11" w:rsidRPr="00031635" w14:paraId="584C8ED5"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30769800" w14:textId="77777777" w:rsidR="00616D11" w:rsidRPr="00031635" w:rsidRDefault="00616D11" w:rsidP="008670FF">
            <w:pPr>
              <w:rPr>
                <w:b/>
                <w:bCs/>
                <w:lang w:eastAsia="en-AU"/>
              </w:rPr>
            </w:pPr>
            <w:r w:rsidRPr="00031635">
              <w:rPr>
                <w:b/>
                <w:bCs/>
                <w:lang w:eastAsia="en-AU"/>
              </w:rPr>
              <w:t>Hardship schemes</w:t>
            </w:r>
          </w:p>
        </w:tc>
        <w:tc>
          <w:tcPr>
            <w:tcW w:w="1332" w:type="dxa"/>
            <w:noWrap/>
            <w:hideMark/>
          </w:tcPr>
          <w:p w14:paraId="50B203E7"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103</w:t>
            </w:r>
          </w:p>
        </w:tc>
      </w:tr>
      <w:tr w:rsidR="00616D11" w:rsidRPr="00031635" w14:paraId="2465E598"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0C105A06" w14:textId="77777777" w:rsidR="00616D11" w:rsidRPr="00031635" w:rsidRDefault="00616D11" w:rsidP="008670FF">
            <w:pPr>
              <w:rPr>
                <w:b/>
                <w:bCs/>
                <w:lang w:eastAsia="en-AU"/>
              </w:rPr>
            </w:pPr>
            <w:r w:rsidRPr="00031635">
              <w:rPr>
                <w:b/>
                <w:bCs/>
                <w:lang w:eastAsia="en-AU"/>
              </w:rPr>
              <w:t>Social and community services</w:t>
            </w:r>
            <w:r w:rsidRPr="003C49FE">
              <w:rPr>
                <w:b/>
                <w:bCs/>
                <w:lang w:eastAsia="en-AU"/>
              </w:rPr>
              <w:t xml:space="preserve"> </w:t>
            </w:r>
          </w:p>
        </w:tc>
        <w:tc>
          <w:tcPr>
            <w:tcW w:w="1332" w:type="dxa"/>
            <w:noWrap/>
            <w:hideMark/>
          </w:tcPr>
          <w:p w14:paraId="6A5A4715"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7</w:t>
            </w:r>
          </w:p>
        </w:tc>
      </w:tr>
      <w:tr w:rsidR="00616D11" w:rsidRPr="00031635" w14:paraId="3D29596C"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7425C072" w14:textId="77777777" w:rsidR="00616D11" w:rsidRPr="00031635" w:rsidRDefault="00616D11" w:rsidP="008670FF">
            <w:pPr>
              <w:rPr>
                <w:b/>
                <w:bCs/>
                <w:lang w:eastAsia="en-AU"/>
              </w:rPr>
            </w:pPr>
            <w:r w:rsidRPr="00031635">
              <w:rPr>
                <w:b/>
                <w:bCs/>
                <w:lang w:eastAsia="en-AU"/>
              </w:rPr>
              <w:t>Private transport</w:t>
            </w:r>
          </w:p>
        </w:tc>
        <w:tc>
          <w:tcPr>
            <w:tcW w:w="1332" w:type="dxa"/>
            <w:noWrap/>
            <w:hideMark/>
          </w:tcPr>
          <w:p w14:paraId="6754D983"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310</w:t>
            </w:r>
          </w:p>
        </w:tc>
      </w:tr>
      <w:tr w:rsidR="00616D11" w:rsidRPr="00031635" w14:paraId="4D415628" w14:textId="77777777" w:rsidTr="008670FF">
        <w:trPr>
          <w:trHeight w:val="254"/>
        </w:trPr>
        <w:tc>
          <w:tcPr>
            <w:cnfStyle w:val="001000000000" w:firstRow="0" w:lastRow="0" w:firstColumn="1" w:lastColumn="0" w:oddVBand="0" w:evenVBand="0" w:oddHBand="0" w:evenHBand="0" w:firstRowFirstColumn="0" w:firstRowLastColumn="0" w:lastRowFirstColumn="0" w:lastRowLastColumn="0"/>
            <w:tcW w:w="6396" w:type="dxa"/>
            <w:noWrap/>
            <w:hideMark/>
          </w:tcPr>
          <w:p w14:paraId="76584E1C" w14:textId="77777777" w:rsidR="00616D11" w:rsidRPr="00031635" w:rsidRDefault="00616D11" w:rsidP="008670FF">
            <w:pPr>
              <w:rPr>
                <w:b/>
                <w:bCs/>
                <w:lang w:eastAsia="en-AU"/>
              </w:rPr>
            </w:pPr>
            <w:r w:rsidRPr="00031635">
              <w:rPr>
                <w:b/>
                <w:bCs/>
                <w:lang w:eastAsia="en-AU"/>
              </w:rPr>
              <w:t>Public transpor</w:t>
            </w:r>
            <w:r>
              <w:rPr>
                <w:b/>
                <w:bCs/>
                <w:lang w:eastAsia="en-AU"/>
              </w:rPr>
              <w:t>t</w:t>
            </w:r>
          </w:p>
        </w:tc>
        <w:tc>
          <w:tcPr>
            <w:tcW w:w="1332" w:type="dxa"/>
            <w:noWrap/>
            <w:hideMark/>
          </w:tcPr>
          <w:p w14:paraId="34B98C1F" w14:textId="77777777" w:rsidR="00616D11" w:rsidRPr="007D3D75" w:rsidRDefault="00616D11" w:rsidP="008670FF">
            <w:pPr>
              <w:cnfStyle w:val="000000000000" w:firstRow="0" w:lastRow="0" w:firstColumn="0" w:lastColumn="0" w:oddVBand="0" w:evenVBand="0" w:oddHBand="0" w:evenHBand="0" w:firstRowFirstColumn="0" w:firstRowLastColumn="0" w:lastRowFirstColumn="0" w:lastRowLastColumn="0"/>
              <w:rPr>
                <w:b/>
                <w:bCs/>
                <w:lang w:eastAsia="en-AU"/>
              </w:rPr>
            </w:pPr>
            <w:r w:rsidRPr="007D3D75">
              <w:rPr>
                <w:b/>
                <w:bCs/>
              </w:rPr>
              <w:t xml:space="preserve"> 2</w:t>
            </w:r>
            <w:r>
              <w:rPr>
                <w:b/>
                <w:bCs/>
              </w:rPr>
              <w:t>20</w:t>
            </w:r>
          </w:p>
        </w:tc>
      </w:tr>
      <w:tr w:rsidR="00616D11" w:rsidRPr="00031635" w14:paraId="5C61A5B9" w14:textId="77777777" w:rsidTr="008670FF">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396" w:type="dxa"/>
            <w:noWrap/>
            <w:hideMark/>
          </w:tcPr>
          <w:p w14:paraId="5E930EA7" w14:textId="77777777" w:rsidR="00616D11" w:rsidRPr="00031635" w:rsidRDefault="00616D11" w:rsidP="008670FF">
            <w:pPr>
              <w:rPr>
                <w:bCs/>
                <w:lang w:eastAsia="en-AU"/>
              </w:rPr>
            </w:pPr>
            <w:r w:rsidRPr="00031635">
              <w:rPr>
                <w:bCs/>
                <w:lang w:eastAsia="en-AU"/>
              </w:rPr>
              <w:t>Total for items estimated</w:t>
            </w:r>
          </w:p>
        </w:tc>
        <w:tc>
          <w:tcPr>
            <w:tcW w:w="1332" w:type="dxa"/>
            <w:noWrap/>
            <w:hideMark/>
          </w:tcPr>
          <w:p w14:paraId="4AA5F981" w14:textId="77777777" w:rsidR="00616D11" w:rsidRPr="00031635" w:rsidRDefault="00616D11" w:rsidP="008670FF">
            <w:pPr>
              <w:cnfStyle w:val="010000000000" w:firstRow="0" w:lastRow="1" w:firstColumn="0" w:lastColumn="0" w:oddVBand="0" w:evenVBand="0" w:oddHBand="0" w:evenHBand="0" w:firstRowFirstColumn="0" w:firstRowLastColumn="0" w:lastRowFirstColumn="0" w:lastRowLastColumn="0"/>
              <w:rPr>
                <w:bCs/>
                <w:lang w:eastAsia="en-AU"/>
              </w:rPr>
            </w:pPr>
            <w:r w:rsidRPr="00D15147">
              <w:t>2 495</w:t>
            </w:r>
          </w:p>
        </w:tc>
      </w:tr>
    </w:tbl>
    <w:p w14:paraId="291F9E93" w14:textId="77777777" w:rsidR="00616D11" w:rsidRDefault="00616D11" w:rsidP="00616D11">
      <w:pPr>
        <w:pStyle w:val="Note"/>
      </w:pPr>
      <w:r w:rsidRPr="0080040C">
        <w:t>Note</w:t>
      </w:r>
      <w:r>
        <w:t>s</w:t>
      </w:r>
      <w:r w:rsidRPr="0080040C">
        <w:t>:</w:t>
      </w:r>
    </w:p>
    <w:p w14:paraId="3D132440" w14:textId="77777777" w:rsidR="00616D11" w:rsidRDefault="00616D11" w:rsidP="00616D11">
      <w:pPr>
        <w:pStyle w:val="Note"/>
      </w:pPr>
      <w:r>
        <w:t>(a)</w:t>
      </w:r>
      <w:r>
        <w:tab/>
        <w:t>All amounts have been rounded to the nearest $1 million unless otherwise stated. Figures may not add due to rounding.</w:t>
      </w:r>
      <w:r w:rsidRPr="003C49FE">
        <w:t xml:space="preserve"> </w:t>
      </w:r>
      <w:r>
        <w:t xml:space="preserve"> </w:t>
      </w:r>
    </w:p>
    <w:p w14:paraId="22628398" w14:textId="77777777" w:rsidR="00616D11" w:rsidRPr="00FA01FF" w:rsidRDefault="00616D11" w:rsidP="00616D11">
      <w:pPr>
        <w:pStyle w:val="Note"/>
      </w:pPr>
      <w:r w:rsidRPr="00AF71E5">
        <w:t>(b)</w:t>
      </w:r>
      <w:r w:rsidRPr="00AF71E5">
        <w:tab/>
        <w:t xml:space="preserve">The increase in concessions since </w:t>
      </w:r>
      <w:r w:rsidRPr="00E6620E">
        <w:rPr>
          <w:i w:val="0"/>
        </w:rPr>
        <w:t>the 2024-25 Budget</w:t>
      </w:r>
      <w:r w:rsidRPr="00AF71E5">
        <w:t xml:space="preserve"> reflects </w:t>
      </w:r>
      <w:r>
        <w:t>higher than expected actual concessions</w:t>
      </w:r>
      <w:r w:rsidRPr="00AF71E5">
        <w:t xml:space="preserve"> data for 2023-24.</w:t>
      </w:r>
    </w:p>
    <w:p w14:paraId="6AA365CE" w14:textId="77777777" w:rsidR="00AB205D" w:rsidRPr="00FA01FF" w:rsidRDefault="00AB205D"/>
    <w:p w14:paraId="010FE0E3" w14:textId="77777777" w:rsidR="00341416" w:rsidRDefault="00341416" w:rsidP="00341416"/>
    <w:p w14:paraId="00DAD587" w14:textId="663E5A02" w:rsidR="005F294E" w:rsidRDefault="005F294E" w:rsidP="00341416">
      <w:pPr>
        <w:sectPr w:rsidR="005F294E" w:rsidSect="00570639">
          <w:footerReference w:type="even" r:id="rId61"/>
          <w:footerReference w:type="default" r:id="rId62"/>
          <w:pgSz w:w="9979" w:h="14175" w:code="34"/>
          <w:pgMar w:top="1134" w:right="1134" w:bottom="1134" w:left="1134" w:header="624" w:footer="567" w:gutter="0"/>
          <w:cols w:space="708"/>
          <w:docGrid w:linePitch="360"/>
        </w:sectPr>
      </w:pPr>
    </w:p>
    <w:p w14:paraId="10FC8733" w14:textId="103596F2" w:rsidR="00AB205D" w:rsidRPr="00D96BAD" w:rsidRDefault="00471A3B" w:rsidP="00D96BAD">
      <w:pPr>
        <w:pStyle w:val="ChapterHeading"/>
      </w:pPr>
      <w:bookmarkStart w:id="221" w:name="_Toc9436040"/>
      <w:bookmarkStart w:id="222" w:name="_Toc135331261"/>
      <w:bookmarkStart w:id="223" w:name="_Toc184299473"/>
      <w:r w:rsidRPr="00D96BAD">
        <w:t xml:space="preserve">Appendix D – </w:t>
      </w:r>
      <w:bookmarkEnd w:id="221"/>
      <w:bookmarkEnd w:id="222"/>
      <w:r w:rsidR="00D96BAD" w:rsidRPr="00D96BAD">
        <w:t>Requirements of the Financial Management Act 1994</w:t>
      </w:r>
      <w:bookmarkEnd w:id="223"/>
    </w:p>
    <w:p w14:paraId="3A8F5AED" w14:textId="77777777" w:rsidR="00D96BAD" w:rsidRDefault="00D96BAD" w:rsidP="00D96BAD">
      <w:r>
        <w:t xml:space="preserve">The </w:t>
      </w:r>
      <w:r w:rsidRPr="00162FFF">
        <w:rPr>
          <w:i/>
          <w:iCs/>
        </w:rPr>
        <w:t>Financial Management Act 1994</w:t>
      </w:r>
      <w:r>
        <w:t xml:space="preserve"> (the Act) requires the Minister to prepare a budget update for tabling in Parliament each financial year. The provisions of the Act have been complied with in the </w:t>
      </w:r>
      <w:r w:rsidRPr="00162FFF">
        <w:rPr>
          <w:i/>
          <w:iCs/>
        </w:rPr>
        <w:t>202</w:t>
      </w:r>
      <w:r>
        <w:rPr>
          <w:i/>
          <w:iCs/>
        </w:rPr>
        <w:t>4-25</w:t>
      </w:r>
      <w:r w:rsidRPr="00162FFF">
        <w:rPr>
          <w:i/>
          <w:iCs/>
        </w:rPr>
        <w:t xml:space="preserve"> Budget Update</w:t>
      </w:r>
      <w:r>
        <w:t>.</w:t>
      </w:r>
    </w:p>
    <w:p w14:paraId="28A00CDE" w14:textId="24122974" w:rsidR="00D96BAD" w:rsidRDefault="00D96BAD" w:rsidP="00D96BAD">
      <w:r>
        <w:t xml:space="preserve">Table </w:t>
      </w:r>
      <w:r w:rsidR="007965EE">
        <w:t>D</w:t>
      </w:r>
      <w:r>
        <w:t>.1 details the statements required to be included in this document under the provisions of the Act together with appropriate chapter references.</w:t>
      </w:r>
    </w:p>
    <w:p w14:paraId="41789A30" w14:textId="77777777" w:rsidR="00D96BAD" w:rsidRDefault="00D96BAD" w:rsidP="00D96BAD"/>
    <w:p w14:paraId="1F1A612A" w14:textId="687246FD" w:rsidR="00D96BAD" w:rsidRDefault="00D96BAD" w:rsidP="00D96BAD">
      <w:pPr>
        <w:pStyle w:val="TableHeading"/>
      </w:pPr>
      <w:r>
        <w:t xml:space="preserve">Table </w:t>
      </w:r>
      <w:r w:rsidR="007965EE">
        <w:t>D</w:t>
      </w:r>
      <w:r>
        <w:t>.1:</w:t>
      </w:r>
      <w:r>
        <w:tab/>
        <w:t xml:space="preserve">Statements required by the </w:t>
      </w:r>
      <w:r w:rsidRPr="00162FFF">
        <w:rPr>
          <w:i/>
        </w:rPr>
        <w:t>Financial Management Act 1994</w:t>
      </w:r>
      <w:r>
        <w:t xml:space="preserve"> and their location in the </w:t>
      </w:r>
      <w:r w:rsidRPr="00162FFF">
        <w:rPr>
          <w:i/>
        </w:rPr>
        <w:t>202</w:t>
      </w:r>
      <w:r>
        <w:rPr>
          <w:i/>
        </w:rPr>
        <w:t>4-25</w:t>
      </w:r>
      <w:r w:rsidRPr="00162FFF">
        <w:rPr>
          <w:i/>
        </w:rPr>
        <w:t xml:space="preserve"> Budget Update</w:t>
      </w:r>
    </w:p>
    <w:tbl>
      <w:tblPr>
        <w:tblStyle w:val="DTFTableText"/>
        <w:tblW w:w="0" w:type="auto"/>
        <w:tblLook w:val="0620" w:firstRow="1" w:lastRow="0" w:firstColumn="0" w:lastColumn="0" w:noHBand="1" w:noVBand="1"/>
      </w:tblPr>
      <w:tblGrid>
        <w:gridCol w:w="3973"/>
        <w:gridCol w:w="3738"/>
      </w:tblGrid>
      <w:tr w:rsidR="00D96BAD" w:rsidRPr="00141EE5" w14:paraId="17A86382" w14:textId="77777777" w:rsidTr="008670FF">
        <w:trPr>
          <w:cnfStyle w:val="100000000000" w:firstRow="1" w:lastRow="0" w:firstColumn="0" w:lastColumn="0" w:oddVBand="0" w:evenVBand="0" w:oddHBand="0" w:evenHBand="0" w:firstRowFirstColumn="0" w:firstRowLastColumn="0" w:lastRowFirstColumn="0" w:lastRowLastColumn="0"/>
          <w:trHeight w:val="349"/>
          <w:tblHeader/>
        </w:trPr>
        <w:tc>
          <w:tcPr>
            <w:tcW w:w="3973" w:type="dxa"/>
          </w:tcPr>
          <w:p w14:paraId="520E4ACB" w14:textId="77777777" w:rsidR="00D96BAD" w:rsidRPr="00141EE5" w:rsidRDefault="00D96BAD" w:rsidP="008670FF">
            <w:r w:rsidRPr="00141EE5">
              <w:t xml:space="preserve">Relevant section of the Act and </w:t>
            </w:r>
            <w:r w:rsidRPr="00141EE5">
              <w:br/>
              <w:t>corresponding requirement</w:t>
            </w:r>
          </w:p>
        </w:tc>
        <w:tc>
          <w:tcPr>
            <w:tcW w:w="3738" w:type="dxa"/>
          </w:tcPr>
          <w:p w14:paraId="095832FA" w14:textId="77777777" w:rsidR="00D96BAD" w:rsidRPr="00141EE5" w:rsidRDefault="00D96BAD" w:rsidP="008670FF">
            <w:r w:rsidRPr="00141EE5">
              <w:t>Location</w:t>
            </w:r>
          </w:p>
        </w:tc>
      </w:tr>
      <w:tr w:rsidR="00D96BAD" w:rsidRPr="00162FFF" w14:paraId="7679DA3E" w14:textId="77777777" w:rsidTr="008670FF">
        <w:tc>
          <w:tcPr>
            <w:tcW w:w="3973" w:type="dxa"/>
          </w:tcPr>
          <w:p w14:paraId="31FE3F07" w14:textId="77777777" w:rsidR="00D96BAD" w:rsidRPr="00162FFF" w:rsidRDefault="00D96BAD" w:rsidP="008670FF">
            <w:pPr>
              <w:rPr>
                <w:b/>
                <w:bCs/>
              </w:rPr>
            </w:pPr>
            <w:r w:rsidRPr="00162FFF">
              <w:rPr>
                <w:b/>
                <w:bCs/>
              </w:rPr>
              <w:t>Sections 23 E</w:t>
            </w:r>
            <w:r w:rsidRPr="00162FFF">
              <w:rPr>
                <w:b/>
                <w:bCs/>
              </w:rPr>
              <w:noBreakHyphen/>
              <w:t>G</w:t>
            </w:r>
          </w:p>
        </w:tc>
        <w:tc>
          <w:tcPr>
            <w:tcW w:w="3738" w:type="dxa"/>
          </w:tcPr>
          <w:p w14:paraId="01C4D05B" w14:textId="77777777" w:rsidR="00D96BAD" w:rsidRPr="00162FFF" w:rsidRDefault="00D96BAD" w:rsidP="008670FF">
            <w:pPr>
              <w:rPr>
                <w:b/>
                <w:bCs/>
              </w:rPr>
            </w:pPr>
          </w:p>
        </w:tc>
      </w:tr>
      <w:tr w:rsidR="00D96BAD" w:rsidRPr="00141EE5" w14:paraId="3826BB31" w14:textId="77777777" w:rsidTr="008670FF">
        <w:tc>
          <w:tcPr>
            <w:tcW w:w="3973" w:type="dxa"/>
          </w:tcPr>
          <w:p w14:paraId="3BB67CA7" w14:textId="77777777" w:rsidR="00D96BAD" w:rsidRPr="00141EE5" w:rsidRDefault="00D96BAD" w:rsidP="008670FF">
            <w:r w:rsidRPr="00141EE5">
              <w:t>Statement of financial policy objectives and strategies for the year including the short- and long-term financial objectives, key financial measures, the relationship to the principles of sound financial management and any temporary financial policy actions</w:t>
            </w:r>
          </w:p>
        </w:tc>
        <w:tc>
          <w:tcPr>
            <w:tcW w:w="3738" w:type="dxa"/>
          </w:tcPr>
          <w:p w14:paraId="62D8F473" w14:textId="77777777" w:rsidR="00D96BAD" w:rsidRPr="00141EE5" w:rsidRDefault="00D96BAD" w:rsidP="008670FF">
            <w:r w:rsidRPr="00141EE5">
              <w:t xml:space="preserve">Chapter 1 </w:t>
            </w:r>
            <w:r w:rsidRPr="00162FFF">
              <w:rPr>
                <w:i/>
                <w:iCs/>
              </w:rPr>
              <w:t>Economic and fiscal overview</w:t>
            </w:r>
          </w:p>
        </w:tc>
      </w:tr>
      <w:tr w:rsidR="00D96BAD" w:rsidRPr="00162FFF" w14:paraId="5A6EDFF1" w14:textId="77777777" w:rsidTr="008670FF">
        <w:tc>
          <w:tcPr>
            <w:tcW w:w="3973" w:type="dxa"/>
          </w:tcPr>
          <w:p w14:paraId="40E8115B" w14:textId="77777777" w:rsidR="00D96BAD" w:rsidRPr="00162FFF" w:rsidRDefault="00D96BAD" w:rsidP="008670FF">
            <w:pPr>
              <w:rPr>
                <w:b/>
                <w:bCs/>
              </w:rPr>
            </w:pPr>
            <w:r w:rsidRPr="00162FFF">
              <w:rPr>
                <w:b/>
                <w:bCs/>
              </w:rPr>
              <w:t>Sections 23 H</w:t>
            </w:r>
            <w:r w:rsidRPr="00162FFF">
              <w:rPr>
                <w:b/>
                <w:bCs/>
              </w:rPr>
              <w:noBreakHyphen/>
              <w:t>N</w:t>
            </w:r>
          </w:p>
        </w:tc>
        <w:tc>
          <w:tcPr>
            <w:tcW w:w="3738" w:type="dxa"/>
          </w:tcPr>
          <w:p w14:paraId="21EE9FA2" w14:textId="77777777" w:rsidR="00D96BAD" w:rsidRPr="00162FFF" w:rsidRDefault="00D96BAD" w:rsidP="008670FF">
            <w:pPr>
              <w:rPr>
                <w:b/>
                <w:bCs/>
              </w:rPr>
            </w:pPr>
          </w:p>
        </w:tc>
      </w:tr>
      <w:tr w:rsidR="00D96BAD" w:rsidRPr="00141EE5" w14:paraId="24F531FD" w14:textId="77777777" w:rsidTr="008670FF">
        <w:tc>
          <w:tcPr>
            <w:tcW w:w="3973" w:type="dxa"/>
          </w:tcPr>
          <w:p w14:paraId="6A921570" w14:textId="77777777" w:rsidR="00D96BAD" w:rsidRPr="00141EE5" w:rsidRDefault="00D96BAD" w:rsidP="008670FF">
            <w:r w:rsidRPr="00141EE5">
              <w:t>Estimated general government sector financial statements for the year comprising:</w:t>
            </w:r>
          </w:p>
          <w:p w14:paraId="014D5151" w14:textId="77777777" w:rsidR="00D96BAD" w:rsidRPr="00162FFF" w:rsidRDefault="00D96BAD" w:rsidP="0011545A">
            <w:pPr>
              <w:pStyle w:val="ListParagraph"/>
              <w:numPr>
                <w:ilvl w:val="0"/>
                <w:numId w:val="11"/>
              </w:numPr>
              <w:ind w:left="170" w:hanging="170"/>
            </w:pPr>
            <w:r w:rsidRPr="00162FFF">
              <w:t>an estimated statement of financial performance</w:t>
            </w:r>
          </w:p>
          <w:p w14:paraId="0E354BEC" w14:textId="77777777" w:rsidR="00D96BAD" w:rsidRPr="00162FFF" w:rsidRDefault="00D96BAD" w:rsidP="0011545A">
            <w:pPr>
              <w:pStyle w:val="ListParagraph"/>
              <w:numPr>
                <w:ilvl w:val="0"/>
                <w:numId w:val="11"/>
              </w:numPr>
              <w:ind w:left="170" w:hanging="170"/>
            </w:pPr>
            <w:r w:rsidRPr="00162FFF">
              <w:t>an estimated statement of financial position at the end of the year</w:t>
            </w:r>
          </w:p>
          <w:p w14:paraId="2DAE58C1" w14:textId="77777777" w:rsidR="00D96BAD" w:rsidRPr="00162FFF" w:rsidRDefault="00D96BAD" w:rsidP="0011545A">
            <w:pPr>
              <w:pStyle w:val="ListParagraph"/>
              <w:numPr>
                <w:ilvl w:val="0"/>
                <w:numId w:val="11"/>
              </w:numPr>
              <w:ind w:left="170" w:hanging="170"/>
            </w:pPr>
            <w:r w:rsidRPr="00162FFF">
              <w:t xml:space="preserve">an estimated statement of cash flows for the year </w:t>
            </w:r>
          </w:p>
          <w:p w14:paraId="148FB60D" w14:textId="77777777" w:rsidR="00D96BAD" w:rsidRPr="00162FFF" w:rsidRDefault="00D96BAD" w:rsidP="0011545A">
            <w:pPr>
              <w:pStyle w:val="ListParagraph"/>
              <w:numPr>
                <w:ilvl w:val="0"/>
                <w:numId w:val="11"/>
              </w:numPr>
              <w:ind w:left="170" w:hanging="170"/>
            </w:pPr>
            <w:r w:rsidRPr="00162FFF">
              <w:t>a statement of the accounting policies on which these statements are based and explanatory notes</w:t>
            </w:r>
          </w:p>
        </w:tc>
        <w:tc>
          <w:tcPr>
            <w:tcW w:w="3738" w:type="dxa"/>
          </w:tcPr>
          <w:p w14:paraId="6847C8F4" w14:textId="77777777" w:rsidR="00D96BAD" w:rsidRPr="00141EE5" w:rsidRDefault="00D96BAD" w:rsidP="008670FF">
            <w:r w:rsidRPr="00141EE5">
              <w:t xml:space="preserve">Chapter 4 </w:t>
            </w:r>
            <w:r w:rsidRPr="00162FFF">
              <w:rPr>
                <w:i/>
                <w:iCs/>
              </w:rPr>
              <w:t>Estimated financial statements and notes</w:t>
            </w:r>
            <w:r w:rsidRPr="00141EE5">
              <w:t xml:space="preserve"> (including estimated consolidated general government sector comprehensive operating statement, estimated consolidated general government sector balance sheet, estimated consolidated general government sector cash flow statement, and estimated consolidated general government sector statement of changes in equity provided as per AASB 1049)</w:t>
            </w:r>
          </w:p>
        </w:tc>
      </w:tr>
    </w:tbl>
    <w:p w14:paraId="55981AA4" w14:textId="77777777" w:rsidR="00D96BAD" w:rsidRDefault="00D96BAD" w:rsidP="00D96BAD">
      <w:pPr>
        <w:pStyle w:val="TableHeading"/>
      </w:pPr>
    </w:p>
    <w:p w14:paraId="6CA71059" w14:textId="77777777" w:rsidR="00D96BAD" w:rsidRDefault="00D96BAD">
      <w:pPr>
        <w:keepLines w:val="0"/>
        <w:rPr>
          <w:rFonts w:asciiTheme="majorHAnsi" w:hAnsiTheme="majorHAnsi" w:cstheme="minorBidi"/>
          <w:b/>
          <w:iCs/>
          <w:sz w:val="20"/>
          <w:szCs w:val="18"/>
        </w:rPr>
      </w:pPr>
      <w:r>
        <w:br w:type="page"/>
      </w:r>
    </w:p>
    <w:p w14:paraId="6D8B83EF" w14:textId="3DBD27D1" w:rsidR="00D96BAD" w:rsidRDefault="00D96BAD" w:rsidP="00D96BAD">
      <w:pPr>
        <w:pStyle w:val="TableHeading"/>
      </w:pPr>
      <w:r w:rsidRPr="00962EB8">
        <w:t xml:space="preserve">Table </w:t>
      </w:r>
      <w:r w:rsidR="007965EE">
        <w:t>D</w:t>
      </w:r>
      <w:r w:rsidRPr="00962EB8">
        <w:t>.1:</w:t>
      </w:r>
      <w:r w:rsidRPr="00962EB8">
        <w:tab/>
        <w:t xml:space="preserve">Statements required by the </w:t>
      </w:r>
      <w:r w:rsidRPr="00962EB8">
        <w:rPr>
          <w:i/>
        </w:rPr>
        <w:t>Financial Management Act 1994</w:t>
      </w:r>
      <w:r w:rsidRPr="00962EB8">
        <w:t xml:space="preserve"> and their location in </w:t>
      </w:r>
      <w:r w:rsidRPr="00B1038B">
        <w:t xml:space="preserve">the </w:t>
      </w:r>
      <w:r w:rsidRPr="00B1038B">
        <w:rPr>
          <w:i/>
        </w:rPr>
        <w:t>202</w:t>
      </w:r>
      <w:r>
        <w:rPr>
          <w:i/>
        </w:rPr>
        <w:t>4-25</w:t>
      </w:r>
      <w:r w:rsidRPr="00962EB8">
        <w:rPr>
          <w:i/>
        </w:rPr>
        <w:t xml:space="preserve"> Budget </w:t>
      </w:r>
      <w:r w:rsidRPr="00E343EB">
        <w:t xml:space="preserve">Update </w:t>
      </w:r>
      <w:r w:rsidRPr="00E343EB">
        <w:rPr>
          <w:i/>
          <w:sz w:val="18"/>
          <w:szCs w:val="16"/>
        </w:rPr>
        <w:t>(continued)</w:t>
      </w:r>
    </w:p>
    <w:tbl>
      <w:tblPr>
        <w:tblStyle w:val="DTFTableText"/>
        <w:tblW w:w="0" w:type="auto"/>
        <w:tblLook w:val="0620" w:firstRow="1" w:lastRow="0" w:firstColumn="0" w:lastColumn="0" w:noHBand="1" w:noVBand="1"/>
      </w:tblPr>
      <w:tblGrid>
        <w:gridCol w:w="4253"/>
        <w:gridCol w:w="3458"/>
      </w:tblGrid>
      <w:tr w:rsidR="00D96BAD" w:rsidRPr="00141EE5" w14:paraId="1D465C8D" w14:textId="77777777" w:rsidTr="00D96BAD">
        <w:trPr>
          <w:cnfStyle w:val="100000000000" w:firstRow="1" w:lastRow="0" w:firstColumn="0" w:lastColumn="0" w:oddVBand="0" w:evenVBand="0" w:oddHBand="0" w:evenHBand="0" w:firstRowFirstColumn="0" w:firstRowLastColumn="0" w:lastRowFirstColumn="0" w:lastRowLastColumn="0"/>
        </w:trPr>
        <w:tc>
          <w:tcPr>
            <w:tcW w:w="4253" w:type="dxa"/>
          </w:tcPr>
          <w:p w14:paraId="1C515D8A" w14:textId="77777777" w:rsidR="00D96BAD" w:rsidRPr="00141EE5" w:rsidRDefault="00D96BAD" w:rsidP="008670FF">
            <w:r w:rsidRPr="00141EE5">
              <w:t xml:space="preserve">Relevant section of the Act and </w:t>
            </w:r>
            <w:r w:rsidRPr="00141EE5">
              <w:br/>
              <w:t>corresponding requirement</w:t>
            </w:r>
          </w:p>
        </w:tc>
        <w:tc>
          <w:tcPr>
            <w:tcW w:w="3458" w:type="dxa"/>
          </w:tcPr>
          <w:p w14:paraId="787E3864" w14:textId="77777777" w:rsidR="00D96BAD" w:rsidRPr="00141EE5" w:rsidRDefault="00D96BAD" w:rsidP="008670FF">
            <w:r w:rsidRPr="00141EE5">
              <w:t>Location</w:t>
            </w:r>
          </w:p>
        </w:tc>
      </w:tr>
      <w:tr w:rsidR="00D96BAD" w:rsidRPr="00141EE5" w14:paraId="24217BBC" w14:textId="77777777" w:rsidTr="00D96BAD">
        <w:trPr>
          <w:trHeight w:val="326"/>
        </w:trPr>
        <w:tc>
          <w:tcPr>
            <w:tcW w:w="4253" w:type="dxa"/>
          </w:tcPr>
          <w:p w14:paraId="2F594964" w14:textId="77777777" w:rsidR="00D96BAD" w:rsidRPr="00141EE5" w:rsidRDefault="00D96BAD" w:rsidP="008670FF">
            <w:r w:rsidRPr="00141EE5">
              <w:t>The estimated financial statements take into account Government decisions and other circumstances that may have a material effect on the estimated financial statements and are prepared on a basis consistent with the current financial policy objectives, strategies statement and have regard to appropriate financial reporting frameworks</w:t>
            </w:r>
          </w:p>
        </w:tc>
        <w:tc>
          <w:tcPr>
            <w:tcW w:w="3458" w:type="dxa"/>
          </w:tcPr>
          <w:p w14:paraId="0F6155B3" w14:textId="77777777" w:rsidR="00D96BAD" w:rsidRPr="00141EE5" w:rsidRDefault="00D96BAD" w:rsidP="008670FF">
            <w:r w:rsidRPr="00141EE5">
              <w:t xml:space="preserve">Appendix A </w:t>
            </w:r>
            <w:r w:rsidRPr="00162FFF">
              <w:rPr>
                <w:i/>
                <w:iCs/>
              </w:rPr>
              <w:t>Specific policy initiatives affecting the budget position</w:t>
            </w:r>
          </w:p>
        </w:tc>
      </w:tr>
      <w:tr w:rsidR="00D96BAD" w:rsidRPr="00141EE5" w14:paraId="5681DBA4" w14:textId="77777777" w:rsidTr="00D96BAD">
        <w:trPr>
          <w:trHeight w:val="326"/>
        </w:trPr>
        <w:tc>
          <w:tcPr>
            <w:tcW w:w="4253" w:type="dxa"/>
          </w:tcPr>
          <w:p w14:paraId="3394AE9E" w14:textId="77777777" w:rsidR="00D96BAD" w:rsidRPr="00162FFF" w:rsidRDefault="00D96BAD" w:rsidP="008670FF">
            <w:pPr>
              <w:rPr>
                <w:b/>
                <w:bCs/>
              </w:rPr>
            </w:pPr>
            <w:r w:rsidRPr="00162FFF">
              <w:rPr>
                <w:b/>
                <w:bCs/>
              </w:rPr>
              <w:t xml:space="preserve">Section 23K </w:t>
            </w:r>
          </w:p>
          <w:p w14:paraId="69FBBCA3" w14:textId="77777777" w:rsidR="00D96BAD" w:rsidRPr="00141EE5" w:rsidRDefault="00D96BAD" w:rsidP="008670FF">
            <w:r w:rsidRPr="00141EE5">
              <w:t>Accompanying statements which take into account Government decisions and other circumstances that may have a material effect on each set of estimated financial statements comprising:</w:t>
            </w:r>
          </w:p>
        </w:tc>
        <w:tc>
          <w:tcPr>
            <w:tcW w:w="3458" w:type="dxa"/>
          </w:tcPr>
          <w:p w14:paraId="79809FDD" w14:textId="77777777" w:rsidR="00D96BAD" w:rsidRPr="00141EE5" w:rsidRDefault="00D96BAD" w:rsidP="008670FF"/>
        </w:tc>
      </w:tr>
      <w:tr w:rsidR="00D96BAD" w:rsidRPr="00141EE5" w14:paraId="2681622C" w14:textId="77777777" w:rsidTr="00D96BAD">
        <w:tc>
          <w:tcPr>
            <w:tcW w:w="4253" w:type="dxa"/>
          </w:tcPr>
          <w:p w14:paraId="4ED4143E" w14:textId="77777777" w:rsidR="00D96BAD" w:rsidRPr="00162FFF" w:rsidRDefault="00D96BAD" w:rsidP="0011545A">
            <w:pPr>
              <w:pStyle w:val="ListParagraph"/>
              <w:numPr>
                <w:ilvl w:val="0"/>
                <w:numId w:val="12"/>
              </w:numPr>
              <w:ind w:left="170" w:hanging="170"/>
            </w:pPr>
            <w:r w:rsidRPr="00162FFF">
              <w:t>a statement of the material economic and other assumptions that have been used in preparing the estimated financial statements</w:t>
            </w:r>
          </w:p>
        </w:tc>
        <w:tc>
          <w:tcPr>
            <w:tcW w:w="3458" w:type="dxa"/>
          </w:tcPr>
          <w:p w14:paraId="39197D6B" w14:textId="77777777" w:rsidR="00D96BAD" w:rsidRPr="00141EE5" w:rsidRDefault="00D96BAD" w:rsidP="008670FF">
            <w:r w:rsidRPr="00141EE5">
              <w:t xml:space="preserve">Chapter 2 </w:t>
            </w:r>
            <w:r w:rsidRPr="00162FFF">
              <w:rPr>
                <w:i/>
                <w:iCs/>
              </w:rPr>
              <w:t>Economic context</w:t>
            </w:r>
          </w:p>
          <w:p w14:paraId="21ED451E" w14:textId="77777777" w:rsidR="00D96BAD" w:rsidRPr="00141EE5" w:rsidRDefault="00D96BAD" w:rsidP="008670FF">
            <w:r w:rsidRPr="00141EE5">
              <w:t xml:space="preserve">Chapter 4 </w:t>
            </w:r>
            <w:r w:rsidRPr="00162FFF">
              <w:rPr>
                <w:i/>
                <w:iCs/>
              </w:rPr>
              <w:t>Estimated financial statements and notes</w:t>
            </w:r>
          </w:p>
        </w:tc>
      </w:tr>
      <w:tr w:rsidR="00D96BAD" w:rsidRPr="00141EE5" w14:paraId="66FB4FCF" w14:textId="77777777" w:rsidTr="00D96BAD">
        <w:tc>
          <w:tcPr>
            <w:tcW w:w="4253" w:type="dxa"/>
          </w:tcPr>
          <w:p w14:paraId="4C9FF665" w14:textId="77777777" w:rsidR="00D96BAD" w:rsidRPr="00162FFF" w:rsidRDefault="00D96BAD" w:rsidP="0011545A">
            <w:pPr>
              <w:pStyle w:val="ListParagraph"/>
              <w:numPr>
                <w:ilvl w:val="0"/>
                <w:numId w:val="12"/>
              </w:numPr>
              <w:ind w:left="170" w:hanging="170"/>
            </w:pPr>
            <w:r w:rsidRPr="00162FFF">
              <w:t>a discussion of the sensitivity of the estimated financial statements to changes in those economic and other assumptions</w:t>
            </w:r>
          </w:p>
        </w:tc>
        <w:tc>
          <w:tcPr>
            <w:tcW w:w="3458" w:type="dxa"/>
          </w:tcPr>
          <w:p w14:paraId="2FBC5450" w14:textId="77777777" w:rsidR="00D96BAD" w:rsidRPr="00141EE5" w:rsidRDefault="00D96BAD" w:rsidP="008670FF">
            <w:r>
              <w:t>Chapter</w:t>
            </w:r>
            <w:r w:rsidRPr="00141EE5">
              <w:t xml:space="preserve"> </w:t>
            </w:r>
            <w:r>
              <w:t>6</w:t>
            </w:r>
            <w:r w:rsidRPr="00141EE5">
              <w:t xml:space="preserve"> </w:t>
            </w:r>
            <w:r w:rsidRPr="00162FFF">
              <w:rPr>
                <w:i/>
                <w:iCs/>
              </w:rPr>
              <w:t>Sensitivity analysis</w:t>
            </w:r>
          </w:p>
        </w:tc>
      </w:tr>
      <w:tr w:rsidR="00D96BAD" w:rsidRPr="00141EE5" w14:paraId="10611C1B" w14:textId="77777777" w:rsidTr="00D96BAD">
        <w:tc>
          <w:tcPr>
            <w:tcW w:w="4253" w:type="dxa"/>
          </w:tcPr>
          <w:p w14:paraId="5231B4BB" w14:textId="77777777" w:rsidR="00D96BAD" w:rsidRPr="00162FFF" w:rsidRDefault="00D96BAD" w:rsidP="0011545A">
            <w:pPr>
              <w:pStyle w:val="ListParagraph"/>
              <w:numPr>
                <w:ilvl w:val="0"/>
                <w:numId w:val="12"/>
              </w:numPr>
              <w:ind w:left="170" w:hanging="170"/>
            </w:pPr>
            <w:r w:rsidRPr="00162FFF">
              <w:t>an overview of the estimated tax expenditures for the financial years covered by the estimated financial statements</w:t>
            </w:r>
          </w:p>
        </w:tc>
        <w:tc>
          <w:tcPr>
            <w:tcW w:w="3458" w:type="dxa"/>
          </w:tcPr>
          <w:p w14:paraId="57EF3F6D" w14:textId="77777777" w:rsidR="00D96BAD" w:rsidRPr="00141EE5" w:rsidRDefault="00D96BAD" w:rsidP="008670FF">
            <w:r w:rsidRPr="00141EE5">
              <w:t xml:space="preserve">Appendix C </w:t>
            </w:r>
            <w:r w:rsidRPr="00162FFF">
              <w:rPr>
                <w:i/>
                <w:iCs/>
              </w:rPr>
              <w:t>Tax expenditures and concessions</w:t>
            </w:r>
          </w:p>
        </w:tc>
      </w:tr>
      <w:tr w:rsidR="00D96BAD" w:rsidRPr="00141EE5" w14:paraId="20F8D168" w14:textId="77777777" w:rsidTr="00D96BAD">
        <w:tc>
          <w:tcPr>
            <w:tcW w:w="4253" w:type="dxa"/>
          </w:tcPr>
          <w:p w14:paraId="787FF3AC" w14:textId="77777777" w:rsidR="00D96BAD" w:rsidRPr="00162FFF" w:rsidRDefault="00D96BAD" w:rsidP="0011545A">
            <w:pPr>
              <w:pStyle w:val="ListParagraph"/>
              <w:numPr>
                <w:ilvl w:val="0"/>
                <w:numId w:val="12"/>
              </w:numPr>
              <w:ind w:left="170" w:hanging="170"/>
            </w:pPr>
            <w:r w:rsidRPr="00162FFF">
              <w:t>a statement of risks that may have a material effect on the estimated financial statements including contingent liabilities and publicly announced Government commitments that are not yet included in the estimated financial statements</w:t>
            </w:r>
          </w:p>
        </w:tc>
        <w:tc>
          <w:tcPr>
            <w:tcW w:w="3458" w:type="dxa"/>
          </w:tcPr>
          <w:p w14:paraId="5FB412B5" w14:textId="77777777" w:rsidR="00D96BAD" w:rsidRPr="00162FFF" w:rsidRDefault="00D96BAD" w:rsidP="008670FF">
            <w:pPr>
              <w:rPr>
                <w:i/>
                <w:iCs/>
              </w:rPr>
            </w:pPr>
            <w:r w:rsidRPr="00141EE5">
              <w:t xml:space="preserve">Chapter 2 </w:t>
            </w:r>
            <w:r w:rsidRPr="00162FFF">
              <w:rPr>
                <w:i/>
                <w:iCs/>
              </w:rPr>
              <w:t>Economic context</w:t>
            </w:r>
          </w:p>
          <w:p w14:paraId="1A3E8219" w14:textId="77777777" w:rsidR="00D96BAD" w:rsidRPr="00162FFF" w:rsidRDefault="00D96BAD" w:rsidP="008670FF">
            <w:pPr>
              <w:rPr>
                <w:i/>
                <w:iCs/>
              </w:rPr>
            </w:pPr>
            <w:r w:rsidRPr="00141EE5">
              <w:t xml:space="preserve">Chapter 3 </w:t>
            </w:r>
            <w:r w:rsidRPr="00162FFF">
              <w:rPr>
                <w:i/>
                <w:iCs/>
              </w:rPr>
              <w:t>Budget position and outlook</w:t>
            </w:r>
          </w:p>
          <w:p w14:paraId="6B11B27A" w14:textId="77777777" w:rsidR="00D96BAD" w:rsidRPr="00141EE5" w:rsidRDefault="00D96BAD" w:rsidP="008670FF">
            <w:r w:rsidRPr="00141EE5">
              <w:t xml:space="preserve">Chapter </w:t>
            </w:r>
            <w:r>
              <w:t>7</w:t>
            </w:r>
            <w:r w:rsidRPr="00141EE5">
              <w:t xml:space="preserve"> </w:t>
            </w:r>
            <w:r w:rsidRPr="00162FFF">
              <w:rPr>
                <w:i/>
                <w:iCs/>
              </w:rPr>
              <w:t>Contingent assets and contingent liabilities</w:t>
            </w:r>
          </w:p>
        </w:tc>
      </w:tr>
    </w:tbl>
    <w:p w14:paraId="04864998" w14:textId="77777777" w:rsidR="00D96BAD" w:rsidRDefault="00D96BAD" w:rsidP="00D96BAD"/>
    <w:p w14:paraId="6BA2D2A6" w14:textId="77777777" w:rsidR="00AB205D" w:rsidRDefault="00AB205D"/>
    <w:p w14:paraId="4573BD60" w14:textId="77777777" w:rsidR="00341416" w:rsidRDefault="00341416" w:rsidP="00341416">
      <w:pPr>
        <w:keepLines w:val="0"/>
      </w:pPr>
    </w:p>
    <w:p w14:paraId="0434EDF6" w14:textId="77777777" w:rsidR="00341416" w:rsidRDefault="00341416" w:rsidP="00341416">
      <w:pPr>
        <w:sectPr w:rsidR="00341416" w:rsidSect="00570639">
          <w:footerReference w:type="even" r:id="rId63"/>
          <w:footerReference w:type="default" r:id="rId64"/>
          <w:pgSz w:w="9979" w:h="14175" w:code="34"/>
          <w:pgMar w:top="1134" w:right="1134" w:bottom="1134" w:left="1134" w:header="624" w:footer="567" w:gutter="0"/>
          <w:cols w:space="708"/>
          <w:docGrid w:linePitch="360"/>
        </w:sectPr>
      </w:pPr>
    </w:p>
    <w:p w14:paraId="0CFB5F2C" w14:textId="77777777" w:rsidR="005F294E" w:rsidRDefault="005F294E" w:rsidP="005F294E">
      <w:pPr>
        <w:pStyle w:val="ChapterHeading"/>
      </w:pPr>
      <w:bookmarkStart w:id="224" w:name="_Toc184299474"/>
      <w:r>
        <w:t>Style conventions</w:t>
      </w:r>
      <w:bookmarkEnd w:id="224"/>
    </w:p>
    <w:p w14:paraId="227EDA73" w14:textId="77777777" w:rsidR="005F294E" w:rsidRDefault="005F294E" w:rsidP="005F294E">
      <w:pPr>
        <w:keepLines w:val="0"/>
        <w:rPr>
          <w:rFonts w:ascii="Garamond" w:eastAsia="Times New Roman" w:hAnsi="Garamond"/>
          <w:color w:val="000000"/>
          <w:lang w:eastAsia="en-AU"/>
        </w:rPr>
      </w:pPr>
      <w:r>
        <w:rPr>
          <w:rFonts w:ascii="Garamond" w:eastAsia="Times New Roman" w:hAnsi="Garamond"/>
          <w:color w:val="000000"/>
          <w:lang w:eastAsia="en-AU"/>
        </w:rPr>
        <w:t>The source of data for tables and charts is the Department of Treasury and Finance unless specified otherwise.</w:t>
      </w:r>
    </w:p>
    <w:p w14:paraId="778F41D8" w14:textId="77777777" w:rsidR="005F294E" w:rsidRPr="00290F2A" w:rsidRDefault="005F294E" w:rsidP="005F294E">
      <w:pPr>
        <w:keepLines w:val="0"/>
        <w:rPr>
          <w:rFonts w:ascii="Garamond" w:eastAsia="Times New Roman" w:hAnsi="Garamond"/>
          <w:color w:val="000000"/>
          <w:lang w:eastAsia="en-AU"/>
        </w:rPr>
      </w:pPr>
      <w:r w:rsidRPr="00290F2A">
        <w:rPr>
          <w:rFonts w:ascii="Garamond" w:eastAsia="Times New Roman" w:hAnsi="Garamond"/>
          <w:color w:val="000000"/>
          <w:lang w:eastAsia="en-AU"/>
        </w:rPr>
        <w:t>Figures in the tables and in the text have been rounded. Discrepancies in tables between totals and sums of components reflect rounding. Percentage variations in all tables are based on the underlying unrounded amounts.</w:t>
      </w:r>
    </w:p>
    <w:p w14:paraId="4DDDF407" w14:textId="77777777" w:rsidR="005F294E" w:rsidRPr="00290F2A" w:rsidRDefault="005F294E" w:rsidP="005F294E">
      <w:pPr>
        <w:keepLines w:val="0"/>
        <w:rPr>
          <w:rFonts w:ascii="Garamond" w:eastAsia="Times New Roman" w:hAnsi="Garamond"/>
          <w:color w:val="000000"/>
          <w:lang w:eastAsia="en-AU"/>
        </w:rPr>
      </w:pPr>
      <w:r w:rsidRPr="00290F2A">
        <w:rPr>
          <w:rFonts w:ascii="Garamond" w:eastAsia="Times New Roman" w:hAnsi="Garamond"/>
          <w:color w:val="000000"/>
          <w:lang w:eastAsia="en-AU"/>
        </w:rPr>
        <w:t>The notation used in the tables is as follows:</w:t>
      </w:r>
    </w:p>
    <w:p w14:paraId="56E7946C"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n.a.</w:t>
      </w:r>
      <w:r>
        <w:rPr>
          <w:rFonts w:ascii="Garamond" w:eastAsia="Times New Roman" w:hAnsi="Garamond"/>
          <w:color w:val="000000"/>
          <w:lang w:eastAsia="en-AU"/>
        </w:rPr>
        <w:tab/>
      </w:r>
      <w:r w:rsidRPr="00290F2A">
        <w:rPr>
          <w:rFonts w:ascii="Garamond" w:eastAsia="Times New Roman" w:hAnsi="Garamond"/>
          <w:color w:val="000000"/>
          <w:lang w:eastAsia="en-AU"/>
        </w:rPr>
        <w:t>not available or not applicable</w:t>
      </w:r>
    </w:p>
    <w:p w14:paraId="0D35D1F2"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1 billion</w:t>
      </w:r>
      <w:r>
        <w:rPr>
          <w:rFonts w:ascii="Garamond" w:eastAsia="Times New Roman" w:hAnsi="Garamond"/>
          <w:color w:val="000000"/>
          <w:lang w:eastAsia="en-AU"/>
        </w:rPr>
        <w:tab/>
      </w:r>
      <w:r w:rsidRPr="00290F2A">
        <w:rPr>
          <w:rFonts w:ascii="Garamond" w:eastAsia="Times New Roman" w:hAnsi="Garamond"/>
          <w:color w:val="000000"/>
          <w:lang w:eastAsia="en-AU"/>
        </w:rPr>
        <w:t>1 000 million</w:t>
      </w:r>
    </w:p>
    <w:p w14:paraId="64C3FB2B"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1 basis point</w:t>
      </w:r>
      <w:r>
        <w:rPr>
          <w:rFonts w:ascii="Garamond" w:eastAsia="Times New Roman" w:hAnsi="Garamond"/>
          <w:color w:val="000000"/>
          <w:lang w:eastAsia="en-AU"/>
        </w:rPr>
        <w:tab/>
      </w:r>
      <w:r w:rsidRPr="00290F2A">
        <w:rPr>
          <w:rFonts w:ascii="Garamond" w:eastAsia="Times New Roman" w:hAnsi="Garamond"/>
          <w:color w:val="000000"/>
          <w:lang w:eastAsia="en-AU"/>
        </w:rPr>
        <w:t>0.01 per cent</w:t>
      </w:r>
    </w:p>
    <w:p w14:paraId="4D877AAF"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w:t>
      </w:r>
      <w:r>
        <w:rPr>
          <w:rFonts w:ascii="Garamond" w:eastAsia="Times New Roman" w:hAnsi="Garamond"/>
          <w:color w:val="000000"/>
          <w:lang w:eastAsia="en-AU"/>
        </w:rPr>
        <w:tab/>
      </w:r>
      <w:r w:rsidRPr="00290F2A">
        <w:rPr>
          <w:rFonts w:ascii="Garamond" w:eastAsia="Times New Roman" w:hAnsi="Garamond"/>
          <w:color w:val="000000"/>
          <w:lang w:eastAsia="en-AU"/>
        </w:rPr>
        <w:t>zero, or rounded to zero</w:t>
      </w:r>
    </w:p>
    <w:p w14:paraId="617A7226" w14:textId="77777777" w:rsidR="005F294E" w:rsidRDefault="005F294E" w:rsidP="005F294E">
      <w:pPr>
        <w:keepLines w:val="0"/>
        <w:tabs>
          <w:tab w:val="left" w:pos="2410"/>
        </w:tabs>
        <w:ind w:left="851"/>
        <w:rPr>
          <w:rFonts w:ascii="Garamond" w:eastAsia="Times New Roman" w:hAnsi="Garamond"/>
          <w:color w:val="000000"/>
          <w:lang w:eastAsia="en-AU"/>
        </w:rPr>
      </w:pPr>
      <w:r>
        <w:rPr>
          <w:rFonts w:ascii="Garamond" w:eastAsia="Times New Roman" w:hAnsi="Garamond"/>
          <w:color w:val="000000"/>
          <w:lang w:eastAsia="en-AU"/>
        </w:rPr>
        <w:t>tbc</w:t>
      </w:r>
      <w:r>
        <w:rPr>
          <w:rFonts w:ascii="Garamond" w:eastAsia="Times New Roman" w:hAnsi="Garamond"/>
          <w:color w:val="000000"/>
          <w:lang w:eastAsia="en-AU"/>
        </w:rPr>
        <w:tab/>
        <w:t>to be confirmed</w:t>
      </w:r>
    </w:p>
    <w:p w14:paraId="317A0F32"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(x xxx.x)</w:t>
      </w:r>
      <w:r>
        <w:rPr>
          <w:rFonts w:ascii="Garamond" w:eastAsia="Times New Roman" w:hAnsi="Garamond"/>
          <w:color w:val="000000"/>
          <w:lang w:eastAsia="en-AU"/>
        </w:rPr>
        <w:tab/>
      </w:r>
      <w:r w:rsidRPr="00290F2A">
        <w:rPr>
          <w:rFonts w:ascii="Garamond" w:eastAsia="Times New Roman" w:hAnsi="Garamond"/>
          <w:color w:val="000000"/>
          <w:lang w:eastAsia="en-AU"/>
        </w:rPr>
        <w:t xml:space="preserve"> negative amount</w:t>
      </w:r>
    </w:p>
    <w:p w14:paraId="32A5C084" w14:textId="77777777" w:rsidR="005F294E" w:rsidRPr="00290F2A" w:rsidRDefault="005F294E" w:rsidP="005F294E">
      <w:pPr>
        <w:keepLines w:val="0"/>
        <w:tabs>
          <w:tab w:val="left" w:pos="2410"/>
        </w:tabs>
        <w:ind w:left="851"/>
        <w:rPr>
          <w:rFonts w:ascii="Garamond" w:eastAsia="Times New Roman" w:hAnsi="Garamond"/>
          <w:color w:val="000000"/>
          <w:lang w:eastAsia="en-AU"/>
        </w:rPr>
      </w:pPr>
      <w:r w:rsidRPr="00290F2A">
        <w:rPr>
          <w:rFonts w:ascii="Garamond" w:eastAsia="Times New Roman" w:hAnsi="Garamond"/>
          <w:color w:val="000000"/>
          <w:lang w:eastAsia="en-AU"/>
        </w:rPr>
        <w:t>x xxx.0</w:t>
      </w:r>
      <w:r>
        <w:rPr>
          <w:rFonts w:ascii="Garamond" w:eastAsia="Times New Roman" w:hAnsi="Garamond"/>
          <w:color w:val="000000"/>
          <w:lang w:eastAsia="en-AU"/>
        </w:rPr>
        <w:tab/>
      </w:r>
      <w:r w:rsidRPr="00290F2A">
        <w:rPr>
          <w:rFonts w:ascii="Garamond" w:eastAsia="Times New Roman" w:hAnsi="Garamond"/>
          <w:color w:val="000000"/>
          <w:lang w:eastAsia="en-AU"/>
        </w:rPr>
        <w:t>rounded amount</w:t>
      </w:r>
    </w:p>
    <w:p w14:paraId="1BD74925" w14:textId="77777777" w:rsidR="005F294E" w:rsidRPr="00290F2A" w:rsidRDefault="005F294E" w:rsidP="005F294E">
      <w:pPr>
        <w:keepLines w:val="0"/>
        <w:rPr>
          <w:rFonts w:ascii="Garamond" w:eastAsia="Times New Roman" w:hAnsi="Garamond"/>
          <w:color w:val="000000"/>
          <w:lang w:eastAsia="en-AU"/>
        </w:rPr>
      </w:pPr>
    </w:p>
    <w:p w14:paraId="2D1DC4F8" w14:textId="77777777" w:rsidR="005F294E" w:rsidRPr="00290F2A" w:rsidRDefault="005F294E" w:rsidP="005F294E">
      <w:pPr>
        <w:keepLines w:val="0"/>
        <w:rPr>
          <w:rFonts w:ascii="Garamond" w:eastAsia="Times New Roman" w:hAnsi="Garamond"/>
          <w:color w:val="000000"/>
          <w:lang w:eastAsia="en-AU"/>
        </w:rPr>
      </w:pPr>
      <w:r w:rsidRPr="00290F2A">
        <w:rPr>
          <w:rFonts w:ascii="Garamond" w:eastAsia="Times New Roman" w:hAnsi="Garamond"/>
          <w:color w:val="000000"/>
          <w:lang w:eastAsia="en-AU"/>
        </w:rPr>
        <w:t xml:space="preserve">Please refer to the </w:t>
      </w:r>
      <w:r w:rsidRPr="00290F2A">
        <w:rPr>
          <w:rFonts w:ascii="Garamond" w:eastAsia="Times New Roman" w:hAnsi="Garamond"/>
          <w:b/>
          <w:bCs/>
          <w:color w:val="000000"/>
          <w:lang w:eastAsia="en-AU"/>
        </w:rPr>
        <w:t>T</w:t>
      </w:r>
      <w:r>
        <w:rPr>
          <w:rFonts w:ascii="Garamond" w:eastAsia="Times New Roman" w:hAnsi="Garamond"/>
          <w:b/>
          <w:bCs/>
          <w:color w:val="000000"/>
          <w:lang w:eastAsia="en-AU"/>
        </w:rPr>
        <w:t>r</w:t>
      </w:r>
      <w:r w:rsidRPr="00290F2A">
        <w:rPr>
          <w:rFonts w:ascii="Garamond" w:eastAsia="Times New Roman" w:hAnsi="Garamond"/>
          <w:b/>
          <w:bCs/>
          <w:color w:val="000000"/>
          <w:lang w:eastAsia="en-AU"/>
        </w:rPr>
        <w:t xml:space="preserve">easury and Finance glossary for budget and financial reports </w:t>
      </w:r>
      <w:r w:rsidRPr="00290F2A">
        <w:rPr>
          <w:rFonts w:ascii="Garamond" w:eastAsia="Times New Roman" w:hAnsi="Garamond"/>
          <w:color w:val="000000"/>
          <w:lang w:eastAsia="en-AU"/>
        </w:rPr>
        <w:t xml:space="preserve">at </w:t>
      </w:r>
      <w:r w:rsidRPr="00290F2A">
        <w:rPr>
          <w:lang w:eastAsia="en-AU"/>
        </w:rPr>
        <w:t>dtf.vic.gov.au</w:t>
      </w:r>
      <w:r w:rsidRPr="00290F2A">
        <w:rPr>
          <w:rFonts w:ascii="Garamond" w:eastAsia="Times New Roman" w:hAnsi="Garamond"/>
          <w:color w:val="000000"/>
          <w:lang w:eastAsia="en-AU"/>
        </w:rPr>
        <w:t xml:space="preserve"> for additional terms and references.</w:t>
      </w:r>
    </w:p>
    <w:p w14:paraId="68CB6998" w14:textId="77777777" w:rsidR="00703C50" w:rsidRDefault="00703C50" w:rsidP="00703C50">
      <w:pPr>
        <w:keepLines w:val="0"/>
      </w:pPr>
    </w:p>
    <w:p w14:paraId="6886389F" w14:textId="05A05292" w:rsidR="006E679A" w:rsidRDefault="006E679A" w:rsidP="005F294E"/>
    <w:sectPr w:rsidR="006E679A" w:rsidSect="00570639">
      <w:footerReference w:type="even" r:id="rId65"/>
      <w:footerReference w:type="default" r:id="rId66"/>
      <w:pgSz w:w="9979" w:h="14175" w:code="34"/>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A138" w14:textId="77777777" w:rsidR="00E27219" w:rsidRDefault="00E27219" w:rsidP="00C60BFA">
      <w:pPr>
        <w:spacing w:before="0"/>
      </w:pPr>
      <w:r>
        <w:separator/>
      </w:r>
    </w:p>
  </w:endnote>
  <w:endnote w:type="continuationSeparator" w:id="0">
    <w:p w14:paraId="4377B30B" w14:textId="77777777" w:rsidR="00E27219" w:rsidRDefault="00E27219" w:rsidP="00C60BFA">
      <w:pPr>
        <w:spacing w:before="0"/>
      </w:pPr>
      <w:r>
        <w:continuationSeparator/>
      </w:r>
    </w:p>
  </w:endnote>
  <w:endnote w:type="continuationNotice" w:id="1">
    <w:p w14:paraId="7D141E66" w14:textId="77777777" w:rsidR="00E27219" w:rsidRDefault="00E272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VIC">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1BA3" w14:textId="14502F92" w:rsidR="00C60BFA" w:rsidRPr="00DD11B1" w:rsidRDefault="00C60BFA" w:rsidP="00DD11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17E5" w14:textId="77777777" w:rsidR="00341416" w:rsidRDefault="0034141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F205" w14:textId="68BD8200" w:rsidR="00C60BFA" w:rsidRPr="002848AE" w:rsidRDefault="00570639" w:rsidP="00570639">
    <w:pPr>
      <w:pStyle w:val="FooterEvenPage"/>
    </w:pPr>
    <w:r>
      <w:fldChar w:fldCharType="begin"/>
    </w:r>
    <w:r>
      <w:instrText xml:space="preserve"> PAGE   \* MERGEFORMAT </w:instrText>
    </w:r>
    <w:r>
      <w:fldChar w:fldCharType="separate"/>
    </w:r>
    <w:r>
      <w:t>44</w:t>
    </w:r>
    <w:r>
      <w:fldChar w:fldCharType="end"/>
    </w:r>
    <w:r>
      <w:tab/>
      <w:t>Chapter 4</w:t>
    </w:r>
    <w:r>
      <w:tab/>
    </w:r>
    <w:fldSimple w:instr=" DOCPROPERTY  Title  \* MERGEFORMAT ">
      <w:r w:rsidR="007D5AA5">
        <w:t>2024-25 Budget Update</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95B4" w14:textId="7C0C42AD" w:rsidR="00C60BFA" w:rsidRPr="00E707C4" w:rsidRDefault="007D5AA5" w:rsidP="00570639">
    <w:pPr>
      <w:pStyle w:val="FooterOddPage"/>
    </w:pPr>
    <w:fldSimple w:instr=" DOCPROPERTY  Title  \* MERGEFORMAT ">
      <w:r>
        <w:t>2024-25 Budget Update</w:t>
      </w:r>
    </w:fldSimple>
    <w:r w:rsidR="00570639" w:rsidRPr="00E36759">
      <w:tab/>
      <w:t xml:space="preserve">Chapter </w:t>
    </w:r>
    <w:r w:rsidR="00570639">
      <w:t>4</w:t>
    </w:r>
    <w:r w:rsidR="00570639" w:rsidRPr="00E36759">
      <w:tab/>
    </w:r>
    <w:r w:rsidR="00570639" w:rsidRPr="00E36759">
      <w:fldChar w:fldCharType="begin"/>
    </w:r>
    <w:r w:rsidR="00570639" w:rsidRPr="00E36759">
      <w:instrText xml:space="preserve"> PAGE   \* MERGEFORMAT </w:instrText>
    </w:r>
    <w:r w:rsidR="00570639" w:rsidRPr="00E36759">
      <w:fldChar w:fldCharType="separate"/>
    </w:r>
    <w:r w:rsidR="00570639">
      <w:t>41</w:t>
    </w:r>
    <w:r w:rsidR="00570639" w:rsidRPr="00E36759">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5DA3" w14:textId="7155BD0C"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5</w:t>
    </w:r>
    <w:r>
      <w:tab/>
    </w:r>
    <w:fldSimple w:instr=" TITLE   \* MERGEFORMAT ">
      <w:r w:rsidR="007D5AA5">
        <w:t>2024-25 Budget Update</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C963" w14:textId="6D996793" w:rsidR="00C60BFA" w:rsidRDefault="007D5AA5" w:rsidP="00C60BFA">
    <w:pPr>
      <w:pStyle w:val="FooterOddPage"/>
    </w:pPr>
    <w:fldSimple w:instr=" TITLE   \* MERGEFORMAT ">
      <w:r>
        <w:t>2024-25 Budget Update</w:t>
      </w:r>
    </w:fldSimple>
    <w:r w:rsidR="00C60BFA" w:rsidRPr="00030025">
      <w:tab/>
      <w:t xml:space="preserve">Chapter </w:t>
    </w:r>
    <w:r w:rsidR="00471A3B">
      <w:t>5</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A85E" w14:textId="4F173C08" w:rsidR="009256ED" w:rsidRDefault="009256ED" w:rsidP="00C60BFA">
    <w:pPr>
      <w:pStyle w:val="FooterEvenPage"/>
    </w:pPr>
    <w:r>
      <w:fldChar w:fldCharType="begin"/>
    </w:r>
    <w:r>
      <w:instrText xml:space="preserve"> PAGE   \* MERGEFORMAT </w:instrText>
    </w:r>
    <w:r>
      <w:fldChar w:fldCharType="separate"/>
    </w:r>
    <w:r>
      <w:t>2</w:t>
    </w:r>
    <w:r>
      <w:fldChar w:fldCharType="end"/>
    </w:r>
    <w:r>
      <w:tab/>
      <w:t>Chapter 6</w:t>
    </w:r>
    <w:r>
      <w:tab/>
    </w:r>
    <w:fldSimple w:instr=" TITLE   \* MERGEFORMAT ">
      <w:r w:rsidR="007D5AA5">
        <w:t>2024-25 Budget Update</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F3FE" w14:textId="097C0A3A" w:rsidR="009256ED" w:rsidRDefault="007D5AA5" w:rsidP="00C60BFA">
    <w:pPr>
      <w:pStyle w:val="FooterOddPage"/>
    </w:pPr>
    <w:fldSimple w:instr=" TITLE   \* MERGEFORMAT ">
      <w:r>
        <w:t>2024-25 Budget Update</w:t>
      </w:r>
    </w:fldSimple>
    <w:r w:rsidR="009256ED" w:rsidRPr="00030025">
      <w:tab/>
      <w:t xml:space="preserve">Chapter </w:t>
    </w:r>
    <w:r w:rsidR="009256ED">
      <w:t>6</w:t>
    </w:r>
    <w:r w:rsidR="009256ED" w:rsidRPr="00030025">
      <w:tab/>
    </w:r>
    <w:r w:rsidR="009256ED" w:rsidRPr="00030025">
      <w:fldChar w:fldCharType="begin"/>
    </w:r>
    <w:r w:rsidR="009256ED" w:rsidRPr="00030025">
      <w:instrText xml:space="preserve"> PAGE   \* MERGEFORMAT </w:instrText>
    </w:r>
    <w:r w:rsidR="009256ED" w:rsidRPr="00030025">
      <w:fldChar w:fldCharType="separate"/>
    </w:r>
    <w:r w:rsidR="009256ED">
      <w:t>1</w:t>
    </w:r>
    <w:r w:rsidR="009256ED" w:rsidRPr="00030025">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8DA0" w14:textId="1A42DD82" w:rsidR="002E50E8" w:rsidRDefault="002E50E8" w:rsidP="00C60BFA">
    <w:pPr>
      <w:pStyle w:val="FooterEvenPage"/>
    </w:pPr>
    <w:r>
      <w:fldChar w:fldCharType="begin"/>
    </w:r>
    <w:r>
      <w:instrText xml:space="preserve"> PAGE   \* MERGEFORMAT </w:instrText>
    </w:r>
    <w:r>
      <w:fldChar w:fldCharType="separate"/>
    </w:r>
    <w:r>
      <w:t>2</w:t>
    </w:r>
    <w:r>
      <w:fldChar w:fldCharType="end"/>
    </w:r>
    <w:r>
      <w:tab/>
      <w:t>Chapter 7</w:t>
    </w:r>
    <w:r>
      <w:tab/>
    </w:r>
    <w:fldSimple w:instr=" TITLE   \* MERGEFORMAT ">
      <w:r w:rsidR="007D5AA5">
        <w:t>2024-25 Budget Update</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2247" w14:textId="1DFB678B" w:rsidR="002E50E8" w:rsidRDefault="007D5AA5" w:rsidP="00C60BFA">
    <w:pPr>
      <w:pStyle w:val="FooterOddPage"/>
    </w:pPr>
    <w:fldSimple w:instr=" TITLE   \* MERGEFORMAT ">
      <w:r>
        <w:t>2024-25 Budget Update</w:t>
      </w:r>
    </w:fldSimple>
    <w:r w:rsidR="002E50E8" w:rsidRPr="00030025">
      <w:tab/>
      <w:t xml:space="preserve">Chapter </w:t>
    </w:r>
    <w:r w:rsidR="002E50E8">
      <w:t>7</w:t>
    </w:r>
    <w:r w:rsidR="002E50E8" w:rsidRPr="00030025">
      <w:tab/>
    </w:r>
    <w:r w:rsidR="002E50E8" w:rsidRPr="00030025">
      <w:fldChar w:fldCharType="begin"/>
    </w:r>
    <w:r w:rsidR="002E50E8" w:rsidRPr="00030025">
      <w:instrText xml:space="preserve"> PAGE   \* MERGEFORMAT </w:instrText>
    </w:r>
    <w:r w:rsidR="002E50E8" w:rsidRPr="00030025">
      <w:fldChar w:fldCharType="separate"/>
    </w:r>
    <w:r w:rsidR="002E50E8">
      <w:t>1</w:t>
    </w:r>
    <w:r w:rsidR="002E50E8" w:rsidRPr="00030025">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696" w14:textId="728221F7"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A</w:t>
    </w:r>
    <w:r>
      <w:tab/>
    </w:r>
    <w:fldSimple w:instr=" TITLE   \* MERGEFORMAT ">
      <w:r w:rsidR="007D5AA5">
        <w:t>2024-25 Budget Update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1D78" w14:textId="727BD967" w:rsidR="00C60BFA" w:rsidRPr="00DD11B1" w:rsidRDefault="00C60BFA" w:rsidP="00DD11B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ED23" w14:textId="0228A4A5" w:rsidR="00C60BFA" w:rsidRDefault="007D5AA5" w:rsidP="00C60BFA">
    <w:pPr>
      <w:pStyle w:val="FooterOddPage"/>
    </w:pPr>
    <w:fldSimple w:instr=" TITLE   \* MERGEFORMAT ">
      <w:r>
        <w:t>2024-25 Budget Update</w:t>
      </w:r>
    </w:fldSimple>
    <w:r w:rsidR="00C60BFA" w:rsidRPr="00030025">
      <w:tab/>
    </w:r>
    <w:r w:rsidR="00471A3B">
      <w:t>Appendix A</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F9E2" w14:textId="143C5EEB"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B</w:t>
    </w:r>
    <w:r>
      <w:tab/>
    </w:r>
    <w:fldSimple w:instr=" TITLE   \* MERGEFORMAT ">
      <w:r w:rsidR="007D5AA5">
        <w:t>2024-25 Budget Update</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9EBD" w14:textId="3333776E" w:rsidR="00C60BFA" w:rsidRDefault="007D5AA5" w:rsidP="00C60BFA">
    <w:pPr>
      <w:pStyle w:val="FooterOddPage"/>
    </w:pPr>
    <w:fldSimple w:instr=" TITLE   \* MERGEFORMAT ">
      <w:r>
        <w:t>2024-25 Budget Update</w:t>
      </w:r>
    </w:fldSimple>
    <w:r w:rsidR="00C60BFA" w:rsidRPr="00030025">
      <w:tab/>
    </w:r>
    <w:r w:rsidR="00471A3B">
      <w:t>Appendix B</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1C1A" w14:textId="77777777" w:rsidR="00AB205D" w:rsidRDefault="00AB205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767E" w14:textId="4A13E163" w:rsidR="00C60BFA" w:rsidRDefault="00C60BFA" w:rsidP="00C60BFA">
    <w:pPr>
      <w:pStyle w:val="FooterEvenPage"/>
    </w:pPr>
    <w:r>
      <w:fldChar w:fldCharType="begin"/>
    </w:r>
    <w:r>
      <w:instrText xml:space="preserve"> PAGE   \* MERGEFORMAT </w:instrText>
    </w:r>
    <w:r>
      <w:fldChar w:fldCharType="separate"/>
    </w:r>
    <w:r>
      <w:t>2</w:t>
    </w:r>
    <w:r>
      <w:fldChar w:fldCharType="end"/>
    </w:r>
    <w:r>
      <w:tab/>
    </w:r>
    <w:r w:rsidR="00471A3B">
      <w:t>Appendix C</w:t>
    </w:r>
    <w:r>
      <w:tab/>
    </w:r>
    <w:fldSimple w:instr=" TITLE   \* MERGEFORMAT ">
      <w:r w:rsidR="007D5AA5">
        <w:t>2024-25 Budget Update</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FA02" w14:textId="45F2AC40" w:rsidR="00C60BFA" w:rsidRDefault="007D5AA5" w:rsidP="00C60BFA">
    <w:pPr>
      <w:pStyle w:val="FooterOddPage"/>
    </w:pPr>
    <w:fldSimple w:instr=" TITLE   \* MERGEFORMAT ">
      <w:r>
        <w:t>2024-25 Budget Update</w:t>
      </w:r>
    </w:fldSimple>
    <w:r w:rsidR="00C60BFA" w:rsidRPr="00030025">
      <w:tab/>
    </w:r>
    <w:r w:rsidR="00471A3B">
      <w:t>Appendix C</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4CA9" w14:textId="2E34EC08" w:rsidR="00AB205D" w:rsidRDefault="00471A3B">
    <w:pPr>
      <w:pStyle w:val="FooterEvenPage"/>
    </w:pPr>
    <w:r>
      <w:fldChar w:fldCharType="begin"/>
    </w:r>
    <w:r>
      <w:instrText xml:space="preserve"> PAGE   \* MERGEFORMAT </w:instrText>
    </w:r>
    <w:r>
      <w:fldChar w:fldCharType="separate"/>
    </w:r>
    <w:r>
      <w:t>68</w:t>
    </w:r>
    <w:r>
      <w:fldChar w:fldCharType="end"/>
    </w:r>
    <w:r>
      <w:tab/>
      <w:t>Appendix D</w:t>
    </w:r>
    <w:r>
      <w:tab/>
    </w:r>
    <w:fldSimple w:instr="DOCPROPERTY  Title  \* MERGEFORMAT">
      <w:r w:rsidR="007D5AA5">
        <w:t>2024-25 Budget Update</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B5A4" w14:textId="6FAA7D87" w:rsidR="00AB205D" w:rsidRDefault="007D5AA5">
    <w:pPr>
      <w:pStyle w:val="FooterOddPage"/>
    </w:pPr>
    <w:fldSimple w:instr="TITLE   \* MERGEFORMAT">
      <w:r>
        <w:t>2024-25 Budget Update</w:t>
      </w:r>
    </w:fldSimple>
    <w:r w:rsidR="00471A3B" w:rsidRPr="00030025">
      <w:tab/>
    </w:r>
    <w:r w:rsidR="00471A3B">
      <w:t>Appendix D</w:t>
    </w:r>
    <w:r w:rsidR="00471A3B" w:rsidRPr="00030025">
      <w:tab/>
    </w:r>
    <w:r w:rsidR="00471A3B" w:rsidRPr="00030025">
      <w:fldChar w:fldCharType="begin"/>
    </w:r>
    <w:r w:rsidR="00471A3B" w:rsidRPr="00030025">
      <w:instrText xml:space="preserve"> PAGE   \* MERGEFORMAT </w:instrText>
    </w:r>
    <w:r w:rsidR="00471A3B" w:rsidRPr="00030025">
      <w:fldChar w:fldCharType="separate"/>
    </w:r>
    <w:r w:rsidR="00471A3B">
      <w:t>69</w:t>
    </w:r>
    <w:r w:rsidR="00471A3B" w:rsidRPr="00030025">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C155" w14:textId="2EEE063A" w:rsidR="005F294E" w:rsidRDefault="005F294E" w:rsidP="00C60BFA">
    <w:pPr>
      <w:pStyle w:val="FooterEvenPage"/>
    </w:pPr>
    <w:r>
      <w:fldChar w:fldCharType="begin"/>
    </w:r>
    <w:r>
      <w:instrText xml:space="preserve"> PAGE   \* MERGEFORMAT </w:instrText>
    </w:r>
    <w:r>
      <w:fldChar w:fldCharType="separate"/>
    </w:r>
    <w:r>
      <w:t>2</w:t>
    </w:r>
    <w:r>
      <w:fldChar w:fldCharType="end"/>
    </w:r>
    <w:r>
      <w:tab/>
      <w:t>Style conventions</w:t>
    </w:r>
    <w:r>
      <w:tab/>
    </w:r>
    <w:fldSimple w:instr=" TITLE   \* MERGEFORMAT ">
      <w:r w:rsidR="007D5AA5">
        <w:t>2024-25 Budget Update</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43DE" w14:textId="301AA7FA" w:rsidR="00471A3B" w:rsidRDefault="007D5AA5" w:rsidP="00C60BFA">
    <w:pPr>
      <w:pStyle w:val="FooterOddPage"/>
    </w:pPr>
    <w:fldSimple w:instr=" TITLE   \* MERGEFORMAT ">
      <w:r>
        <w:t>2024-25 Budget Update</w:t>
      </w:r>
    </w:fldSimple>
    <w:r w:rsidR="00471A3B" w:rsidRPr="00030025">
      <w:tab/>
    </w:r>
    <w:r w:rsidR="00471A3B">
      <w:t>Style conventions</w:t>
    </w:r>
    <w:r w:rsidR="00471A3B" w:rsidRPr="00030025">
      <w:tab/>
    </w:r>
    <w:r w:rsidR="00471A3B" w:rsidRPr="00030025">
      <w:fldChar w:fldCharType="begin"/>
    </w:r>
    <w:r w:rsidR="00471A3B" w:rsidRPr="00030025">
      <w:instrText xml:space="preserve"> PAGE   \* MERGEFORMAT </w:instrText>
    </w:r>
    <w:r w:rsidR="00471A3B" w:rsidRPr="00030025">
      <w:fldChar w:fldCharType="separate"/>
    </w:r>
    <w:r w:rsidR="00471A3B">
      <w:t>1</w:t>
    </w:r>
    <w:r w:rsidR="00471A3B" w:rsidRPr="0003002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E236" w14:textId="4DC0E8A4" w:rsidR="00DD11B1" w:rsidRDefault="00DD11B1" w:rsidP="00C60BFA">
    <w:pPr>
      <w:pStyle w:val="FooterEvenPage"/>
    </w:pPr>
    <w:r>
      <w:fldChar w:fldCharType="begin"/>
    </w:r>
    <w:r>
      <w:instrText xml:space="preserve"> PAGE   \* MERGEFORMAT </w:instrText>
    </w:r>
    <w:r>
      <w:fldChar w:fldCharType="separate"/>
    </w:r>
    <w:r>
      <w:t>2</w:t>
    </w:r>
    <w:r>
      <w:fldChar w:fldCharType="end"/>
    </w:r>
    <w:r>
      <w:tab/>
      <w:t>Chapter 1</w:t>
    </w:r>
    <w:r>
      <w:tab/>
    </w:r>
    <w:fldSimple w:instr=" TITLE   \* MERGEFORMAT ">
      <w:r w:rsidR="007D5AA5">
        <w:t>2024-25 Budget Update</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326B" w14:textId="1403AE2B" w:rsidR="00DD11B1" w:rsidRDefault="007D5AA5" w:rsidP="00C60BFA">
    <w:pPr>
      <w:pStyle w:val="FooterOddPage"/>
    </w:pPr>
    <w:fldSimple w:instr=" TITLE   \* MERGEFORMAT ">
      <w:r>
        <w:t>2024-25 Budget Update</w:t>
      </w:r>
    </w:fldSimple>
    <w:r w:rsidR="00DD11B1" w:rsidRPr="00030025">
      <w:tab/>
      <w:t xml:space="preserve">Chapter </w:t>
    </w:r>
    <w:r w:rsidR="00DD11B1">
      <w:t>1</w:t>
    </w:r>
    <w:r w:rsidR="00DD11B1" w:rsidRPr="00030025">
      <w:tab/>
    </w:r>
    <w:r w:rsidR="00DD11B1" w:rsidRPr="00030025">
      <w:fldChar w:fldCharType="begin"/>
    </w:r>
    <w:r w:rsidR="00DD11B1" w:rsidRPr="00030025">
      <w:instrText xml:space="preserve"> PAGE   \* MERGEFORMAT </w:instrText>
    </w:r>
    <w:r w:rsidR="00DD11B1" w:rsidRPr="00030025">
      <w:fldChar w:fldCharType="separate"/>
    </w:r>
    <w:r w:rsidR="00DD11B1">
      <w:t>1</w:t>
    </w:r>
    <w:r w:rsidR="00DD11B1" w:rsidRPr="0003002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ADB3" w14:textId="0B83013D"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2</w:t>
    </w:r>
    <w:r>
      <w:tab/>
    </w:r>
    <w:fldSimple w:instr=" TITLE   \* MERGEFORMAT ">
      <w:r w:rsidR="007D5AA5">
        <w:t>2024-25 Budget Update</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5CEC" w14:textId="2E863AAF" w:rsidR="00C60BFA" w:rsidRDefault="007D5AA5" w:rsidP="00C60BFA">
    <w:pPr>
      <w:pStyle w:val="FooterOddPage"/>
    </w:pPr>
    <w:fldSimple w:instr=" TITLE   \* MERGEFORMAT ">
      <w:r>
        <w:t>2024-25 Budget Update</w:t>
      </w:r>
    </w:fldSimple>
    <w:r w:rsidR="00C60BFA" w:rsidRPr="00030025">
      <w:tab/>
      <w:t xml:space="preserve">Chapter </w:t>
    </w:r>
    <w:r w:rsidR="00471A3B">
      <w:t>2</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F167" w14:textId="77777777" w:rsidR="00AB205D" w:rsidRDefault="00AB20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04AC" w14:textId="29EBF57A" w:rsidR="00C60BFA" w:rsidRDefault="00C60BFA" w:rsidP="00C60BFA">
    <w:pPr>
      <w:pStyle w:val="FooterEvenPage"/>
    </w:pPr>
    <w:r>
      <w:fldChar w:fldCharType="begin"/>
    </w:r>
    <w:r>
      <w:instrText xml:space="preserve"> PAGE   \* MERGEFORMAT </w:instrText>
    </w:r>
    <w:r>
      <w:fldChar w:fldCharType="separate"/>
    </w:r>
    <w:r>
      <w:t>2</w:t>
    </w:r>
    <w:r>
      <w:fldChar w:fldCharType="end"/>
    </w:r>
    <w:r>
      <w:tab/>
      <w:t xml:space="preserve">Chapter </w:t>
    </w:r>
    <w:r w:rsidR="00471A3B">
      <w:t>3</w:t>
    </w:r>
    <w:r>
      <w:tab/>
    </w:r>
    <w:fldSimple w:instr=" TITLE   \* MERGEFORMAT ">
      <w:r w:rsidR="007D5AA5">
        <w:t>2024-25 Budget Update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16E5" w14:textId="7AD54D1E" w:rsidR="00C60BFA" w:rsidRDefault="007D5AA5" w:rsidP="00C60BFA">
    <w:pPr>
      <w:pStyle w:val="FooterOddPage"/>
    </w:pPr>
    <w:fldSimple w:instr=" TITLE   \* MERGEFORMAT ">
      <w:r>
        <w:t>2024-25 Budget Update</w:t>
      </w:r>
    </w:fldSimple>
    <w:r w:rsidR="00C60BFA" w:rsidRPr="00030025">
      <w:tab/>
      <w:t xml:space="preserve">Chapter </w:t>
    </w:r>
    <w:r w:rsidR="00471A3B">
      <w:t>3</w:t>
    </w:r>
    <w:r w:rsidR="00C60BFA" w:rsidRPr="00030025">
      <w:tab/>
    </w:r>
    <w:r w:rsidR="00C60BFA" w:rsidRPr="00030025">
      <w:fldChar w:fldCharType="begin"/>
    </w:r>
    <w:r w:rsidR="00C60BFA" w:rsidRPr="00030025">
      <w:instrText xml:space="preserve"> PAGE   \* MERGEFORMAT </w:instrText>
    </w:r>
    <w:r w:rsidR="00C60BFA" w:rsidRPr="00030025">
      <w:fldChar w:fldCharType="separate"/>
    </w:r>
    <w:r w:rsidR="00C60BFA">
      <w:t>1</w:t>
    </w:r>
    <w:r w:rsidR="00C60BFA" w:rsidRPr="000300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5ED3" w14:textId="77777777" w:rsidR="00E27219" w:rsidRDefault="00E27219" w:rsidP="00C60BFA">
      <w:pPr>
        <w:spacing w:before="0"/>
      </w:pPr>
      <w:r>
        <w:separator/>
      </w:r>
    </w:p>
  </w:footnote>
  <w:footnote w:type="continuationSeparator" w:id="0">
    <w:p w14:paraId="1AE3C251" w14:textId="77777777" w:rsidR="00E27219" w:rsidRDefault="00E27219" w:rsidP="00C60BFA">
      <w:pPr>
        <w:spacing w:before="0"/>
      </w:pPr>
      <w:r>
        <w:continuationSeparator/>
      </w:r>
    </w:p>
  </w:footnote>
  <w:footnote w:type="continuationNotice" w:id="1">
    <w:p w14:paraId="23A4C3FD" w14:textId="77777777" w:rsidR="00E27219" w:rsidRDefault="00E27219">
      <w:pPr>
        <w:spacing w:before="0"/>
      </w:pPr>
    </w:p>
  </w:footnote>
  <w:footnote w:id="2">
    <w:p w14:paraId="2DDF3524" w14:textId="77777777" w:rsidR="00E259F6" w:rsidRPr="00E259F6" w:rsidRDefault="00E259F6" w:rsidP="00E259F6">
      <w:pPr>
        <w:pStyle w:val="FootnoteText"/>
      </w:pPr>
      <w:r w:rsidRPr="00E259F6">
        <w:rPr>
          <w:rStyle w:val="FootnoteReference"/>
        </w:rPr>
        <w:footnoteRef/>
      </w:r>
      <w:r w:rsidRPr="00E259F6">
        <w:t xml:space="preserve"> The Department of Treasury and Finance maintains a set of elasticities covering the relationships between major economic parameters and revenue and expenditure lines, including superannuation, and dividends and income tax equivalents from the public financial and non-financial corporations.</w:t>
      </w:r>
    </w:p>
  </w:footnote>
  <w:footnote w:id="3">
    <w:p w14:paraId="670679B2" w14:textId="77777777" w:rsidR="00E259F6" w:rsidRPr="00E259F6" w:rsidRDefault="00E259F6" w:rsidP="00E259F6">
      <w:pPr>
        <w:pStyle w:val="FootnoteText"/>
      </w:pPr>
      <w:r w:rsidRPr="00E259F6">
        <w:rPr>
          <w:rStyle w:val="FootnoteReference"/>
        </w:rPr>
        <w:footnoteRef/>
      </w:r>
      <w:r w:rsidRPr="009C657A">
        <w:rPr>
          <w:sz w:val="16"/>
          <w:szCs w:val="16"/>
        </w:rPr>
        <w:t xml:space="preserve"> </w:t>
      </w:r>
      <w:r w:rsidRPr="00E259F6">
        <w:t>Commonwealth Treasury (2023), ‘Working Future: The Australian Government’s White Paper on Jobs and Opportunities’.</w:t>
      </w:r>
    </w:p>
  </w:footnote>
  <w:footnote w:id="4">
    <w:p w14:paraId="7E7796C6" w14:textId="77777777" w:rsidR="00E259F6" w:rsidRPr="00E5049F" w:rsidRDefault="00E259F6" w:rsidP="00E259F6">
      <w:pPr>
        <w:pStyle w:val="FootnoteText"/>
        <w:rPr>
          <w:sz w:val="16"/>
          <w:szCs w:val="16"/>
        </w:rPr>
      </w:pPr>
      <w:r w:rsidRPr="00E259F6">
        <w:rPr>
          <w:rStyle w:val="FootnoteReference"/>
        </w:rPr>
        <w:footnoteRef/>
      </w:r>
      <w:r w:rsidRPr="00E5049F">
        <w:rPr>
          <w:sz w:val="16"/>
          <w:szCs w:val="16"/>
        </w:rPr>
        <w:t xml:space="preserve"> </w:t>
      </w:r>
      <w:r w:rsidRPr="00E259F6">
        <w:t>Reserve Bank of Australia (2024), Statement on Monetary Policy, February; Commonwealth Treasury (2023), ‘Working Future: The Australian Government’s White Paper on Jobs and Opportunities’.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C010" w14:textId="77777777" w:rsidR="00AB205D" w:rsidRDefault="00AB20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375E" w14:textId="77777777" w:rsidR="00AB205D" w:rsidRDefault="00AB20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463D" w14:textId="77777777" w:rsidR="00AB205D" w:rsidRDefault="00AB2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3F2A" w14:textId="77777777" w:rsidR="00AB205D" w:rsidRDefault="00AB2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9368" w14:textId="77777777" w:rsidR="00AB205D" w:rsidRDefault="00AB2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F9B8" w14:textId="77777777" w:rsidR="00341416" w:rsidRDefault="003414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D9E4" w14:textId="77777777" w:rsidR="00341416" w:rsidRDefault="003414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AC3A" w14:textId="77777777" w:rsidR="00341416" w:rsidRDefault="003414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DA61" w14:textId="77777777" w:rsidR="009256ED" w:rsidRDefault="009256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FF99" w14:textId="77777777" w:rsidR="009256ED" w:rsidRDefault="009256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DA56" w14:textId="77777777" w:rsidR="00AB205D" w:rsidRDefault="00AB2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682"/>
    <w:multiLevelType w:val="hybridMultilevel"/>
    <w:tmpl w:val="B4A0E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274B4"/>
    <w:multiLevelType w:val="hybridMultilevel"/>
    <w:tmpl w:val="02B08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41DF5"/>
    <w:multiLevelType w:val="hybridMultilevel"/>
    <w:tmpl w:val="13563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9121B"/>
    <w:multiLevelType w:val="hybridMultilevel"/>
    <w:tmpl w:val="99B8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45584"/>
    <w:multiLevelType w:val="hybridMultilevel"/>
    <w:tmpl w:val="E46A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B4F78"/>
    <w:multiLevelType w:val="hybridMultilevel"/>
    <w:tmpl w:val="DCA89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801879"/>
    <w:multiLevelType w:val="hybridMultilevel"/>
    <w:tmpl w:val="FABA7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EA325F"/>
    <w:multiLevelType w:val="hybridMultilevel"/>
    <w:tmpl w:val="5AA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07F98"/>
    <w:multiLevelType w:val="hybridMultilevel"/>
    <w:tmpl w:val="6A2EC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1D7A52"/>
    <w:multiLevelType w:val="hybridMultilevel"/>
    <w:tmpl w:val="F56C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745F5"/>
    <w:multiLevelType w:val="hybridMultilevel"/>
    <w:tmpl w:val="0EFE6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044D0"/>
    <w:multiLevelType w:val="hybridMultilevel"/>
    <w:tmpl w:val="4364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41314E"/>
    <w:multiLevelType w:val="multilevel"/>
    <w:tmpl w:val="3654BD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13" w15:restartNumberingAfterBreak="0">
    <w:nsid w:val="327911B0"/>
    <w:multiLevelType w:val="hybridMultilevel"/>
    <w:tmpl w:val="8E62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40CD5"/>
    <w:multiLevelType w:val="multilevel"/>
    <w:tmpl w:val="5E22C0F8"/>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2A931AF"/>
    <w:multiLevelType w:val="hybridMultilevel"/>
    <w:tmpl w:val="EB12AAD2"/>
    <w:lvl w:ilvl="0" w:tplc="302EACFA">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2D83ECA"/>
    <w:multiLevelType w:val="hybridMultilevel"/>
    <w:tmpl w:val="45EAB682"/>
    <w:lvl w:ilvl="0" w:tplc="46F8E4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5B3509"/>
    <w:multiLevelType w:val="multilevel"/>
    <w:tmpl w:val="9E328A70"/>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54506E"/>
    <w:multiLevelType w:val="hybridMultilevel"/>
    <w:tmpl w:val="ACD27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24840"/>
    <w:multiLevelType w:val="hybridMultilevel"/>
    <w:tmpl w:val="0AF4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8F68FD"/>
    <w:multiLevelType w:val="hybridMultilevel"/>
    <w:tmpl w:val="DE1A1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6848BC"/>
    <w:multiLevelType w:val="hybridMultilevel"/>
    <w:tmpl w:val="4BCC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26281B"/>
    <w:multiLevelType w:val="hybridMultilevel"/>
    <w:tmpl w:val="BEC4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20114D"/>
    <w:multiLevelType w:val="hybridMultilevel"/>
    <w:tmpl w:val="7446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07BDF"/>
    <w:multiLevelType w:val="hybridMultilevel"/>
    <w:tmpl w:val="DD301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7577B"/>
    <w:multiLevelType w:val="multilevel"/>
    <w:tmpl w:val="BF688622"/>
    <w:lvl w:ilvl="0">
      <w:start w:val="1"/>
      <w:numFmt w:val="bullet"/>
      <w:pStyle w:val="ListBullet"/>
      <w:lvlText w:val=""/>
      <w:lvlJc w:val="left"/>
      <w:pPr>
        <w:ind w:left="340" w:hanging="340"/>
      </w:pPr>
      <w:rPr>
        <w:rFonts w:ascii="Symbol" w:hAnsi="Symbol" w:hint="default"/>
        <w:color w:val="auto"/>
      </w:rPr>
    </w:lvl>
    <w:lvl w:ilvl="1">
      <w:start w:val="1"/>
      <w:numFmt w:val="bullet"/>
      <w:pStyle w:val="ListBullet2"/>
      <w:lvlText w:val=""/>
      <w:lvlJc w:val="left"/>
      <w:pPr>
        <w:ind w:left="680" w:hanging="340"/>
      </w:pPr>
      <w:rPr>
        <w:rFonts w:ascii="Symbol" w:hAnsi="Symbol" w:hint="default"/>
      </w:rPr>
    </w:lvl>
    <w:lvl w:ilvl="2">
      <w:start w:val="1"/>
      <w:numFmt w:val="bullet"/>
      <w:pStyle w:val="ListBullet3"/>
      <w:lvlText w:val=""/>
      <w:lvlJc w:val="left"/>
      <w:pPr>
        <w:ind w:left="1020" w:hanging="34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6" w15:restartNumberingAfterBreak="0">
    <w:nsid w:val="630E563B"/>
    <w:multiLevelType w:val="hybridMultilevel"/>
    <w:tmpl w:val="AFA4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F441C3"/>
    <w:multiLevelType w:val="hybridMultilevel"/>
    <w:tmpl w:val="D5BAFADA"/>
    <w:lvl w:ilvl="0" w:tplc="F92A61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645036"/>
    <w:multiLevelType w:val="hybridMultilevel"/>
    <w:tmpl w:val="BBA4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6D770E"/>
    <w:multiLevelType w:val="hybridMultilevel"/>
    <w:tmpl w:val="62C6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2530F3"/>
    <w:multiLevelType w:val="multilevel"/>
    <w:tmpl w:val="4446ACEE"/>
    <w:styleLink w:val="ListBullets"/>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C07E58"/>
    <w:multiLevelType w:val="hybridMultilevel"/>
    <w:tmpl w:val="8D92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3564D5"/>
    <w:multiLevelType w:val="hybridMultilevel"/>
    <w:tmpl w:val="FBFA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2740D6"/>
    <w:multiLevelType w:val="multilevel"/>
    <w:tmpl w:val="AA5AE64C"/>
    <w:lvl w:ilvl="0">
      <w:start w:val="1"/>
      <w:numFmt w:val="none"/>
      <w:pStyle w:val="ListContinue"/>
      <w:lvlText w:val=""/>
      <w:lvlJc w:val="left"/>
      <w:pPr>
        <w:ind w:left="340" w:firstLine="0"/>
      </w:pPr>
      <w:rPr>
        <w:rFonts w:hint="default"/>
      </w:rPr>
    </w:lvl>
    <w:lvl w:ilvl="1">
      <w:start w:val="1"/>
      <w:numFmt w:val="none"/>
      <w:pStyle w:val="ListContinue2"/>
      <w:lvlText w:val=""/>
      <w:lvlJc w:val="left"/>
      <w:pPr>
        <w:ind w:left="680" w:firstLine="0"/>
      </w:pPr>
      <w:rPr>
        <w:rFonts w:hint="default"/>
      </w:rPr>
    </w:lvl>
    <w:lvl w:ilvl="2">
      <w:start w:val="1"/>
      <w:numFmt w:val="none"/>
      <w:pStyle w:val="ListContinue3"/>
      <w:lvlText w:val=""/>
      <w:lvlJc w:val="right"/>
      <w:pPr>
        <w:ind w:left="1020" w:firstLine="0"/>
      </w:pPr>
      <w:rPr>
        <w:rFonts w:hint="default"/>
      </w:rPr>
    </w:lvl>
    <w:lvl w:ilvl="3">
      <w:start w:val="1"/>
      <w:numFmt w:val="none"/>
      <w:lvlText w:val=""/>
      <w:lvlJc w:val="left"/>
      <w:pPr>
        <w:ind w:left="1360" w:firstLine="0"/>
      </w:pPr>
      <w:rPr>
        <w:rFonts w:hint="default"/>
      </w:rPr>
    </w:lvl>
    <w:lvl w:ilvl="4">
      <w:start w:val="1"/>
      <w:numFmt w:val="none"/>
      <w:lvlText w:val=""/>
      <w:lvlJc w:val="left"/>
      <w:pPr>
        <w:ind w:left="1700" w:firstLine="0"/>
      </w:pPr>
      <w:rPr>
        <w:rFonts w:hint="default"/>
      </w:rPr>
    </w:lvl>
    <w:lvl w:ilvl="5">
      <w:start w:val="1"/>
      <w:numFmt w:val="none"/>
      <w:lvlText w:val=""/>
      <w:lvlJc w:val="right"/>
      <w:pPr>
        <w:ind w:left="2040" w:firstLine="0"/>
      </w:pPr>
      <w:rPr>
        <w:rFonts w:hint="default"/>
      </w:rPr>
    </w:lvl>
    <w:lvl w:ilvl="6">
      <w:start w:val="1"/>
      <w:numFmt w:val="none"/>
      <w:lvlText w:val=""/>
      <w:lvlJc w:val="left"/>
      <w:pPr>
        <w:ind w:left="2380" w:firstLine="0"/>
      </w:pPr>
      <w:rPr>
        <w:rFonts w:hint="default"/>
      </w:rPr>
    </w:lvl>
    <w:lvl w:ilvl="7">
      <w:start w:val="1"/>
      <w:numFmt w:val="none"/>
      <w:lvlText w:val=""/>
      <w:lvlJc w:val="left"/>
      <w:pPr>
        <w:ind w:left="2720" w:firstLine="0"/>
      </w:pPr>
      <w:rPr>
        <w:rFonts w:hint="default"/>
      </w:rPr>
    </w:lvl>
    <w:lvl w:ilvl="8">
      <w:start w:val="1"/>
      <w:numFmt w:val="none"/>
      <w:lvlText w:val=""/>
      <w:lvlJc w:val="right"/>
      <w:pPr>
        <w:ind w:left="3060" w:firstLine="0"/>
      </w:pPr>
      <w:rPr>
        <w:rFonts w:hint="default"/>
      </w:rPr>
    </w:lvl>
  </w:abstractNum>
  <w:abstractNum w:abstractNumId="34" w15:restartNumberingAfterBreak="0">
    <w:nsid w:val="7C6E4EBA"/>
    <w:multiLevelType w:val="multilevel"/>
    <w:tmpl w:val="B4BC2B18"/>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35" w15:restartNumberingAfterBreak="0">
    <w:nsid w:val="7D5F0314"/>
    <w:multiLevelType w:val="multilevel"/>
    <w:tmpl w:val="6166221C"/>
    <w:styleLink w:val="ListStyle-Bullet"/>
    <w:lvl w:ilvl="0">
      <w:start w:val="1"/>
      <w:numFmt w:val="bullet"/>
      <w:lvlText w:val=""/>
      <w:lvlJc w:val="left"/>
      <w:pPr>
        <w:ind w:left="340" w:hanging="340"/>
      </w:pPr>
      <w:rPr>
        <w:rFonts w:ascii="Symbol" w:hAnsi="Symbol" w:hint="default"/>
        <w:color w:val="auto"/>
        <w:sz w:val="20"/>
      </w:rPr>
    </w:lvl>
    <w:lvl w:ilvl="1">
      <w:start w:val="1"/>
      <w:numFmt w:val="none"/>
      <w:lvlText w:val="–"/>
      <w:lvlJc w:val="left"/>
      <w:pPr>
        <w:ind w:left="680" w:hanging="340"/>
      </w:pPr>
      <w:rPr>
        <w:rFonts w:hint="default"/>
      </w:rPr>
    </w:lvl>
    <w:lvl w:ilvl="2">
      <w:start w:val="1"/>
      <w:numFmt w:val="bullet"/>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9936396">
    <w:abstractNumId w:val="25"/>
  </w:num>
  <w:num w:numId="2" w16cid:durableId="1876700632">
    <w:abstractNumId w:val="34"/>
  </w:num>
  <w:num w:numId="3" w16cid:durableId="1061946919">
    <w:abstractNumId w:val="12"/>
  </w:num>
  <w:num w:numId="4" w16cid:durableId="1445005625">
    <w:abstractNumId w:val="33"/>
  </w:num>
  <w:num w:numId="5" w16cid:durableId="1724713121">
    <w:abstractNumId w:val="15"/>
  </w:num>
  <w:num w:numId="6" w16cid:durableId="1298031833">
    <w:abstractNumId w:val="17"/>
  </w:num>
  <w:num w:numId="7" w16cid:durableId="1894543187">
    <w:abstractNumId w:val="35"/>
  </w:num>
  <w:num w:numId="8" w16cid:durableId="1620641994">
    <w:abstractNumId w:val="14"/>
  </w:num>
  <w:num w:numId="9" w16cid:durableId="580483185">
    <w:abstractNumId w:val="30"/>
  </w:num>
  <w:num w:numId="10" w16cid:durableId="1595045690">
    <w:abstractNumId w:val="20"/>
  </w:num>
  <w:num w:numId="11" w16cid:durableId="99449484">
    <w:abstractNumId w:val="1"/>
  </w:num>
  <w:num w:numId="12" w16cid:durableId="1931964811">
    <w:abstractNumId w:val="11"/>
  </w:num>
  <w:num w:numId="13" w16cid:durableId="130749855">
    <w:abstractNumId w:val="6"/>
  </w:num>
  <w:num w:numId="14" w16cid:durableId="904607298">
    <w:abstractNumId w:val="22"/>
  </w:num>
  <w:num w:numId="15" w16cid:durableId="1971204895">
    <w:abstractNumId w:val="28"/>
  </w:num>
  <w:num w:numId="16" w16cid:durableId="1340348447">
    <w:abstractNumId w:val="4"/>
  </w:num>
  <w:num w:numId="17" w16cid:durableId="224026668">
    <w:abstractNumId w:val="23"/>
  </w:num>
  <w:num w:numId="18" w16cid:durableId="504246828">
    <w:abstractNumId w:val="31"/>
  </w:num>
  <w:num w:numId="19" w16cid:durableId="1156846917">
    <w:abstractNumId w:val="19"/>
  </w:num>
  <w:num w:numId="20" w16cid:durableId="1634210114">
    <w:abstractNumId w:val="18"/>
  </w:num>
  <w:num w:numId="21" w16cid:durableId="1548374286">
    <w:abstractNumId w:val="21"/>
  </w:num>
  <w:num w:numId="22" w16cid:durableId="1985038460">
    <w:abstractNumId w:val="2"/>
  </w:num>
  <w:num w:numId="23" w16cid:durableId="41902437">
    <w:abstractNumId w:val="9"/>
  </w:num>
  <w:num w:numId="24" w16cid:durableId="1443037801">
    <w:abstractNumId w:val="13"/>
  </w:num>
  <w:num w:numId="25" w16cid:durableId="1220167431">
    <w:abstractNumId w:val="7"/>
  </w:num>
  <w:num w:numId="26" w16cid:durableId="2012103895">
    <w:abstractNumId w:val="10"/>
  </w:num>
  <w:num w:numId="27" w16cid:durableId="1170827837">
    <w:abstractNumId w:val="26"/>
  </w:num>
  <w:num w:numId="28" w16cid:durableId="522591487">
    <w:abstractNumId w:val="5"/>
  </w:num>
  <w:num w:numId="29" w16cid:durableId="1985430658">
    <w:abstractNumId w:val="32"/>
  </w:num>
  <w:num w:numId="30" w16cid:durableId="1560435825">
    <w:abstractNumId w:val="3"/>
  </w:num>
  <w:num w:numId="31" w16cid:durableId="301736208">
    <w:abstractNumId w:val="8"/>
  </w:num>
  <w:num w:numId="32" w16cid:durableId="1014503934">
    <w:abstractNumId w:val="24"/>
  </w:num>
  <w:num w:numId="33" w16cid:durableId="674305618">
    <w:abstractNumId w:val="29"/>
  </w:num>
  <w:num w:numId="34" w16cid:durableId="1238173693">
    <w:abstractNumId w:val="16"/>
  </w:num>
  <w:num w:numId="35" w16cid:durableId="846333317">
    <w:abstractNumId w:val="27"/>
  </w:num>
  <w:num w:numId="36" w16cid:durableId="41786928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B3"/>
    <w:rsid w:val="00000435"/>
    <w:rsid w:val="00000570"/>
    <w:rsid w:val="000005E8"/>
    <w:rsid w:val="0000103A"/>
    <w:rsid w:val="00001D49"/>
    <w:rsid w:val="0000227A"/>
    <w:rsid w:val="000027A5"/>
    <w:rsid w:val="0000293A"/>
    <w:rsid w:val="000042AB"/>
    <w:rsid w:val="0000480F"/>
    <w:rsid w:val="00004CB2"/>
    <w:rsid w:val="00005615"/>
    <w:rsid w:val="000056B1"/>
    <w:rsid w:val="000056E9"/>
    <w:rsid w:val="00006808"/>
    <w:rsid w:val="00007177"/>
    <w:rsid w:val="0000778A"/>
    <w:rsid w:val="00007CDB"/>
    <w:rsid w:val="0001036D"/>
    <w:rsid w:val="0001042A"/>
    <w:rsid w:val="000106D9"/>
    <w:rsid w:val="0001188A"/>
    <w:rsid w:val="000119C6"/>
    <w:rsid w:val="00012729"/>
    <w:rsid w:val="00015346"/>
    <w:rsid w:val="00015511"/>
    <w:rsid w:val="00015843"/>
    <w:rsid w:val="00016218"/>
    <w:rsid w:val="00017412"/>
    <w:rsid w:val="00017A43"/>
    <w:rsid w:val="00020683"/>
    <w:rsid w:val="000210B4"/>
    <w:rsid w:val="000217D3"/>
    <w:rsid w:val="000218CD"/>
    <w:rsid w:val="000223AF"/>
    <w:rsid w:val="00023759"/>
    <w:rsid w:val="00024626"/>
    <w:rsid w:val="00024787"/>
    <w:rsid w:val="00025288"/>
    <w:rsid w:val="000254BE"/>
    <w:rsid w:val="00025556"/>
    <w:rsid w:val="0002584C"/>
    <w:rsid w:val="00026A86"/>
    <w:rsid w:val="000275D4"/>
    <w:rsid w:val="0003038C"/>
    <w:rsid w:val="00030863"/>
    <w:rsid w:val="00030B44"/>
    <w:rsid w:val="00031C03"/>
    <w:rsid w:val="000323D0"/>
    <w:rsid w:val="00032449"/>
    <w:rsid w:val="00032659"/>
    <w:rsid w:val="00033171"/>
    <w:rsid w:val="000341DF"/>
    <w:rsid w:val="000344E9"/>
    <w:rsid w:val="00036417"/>
    <w:rsid w:val="00036690"/>
    <w:rsid w:val="00036769"/>
    <w:rsid w:val="00036A37"/>
    <w:rsid w:val="00040864"/>
    <w:rsid w:val="000429A6"/>
    <w:rsid w:val="0004345C"/>
    <w:rsid w:val="000439EA"/>
    <w:rsid w:val="00043A0A"/>
    <w:rsid w:val="00043F30"/>
    <w:rsid w:val="00046BBA"/>
    <w:rsid w:val="00046DA9"/>
    <w:rsid w:val="00047C60"/>
    <w:rsid w:val="00047D58"/>
    <w:rsid w:val="00051BD3"/>
    <w:rsid w:val="00052938"/>
    <w:rsid w:val="000530E4"/>
    <w:rsid w:val="000539DF"/>
    <w:rsid w:val="00053ADE"/>
    <w:rsid w:val="0005426B"/>
    <w:rsid w:val="00054AC7"/>
    <w:rsid w:val="000554C4"/>
    <w:rsid w:val="00055D3E"/>
    <w:rsid w:val="00056EAB"/>
    <w:rsid w:val="00057084"/>
    <w:rsid w:val="00057357"/>
    <w:rsid w:val="00057433"/>
    <w:rsid w:val="000609D7"/>
    <w:rsid w:val="00061638"/>
    <w:rsid w:val="00061A78"/>
    <w:rsid w:val="00061FFC"/>
    <w:rsid w:val="00062693"/>
    <w:rsid w:val="000629D6"/>
    <w:rsid w:val="00062BA8"/>
    <w:rsid w:val="0006381F"/>
    <w:rsid w:val="00063AA0"/>
    <w:rsid w:val="00064225"/>
    <w:rsid w:val="00064804"/>
    <w:rsid w:val="00065296"/>
    <w:rsid w:val="00065537"/>
    <w:rsid w:val="00065A98"/>
    <w:rsid w:val="000662D1"/>
    <w:rsid w:val="00070444"/>
    <w:rsid w:val="000707FF"/>
    <w:rsid w:val="00070FD6"/>
    <w:rsid w:val="000716BE"/>
    <w:rsid w:val="00071872"/>
    <w:rsid w:val="00071B44"/>
    <w:rsid w:val="00072207"/>
    <w:rsid w:val="0007322F"/>
    <w:rsid w:val="00073503"/>
    <w:rsid w:val="00073DCE"/>
    <w:rsid w:val="000741CE"/>
    <w:rsid w:val="000744CA"/>
    <w:rsid w:val="00074902"/>
    <w:rsid w:val="00074A32"/>
    <w:rsid w:val="00074B2E"/>
    <w:rsid w:val="000752E6"/>
    <w:rsid w:val="000759D4"/>
    <w:rsid w:val="00075F3E"/>
    <w:rsid w:val="00076DD7"/>
    <w:rsid w:val="000773F0"/>
    <w:rsid w:val="00077AFC"/>
    <w:rsid w:val="00081AA7"/>
    <w:rsid w:val="00081D35"/>
    <w:rsid w:val="00081DD0"/>
    <w:rsid w:val="00082270"/>
    <w:rsid w:val="000823F6"/>
    <w:rsid w:val="00083594"/>
    <w:rsid w:val="0008405C"/>
    <w:rsid w:val="00084B86"/>
    <w:rsid w:val="00084D5B"/>
    <w:rsid w:val="0008542D"/>
    <w:rsid w:val="00085871"/>
    <w:rsid w:val="00085D0F"/>
    <w:rsid w:val="00090C45"/>
    <w:rsid w:val="00091359"/>
    <w:rsid w:val="000915D1"/>
    <w:rsid w:val="00091844"/>
    <w:rsid w:val="000924C0"/>
    <w:rsid w:val="0009432A"/>
    <w:rsid w:val="000977B7"/>
    <w:rsid w:val="000A03DC"/>
    <w:rsid w:val="000A424C"/>
    <w:rsid w:val="000A4A33"/>
    <w:rsid w:val="000A4C3E"/>
    <w:rsid w:val="000A55AE"/>
    <w:rsid w:val="000A68B0"/>
    <w:rsid w:val="000A73B0"/>
    <w:rsid w:val="000B02D1"/>
    <w:rsid w:val="000B0B3D"/>
    <w:rsid w:val="000B1F69"/>
    <w:rsid w:val="000B24EA"/>
    <w:rsid w:val="000B3481"/>
    <w:rsid w:val="000B3617"/>
    <w:rsid w:val="000B37C6"/>
    <w:rsid w:val="000B3CD3"/>
    <w:rsid w:val="000B3D9B"/>
    <w:rsid w:val="000B55F8"/>
    <w:rsid w:val="000B5A65"/>
    <w:rsid w:val="000B74A7"/>
    <w:rsid w:val="000B79E1"/>
    <w:rsid w:val="000B7AE2"/>
    <w:rsid w:val="000C0C5F"/>
    <w:rsid w:val="000C0F67"/>
    <w:rsid w:val="000C2777"/>
    <w:rsid w:val="000C454F"/>
    <w:rsid w:val="000C5026"/>
    <w:rsid w:val="000C5044"/>
    <w:rsid w:val="000C5C9D"/>
    <w:rsid w:val="000C5FED"/>
    <w:rsid w:val="000C6526"/>
    <w:rsid w:val="000C6A3C"/>
    <w:rsid w:val="000C6DB0"/>
    <w:rsid w:val="000C7B00"/>
    <w:rsid w:val="000C7FA7"/>
    <w:rsid w:val="000D1B37"/>
    <w:rsid w:val="000D2320"/>
    <w:rsid w:val="000D2D61"/>
    <w:rsid w:val="000D2F64"/>
    <w:rsid w:val="000D4243"/>
    <w:rsid w:val="000D470D"/>
    <w:rsid w:val="000D4E74"/>
    <w:rsid w:val="000D6284"/>
    <w:rsid w:val="000E00D4"/>
    <w:rsid w:val="000E015E"/>
    <w:rsid w:val="000E0406"/>
    <w:rsid w:val="000E0598"/>
    <w:rsid w:val="000E0DF1"/>
    <w:rsid w:val="000E2098"/>
    <w:rsid w:val="000E2762"/>
    <w:rsid w:val="000E28A6"/>
    <w:rsid w:val="000E4855"/>
    <w:rsid w:val="000E727F"/>
    <w:rsid w:val="000E77A1"/>
    <w:rsid w:val="000E7D7B"/>
    <w:rsid w:val="000E7EF9"/>
    <w:rsid w:val="000F0116"/>
    <w:rsid w:val="000F09E1"/>
    <w:rsid w:val="000F0C54"/>
    <w:rsid w:val="000F279F"/>
    <w:rsid w:val="000F396C"/>
    <w:rsid w:val="000F3D0D"/>
    <w:rsid w:val="000F572C"/>
    <w:rsid w:val="000F5E60"/>
    <w:rsid w:val="000F6423"/>
    <w:rsid w:val="000F6B35"/>
    <w:rsid w:val="000F6E94"/>
    <w:rsid w:val="000F7C2F"/>
    <w:rsid w:val="00100033"/>
    <w:rsid w:val="00100531"/>
    <w:rsid w:val="00100932"/>
    <w:rsid w:val="00101262"/>
    <w:rsid w:val="001021EA"/>
    <w:rsid w:val="00102A50"/>
    <w:rsid w:val="001032EF"/>
    <w:rsid w:val="001043B6"/>
    <w:rsid w:val="00104420"/>
    <w:rsid w:val="0010599F"/>
    <w:rsid w:val="00105D3E"/>
    <w:rsid w:val="00105D46"/>
    <w:rsid w:val="001071B4"/>
    <w:rsid w:val="00107C04"/>
    <w:rsid w:val="00110A5A"/>
    <w:rsid w:val="00112049"/>
    <w:rsid w:val="00112406"/>
    <w:rsid w:val="00112598"/>
    <w:rsid w:val="00113B33"/>
    <w:rsid w:val="00113D0A"/>
    <w:rsid w:val="00115020"/>
    <w:rsid w:val="0011545A"/>
    <w:rsid w:val="001179BC"/>
    <w:rsid w:val="00117A92"/>
    <w:rsid w:val="00117ADC"/>
    <w:rsid w:val="001209D2"/>
    <w:rsid w:val="00122515"/>
    <w:rsid w:val="00122C6B"/>
    <w:rsid w:val="001232BB"/>
    <w:rsid w:val="00123769"/>
    <w:rsid w:val="00124DE3"/>
    <w:rsid w:val="00124DF3"/>
    <w:rsid w:val="00126186"/>
    <w:rsid w:val="0012627C"/>
    <w:rsid w:val="0012710B"/>
    <w:rsid w:val="001276A6"/>
    <w:rsid w:val="00127713"/>
    <w:rsid w:val="00127940"/>
    <w:rsid w:val="001302A7"/>
    <w:rsid w:val="00130D08"/>
    <w:rsid w:val="001311C8"/>
    <w:rsid w:val="00131691"/>
    <w:rsid w:val="00132398"/>
    <w:rsid w:val="00132766"/>
    <w:rsid w:val="00133F67"/>
    <w:rsid w:val="00134BF9"/>
    <w:rsid w:val="00134CEC"/>
    <w:rsid w:val="00137404"/>
    <w:rsid w:val="001377B5"/>
    <w:rsid w:val="001401BB"/>
    <w:rsid w:val="001403FC"/>
    <w:rsid w:val="0014061B"/>
    <w:rsid w:val="00140754"/>
    <w:rsid w:val="00141DF4"/>
    <w:rsid w:val="00144789"/>
    <w:rsid w:val="00144A97"/>
    <w:rsid w:val="0014639D"/>
    <w:rsid w:val="00146786"/>
    <w:rsid w:val="001473FD"/>
    <w:rsid w:val="00150315"/>
    <w:rsid w:val="00151132"/>
    <w:rsid w:val="00151774"/>
    <w:rsid w:val="001518B6"/>
    <w:rsid w:val="001520D4"/>
    <w:rsid w:val="00152322"/>
    <w:rsid w:val="00152DBE"/>
    <w:rsid w:val="00152EC2"/>
    <w:rsid w:val="001533E9"/>
    <w:rsid w:val="00153AB8"/>
    <w:rsid w:val="001546C0"/>
    <w:rsid w:val="00154C48"/>
    <w:rsid w:val="00155209"/>
    <w:rsid w:val="00156BA8"/>
    <w:rsid w:val="001577CA"/>
    <w:rsid w:val="00157D02"/>
    <w:rsid w:val="001606EC"/>
    <w:rsid w:val="00160A13"/>
    <w:rsid w:val="00160D12"/>
    <w:rsid w:val="00160D82"/>
    <w:rsid w:val="00160F21"/>
    <w:rsid w:val="00161224"/>
    <w:rsid w:val="00161328"/>
    <w:rsid w:val="0016164A"/>
    <w:rsid w:val="001619C4"/>
    <w:rsid w:val="001620F2"/>
    <w:rsid w:val="001625A8"/>
    <w:rsid w:val="00162874"/>
    <w:rsid w:val="00163389"/>
    <w:rsid w:val="00163E1D"/>
    <w:rsid w:val="00165525"/>
    <w:rsid w:val="001664F4"/>
    <w:rsid w:val="001700F8"/>
    <w:rsid w:val="001703D6"/>
    <w:rsid w:val="001710BC"/>
    <w:rsid w:val="00171D5F"/>
    <w:rsid w:val="0017203B"/>
    <w:rsid w:val="00172731"/>
    <w:rsid w:val="00172AA0"/>
    <w:rsid w:val="00173266"/>
    <w:rsid w:val="00173784"/>
    <w:rsid w:val="00173B3F"/>
    <w:rsid w:val="00173D17"/>
    <w:rsid w:val="00174DB6"/>
    <w:rsid w:val="00175B5F"/>
    <w:rsid w:val="00175F51"/>
    <w:rsid w:val="0017613E"/>
    <w:rsid w:val="00176462"/>
    <w:rsid w:val="001765DD"/>
    <w:rsid w:val="001802C5"/>
    <w:rsid w:val="00182D4E"/>
    <w:rsid w:val="00182F65"/>
    <w:rsid w:val="00183DAD"/>
    <w:rsid w:val="00184497"/>
    <w:rsid w:val="0018472D"/>
    <w:rsid w:val="001847DE"/>
    <w:rsid w:val="00184964"/>
    <w:rsid w:val="00184C88"/>
    <w:rsid w:val="0018506C"/>
    <w:rsid w:val="00185407"/>
    <w:rsid w:val="001869A0"/>
    <w:rsid w:val="00186CB4"/>
    <w:rsid w:val="0018769E"/>
    <w:rsid w:val="0018771A"/>
    <w:rsid w:val="00187E82"/>
    <w:rsid w:val="001904FE"/>
    <w:rsid w:val="00190861"/>
    <w:rsid w:val="001921C5"/>
    <w:rsid w:val="00192CD2"/>
    <w:rsid w:val="00192EE1"/>
    <w:rsid w:val="00194F0F"/>
    <w:rsid w:val="0019551B"/>
    <w:rsid w:val="001957D3"/>
    <w:rsid w:val="00195FC1"/>
    <w:rsid w:val="00196467"/>
    <w:rsid w:val="00196A67"/>
    <w:rsid w:val="00197591"/>
    <w:rsid w:val="001978DD"/>
    <w:rsid w:val="001A0431"/>
    <w:rsid w:val="001A1796"/>
    <w:rsid w:val="001A25F0"/>
    <w:rsid w:val="001A2F4E"/>
    <w:rsid w:val="001A4CE0"/>
    <w:rsid w:val="001A7572"/>
    <w:rsid w:val="001A779A"/>
    <w:rsid w:val="001A7D5A"/>
    <w:rsid w:val="001B027B"/>
    <w:rsid w:val="001B0457"/>
    <w:rsid w:val="001B0733"/>
    <w:rsid w:val="001B1075"/>
    <w:rsid w:val="001B1751"/>
    <w:rsid w:val="001B21A7"/>
    <w:rsid w:val="001B2569"/>
    <w:rsid w:val="001B537C"/>
    <w:rsid w:val="001B5422"/>
    <w:rsid w:val="001B5A66"/>
    <w:rsid w:val="001B66C1"/>
    <w:rsid w:val="001B6BA1"/>
    <w:rsid w:val="001B6EF4"/>
    <w:rsid w:val="001B6FAB"/>
    <w:rsid w:val="001B758B"/>
    <w:rsid w:val="001B786F"/>
    <w:rsid w:val="001C05C9"/>
    <w:rsid w:val="001C1394"/>
    <w:rsid w:val="001C2D29"/>
    <w:rsid w:val="001C5A94"/>
    <w:rsid w:val="001C612E"/>
    <w:rsid w:val="001C6628"/>
    <w:rsid w:val="001C709E"/>
    <w:rsid w:val="001C7C59"/>
    <w:rsid w:val="001D00F7"/>
    <w:rsid w:val="001D094C"/>
    <w:rsid w:val="001D0A3B"/>
    <w:rsid w:val="001D4631"/>
    <w:rsid w:val="001D6AAA"/>
    <w:rsid w:val="001D6CB5"/>
    <w:rsid w:val="001E092D"/>
    <w:rsid w:val="001E1774"/>
    <w:rsid w:val="001E1A12"/>
    <w:rsid w:val="001E2D0A"/>
    <w:rsid w:val="001E32D2"/>
    <w:rsid w:val="001E3499"/>
    <w:rsid w:val="001E3E8B"/>
    <w:rsid w:val="001E462D"/>
    <w:rsid w:val="001E4D81"/>
    <w:rsid w:val="001E5C27"/>
    <w:rsid w:val="001E6F4A"/>
    <w:rsid w:val="001E7850"/>
    <w:rsid w:val="001E78B7"/>
    <w:rsid w:val="001E7F62"/>
    <w:rsid w:val="001F02C8"/>
    <w:rsid w:val="001F07F4"/>
    <w:rsid w:val="001F23CE"/>
    <w:rsid w:val="001F3947"/>
    <w:rsid w:val="001F3C79"/>
    <w:rsid w:val="001F4988"/>
    <w:rsid w:val="001F4D86"/>
    <w:rsid w:val="001F5D58"/>
    <w:rsid w:val="001F66F4"/>
    <w:rsid w:val="001F6C35"/>
    <w:rsid w:val="001F7933"/>
    <w:rsid w:val="002007DB"/>
    <w:rsid w:val="00202140"/>
    <w:rsid w:val="002021A0"/>
    <w:rsid w:val="00202307"/>
    <w:rsid w:val="00202795"/>
    <w:rsid w:val="0020490B"/>
    <w:rsid w:val="00204FC2"/>
    <w:rsid w:val="00205657"/>
    <w:rsid w:val="00205A06"/>
    <w:rsid w:val="00205C05"/>
    <w:rsid w:val="00206DAE"/>
    <w:rsid w:val="00207215"/>
    <w:rsid w:val="002077FA"/>
    <w:rsid w:val="00207F3D"/>
    <w:rsid w:val="002100D1"/>
    <w:rsid w:val="00210A7E"/>
    <w:rsid w:val="002112A9"/>
    <w:rsid w:val="0021149A"/>
    <w:rsid w:val="00211FF9"/>
    <w:rsid w:val="00212D19"/>
    <w:rsid w:val="00213B8B"/>
    <w:rsid w:val="00213DA0"/>
    <w:rsid w:val="0021488C"/>
    <w:rsid w:val="00215070"/>
    <w:rsid w:val="00215A57"/>
    <w:rsid w:val="00215C3C"/>
    <w:rsid w:val="00215F7C"/>
    <w:rsid w:val="002169D7"/>
    <w:rsid w:val="00220066"/>
    <w:rsid w:val="00220CFA"/>
    <w:rsid w:val="002213FF"/>
    <w:rsid w:val="002217FB"/>
    <w:rsid w:val="002228DE"/>
    <w:rsid w:val="00222B35"/>
    <w:rsid w:val="002238E9"/>
    <w:rsid w:val="00225427"/>
    <w:rsid w:val="002261C4"/>
    <w:rsid w:val="00226609"/>
    <w:rsid w:val="002272C7"/>
    <w:rsid w:val="00227CDE"/>
    <w:rsid w:val="0023026A"/>
    <w:rsid w:val="0023032A"/>
    <w:rsid w:val="0023097A"/>
    <w:rsid w:val="00231B1A"/>
    <w:rsid w:val="00232D63"/>
    <w:rsid w:val="00232DCA"/>
    <w:rsid w:val="00234A6A"/>
    <w:rsid w:val="00235348"/>
    <w:rsid w:val="00235677"/>
    <w:rsid w:val="00235825"/>
    <w:rsid w:val="002359DA"/>
    <w:rsid w:val="002365BC"/>
    <w:rsid w:val="00236C74"/>
    <w:rsid w:val="00236C7F"/>
    <w:rsid w:val="00236DC5"/>
    <w:rsid w:val="0024116F"/>
    <w:rsid w:val="00241469"/>
    <w:rsid w:val="0024286C"/>
    <w:rsid w:val="00243BEE"/>
    <w:rsid w:val="0024603F"/>
    <w:rsid w:val="0024682E"/>
    <w:rsid w:val="00247001"/>
    <w:rsid w:val="00247482"/>
    <w:rsid w:val="00251C3B"/>
    <w:rsid w:val="002533D6"/>
    <w:rsid w:val="00253429"/>
    <w:rsid w:val="002552D3"/>
    <w:rsid w:val="00255677"/>
    <w:rsid w:val="002558AE"/>
    <w:rsid w:val="002569F0"/>
    <w:rsid w:val="002576C8"/>
    <w:rsid w:val="00257707"/>
    <w:rsid w:val="00257873"/>
    <w:rsid w:val="002603DF"/>
    <w:rsid w:val="00260B18"/>
    <w:rsid w:val="00260C14"/>
    <w:rsid w:val="00260C96"/>
    <w:rsid w:val="00260F6E"/>
    <w:rsid w:val="0026148A"/>
    <w:rsid w:val="00261E66"/>
    <w:rsid w:val="00262370"/>
    <w:rsid w:val="00263524"/>
    <w:rsid w:val="00263564"/>
    <w:rsid w:val="0026427E"/>
    <w:rsid w:val="0026458A"/>
    <w:rsid w:val="00264606"/>
    <w:rsid w:val="00264D7A"/>
    <w:rsid w:val="00266588"/>
    <w:rsid w:val="00266AF3"/>
    <w:rsid w:val="00266C7D"/>
    <w:rsid w:val="00267F03"/>
    <w:rsid w:val="00270A39"/>
    <w:rsid w:val="0027166C"/>
    <w:rsid w:val="00271BB7"/>
    <w:rsid w:val="00272166"/>
    <w:rsid w:val="002728B4"/>
    <w:rsid w:val="0027318B"/>
    <w:rsid w:val="0027386D"/>
    <w:rsid w:val="002739AB"/>
    <w:rsid w:val="00274C95"/>
    <w:rsid w:val="00274E38"/>
    <w:rsid w:val="002750F1"/>
    <w:rsid w:val="002771FF"/>
    <w:rsid w:val="002802C9"/>
    <w:rsid w:val="00281AF2"/>
    <w:rsid w:val="00281D2A"/>
    <w:rsid w:val="00281D8D"/>
    <w:rsid w:val="0028205C"/>
    <w:rsid w:val="0028208F"/>
    <w:rsid w:val="002848AE"/>
    <w:rsid w:val="0028579C"/>
    <w:rsid w:val="002858EC"/>
    <w:rsid w:val="00285A37"/>
    <w:rsid w:val="0028652C"/>
    <w:rsid w:val="002867C2"/>
    <w:rsid w:val="002867FD"/>
    <w:rsid w:val="00286DE8"/>
    <w:rsid w:val="002871F0"/>
    <w:rsid w:val="002874CA"/>
    <w:rsid w:val="00287987"/>
    <w:rsid w:val="00290286"/>
    <w:rsid w:val="002910DA"/>
    <w:rsid w:val="00291F15"/>
    <w:rsid w:val="002929DB"/>
    <w:rsid w:val="00294D51"/>
    <w:rsid w:val="00294F8D"/>
    <w:rsid w:val="00295F68"/>
    <w:rsid w:val="00296443"/>
    <w:rsid w:val="00297A7F"/>
    <w:rsid w:val="00297ADC"/>
    <w:rsid w:val="00297B19"/>
    <w:rsid w:val="002A04B0"/>
    <w:rsid w:val="002A059E"/>
    <w:rsid w:val="002A290D"/>
    <w:rsid w:val="002A317D"/>
    <w:rsid w:val="002A3AE1"/>
    <w:rsid w:val="002A3C81"/>
    <w:rsid w:val="002A4AD7"/>
    <w:rsid w:val="002A6BC9"/>
    <w:rsid w:val="002A7B38"/>
    <w:rsid w:val="002A7CB7"/>
    <w:rsid w:val="002B0265"/>
    <w:rsid w:val="002B12E6"/>
    <w:rsid w:val="002B562C"/>
    <w:rsid w:val="002B597F"/>
    <w:rsid w:val="002B5E9E"/>
    <w:rsid w:val="002B60CB"/>
    <w:rsid w:val="002B63BC"/>
    <w:rsid w:val="002B68BB"/>
    <w:rsid w:val="002B6F54"/>
    <w:rsid w:val="002B703D"/>
    <w:rsid w:val="002B76BD"/>
    <w:rsid w:val="002C0BAD"/>
    <w:rsid w:val="002C0C65"/>
    <w:rsid w:val="002C257B"/>
    <w:rsid w:val="002C3A97"/>
    <w:rsid w:val="002C54CE"/>
    <w:rsid w:val="002C6164"/>
    <w:rsid w:val="002C6CFF"/>
    <w:rsid w:val="002C6DDC"/>
    <w:rsid w:val="002C6EB5"/>
    <w:rsid w:val="002C7A23"/>
    <w:rsid w:val="002C7A67"/>
    <w:rsid w:val="002C7B2D"/>
    <w:rsid w:val="002C7D0A"/>
    <w:rsid w:val="002D21CF"/>
    <w:rsid w:val="002D472B"/>
    <w:rsid w:val="002D5412"/>
    <w:rsid w:val="002D577D"/>
    <w:rsid w:val="002D5984"/>
    <w:rsid w:val="002D6011"/>
    <w:rsid w:val="002D668A"/>
    <w:rsid w:val="002D7661"/>
    <w:rsid w:val="002D7FC4"/>
    <w:rsid w:val="002E1118"/>
    <w:rsid w:val="002E1D1A"/>
    <w:rsid w:val="002E2B59"/>
    <w:rsid w:val="002E3D71"/>
    <w:rsid w:val="002E48A1"/>
    <w:rsid w:val="002E50E8"/>
    <w:rsid w:val="002E5D92"/>
    <w:rsid w:val="002E5E46"/>
    <w:rsid w:val="002E7439"/>
    <w:rsid w:val="002E7A12"/>
    <w:rsid w:val="002F2263"/>
    <w:rsid w:val="002F22CD"/>
    <w:rsid w:val="002F259A"/>
    <w:rsid w:val="002F2AE0"/>
    <w:rsid w:val="002F4567"/>
    <w:rsid w:val="002F4D64"/>
    <w:rsid w:val="002F61E9"/>
    <w:rsid w:val="002F63A9"/>
    <w:rsid w:val="002F7B71"/>
    <w:rsid w:val="002F7D7C"/>
    <w:rsid w:val="003009B9"/>
    <w:rsid w:val="00301556"/>
    <w:rsid w:val="00301609"/>
    <w:rsid w:val="003025D9"/>
    <w:rsid w:val="0030309A"/>
    <w:rsid w:val="0030395F"/>
    <w:rsid w:val="00304CCC"/>
    <w:rsid w:val="003056C1"/>
    <w:rsid w:val="003061AE"/>
    <w:rsid w:val="00307197"/>
    <w:rsid w:val="003078C1"/>
    <w:rsid w:val="003107A7"/>
    <w:rsid w:val="00310EA8"/>
    <w:rsid w:val="00310F55"/>
    <w:rsid w:val="00311D37"/>
    <w:rsid w:val="00311F41"/>
    <w:rsid w:val="00314CE2"/>
    <w:rsid w:val="0031516E"/>
    <w:rsid w:val="00315D9A"/>
    <w:rsid w:val="00317663"/>
    <w:rsid w:val="00320117"/>
    <w:rsid w:val="003204EB"/>
    <w:rsid w:val="00321DA8"/>
    <w:rsid w:val="00322623"/>
    <w:rsid w:val="00322704"/>
    <w:rsid w:val="003228B9"/>
    <w:rsid w:val="00322A6C"/>
    <w:rsid w:val="00323C8E"/>
    <w:rsid w:val="00325216"/>
    <w:rsid w:val="00325914"/>
    <w:rsid w:val="003259A2"/>
    <w:rsid w:val="00325C46"/>
    <w:rsid w:val="00326A11"/>
    <w:rsid w:val="00326F9D"/>
    <w:rsid w:val="0032777D"/>
    <w:rsid w:val="00327DFC"/>
    <w:rsid w:val="00330858"/>
    <w:rsid w:val="00332854"/>
    <w:rsid w:val="00337755"/>
    <w:rsid w:val="00337980"/>
    <w:rsid w:val="00340062"/>
    <w:rsid w:val="003401A3"/>
    <w:rsid w:val="00340CBE"/>
    <w:rsid w:val="00341416"/>
    <w:rsid w:val="003419C2"/>
    <w:rsid w:val="0034257C"/>
    <w:rsid w:val="00342583"/>
    <w:rsid w:val="00342EB6"/>
    <w:rsid w:val="00345C5B"/>
    <w:rsid w:val="00345EE0"/>
    <w:rsid w:val="00346170"/>
    <w:rsid w:val="00347275"/>
    <w:rsid w:val="003478C7"/>
    <w:rsid w:val="00350398"/>
    <w:rsid w:val="00350CF9"/>
    <w:rsid w:val="00350E55"/>
    <w:rsid w:val="00351892"/>
    <w:rsid w:val="00351D59"/>
    <w:rsid w:val="0035284D"/>
    <w:rsid w:val="0035293E"/>
    <w:rsid w:val="00353259"/>
    <w:rsid w:val="00356C1E"/>
    <w:rsid w:val="00357175"/>
    <w:rsid w:val="003574CE"/>
    <w:rsid w:val="0036066D"/>
    <w:rsid w:val="00360A49"/>
    <w:rsid w:val="00360CA4"/>
    <w:rsid w:val="00360E84"/>
    <w:rsid w:val="003613CC"/>
    <w:rsid w:val="003614FD"/>
    <w:rsid w:val="0036305D"/>
    <w:rsid w:val="003632E2"/>
    <w:rsid w:val="0036340D"/>
    <w:rsid w:val="00364488"/>
    <w:rsid w:val="00364564"/>
    <w:rsid w:val="00365894"/>
    <w:rsid w:val="0036719E"/>
    <w:rsid w:val="00370672"/>
    <w:rsid w:val="00370D89"/>
    <w:rsid w:val="00371EA6"/>
    <w:rsid w:val="0037275C"/>
    <w:rsid w:val="00372919"/>
    <w:rsid w:val="0037398F"/>
    <w:rsid w:val="003772EF"/>
    <w:rsid w:val="003776E8"/>
    <w:rsid w:val="00377863"/>
    <w:rsid w:val="00380954"/>
    <w:rsid w:val="00380A1A"/>
    <w:rsid w:val="003818B9"/>
    <w:rsid w:val="00381CDD"/>
    <w:rsid w:val="00381D2E"/>
    <w:rsid w:val="00381DDD"/>
    <w:rsid w:val="003851F8"/>
    <w:rsid w:val="003859D7"/>
    <w:rsid w:val="00386200"/>
    <w:rsid w:val="0038648F"/>
    <w:rsid w:val="003867E5"/>
    <w:rsid w:val="0038753A"/>
    <w:rsid w:val="00387CBE"/>
    <w:rsid w:val="00391AA9"/>
    <w:rsid w:val="003921F2"/>
    <w:rsid w:val="00392225"/>
    <w:rsid w:val="003930CF"/>
    <w:rsid w:val="00393121"/>
    <w:rsid w:val="003940FB"/>
    <w:rsid w:val="003950B2"/>
    <w:rsid w:val="00395B24"/>
    <w:rsid w:val="003A0070"/>
    <w:rsid w:val="003A1452"/>
    <w:rsid w:val="003A1DB1"/>
    <w:rsid w:val="003A1F65"/>
    <w:rsid w:val="003A2FD5"/>
    <w:rsid w:val="003A3608"/>
    <w:rsid w:val="003A41C2"/>
    <w:rsid w:val="003A463E"/>
    <w:rsid w:val="003A5C59"/>
    <w:rsid w:val="003A66EE"/>
    <w:rsid w:val="003A7401"/>
    <w:rsid w:val="003A7757"/>
    <w:rsid w:val="003B153C"/>
    <w:rsid w:val="003B1802"/>
    <w:rsid w:val="003B1CC5"/>
    <w:rsid w:val="003B1FF4"/>
    <w:rsid w:val="003B2534"/>
    <w:rsid w:val="003B28FD"/>
    <w:rsid w:val="003B4D62"/>
    <w:rsid w:val="003B72F5"/>
    <w:rsid w:val="003B755D"/>
    <w:rsid w:val="003C12F4"/>
    <w:rsid w:val="003C1517"/>
    <w:rsid w:val="003C2720"/>
    <w:rsid w:val="003C36AE"/>
    <w:rsid w:val="003C3F81"/>
    <w:rsid w:val="003C40DD"/>
    <w:rsid w:val="003C4181"/>
    <w:rsid w:val="003C4F38"/>
    <w:rsid w:val="003D0D81"/>
    <w:rsid w:val="003D0FBF"/>
    <w:rsid w:val="003D1168"/>
    <w:rsid w:val="003D2763"/>
    <w:rsid w:val="003D3150"/>
    <w:rsid w:val="003D4EBB"/>
    <w:rsid w:val="003D5BA6"/>
    <w:rsid w:val="003D62A5"/>
    <w:rsid w:val="003D6969"/>
    <w:rsid w:val="003D6F8D"/>
    <w:rsid w:val="003E0BFE"/>
    <w:rsid w:val="003E20EF"/>
    <w:rsid w:val="003E2137"/>
    <w:rsid w:val="003E385F"/>
    <w:rsid w:val="003E4C65"/>
    <w:rsid w:val="003E78E8"/>
    <w:rsid w:val="003E7A24"/>
    <w:rsid w:val="003E7ECE"/>
    <w:rsid w:val="003F0D87"/>
    <w:rsid w:val="003F17B5"/>
    <w:rsid w:val="003F2F3C"/>
    <w:rsid w:val="003F4741"/>
    <w:rsid w:val="003F5722"/>
    <w:rsid w:val="003F6D78"/>
    <w:rsid w:val="003F7EF9"/>
    <w:rsid w:val="00400321"/>
    <w:rsid w:val="00400C0B"/>
    <w:rsid w:val="00401742"/>
    <w:rsid w:val="00401BCB"/>
    <w:rsid w:val="00401D8A"/>
    <w:rsid w:val="004025AC"/>
    <w:rsid w:val="004032D8"/>
    <w:rsid w:val="0040332A"/>
    <w:rsid w:val="00403E26"/>
    <w:rsid w:val="00403E74"/>
    <w:rsid w:val="00404D90"/>
    <w:rsid w:val="00404FF1"/>
    <w:rsid w:val="00405C32"/>
    <w:rsid w:val="00406374"/>
    <w:rsid w:val="0040682C"/>
    <w:rsid w:val="0040737C"/>
    <w:rsid w:val="00407CF0"/>
    <w:rsid w:val="004105A0"/>
    <w:rsid w:val="004113FD"/>
    <w:rsid w:val="004114A1"/>
    <w:rsid w:val="004135EE"/>
    <w:rsid w:val="00413848"/>
    <w:rsid w:val="00413B40"/>
    <w:rsid w:val="00413F40"/>
    <w:rsid w:val="00415C7E"/>
    <w:rsid w:val="0042037B"/>
    <w:rsid w:val="00421280"/>
    <w:rsid w:val="00422570"/>
    <w:rsid w:val="004227A2"/>
    <w:rsid w:val="0042293A"/>
    <w:rsid w:val="00422AA1"/>
    <w:rsid w:val="004232FF"/>
    <w:rsid w:val="00423D29"/>
    <w:rsid w:val="0042605D"/>
    <w:rsid w:val="00426F48"/>
    <w:rsid w:val="00427445"/>
    <w:rsid w:val="00427913"/>
    <w:rsid w:val="0043071C"/>
    <w:rsid w:val="004308DC"/>
    <w:rsid w:val="0043219D"/>
    <w:rsid w:val="00432229"/>
    <w:rsid w:val="00432473"/>
    <w:rsid w:val="004325B5"/>
    <w:rsid w:val="004325F5"/>
    <w:rsid w:val="004334E5"/>
    <w:rsid w:val="004342B5"/>
    <w:rsid w:val="00434407"/>
    <w:rsid w:val="004348D8"/>
    <w:rsid w:val="00434BA2"/>
    <w:rsid w:val="00434EE1"/>
    <w:rsid w:val="0043524E"/>
    <w:rsid w:val="004354DB"/>
    <w:rsid w:val="00436C64"/>
    <w:rsid w:val="00437B62"/>
    <w:rsid w:val="00440F32"/>
    <w:rsid w:val="00440FE1"/>
    <w:rsid w:val="004414F8"/>
    <w:rsid w:val="00442160"/>
    <w:rsid w:val="00442453"/>
    <w:rsid w:val="00442650"/>
    <w:rsid w:val="00443665"/>
    <w:rsid w:val="00443C0C"/>
    <w:rsid w:val="00444952"/>
    <w:rsid w:val="004449DE"/>
    <w:rsid w:val="00445E7C"/>
    <w:rsid w:val="004462C8"/>
    <w:rsid w:val="00446BD8"/>
    <w:rsid w:val="00447950"/>
    <w:rsid w:val="004501B4"/>
    <w:rsid w:val="004503EC"/>
    <w:rsid w:val="00451B29"/>
    <w:rsid w:val="0045269D"/>
    <w:rsid w:val="00452A44"/>
    <w:rsid w:val="0045326B"/>
    <w:rsid w:val="004540EF"/>
    <w:rsid w:val="0045452C"/>
    <w:rsid w:val="00454E46"/>
    <w:rsid w:val="00454E93"/>
    <w:rsid w:val="00455EC2"/>
    <w:rsid w:val="00456A33"/>
    <w:rsid w:val="00457706"/>
    <w:rsid w:val="00457BD5"/>
    <w:rsid w:val="00457FE9"/>
    <w:rsid w:val="00460069"/>
    <w:rsid w:val="00460282"/>
    <w:rsid w:val="0046234C"/>
    <w:rsid w:val="00463224"/>
    <w:rsid w:val="00463860"/>
    <w:rsid w:val="00463F0A"/>
    <w:rsid w:val="00463F7D"/>
    <w:rsid w:val="00464384"/>
    <w:rsid w:val="004672AB"/>
    <w:rsid w:val="00467737"/>
    <w:rsid w:val="004709C0"/>
    <w:rsid w:val="00470BFC"/>
    <w:rsid w:val="00470C73"/>
    <w:rsid w:val="00471A3B"/>
    <w:rsid w:val="00471F83"/>
    <w:rsid w:val="00472B25"/>
    <w:rsid w:val="00473199"/>
    <w:rsid w:val="00474600"/>
    <w:rsid w:val="004758BF"/>
    <w:rsid w:val="00477634"/>
    <w:rsid w:val="004801A6"/>
    <w:rsid w:val="004802BA"/>
    <w:rsid w:val="004807C2"/>
    <w:rsid w:val="00481306"/>
    <w:rsid w:val="00481C12"/>
    <w:rsid w:val="00482101"/>
    <w:rsid w:val="0048223A"/>
    <w:rsid w:val="00485DD7"/>
    <w:rsid w:val="004865DD"/>
    <w:rsid w:val="004873A2"/>
    <w:rsid w:val="00491E8D"/>
    <w:rsid w:val="004920F7"/>
    <w:rsid w:val="0049272E"/>
    <w:rsid w:val="004928F3"/>
    <w:rsid w:val="00493929"/>
    <w:rsid w:val="00494485"/>
    <w:rsid w:val="00494604"/>
    <w:rsid w:val="00494FB8"/>
    <w:rsid w:val="0049551C"/>
    <w:rsid w:val="0049626E"/>
    <w:rsid w:val="00497C87"/>
    <w:rsid w:val="00497F98"/>
    <w:rsid w:val="004A063B"/>
    <w:rsid w:val="004A0C5A"/>
    <w:rsid w:val="004A0C65"/>
    <w:rsid w:val="004A0D91"/>
    <w:rsid w:val="004A10EC"/>
    <w:rsid w:val="004A3040"/>
    <w:rsid w:val="004A35FA"/>
    <w:rsid w:val="004A41E6"/>
    <w:rsid w:val="004A489F"/>
    <w:rsid w:val="004A4E99"/>
    <w:rsid w:val="004A51DA"/>
    <w:rsid w:val="004A5431"/>
    <w:rsid w:val="004A5B47"/>
    <w:rsid w:val="004A61B9"/>
    <w:rsid w:val="004A61FC"/>
    <w:rsid w:val="004A7660"/>
    <w:rsid w:val="004B01AA"/>
    <w:rsid w:val="004B0757"/>
    <w:rsid w:val="004B1500"/>
    <w:rsid w:val="004B1DBD"/>
    <w:rsid w:val="004B293A"/>
    <w:rsid w:val="004B2945"/>
    <w:rsid w:val="004B3718"/>
    <w:rsid w:val="004B6592"/>
    <w:rsid w:val="004B6D12"/>
    <w:rsid w:val="004B72C1"/>
    <w:rsid w:val="004C0DE9"/>
    <w:rsid w:val="004C13B8"/>
    <w:rsid w:val="004C16B3"/>
    <w:rsid w:val="004C1A0B"/>
    <w:rsid w:val="004C23C3"/>
    <w:rsid w:val="004C288B"/>
    <w:rsid w:val="004C2E79"/>
    <w:rsid w:val="004C340B"/>
    <w:rsid w:val="004C3C37"/>
    <w:rsid w:val="004C3ED9"/>
    <w:rsid w:val="004C694A"/>
    <w:rsid w:val="004C6D00"/>
    <w:rsid w:val="004C7A13"/>
    <w:rsid w:val="004D1126"/>
    <w:rsid w:val="004D1BDC"/>
    <w:rsid w:val="004D2350"/>
    <w:rsid w:val="004D257A"/>
    <w:rsid w:val="004D28D4"/>
    <w:rsid w:val="004D38B9"/>
    <w:rsid w:val="004D39E3"/>
    <w:rsid w:val="004D3DA9"/>
    <w:rsid w:val="004D462E"/>
    <w:rsid w:val="004D509B"/>
    <w:rsid w:val="004D59DD"/>
    <w:rsid w:val="004D5E86"/>
    <w:rsid w:val="004D7717"/>
    <w:rsid w:val="004D7F50"/>
    <w:rsid w:val="004E1823"/>
    <w:rsid w:val="004E2295"/>
    <w:rsid w:val="004E22C8"/>
    <w:rsid w:val="004E2AA1"/>
    <w:rsid w:val="004E3D16"/>
    <w:rsid w:val="004E4352"/>
    <w:rsid w:val="004E5891"/>
    <w:rsid w:val="004E6343"/>
    <w:rsid w:val="004E6559"/>
    <w:rsid w:val="004E6CB1"/>
    <w:rsid w:val="004E6E24"/>
    <w:rsid w:val="004E730A"/>
    <w:rsid w:val="004F0F11"/>
    <w:rsid w:val="004F4914"/>
    <w:rsid w:val="004F50BE"/>
    <w:rsid w:val="004F663A"/>
    <w:rsid w:val="004F6B03"/>
    <w:rsid w:val="004F7763"/>
    <w:rsid w:val="00500AE9"/>
    <w:rsid w:val="00501D9E"/>
    <w:rsid w:val="00501F10"/>
    <w:rsid w:val="00502437"/>
    <w:rsid w:val="00502E00"/>
    <w:rsid w:val="00505E1C"/>
    <w:rsid w:val="005069B1"/>
    <w:rsid w:val="00506CA1"/>
    <w:rsid w:val="00507BF0"/>
    <w:rsid w:val="0051019F"/>
    <w:rsid w:val="0051042C"/>
    <w:rsid w:val="00511CF3"/>
    <w:rsid w:val="00511F79"/>
    <w:rsid w:val="0051304F"/>
    <w:rsid w:val="00514C6D"/>
    <w:rsid w:val="0051587A"/>
    <w:rsid w:val="00516F48"/>
    <w:rsid w:val="00517696"/>
    <w:rsid w:val="00520D86"/>
    <w:rsid w:val="00521048"/>
    <w:rsid w:val="005214DA"/>
    <w:rsid w:val="00521686"/>
    <w:rsid w:val="00521907"/>
    <w:rsid w:val="005242B1"/>
    <w:rsid w:val="0052538C"/>
    <w:rsid w:val="005269AD"/>
    <w:rsid w:val="00527C14"/>
    <w:rsid w:val="005324B5"/>
    <w:rsid w:val="00533D23"/>
    <w:rsid w:val="005340A7"/>
    <w:rsid w:val="005342D7"/>
    <w:rsid w:val="00534566"/>
    <w:rsid w:val="00534C3E"/>
    <w:rsid w:val="00535CBE"/>
    <w:rsid w:val="00537559"/>
    <w:rsid w:val="005400D4"/>
    <w:rsid w:val="005410F8"/>
    <w:rsid w:val="005426A2"/>
    <w:rsid w:val="0054284B"/>
    <w:rsid w:val="00542CC9"/>
    <w:rsid w:val="00543111"/>
    <w:rsid w:val="00543E76"/>
    <w:rsid w:val="00544527"/>
    <w:rsid w:val="00544570"/>
    <w:rsid w:val="00544623"/>
    <w:rsid w:val="00545654"/>
    <w:rsid w:val="00545C12"/>
    <w:rsid w:val="005467CD"/>
    <w:rsid w:val="00547271"/>
    <w:rsid w:val="00547A66"/>
    <w:rsid w:val="005504F7"/>
    <w:rsid w:val="005508B5"/>
    <w:rsid w:val="00550EA3"/>
    <w:rsid w:val="00550FE0"/>
    <w:rsid w:val="005520FC"/>
    <w:rsid w:val="00552908"/>
    <w:rsid w:val="00552A8C"/>
    <w:rsid w:val="00554465"/>
    <w:rsid w:val="00556AE7"/>
    <w:rsid w:val="00560DF2"/>
    <w:rsid w:val="00561A55"/>
    <w:rsid w:val="00562C37"/>
    <w:rsid w:val="00563624"/>
    <w:rsid w:val="0056391B"/>
    <w:rsid w:val="0056487A"/>
    <w:rsid w:val="00564AFB"/>
    <w:rsid w:val="00564FB8"/>
    <w:rsid w:val="005670C9"/>
    <w:rsid w:val="00567786"/>
    <w:rsid w:val="005679F5"/>
    <w:rsid w:val="00570639"/>
    <w:rsid w:val="00571E4C"/>
    <w:rsid w:val="00572754"/>
    <w:rsid w:val="005730BC"/>
    <w:rsid w:val="005736B5"/>
    <w:rsid w:val="005737CF"/>
    <w:rsid w:val="00573FF3"/>
    <w:rsid w:val="00575549"/>
    <w:rsid w:val="00575F14"/>
    <w:rsid w:val="005771B0"/>
    <w:rsid w:val="00577C32"/>
    <w:rsid w:val="00580226"/>
    <w:rsid w:val="00580E8F"/>
    <w:rsid w:val="005826F0"/>
    <w:rsid w:val="00582E96"/>
    <w:rsid w:val="00583DB3"/>
    <w:rsid w:val="005846F9"/>
    <w:rsid w:val="00585093"/>
    <w:rsid w:val="005851D7"/>
    <w:rsid w:val="00586CCD"/>
    <w:rsid w:val="0058736E"/>
    <w:rsid w:val="00587FF3"/>
    <w:rsid w:val="00590159"/>
    <w:rsid w:val="0059087E"/>
    <w:rsid w:val="005910F5"/>
    <w:rsid w:val="0059196B"/>
    <w:rsid w:val="00591C5D"/>
    <w:rsid w:val="00591EB0"/>
    <w:rsid w:val="005932BB"/>
    <w:rsid w:val="00593942"/>
    <w:rsid w:val="005939DF"/>
    <w:rsid w:val="00593C44"/>
    <w:rsid w:val="00593D39"/>
    <w:rsid w:val="00595F29"/>
    <w:rsid w:val="0059662F"/>
    <w:rsid w:val="00596B79"/>
    <w:rsid w:val="005A0053"/>
    <w:rsid w:val="005A1C26"/>
    <w:rsid w:val="005A3D98"/>
    <w:rsid w:val="005A54FC"/>
    <w:rsid w:val="005A67B5"/>
    <w:rsid w:val="005A7999"/>
    <w:rsid w:val="005B0976"/>
    <w:rsid w:val="005B18E7"/>
    <w:rsid w:val="005B3375"/>
    <w:rsid w:val="005B4028"/>
    <w:rsid w:val="005B413F"/>
    <w:rsid w:val="005B5DFB"/>
    <w:rsid w:val="005B6833"/>
    <w:rsid w:val="005B7F78"/>
    <w:rsid w:val="005C00DC"/>
    <w:rsid w:val="005C057B"/>
    <w:rsid w:val="005C0E3F"/>
    <w:rsid w:val="005C167B"/>
    <w:rsid w:val="005C2DED"/>
    <w:rsid w:val="005C3465"/>
    <w:rsid w:val="005C3ADE"/>
    <w:rsid w:val="005C3B17"/>
    <w:rsid w:val="005C456C"/>
    <w:rsid w:val="005C555E"/>
    <w:rsid w:val="005C5840"/>
    <w:rsid w:val="005C58A8"/>
    <w:rsid w:val="005C5C20"/>
    <w:rsid w:val="005C6294"/>
    <w:rsid w:val="005C6964"/>
    <w:rsid w:val="005C6AAF"/>
    <w:rsid w:val="005C6DCF"/>
    <w:rsid w:val="005C7799"/>
    <w:rsid w:val="005C77A2"/>
    <w:rsid w:val="005C7BE6"/>
    <w:rsid w:val="005D01C8"/>
    <w:rsid w:val="005D0627"/>
    <w:rsid w:val="005D0A2D"/>
    <w:rsid w:val="005D1517"/>
    <w:rsid w:val="005D1CC4"/>
    <w:rsid w:val="005D254C"/>
    <w:rsid w:val="005D332D"/>
    <w:rsid w:val="005D335A"/>
    <w:rsid w:val="005D339F"/>
    <w:rsid w:val="005D37E2"/>
    <w:rsid w:val="005D40EF"/>
    <w:rsid w:val="005D567A"/>
    <w:rsid w:val="005D6742"/>
    <w:rsid w:val="005D6B91"/>
    <w:rsid w:val="005D77BE"/>
    <w:rsid w:val="005E0EEE"/>
    <w:rsid w:val="005E14F8"/>
    <w:rsid w:val="005E1CD7"/>
    <w:rsid w:val="005E1D2D"/>
    <w:rsid w:val="005E4204"/>
    <w:rsid w:val="005E458E"/>
    <w:rsid w:val="005E5212"/>
    <w:rsid w:val="005E5928"/>
    <w:rsid w:val="005E70DC"/>
    <w:rsid w:val="005E74F5"/>
    <w:rsid w:val="005E76C4"/>
    <w:rsid w:val="005E7F4E"/>
    <w:rsid w:val="005F089A"/>
    <w:rsid w:val="005F08D2"/>
    <w:rsid w:val="005F0958"/>
    <w:rsid w:val="005F294E"/>
    <w:rsid w:val="005F374A"/>
    <w:rsid w:val="005F38F2"/>
    <w:rsid w:val="005F4352"/>
    <w:rsid w:val="005F5355"/>
    <w:rsid w:val="005F58A6"/>
    <w:rsid w:val="005F5A64"/>
    <w:rsid w:val="005F5D17"/>
    <w:rsid w:val="005F75FD"/>
    <w:rsid w:val="005F7EBF"/>
    <w:rsid w:val="006014F5"/>
    <w:rsid w:val="006027C6"/>
    <w:rsid w:val="006027DC"/>
    <w:rsid w:val="00603AFD"/>
    <w:rsid w:val="00603C90"/>
    <w:rsid w:val="006044EE"/>
    <w:rsid w:val="0060487E"/>
    <w:rsid w:val="00604B57"/>
    <w:rsid w:val="00605C5F"/>
    <w:rsid w:val="006060A6"/>
    <w:rsid w:val="00607C2B"/>
    <w:rsid w:val="0061048B"/>
    <w:rsid w:val="006107DE"/>
    <w:rsid w:val="00610A5A"/>
    <w:rsid w:val="00610AF4"/>
    <w:rsid w:val="00610F25"/>
    <w:rsid w:val="00611064"/>
    <w:rsid w:val="006128A9"/>
    <w:rsid w:val="006132FA"/>
    <w:rsid w:val="006138D9"/>
    <w:rsid w:val="00614378"/>
    <w:rsid w:val="00614707"/>
    <w:rsid w:val="00614832"/>
    <w:rsid w:val="00615384"/>
    <w:rsid w:val="006157D2"/>
    <w:rsid w:val="00615BF7"/>
    <w:rsid w:val="00616D11"/>
    <w:rsid w:val="00616E9D"/>
    <w:rsid w:val="00617924"/>
    <w:rsid w:val="00617E1C"/>
    <w:rsid w:val="00620129"/>
    <w:rsid w:val="00620999"/>
    <w:rsid w:val="00621150"/>
    <w:rsid w:val="006218AB"/>
    <w:rsid w:val="00621AFA"/>
    <w:rsid w:val="006241F5"/>
    <w:rsid w:val="00625F8F"/>
    <w:rsid w:val="006270C8"/>
    <w:rsid w:val="006274EE"/>
    <w:rsid w:val="006279A2"/>
    <w:rsid w:val="00630845"/>
    <w:rsid w:val="006319A7"/>
    <w:rsid w:val="00631E1B"/>
    <w:rsid w:val="0063339C"/>
    <w:rsid w:val="00633B95"/>
    <w:rsid w:val="00633DED"/>
    <w:rsid w:val="006346FA"/>
    <w:rsid w:val="00634713"/>
    <w:rsid w:val="00634E95"/>
    <w:rsid w:val="00636277"/>
    <w:rsid w:val="00637162"/>
    <w:rsid w:val="0063795A"/>
    <w:rsid w:val="00637C2C"/>
    <w:rsid w:val="00637D1E"/>
    <w:rsid w:val="0064015F"/>
    <w:rsid w:val="0064021E"/>
    <w:rsid w:val="0064042D"/>
    <w:rsid w:val="0064166D"/>
    <w:rsid w:val="00642B42"/>
    <w:rsid w:val="00644FD8"/>
    <w:rsid w:val="00646512"/>
    <w:rsid w:val="00646A3B"/>
    <w:rsid w:val="00646AE2"/>
    <w:rsid w:val="006504B3"/>
    <w:rsid w:val="006515BE"/>
    <w:rsid w:val="006544F7"/>
    <w:rsid w:val="006561CF"/>
    <w:rsid w:val="00657245"/>
    <w:rsid w:val="00661276"/>
    <w:rsid w:val="006613B2"/>
    <w:rsid w:val="006613BA"/>
    <w:rsid w:val="00661A57"/>
    <w:rsid w:val="00661BB2"/>
    <w:rsid w:val="00663C79"/>
    <w:rsid w:val="006659A8"/>
    <w:rsid w:val="0066754E"/>
    <w:rsid w:val="00670306"/>
    <w:rsid w:val="006703A0"/>
    <w:rsid w:val="00671848"/>
    <w:rsid w:val="00671D1E"/>
    <w:rsid w:val="00673B1F"/>
    <w:rsid w:val="00673C2B"/>
    <w:rsid w:val="0067450B"/>
    <w:rsid w:val="006757A9"/>
    <w:rsid w:val="00675E14"/>
    <w:rsid w:val="00676408"/>
    <w:rsid w:val="00677183"/>
    <w:rsid w:val="006774D8"/>
    <w:rsid w:val="0068062C"/>
    <w:rsid w:val="00680D7F"/>
    <w:rsid w:val="00681CD0"/>
    <w:rsid w:val="00682465"/>
    <w:rsid w:val="006826F4"/>
    <w:rsid w:val="0068413F"/>
    <w:rsid w:val="00684ABF"/>
    <w:rsid w:val="00684C4E"/>
    <w:rsid w:val="00684F4F"/>
    <w:rsid w:val="00685A0D"/>
    <w:rsid w:val="00686321"/>
    <w:rsid w:val="00686AF8"/>
    <w:rsid w:val="00686FE4"/>
    <w:rsid w:val="00687271"/>
    <w:rsid w:val="00687C00"/>
    <w:rsid w:val="006912D0"/>
    <w:rsid w:val="00691562"/>
    <w:rsid w:val="00691620"/>
    <w:rsid w:val="0069413C"/>
    <w:rsid w:val="00695E14"/>
    <w:rsid w:val="00696065"/>
    <w:rsid w:val="00696087"/>
    <w:rsid w:val="006973E2"/>
    <w:rsid w:val="0069789D"/>
    <w:rsid w:val="00697E1E"/>
    <w:rsid w:val="006A0900"/>
    <w:rsid w:val="006A1633"/>
    <w:rsid w:val="006A53A7"/>
    <w:rsid w:val="006A5704"/>
    <w:rsid w:val="006A5E1C"/>
    <w:rsid w:val="006A5EA5"/>
    <w:rsid w:val="006A6BE3"/>
    <w:rsid w:val="006B0A24"/>
    <w:rsid w:val="006B12EB"/>
    <w:rsid w:val="006B1CAA"/>
    <w:rsid w:val="006B1EDD"/>
    <w:rsid w:val="006B2118"/>
    <w:rsid w:val="006B26FA"/>
    <w:rsid w:val="006B37F2"/>
    <w:rsid w:val="006B3962"/>
    <w:rsid w:val="006B438F"/>
    <w:rsid w:val="006B4698"/>
    <w:rsid w:val="006B4B61"/>
    <w:rsid w:val="006B5EFF"/>
    <w:rsid w:val="006B6853"/>
    <w:rsid w:val="006C025A"/>
    <w:rsid w:val="006C1271"/>
    <w:rsid w:val="006C15EE"/>
    <w:rsid w:val="006C17F2"/>
    <w:rsid w:val="006C1EB3"/>
    <w:rsid w:val="006C3164"/>
    <w:rsid w:val="006C3196"/>
    <w:rsid w:val="006C4635"/>
    <w:rsid w:val="006C5935"/>
    <w:rsid w:val="006C5F50"/>
    <w:rsid w:val="006C647C"/>
    <w:rsid w:val="006C71CF"/>
    <w:rsid w:val="006C774A"/>
    <w:rsid w:val="006C7D43"/>
    <w:rsid w:val="006D0E3C"/>
    <w:rsid w:val="006D146A"/>
    <w:rsid w:val="006D1B26"/>
    <w:rsid w:val="006D3007"/>
    <w:rsid w:val="006D3ED1"/>
    <w:rsid w:val="006D4CBF"/>
    <w:rsid w:val="006D5988"/>
    <w:rsid w:val="006D5E57"/>
    <w:rsid w:val="006D6C78"/>
    <w:rsid w:val="006D6FFD"/>
    <w:rsid w:val="006D7810"/>
    <w:rsid w:val="006D7AB1"/>
    <w:rsid w:val="006D7ED3"/>
    <w:rsid w:val="006E06EC"/>
    <w:rsid w:val="006E18D7"/>
    <w:rsid w:val="006E21BB"/>
    <w:rsid w:val="006E26A6"/>
    <w:rsid w:val="006E28D7"/>
    <w:rsid w:val="006E28E4"/>
    <w:rsid w:val="006E29AA"/>
    <w:rsid w:val="006E2CDA"/>
    <w:rsid w:val="006E2F66"/>
    <w:rsid w:val="006E465B"/>
    <w:rsid w:val="006E50DB"/>
    <w:rsid w:val="006E5908"/>
    <w:rsid w:val="006E6698"/>
    <w:rsid w:val="006E679A"/>
    <w:rsid w:val="006E6C5B"/>
    <w:rsid w:val="006E7CA5"/>
    <w:rsid w:val="006E7F23"/>
    <w:rsid w:val="006F3619"/>
    <w:rsid w:val="006F3B55"/>
    <w:rsid w:val="006F3FA3"/>
    <w:rsid w:val="006F5288"/>
    <w:rsid w:val="006F6E0E"/>
    <w:rsid w:val="00700321"/>
    <w:rsid w:val="00700AAB"/>
    <w:rsid w:val="00700BE2"/>
    <w:rsid w:val="00700D90"/>
    <w:rsid w:val="00701295"/>
    <w:rsid w:val="0070153A"/>
    <w:rsid w:val="00702550"/>
    <w:rsid w:val="00702EC8"/>
    <w:rsid w:val="007031BB"/>
    <w:rsid w:val="00703C50"/>
    <w:rsid w:val="00703E6C"/>
    <w:rsid w:val="007044CF"/>
    <w:rsid w:val="0070454F"/>
    <w:rsid w:val="0070617C"/>
    <w:rsid w:val="00706241"/>
    <w:rsid w:val="00706BB0"/>
    <w:rsid w:val="00707238"/>
    <w:rsid w:val="00707825"/>
    <w:rsid w:val="007103FB"/>
    <w:rsid w:val="00711165"/>
    <w:rsid w:val="00712416"/>
    <w:rsid w:val="007127C9"/>
    <w:rsid w:val="007128CA"/>
    <w:rsid w:val="0071297D"/>
    <w:rsid w:val="00713632"/>
    <w:rsid w:val="007146A7"/>
    <w:rsid w:val="00714D0A"/>
    <w:rsid w:val="00714F6D"/>
    <w:rsid w:val="00715ACB"/>
    <w:rsid w:val="007163BE"/>
    <w:rsid w:val="007200F6"/>
    <w:rsid w:val="00720199"/>
    <w:rsid w:val="0072075E"/>
    <w:rsid w:val="0072078B"/>
    <w:rsid w:val="00720954"/>
    <w:rsid w:val="00721F0C"/>
    <w:rsid w:val="0072319E"/>
    <w:rsid w:val="007236A1"/>
    <w:rsid w:val="00723960"/>
    <w:rsid w:val="00723C6B"/>
    <w:rsid w:val="00723CC7"/>
    <w:rsid w:val="00723E9B"/>
    <w:rsid w:val="00724D50"/>
    <w:rsid w:val="00725457"/>
    <w:rsid w:val="00725D55"/>
    <w:rsid w:val="00725EF1"/>
    <w:rsid w:val="007266FF"/>
    <w:rsid w:val="00726FF0"/>
    <w:rsid w:val="00727031"/>
    <w:rsid w:val="00730876"/>
    <w:rsid w:val="007313E9"/>
    <w:rsid w:val="007318CC"/>
    <w:rsid w:val="00731D85"/>
    <w:rsid w:val="00731FD2"/>
    <w:rsid w:val="00733825"/>
    <w:rsid w:val="007341A5"/>
    <w:rsid w:val="007368EC"/>
    <w:rsid w:val="00737C56"/>
    <w:rsid w:val="00741B42"/>
    <w:rsid w:val="00741E74"/>
    <w:rsid w:val="00742FDF"/>
    <w:rsid w:val="007438B5"/>
    <w:rsid w:val="00744236"/>
    <w:rsid w:val="00744630"/>
    <w:rsid w:val="00744BF4"/>
    <w:rsid w:val="00745506"/>
    <w:rsid w:val="00745BDE"/>
    <w:rsid w:val="00745D67"/>
    <w:rsid w:val="00746278"/>
    <w:rsid w:val="00746748"/>
    <w:rsid w:val="007476A6"/>
    <w:rsid w:val="0074771B"/>
    <w:rsid w:val="0074795A"/>
    <w:rsid w:val="00747DD8"/>
    <w:rsid w:val="00750F3A"/>
    <w:rsid w:val="007517F3"/>
    <w:rsid w:val="00751E34"/>
    <w:rsid w:val="007520EC"/>
    <w:rsid w:val="00752638"/>
    <w:rsid w:val="00752639"/>
    <w:rsid w:val="00752815"/>
    <w:rsid w:val="00753134"/>
    <w:rsid w:val="00753245"/>
    <w:rsid w:val="00753441"/>
    <w:rsid w:val="0075376F"/>
    <w:rsid w:val="00753CD4"/>
    <w:rsid w:val="00754F22"/>
    <w:rsid w:val="007554B5"/>
    <w:rsid w:val="007555DB"/>
    <w:rsid w:val="00755A59"/>
    <w:rsid w:val="00756971"/>
    <w:rsid w:val="00756C98"/>
    <w:rsid w:val="00757811"/>
    <w:rsid w:val="00757B06"/>
    <w:rsid w:val="00760EBB"/>
    <w:rsid w:val="00761576"/>
    <w:rsid w:val="00761A6B"/>
    <w:rsid w:val="007623B0"/>
    <w:rsid w:val="0076253E"/>
    <w:rsid w:val="00762911"/>
    <w:rsid w:val="00762B76"/>
    <w:rsid w:val="007649F9"/>
    <w:rsid w:val="00764C27"/>
    <w:rsid w:val="00764F71"/>
    <w:rsid w:val="00764FA6"/>
    <w:rsid w:val="00765696"/>
    <w:rsid w:val="00765EAB"/>
    <w:rsid w:val="00770307"/>
    <w:rsid w:val="0077072C"/>
    <w:rsid w:val="007713FC"/>
    <w:rsid w:val="00772629"/>
    <w:rsid w:val="00772CF2"/>
    <w:rsid w:val="00772EAE"/>
    <w:rsid w:val="00773CE3"/>
    <w:rsid w:val="00773DC1"/>
    <w:rsid w:val="00774236"/>
    <w:rsid w:val="00775786"/>
    <w:rsid w:val="00775DD0"/>
    <w:rsid w:val="00776A2B"/>
    <w:rsid w:val="007804DF"/>
    <w:rsid w:val="0078058E"/>
    <w:rsid w:val="00782750"/>
    <w:rsid w:val="007827D5"/>
    <w:rsid w:val="007834EE"/>
    <w:rsid w:val="007842B8"/>
    <w:rsid w:val="007860D1"/>
    <w:rsid w:val="00787833"/>
    <w:rsid w:val="007907D6"/>
    <w:rsid w:val="00790A8C"/>
    <w:rsid w:val="00790E9C"/>
    <w:rsid w:val="007912FB"/>
    <w:rsid w:val="00791588"/>
    <w:rsid w:val="007920E8"/>
    <w:rsid w:val="00793045"/>
    <w:rsid w:val="00793153"/>
    <w:rsid w:val="007931F4"/>
    <w:rsid w:val="00793218"/>
    <w:rsid w:val="00793493"/>
    <w:rsid w:val="00793C6F"/>
    <w:rsid w:val="00793CE6"/>
    <w:rsid w:val="00794F47"/>
    <w:rsid w:val="00795924"/>
    <w:rsid w:val="00795D51"/>
    <w:rsid w:val="007965EE"/>
    <w:rsid w:val="0079661B"/>
    <w:rsid w:val="007977A6"/>
    <w:rsid w:val="00797DC3"/>
    <w:rsid w:val="007A0299"/>
    <w:rsid w:val="007A0AF7"/>
    <w:rsid w:val="007A20D4"/>
    <w:rsid w:val="007A2140"/>
    <w:rsid w:val="007A2364"/>
    <w:rsid w:val="007A2F56"/>
    <w:rsid w:val="007A3E7D"/>
    <w:rsid w:val="007A43A4"/>
    <w:rsid w:val="007A4F4B"/>
    <w:rsid w:val="007A5218"/>
    <w:rsid w:val="007A584A"/>
    <w:rsid w:val="007A5D3B"/>
    <w:rsid w:val="007A62B9"/>
    <w:rsid w:val="007A6575"/>
    <w:rsid w:val="007A66A6"/>
    <w:rsid w:val="007B008D"/>
    <w:rsid w:val="007B0CB9"/>
    <w:rsid w:val="007B4A7D"/>
    <w:rsid w:val="007B6651"/>
    <w:rsid w:val="007B7E1F"/>
    <w:rsid w:val="007C07CE"/>
    <w:rsid w:val="007C0E6A"/>
    <w:rsid w:val="007C1770"/>
    <w:rsid w:val="007C34AF"/>
    <w:rsid w:val="007C36B5"/>
    <w:rsid w:val="007C4957"/>
    <w:rsid w:val="007C60B5"/>
    <w:rsid w:val="007C654C"/>
    <w:rsid w:val="007C6CD8"/>
    <w:rsid w:val="007C7589"/>
    <w:rsid w:val="007C7E98"/>
    <w:rsid w:val="007D0B10"/>
    <w:rsid w:val="007D2428"/>
    <w:rsid w:val="007D2978"/>
    <w:rsid w:val="007D3028"/>
    <w:rsid w:val="007D389F"/>
    <w:rsid w:val="007D3E2D"/>
    <w:rsid w:val="007D3FA6"/>
    <w:rsid w:val="007D5AA5"/>
    <w:rsid w:val="007D5CA0"/>
    <w:rsid w:val="007D5D71"/>
    <w:rsid w:val="007D6376"/>
    <w:rsid w:val="007D769B"/>
    <w:rsid w:val="007D77CF"/>
    <w:rsid w:val="007D79CF"/>
    <w:rsid w:val="007E09AF"/>
    <w:rsid w:val="007E0B49"/>
    <w:rsid w:val="007E0D7A"/>
    <w:rsid w:val="007E13AC"/>
    <w:rsid w:val="007E1A62"/>
    <w:rsid w:val="007E2408"/>
    <w:rsid w:val="007E24B1"/>
    <w:rsid w:val="007E289D"/>
    <w:rsid w:val="007E2A8F"/>
    <w:rsid w:val="007E4345"/>
    <w:rsid w:val="007E4D3F"/>
    <w:rsid w:val="007E5280"/>
    <w:rsid w:val="007E5813"/>
    <w:rsid w:val="007F08BC"/>
    <w:rsid w:val="007F1D65"/>
    <w:rsid w:val="007F1F57"/>
    <w:rsid w:val="007F2233"/>
    <w:rsid w:val="007F2FA9"/>
    <w:rsid w:val="007F32DE"/>
    <w:rsid w:val="007F3830"/>
    <w:rsid w:val="007F3AEB"/>
    <w:rsid w:val="007F576A"/>
    <w:rsid w:val="007F5F18"/>
    <w:rsid w:val="007F6285"/>
    <w:rsid w:val="007F71B6"/>
    <w:rsid w:val="0080012F"/>
    <w:rsid w:val="008016A5"/>
    <w:rsid w:val="00801C1E"/>
    <w:rsid w:val="0080270C"/>
    <w:rsid w:val="00803DA4"/>
    <w:rsid w:val="00803F2D"/>
    <w:rsid w:val="0080505C"/>
    <w:rsid w:val="008057D1"/>
    <w:rsid w:val="00805878"/>
    <w:rsid w:val="00805BCD"/>
    <w:rsid w:val="0080630B"/>
    <w:rsid w:val="0080656C"/>
    <w:rsid w:val="00806CD2"/>
    <w:rsid w:val="00810914"/>
    <w:rsid w:val="00810D9F"/>
    <w:rsid w:val="00811EE1"/>
    <w:rsid w:val="0081265A"/>
    <w:rsid w:val="008130E7"/>
    <w:rsid w:val="008131EB"/>
    <w:rsid w:val="008139F4"/>
    <w:rsid w:val="008142F0"/>
    <w:rsid w:val="00814744"/>
    <w:rsid w:val="00814D85"/>
    <w:rsid w:val="0081524E"/>
    <w:rsid w:val="0081527E"/>
    <w:rsid w:val="00816D77"/>
    <w:rsid w:val="00817EA8"/>
    <w:rsid w:val="008210E9"/>
    <w:rsid w:val="00821124"/>
    <w:rsid w:val="008211CC"/>
    <w:rsid w:val="00821748"/>
    <w:rsid w:val="008219BD"/>
    <w:rsid w:val="00821C78"/>
    <w:rsid w:val="00824547"/>
    <w:rsid w:val="00824DB9"/>
    <w:rsid w:val="00825772"/>
    <w:rsid w:val="00825A9C"/>
    <w:rsid w:val="0082758E"/>
    <w:rsid w:val="008303F2"/>
    <w:rsid w:val="00830A9B"/>
    <w:rsid w:val="008327BC"/>
    <w:rsid w:val="0083369A"/>
    <w:rsid w:val="00834A29"/>
    <w:rsid w:val="00835584"/>
    <w:rsid w:val="008367AA"/>
    <w:rsid w:val="008372D6"/>
    <w:rsid w:val="00837756"/>
    <w:rsid w:val="00837C87"/>
    <w:rsid w:val="008403F0"/>
    <w:rsid w:val="0084098A"/>
    <w:rsid w:val="0084250A"/>
    <w:rsid w:val="00843B1E"/>
    <w:rsid w:val="00843B4C"/>
    <w:rsid w:val="008451A4"/>
    <w:rsid w:val="008452B6"/>
    <w:rsid w:val="008458EB"/>
    <w:rsid w:val="00845960"/>
    <w:rsid w:val="00846585"/>
    <w:rsid w:val="00846834"/>
    <w:rsid w:val="008474F8"/>
    <w:rsid w:val="00851186"/>
    <w:rsid w:val="008539DF"/>
    <w:rsid w:val="008551EF"/>
    <w:rsid w:val="0085704F"/>
    <w:rsid w:val="00860CCE"/>
    <w:rsid w:val="008620B9"/>
    <w:rsid w:val="008622B0"/>
    <w:rsid w:val="00863294"/>
    <w:rsid w:val="00863FDB"/>
    <w:rsid w:val="0086565B"/>
    <w:rsid w:val="008666B7"/>
    <w:rsid w:val="00866755"/>
    <w:rsid w:val="008670FF"/>
    <w:rsid w:val="008713E9"/>
    <w:rsid w:val="0087267C"/>
    <w:rsid w:val="00874C4D"/>
    <w:rsid w:val="00874E4E"/>
    <w:rsid w:val="0087547F"/>
    <w:rsid w:val="008754FB"/>
    <w:rsid w:val="0087767F"/>
    <w:rsid w:val="00881512"/>
    <w:rsid w:val="00882944"/>
    <w:rsid w:val="008829E8"/>
    <w:rsid w:val="00882A23"/>
    <w:rsid w:val="00883143"/>
    <w:rsid w:val="008840E8"/>
    <w:rsid w:val="008847D4"/>
    <w:rsid w:val="00885649"/>
    <w:rsid w:val="00886019"/>
    <w:rsid w:val="0088614E"/>
    <w:rsid w:val="00890BAC"/>
    <w:rsid w:val="00890FE6"/>
    <w:rsid w:val="00891638"/>
    <w:rsid w:val="00892630"/>
    <w:rsid w:val="00893567"/>
    <w:rsid w:val="00894A04"/>
    <w:rsid w:val="0089696E"/>
    <w:rsid w:val="008A11ED"/>
    <w:rsid w:val="008A1F5C"/>
    <w:rsid w:val="008A2450"/>
    <w:rsid w:val="008A335B"/>
    <w:rsid w:val="008A40C8"/>
    <w:rsid w:val="008A476D"/>
    <w:rsid w:val="008A516B"/>
    <w:rsid w:val="008A51A4"/>
    <w:rsid w:val="008A5268"/>
    <w:rsid w:val="008A52F9"/>
    <w:rsid w:val="008A539B"/>
    <w:rsid w:val="008A5705"/>
    <w:rsid w:val="008A5D8F"/>
    <w:rsid w:val="008A6B3C"/>
    <w:rsid w:val="008A7429"/>
    <w:rsid w:val="008A7EDA"/>
    <w:rsid w:val="008B02D5"/>
    <w:rsid w:val="008B0517"/>
    <w:rsid w:val="008B065C"/>
    <w:rsid w:val="008B1F6F"/>
    <w:rsid w:val="008B2610"/>
    <w:rsid w:val="008B583A"/>
    <w:rsid w:val="008B59CB"/>
    <w:rsid w:val="008B6037"/>
    <w:rsid w:val="008C0313"/>
    <w:rsid w:val="008C0CE9"/>
    <w:rsid w:val="008C0EC0"/>
    <w:rsid w:val="008C0FB3"/>
    <w:rsid w:val="008C1085"/>
    <w:rsid w:val="008C1431"/>
    <w:rsid w:val="008C26BC"/>
    <w:rsid w:val="008C27B2"/>
    <w:rsid w:val="008C36A7"/>
    <w:rsid w:val="008C39BC"/>
    <w:rsid w:val="008C4C56"/>
    <w:rsid w:val="008C5012"/>
    <w:rsid w:val="008C5339"/>
    <w:rsid w:val="008C59A1"/>
    <w:rsid w:val="008D0E2E"/>
    <w:rsid w:val="008D12C1"/>
    <w:rsid w:val="008D1859"/>
    <w:rsid w:val="008D1BDC"/>
    <w:rsid w:val="008D26DC"/>
    <w:rsid w:val="008D2C87"/>
    <w:rsid w:val="008D4352"/>
    <w:rsid w:val="008D459B"/>
    <w:rsid w:val="008D5180"/>
    <w:rsid w:val="008D6EFD"/>
    <w:rsid w:val="008D7046"/>
    <w:rsid w:val="008D70BF"/>
    <w:rsid w:val="008E021F"/>
    <w:rsid w:val="008E1FAB"/>
    <w:rsid w:val="008E21A5"/>
    <w:rsid w:val="008E346E"/>
    <w:rsid w:val="008E46EB"/>
    <w:rsid w:val="008E4A08"/>
    <w:rsid w:val="008E57A9"/>
    <w:rsid w:val="008E6013"/>
    <w:rsid w:val="008E6C57"/>
    <w:rsid w:val="008E7AA7"/>
    <w:rsid w:val="008F042D"/>
    <w:rsid w:val="008F0920"/>
    <w:rsid w:val="008F0B0E"/>
    <w:rsid w:val="008F0D5A"/>
    <w:rsid w:val="008F1432"/>
    <w:rsid w:val="008F19AD"/>
    <w:rsid w:val="008F2437"/>
    <w:rsid w:val="008F38B2"/>
    <w:rsid w:val="008F584B"/>
    <w:rsid w:val="008F587D"/>
    <w:rsid w:val="008F597F"/>
    <w:rsid w:val="008F59A8"/>
    <w:rsid w:val="008F5B01"/>
    <w:rsid w:val="008F5B93"/>
    <w:rsid w:val="008F5BCD"/>
    <w:rsid w:val="008F61E1"/>
    <w:rsid w:val="008F6E27"/>
    <w:rsid w:val="008F7824"/>
    <w:rsid w:val="008F7DF6"/>
    <w:rsid w:val="00900F64"/>
    <w:rsid w:val="00900FE0"/>
    <w:rsid w:val="00901144"/>
    <w:rsid w:val="00901832"/>
    <w:rsid w:val="0090224A"/>
    <w:rsid w:val="00902B07"/>
    <w:rsid w:val="00902B7A"/>
    <w:rsid w:val="0090317F"/>
    <w:rsid w:val="00903816"/>
    <w:rsid w:val="00903E18"/>
    <w:rsid w:val="00903FD7"/>
    <w:rsid w:val="0090405A"/>
    <w:rsid w:val="0090431C"/>
    <w:rsid w:val="009046B7"/>
    <w:rsid w:val="00904FF8"/>
    <w:rsid w:val="009054FC"/>
    <w:rsid w:val="009056D9"/>
    <w:rsid w:val="0090619E"/>
    <w:rsid w:val="009063B5"/>
    <w:rsid w:val="009069E6"/>
    <w:rsid w:val="009078E4"/>
    <w:rsid w:val="00910402"/>
    <w:rsid w:val="00910B05"/>
    <w:rsid w:val="00910FB7"/>
    <w:rsid w:val="00911A9A"/>
    <w:rsid w:val="00912FD8"/>
    <w:rsid w:val="00914E0C"/>
    <w:rsid w:val="00914F92"/>
    <w:rsid w:val="0091634D"/>
    <w:rsid w:val="009167C9"/>
    <w:rsid w:val="00916E38"/>
    <w:rsid w:val="00917ED5"/>
    <w:rsid w:val="00921B6B"/>
    <w:rsid w:val="00922A51"/>
    <w:rsid w:val="00922F82"/>
    <w:rsid w:val="00924C62"/>
    <w:rsid w:val="009256ED"/>
    <w:rsid w:val="00926180"/>
    <w:rsid w:val="0092761A"/>
    <w:rsid w:val="00927CAE"/>
    <w:rsid w:val="00930880"/>
    <w:rsid w:val="00931007"/>
    <w:rsid w:val="00931F45"/>
    <w:rsid w:val="0093249A"/>
    <w:rsid w:val="00933165"/>
    <w:rsid w:val="009335AD"/>
    <w:rsid w:val="00935CCB"/>
    <w:rsid w:val="009376C1"/>
    <w:rsid w:val="00937ABD"/>
    <w:rsid w:val="009410CC"/>
    <w:rsid w:val="009416CE"/>
    <w:rsid w:val="0094232F"/>
    <w:rsid w:val="00943562"/>
    <w:rsid w:val="00943D30"/>
    <w:rsid w:val="00943DCE"/>
    <w:rsid w:val="00943F56"/>
    <w:rsid w:val="00944115"/>
    <w:rsid w:val="009444C5"/>
    <w:rsid w:val="00944745"/>
    <w:rsid w:val="009453E8"/>
    <w:rsid w:val="00945611"/>
    <w:rsid w:val="0094565F"/>
    <w:rsid w:val="0094590E"/>
    <w:rsid w:val="00946732"/>
    <w:rsid w:val="00950302"/>
    <w:rsid w:val="009503FC"/>
    <w:rsid w:val="00951D28"/>
    <w:rsid w:val="009529BD"/>
    <w:rsid w:val="00952DD6"/>
    <w:rsid w:val="009531FA"/>
    <w:rsid w:val="0095418E"/>
    <w:rsid w:val="009547F6"/>
    <w:rsid w:val="00955763"/>
    <w:rsid w:val="00956CEE"/>
    <w:rsid w:val="009601E5"/>
    <w:rsid w:val="00960642"/>
    <w:rsid w:val="0096215E"/>
    <w:rsid w:val="0096326F"/>
    <w:rsid w:val="009632B8"/>
    <w:rsid w:val="009647C2"/>
    <w:rsid w:val="00964D67"/>
    <w:rsid w:val="00965073"/>
    <w:rsid w:val="00965CE1"/>
    <w:rsid w:val="00966B1C"/>
    <w:rsid w:val="00967193"/>
    <w:rsid w:val="00967759"/>
    <w:rsid w:val="0096779C"/>
    <w:rsid w:val="00967E44"/>
    <w:rsid w:val="00970438"/>
    <w:rsid w:val="00971825"/>
    <w:rsid w:val="0097191B"/>
    <w:rsid w:val="00972443"/>
    <w:rsid w:val="00972A1D"/>
    <w:rsid w:val="00972B44"/>
    <w:rsid w:val="0097320B"/>
    <w:rsid w:val="0097358A"/>
    <w:rsid w:val="00974083"/>
    <w:rsid w:val="0097425E"/>
    <w:rsid w:val="00974336"/>
    <w:rsid w:val="00974C4C"/>
    <w:rsid w:val="009757D1"/>
    <w:rsid w:val="00975C66"/>
    <w:rsid w:val="00975E79"/>
    <w:rsid w:val="009769BB"/>
    <w:rsid w:val="00976F94"/>
    <w:rsid w:val="00977E27"/>
    <w:rsid w:val="00980E06"/>
    <w:rsid w:val="0098157E"/>
    <w:rsid w:val="00982822"/>
    <w:rsid w:val="00983275"/>
    <w:rsid w:val="00983C10"/>
    <w:rsid w:val="00984476"/>
    <w:rsid w:val="00984F46"/>
    <w:rsid w:val="00986600"/>
    <w:rsid w:val="00987FFB"/>
    <w:rsid w:val="00990854"/>
    <w:rsid w:val="00991F30"/>
    <w:rsid w:val="009921AC"/>
    <w:rsid w:val="0099222F"/>
    <w:rsid w:val="0099266B"/>
    <w:rsid w:val="00992EC1"/>
    <w:rsid w:val="009933EB"/>
    <w:rsid w:val="00993C94"/>
    <w:rsid w:val="00994EFF"/>
    <w:rsid w:val="00995BA4"/>
    <w:rsid w:val="00995E3F"/>
    <w:rsid w:val="00996F2B"/>
    <w:rsid w:val="00997985"/>
    <w:rsid w:val="00997FD2"/>
    <w:rsid w:val="009A12A1"/>
    <w:rsid w:val="009A12EE"/>
    <w:rsid w:val="009A161F"/>
    <w:rsid w:val="009A1BF1"/>
    <w:rsid w:val="009A35E7"/>
    <w:rsid w:val="009A4E91"/>
    <w:rsid w:val="009A6B8D"/>
    <w:rsid w:val="009A7350"/>
    <w:rsid w:val="009B0122"/>
    <w:rsid w:val="009B04B8"/>
    <w:rsid w:val="009B0B5F"/>
    <w:rsid w:val="009B12D2"/>
    <w:rsid w:val="009B158F"/>
    <w:rsid w:val="009B2429"/>
    <w:rsid w:val="009B3E07"/>
    <w:rsid w:val="009B5F13"/>
    <w:rsid w:val="009B65AA"/>
    <w:rsid w:val="009B74CF"/>
    <w:rsid w:val="009C1CBA"/>
    <w:rsid w:val="009C1F9A"/>
    <w:rsid w:val="009C241A"/>
    <w:rsid w:val="009C2B18"/>
    <w:rsid w:val="009C33F5"/>
    <w:rsid w:val="009C60C6"/>
    <w:rsid w:val="009C6724"/>
    <w:rsid w:val="009C684B"/>
    <w:rsid w:val="009C6A5A"/>
    <w:rsid w:val="009C6A9D"/>
    <w:rsid w:val="009C7253"/>
    <w:rsid w:val="009C7354"/>
    <w:rsid w:val="009C7D4D"/>
    <w:rsid w:val="009D0240"/>
    <w:rsid w:val="009D0D8D"/>
    <w:rsid w:val="009D0EB6"/>
    <w:rsid w:val="009D130C"/>
    <w:rsid w:val="009D1D68"/>
    <w:rsid w:val="009D319B"/>
    <w:rsid w:val="009D3C33"/>
    <w:rsid w:val="009D4043"/>
    <w:rsid w:val="009D6EBE"/>
    <w:rsid w:val="009D7B32"/>
    <w:rsid w:val="009E019D"/>
    <w:rsid w:val="009E093D"/>
    <w:rsid w:val="009E0BCF"/>
    <w:rsid w:val="009E0D4D"/>
    <w:rsid w:val="009E200A"/>
    <w:rsid w:val="009E22F5"/>
    <w:rsid w:val="009E259C"/>
    <w:rsid w:val="009E2D0D"/>
    <w:rsid w:val="009E2DEF"/>
    <w:rsid w:val="009E535D"/>
    <w:rsid w:val="009E5583"/>
    <w:rsid w:val="009E5947"/>
    <w:rsid w:val="009E5C9E"/>
    <w:rsid w:val="009E6506"/>
    <w:rsid w:val="009E6925"/>
    <w:rsid w:val="009F0AAA"/>
    <w:rsid w:val="009F192D"/>
    <w:rsid w:val="009F24B0"/>
    <w:rsid w:val="009F3233"/>
    <w:rsid w:val="009F35AC"/>
    <w:rsid w:val="009F425D"/>
    <w:rsid w:val="009F435A"/>
    <w:rsid w:val="009F52F3"/>
    <w:rsid w:val="009F56EE"/>
    <w:rsid w:val="009F58A4"/>
    <w:rsid w:val="009F5933"/>
    <w:rsid w:val="009F67C2"/>
    <w:rsid w:val="009F6B7F"/>
    <w:rsid w:val="009F6EE2"/>
    <w:rsid w:val="009F792E"/>
    <w:rsid w:val="009F7D61"/>
    <w:rsid w:val="00A002CD"/>
    <w:rsid w:val="00A00B13"/>
    <w:rsid w:val="00A02536"/>
    <w:rsid w:val="00A027A6"/>
    <w:rsid w:val="00A04B3C"/>
    <w:rsid w:val="00A0531D"/>
    <w:rsid w:val="00A05534"/>
    <w:rsid w:val="00A05575"/>
    <w:rsid w:val="00A05DFD"/>
    <w:rsid w:val="00A069E5"/>
    <w:rsid w:val="00A06C6C"/>
    <w:rsid w:val="00A07523"/>
    <w:rsid w:val="00A07772"/>
    <w:rsid w:val="00A07DF1"/>
    <w:rsid w:val="00A105A5"/>
    <w:rsid w:val="00A106B7"/>
    <w:rsid w:val="00A10A5E"/>
    <w:rsid w:val="00A117E1"/>
    <w:rsid w:val="00A12B31"/>
    <w:rsid w:val="00A12BF4"/>
    <w:rsid w:val="00A13A45"/>
    <w:rsid w:val="00A1479E"/>
    <w:rsid w:val="00A158E5"/>
    <w:rsid w:val="00A16248"/>
    <w:rsid w:val="00A162A2"/>
    <w:rsid w:val="00A16618"/>
    <w:rsid w:val="00A16D9F"/>
    <w:rsid w:val="00A17957"/>
    <w:rsid w:val="00A179D4"/>
    <w:rsid w:val="00A215A9"/>
    <w:rsid w:val="00A22254"/>
    <w:rsid w:val="00A236E0"/>
    <w:rsid w:val="00A2375D"/>
    <w:rsid w:val="00A24AF9"/>
    <w:rsid w:val="00A25282"/>
    <w:rsid w:val="00A26E91"/>
    <w:rsid w:val="00A27CED"/>
    <w:rsid w:val="00A27E34"/>
    <w:rsid w:val="00A30CFA"/>
    <w:rsid w:val="00A327F6"/>
    <w:rsid w:val="00A347EA"/>
    <w:rsid w:val="00A35A4A"/>
    <w:rsid w:val="00A361B4"/>
    <w:rsid w:val="00A36515"/>
    <w:rsid w:val="00A367CF"/>
    <w:rsid w:val="00A36AAC"/>
    <w:rsid w:val="00A3703C"/>
    <w:rsid w:val="00A37D01"/>
    <w:rsid w:val="00A4007A"/>
    <w:rsid w:val="00A40AC9"/>
    <w:rsid w:val="00A42135"/>
    <w:rsid w:val="00A44020"/>
    <w:rsid w:val="00A44C41"/>
    <w:rsid w:val="00A45352"/>
    <w:rsid w:val="00A45A0B"/>
    <w:rsid w:val="00A45D1E"/>
    <w:rsid w:val="00A47FDA"/>
    <w:rsid w:val="00A5287A"/>
    <w:rsid w:val="00A53A76"/>
    <w:rsid w:val="00A53F16"/>
    <w:rsid w:val="00A54D90"/>
    <w:rsid w:val="00A55D2A"/>
    <w:rsid w:val="00A574B6"/>
    <w:rsid w:val="00A57587"/>
    <w:rsid w:val="00A577C1"/>
    <w:rsid w:val="00A60077"/>
    <w:rsid w:val="00A60301"/>
    <w:rsid w:val="00A6034B"/>
    <w:rsid w:val="00A60799"/>
    <w:rsid w:val="00A608F8"/>
    <w:rsid w:val="00A60936"/>
    <w:rsid w:val="00A60981"/>
    <w:rsid w:val="00A61ED6"/>
    <w:rsid w:val="00A61F3B"/>
    <w:rsid w:val="00A63157"/>
    <w:rsid w:val="00A63AF9"/>
    <w:rsid w:val="00A65055"/>
    <w:rsid w:val="00A65F53"/>
    <w:rsid w:val="00A67AE9"/>
    <w:rsid w:val="00A67B2E"/>
    <w:rsid w:val="00A713BA"/>
    <w:rsid w:val="00A72E35"/>
    <w:rsid w:val="00A738D8"/>
    <w:rsid w:val="00A73D64"/>
    <w:rsid w:val="00A74253"/>
    <w:rsid w:val="00A74CEB"/>
    <w:rsid w:val="00A75498"/>
    <w:rsid w:val="00A75E01"/>
    <w:rsid w:val="00A765DB"/>
    <w:rsid w:val="00A80F82"/>
    <w:rsid w:val="00A813D1"/>
    <w:rsid w:val="00A815B3"/>
    <w:rsid w:val="00A84711"/>
    <w:rsid w:val="00A84742"/>
    <w:rsid w:val="00A8479A"/>
    <w:rsid w:val="00A84FC2"/>
    <w:rsid w:val="00A85CD6"/>
    <w:rsid w:val="00A866FF"/>
    <w:rsid w:val="00A876EB"/>
    <w:rsid w:val="00A90556"/>
    <w:rsid w:val="00A90966"/>
    <w:rsid w:val="00A93943"/>
    <w:rsid w:val="00A94740"/>
    <w:rsid w:val="00A95AEF"/>
    <w:rsid w:val="00A9612C"/>
    <w:rsid w:val="00A9629D"/>
    <w:rsid w:val="00A964E2"/>
    <w:rsid w:val="00AA00CA"/>
    <w:rsid w:val="00AA0344"/>
    <w:rsid w:val="00AA12BF"/>
    <w:rsid w:val="00AA12C6"/>
    <w:rsid w:val="00AA1A21"/>
    <w:rsid w:val="00AA2C92"/>
    <w:rsid w:val="00AA2D8C"/>
    <w:rsid w:val="00AA480D"/>
    <w:rsid w:val="00AA489D"/>
    <w:rsid w:val="00AA4BB0"/>
    <w:rsid w:val="00AA55E3"/>
    <w:rsid w:val="00AA57A4"/>
    <w:rsid w:val="00AA60B6"/>
    <w:rsid w:val="00AA6B88"/>
    <w:rsid w:val="00AA77D7"/>
    <w:rsid w:val="00AB0E06"/>
    <w:rsid w:val="00AB205D"/>
    <w:rsid w:val="00AB2410"/>
    <w:rsid w:val="00AB2E69"/>
    <w:rsid w:val="00AB41A8"/>
    <w:rsid w:val="00AB424B"/>
    <w:rsid w:val="00AB54C8"/>
    <w:rsid w:val="00AB5D01"/>
    <w:rsid w:val="00AB711E"/>
    <w:rsid w:val="00AB72A3"/>
    <w:rsid w:val="00AC00B8"/>
    <w:rsid w:val="00AC076B"/>
    <w:rsid w:val="00AC1715"/>
    <w:rsid w:val="00AC300F"/>
    <w:rsid w:val="00AC4DB5"/>
    <w:rsid w:val="00AC5E56"/>
    <w:rsid w:val="00AC65E9"/>
    <w:rsid w:val="00AD05C8"/>
    <w:rsid w:val="00AD0CBD"/>
    <w:rsid w:val="00AD0E7D"/>
    <w:rsid w:val="00AD1588"/>
    <w:rsid w:val="00AD15CD"/>
    <w:rsid w:val="00AD237C"/>
    <w:rsid w:val="00AD264E"/>
    <w:rsid w:val="00AD3296"/>
    <w:rsid w:val="00AD3380"/>
    <w:rsid w:val="00AD3383"/>
    <w:rsid w:val="00AD3D5D"/>
    <w:rsid w:val="00AD4445"/>
    <w:rsid w:val="00AD4F56"/>
    <w:rsid w:val="00AD5665"/>
    <w:rsid w:val="00AD5E4E"/>
    <w:rsid w:val="00AD6606"/>
    <w:rsid w:val="00AE02AB"/>
    <w:rsid w:val="00AE0430"/>
    <w:rsid w:val="00AE0FD5"/>
    <w:rsid w:val="00AE2350"/>
    <w:rsid w:val="00AE34A0"/>
    <w:rsid w:val="00AE3DAF"/>
    <w:rsid w:val="00AE4731"/>
    <w:rsid w:val="00AE48A0"/>
    <w:rsid w:val="00AE4D7A"/>
    <w:rsid w:val="00AE4D7D"/>
    <w:rsid w:val="00AE5519"/>
    <w:rsid w:val="00AE563E"/>
    <w:rsid w:val="00AE6075"/>
    <w:rsid w:val="00AE67A0"/>
    <w:rsid w:val="00AE7279"/>
    <w:rsid w:val="00AF1AA5"/>
    <w:rsid w:val="00AF2266"/>
    <w:rsid w:val="00AF2B4B"/>
    <w:rsid w:val="00AF4C77"/>
    <w:rsid w:val="00AF5A24"/>
    <w:rsid w:val="00AF626A"/>
    <w:rsid w:val="00AF7D6D"/>
    <w:rsid w:val="00B0120F"/>
    <w:rsid w:val="00B01970"/>
    <w:rsid w:val="00B01E1F"/>
    <w:rsid w:val="00B01F8F"/>
    <w:rsid w:val="00B021FF"/>
    <w:rsid w:val="00B044FB"/>
    <w:rsid w:val="00B05A27"/>
    <w:rsid w:val="00B066C9"/>
    <w:rsid w:val="00B06E23"/>
    <w:rsid w:val="00B07148"/>
    <w:rsid w:val="00B07474"/>
    <w:rsid w:val="00B109B5"/>
    <w:rsid w:val="00B10A4B"/>
    <w:rsid w:val="00B1167F"/>
    <w:rsid w:val="00B11EFB"/>
    <w:rsid w:val="00B126B6"/>
    <w:rsid w:val="00B131FF"/>
    <w:rsid w:val="00B13352"/>
    <w:rsid w:val="00B143EA"/>
    <w:rsid w:val="00B14FD2"/>
    <w:rsid w:val="00B16B38"/>
    <w:rsid w:val="00B16FF7"/>
    <w:rsid w:val="00B17D3B"/>
    <w:rsid w:val="00B218D0"/>
    <w:rsid w:val="00B224EE"/>
    <w:rsid w:val="00B22D3E"/>
    <w:rsid w:val="00B230CB"/>
    <w:rsid w:val="00B26385"/>
    <w:rsid w:val="00B26797"/>
    <w:rsid w:val="00B304E8"/>
    <w:rsid w:val="00B31260"/>
    <w:rsid w:val="00B31F93"/>
    <w:rsid w:val="00B3250C"/>
    <w:rsid w:val="00B325DD"/>
    <w:rsid w:val="00B326E6"/>
    <w:rsid w:val="00B3354D"/>
    <w:rsid w:val="00B3392E"/>
    <w:rsid w:val="00B33B0F"/>
    <w:rsid w:val="00B3410E"/>
    <w:rsid w:val="00B344BB"/>
    <w:rsid w:val="00B357D6"/>
    <w:rsid w:val="00B35DE1"/>
    <w:rsid w:val="00B36EF4"/>
    <w:rsid w:val="00B36FF3"/>
    <w:rsid w:val="00B378B0"/>
    <w:rsid w:val="00B37F02"/>
    <w:rsid w:val="00B408EC"/>
    <w:rsid w:val="00B40AAD"/>
    <w:rsid w:val="00B41050"/>
    <w:rsid w:val="00B42E93"/>
    <w:rsid w:val="00B44296"/>
    <w:rsid w:val="00B44A57"/>
    <w:rsid w:val="00B45848"/>
    <w:rsid w:val="00B45D33"/>
    <w:rsid w:val="00B4735C"/>
    <w:rsid w:val="00B47AA6"/>
    <w:rsid w:val="00B502FC"/>
    <w:rsid w:val="00B509F3"/>
    <w:rsid w:val="00B51426"/>
    <w:rsid w:val="00B51EC3"/>
    <w:rsid w:val="00B54058"/>
    <w:rsid w:val="00B54A16"/>
    <w:rsid w:val="00B55A7A"/>
    <w:rsid w:val="00B55AA4"/>
    <w:rsid w:val="00B56A92"/>
    <w:rsid w:val="00B571C2"/>
    <w:rsid w:val="00B5760C"/>
    <w:rsid w:val="00B576AE"/>
    <w:rsid w:val="00B60B66"/>
    <w:rsid w:val="00B61ECA"/>
    <w:rsid w:val="00B625C8"/>
    <w:rsid w:val="00B6277D"/>
    <w:rsid w:val="00B62B7F"/>
    <w:rsid w:val="00B63E19"/>
    <w:rsid w:val="00B6401E"/>
    <w:rsid w:val="00B6432D"/>
    <w:rsid w:val="00B64484"/>
    <w:rsid w:val="00B6514E"/>
    <w:rsid w:val="00B65519"/>
    <w:rsid w:val="00B674C1"/>
    <w:rsid w:val="00B70481"/>
    <w:rsid w:val="00B7055D"/>
    <w:rsid w:val="00B70A5E"/>
    <w:rsid w:val="00B71790"/>
    <w:rsid w:val="00B71D59"/>
    <w:rsid w:val="00B72201"/>
    <w:rsid w:val="00B7407A"/>
    <w:rsid w:val="00B75FB6"/>
    <w:rsid w:val="00B76A43"/>
    <w:rsid w:val="00B76BD0"/>
    <w:rsid w:val="00B80848"/>
    <w:rsid w:val="00B828D3"/>
    <w:rsid w:val="00B830FD"/>
    <w:rsid w:val="00B8396D"/>
    <w:rsid w:val="00B841BC"/>
    <w:rsid w:val="00B842B5"/>
    <w:rsid w:val="00B84BA2"/>
    <w:rsid w:val="00B84BEA"/>
    <w:rsid w:val="00B84F59"/>
    <w:rsid w:val="00B8500A"/>
    <w:rsid w:val="00B85D0E"/>
    <w:rsid w:val="00B86CD8"/>
    <w:rsid w:val="00B90DE2"/>
    <w:rsid w:val="00B919B8"/>
    <w:rsid w:val="00B91A80"/>
    <w:rsid w:val="00B93697"/>
    <w:rsid w:val="00B94CA8"/>
    <w:rsid w:val="00B94EFE"/>
    <w:rsid w:val="00B95314"/>
    <w:rsid w:val="00B957D4"/>
    <w:rsid w:val="00B96D84"/>
    <w:rsid w:val="00B96EC8"/>
    <w:rsid w:val="00B97489"/>
    <w:rsid w:val="00B97BA2"/>
    <w:rsid w:val="00B97C2E"/>
    <w:rsid w:val="00BA0255"/>
    <w:rsid w:val="00BA0650"/>
    <w:rsid w:val="00BA12CC"/>
    <w:rsid w:val="00BA334F"/>
    <w:rsid w:val="00BA374B"/>
    <w:rsid w:val="00BA394F"/>
    <w:rsid w:val="00BA488E"/>
    <w:rsid w:val="00BA4CD6"/>
    <w:rsid w:val="00BA5047"/>
    <w:rsid w:val="00BA5F92"/>
    <w:rsid w:val="00BA620B"/>
    <w:rsid w:val="00BA72F8"/>
    <w:rsid w:val="00BA7340"/>
    <w:rsid w:val="00BA73CE"/>
    <w:rsid w:val="00BB06A5"/>
    <w:rsid w:val="00BB0938"/>
    <w:rsid w:val="00BB26B7"/>
    <w:rsid w:val="00BB2D48"/>
    <w:rsid w:val="00BB3A96"/>
    <w:rsid w:val="00BB3ACC"/>
    <w:rsid w:val="00BB3E27"/>
    <w:rsid w:val="00BB4FE3"/>
    <w:rsid w:val="00BB61D8"/>
    <w:rsid w:val="00BB62F7"/>
    <w:rsid w:val="00BB641B"/>
    <w:rsid w:val="00BB6624"/>
    <w:rsid w:val="00BB76F5"/>
    <w:rsid w:val="00BB78DB"/>
    <w:rsid w:val="00BC00E5"/>
    <w:rsid w:val="00BC0A7A"/>
    <w:rsid w:val="00BC2E4E"/>
    <w:rsid w:val="00BC3176"/>
    <w:rsid w:val="00BC34D1"/>
    <w:rsid w:val="00BC4AA6"/>
    <w:rsid w:val="00BC606E"/>
    <w:rsid w:val="00BC68C7"/>
    <w:rsid w:val="00BC7468"/>
    <w:rsid w:val="00BC76D4"/>
    <w:rsid w:val="00BC7A5C"/>
    <w:rsid w:val="00BC7D12"/>
    <w:rsid w:val="00BD002D"/>
    <w:rsid w:val="00BD16B0"/>
    <w:rsid w:val="00BD17DE"/>
    <w:rsid w:val="00BD1CD9"/>
    <w:rsid w:val="00BD25CF"/>
    <w:rsid w:val="00BD2B51"/>
    <w:rsid w:val="00BD3E92"/>
    <w:rsid w:val="00BD48C4"/>
    <w:rsid w:val="00BD4A04"/>
    <w:rsid w:val="00BD4E80"/>
    <w:rsid w:val="00BD789F"/>
    <w:rsid w:val="00BD79D4"/>
    <w:rsid w:val="00BD7D6D"/>
    <w:rsid w:val="00BE1F92"/>
    <w:rsid w:val="00BE23F1"/>
    <w:rsid w:val="00BE2551"/>
    <w:rsid w:val="00BE2E6A"/>
    <w:rsid w:val="00BE3132"/>
    <w:rsid w:val="00BE579D"/>
    <w:rsid w:val="00BE6090"/>
    <w:rsid w:val="00BE62D8"/>
    <w:rsid w:val="00BE7AEA"/>
    <w:rsid w:val="00BE7DC8"/>
    <w:rsid w:val="00BF28DA"/>
    <w:rsid w:val="00BF37CF"/>
    <w:rsid w:val="00BF4BB9"/>
    <w:rsid w:val="00BF4D17"/>
    <w:rsid w:val="00BF514F"/>
    <w:rsid w:val="00BF5D0E"/>
    <w:rsid w:val="00BF6559"/>
    <w:rsid w:val="00BF65A6"/>
    <w:rsid w:val="00BF65B8"/>
    <w:rsid w:val="00BF6621"/>
    <w:rsid w:val="00BF7429"/>
    <w:rsid w:val="00C00708"/>
    <w:rsid w:val="00C01C4D"/>
    <w:rsid w:val="00C020B5"/>
    <w:rsid w:val="00C02B05"/>
    <w:rsid w:val="00C02DDC"/>
    <w:rsid w:val="00C031BD"/>
    <w:rsid w:val="00C03541"/>
    <w:rsid w:val="00C038B4"/>
    <w:rsid w:val="00C04843"/>
    <w:rsid w:val="00C04848"/>
    <w:rsid w:val="00C04B00"/>
    <w:rsid w:val="00C04F16"/>
    <w:rsid w:val="00C05296"/>
    <w:rsid w:val="00C054E6"/>
    <w:rsid w:val="00C0562D"/>
    <w:rsid w:val="00C05D68"/>
    <w:rsid w:val="00C05E6C"/>
    <w:rsid w:val="00C05EBE"/>
    <w:rsid w:val="00C06A0C"/>
    <w:rsid w:val="00C06A43"/>
    <w:rsid w:val="00C07A1E"/>
    <w:rsid w:val="00C1158E"/>
    <w:rsid w:val="00C12538"/>
    <w:rsid w:val="00C127A1"/>
    <w:rsid w:val="00C13737"/>
    <w:rsid w:val="00C142CA"/>
    <w:rsid w:val="00C1457A"/>
    <w:rsid w:val="00C149D9"/>
    <w:rsid w:val="00C14E35"/>
    <w:rsid w:val="00C15080"/>
    <w:rsid w:val="00C163A1"/>
    <w:rsid w:val="00C16C12"/>
    <w:rsid w:val="00C175EE"/>
    <w:rsid w:val="00C17D25"/>
    <w:rsid w:val="00C2030B"/>
    <w:rsid w:val="00C20915"/>
    <w:rsid w:val="00C21B21"/>
    <w:rsid w:val="00C22AA7"/>
    <w:rsid w:val="00C22E79"/>
    <w:rsid w:val="00C244E4"/>
    <w:rsid w:val="00C24C89"/>
    <w:rsid w:val="00C272B4"/>
    <w:rsid w:val="00C30B5F"/>
    <w:rsid w:val="00C30BA8"/>
    <w:rsid w:val="00C31082"/>
    <w:rsid w:val="00C31AC2"/>
    <w:rsid w:val="00C32EDC"/>
    <w:rsid w:val="00C332EC"/>
    <w:rsid w:val="00C34314"/>
    <w:rsid w:val="00C348A6"/>
    <w:rsid w:val="00C34E8B"/>
    <w:rsid w:val="00C3532D"/>
    <w:rsid w:val="00C3591F"/>
    <w:rsid w:val="00C36438"/>
    <w:rsid w:val="00C36719"/>
    <w:rsid w:val="00C3736B"/>
    <w:rsid w:val="00C376F0"/>
    <w:rsid w:val="00C377D5"/>
    <w:rsid w:val="00C37A66"/>
    <w:rsid w:val="00C404CF"/>
    <w:rsid w:val="00C44646"/>
    <w:rsid w:val="00C450EB"/>
    <w:rsid w:val="00C4540B"/>
    <w:rsid w:val="00C45BC7"/>
    <w:rsid w:val="00C473BD"/>
    <w:rsid w:val="00C47B5E"/>
    <w:rsid w:val="00C50AD4"/>
    <w:rsid w:val="00C519F8"/>
    <w:rsid w:val="00C52528"/>
    <w:rsid w:val="00C52C74"/>
    <w:rsid w:val="00C539B3"/>
    <w:rsid w:val="00C549E7"/>
    <w:rsid w:val="00C54DE2"/>
    <w:rsid w:val="00C55366"/>
    <w:rsid w:val="00C559EB"/>
    <w:rsid w:val="00C55E41"/>
    <w:rsid w:val="00C56752"/>
    <w:rsid w:val="00C56B3D"/>
    <w:rsid w:val="00C57ABB"/>
    <w:rsid w:val="00C60BFA"/>
    <w:rsid w:val="00C60C65"/>
    <w:rsid w:val="00C614CC"/>
    <w:rsid w:val="00C616B7"/>
    <w:rsid w:val="00C63205"/>
    <w:rsid w:val="00C63B31"/>
    <w:rsid w:val="00C64AD1"/>
    <w:rsid w:val="00C660F6"/>
    <w:rsid w:val="00C66316"/>
    <w:rsid w:val="00C66E12"/>
    <w:rsid w:val="00C70005"/>
    <w:rsid w:val="00C704D9"/>
    <w:rsid w:val="00C705C3"/>
    <w:rsid w:val="00C7066E"/>
    <w:rsid w:val="00C70A54"/>
    <w:rsid w:val="00C73C3A"/>
    <w:rsid w:val="00C745B4"/>
    <w:rsid w:val="00C76983"/>
    <w:rsid w:val="00C80695"/>
    <w:rsid w:val="00C808DC"/>
    <w:rsid w:val="00C81326"/>
    <w:rsid w:val="00C82332"/>
    <w:rsid w:val="00C825D8"/>
    <w:rsid w:val="00C82E55"/>
    <w:rsid w:val="00C83549"/>
    <w:rsid w:val="00C83B96"/>
    <w:rsid w:val="00C83C78"/>
    <w:rsid w:val="00C83D08"/>
    <w:rsid w:val="00C84BF8"/>
    <w:rsid w:val="00C84DE0"/>
    <w:rsid w:val="00C84FC7"/>
    <w:rsid w:val="00C86595"/>
    <w:rsid w:val="00C8762A"/>
    <w:rsid w:val="00C90A50"/>
    <w:rsid w:val="00C90BED"/>
    <w:rsid w:val="00C916F9"/>
    <w:rsid w:val="00C91BF3"/>
    <w:rsid w:val="00C92149"/>
    <w:rsid w:val="00C92966"/>
    <w:rsid w:val="00C93CC5"/>
    <w:rsid w:val="00C93E35"/>
    <w:rsid w:val="00C95193"/>
    <w:rsid w:val="00C95486"/>
    <w:rsid w:val="00C95587"/>
    <w:rsid w:val="00C95AF0"/>
    <w:rsid w:val="00C9768F"/>
    <w:rsid w:val="00CA026D"/>
    <w:rsid w:val="00CA0DBD"/>
    <w:rsid w:val="00CA20DE"/>
    <w:rsid w:val="00CA23BD"/>
    <w:rsid w:val="00CA2543"/>
    <w:rsid w:val="00CA45C2"/>
    <w:rsid w:val="00CA522C"/>
    <w:rsid w:val="00CA5337"/>
    <w:rsid w:val="00CA5EF6"/>
    <w:rsid w:val="00CA639D"/>
    <w:rsid w:val="00CA707B"/>
    <w:rsid w:val="00CA7B0D"/>
    <w:rsid w:val="00CB0439"/>
    <w:rsid w:val="00CB07F9"/>
    <w:rsid w:val="00CB2E6B"/>
    <w:rsid w:val="00CB34CC"/>
    <w:rsid w:val="00CB3806"/>
    <w:rsid w:val="00CB42EF"/>
    <w:rsid w:val="00CB49B1"/>
    <w:rsid w:val="00CB4E9F"/>
    <w:rsid w:val="00CB5288"/>
    <w:rsid w:val="00CB65D0"/>
    <w:rsid w:val="00CB6E8D"/>
    <w:rsid w:val="00CC0132"/>
    <w:rsid w:val="00CC0B06"/>
    <w:rsid w:val="00CC1754"/>
    <w:rsid w:val="00CC18BC"/>
    <w:rsid w:val="00CC190E"/>
    <w:rsid w:val="00CC2381"/>
    <w:rsid w:val="00CC444B"/>
    <w:rsid w:val="00CC4A53"/>
    <w:rsid w:val="00CC7913"/>
    <w:rsid w:val="00CD03E7"/>
    <w:rsid w:val="00CD142E"/>
    <w:rsid w:val="00CD1816"/>
    <w:rsid w:val="00CD2220"/>
    <w:rsid w:val="00CD26FE"/>
    <w:rsid w:val="00CD33F7"/>
    <w:rsid w:val="00CD4360"/>
    <w:rsid w:val="00CD462E"/>
    <w:rsid w:val="00CD4C73"/>
    <w:rsid w:val="00CD5342"/>
    <w:rsid w:val="00CD5868"/>
    <w:rsid w:val="00CD7F69"/>
    <w:rsid w:val="00CE1072"/>
    <w:rsid w:val="00CE27AC"/>
    <w:rsid w:val="00CE2CFC"/>
    <w:rsid w:val="00CE4742"/>
    <w:rsid w:val="00CE4B2B"/>
    <w:rsid w:val="00CE4C63"/>
    <w:rsid w:val="00CE51A1"/>
    <w:rsid w:val="00CE5D9F"/>
    <w:rsid w:val="00CE5FC8"/>
    <w:rsid w:val="00CE61F0"/>
    <w:rsid w:val="00CE67CA"/>
    <w:rsid w:val="00CE69FF"/>
    <w:rsid w:val="00CF144E"/>
    <w:rsid w:val="00CF1722"/>
    <w:rsid w:val="00CF3FDC"/>
    <w:rsid w:val="00CF4688"/>
    <w:rsid w:val="00CF5BB0"/>
    <w:rsid w:val="00CF5E70"/>
    <w:rsid w:val="00CF65A9"/>
    <w:rsid w:val="00CF6AAD"/>
    <w:rsid w:val="00CF6D08"/>
    <w:rsid w:val="00CF7252"/>
    <w:rsid w:val="00CF73A6"/>
    <w:rsid w:val="00CF7799"/>
    <w:rsid w:val="00D00A37"/>
    <w:rsid w:val="00D017FC"/>
    <w:rsid w:val="00D0210D"/>
    <w:rsid w:val="00D02521"/>
    <w:rsid w:val="00D02EA5"/>
    <w:rsid w:val="00D03043"/>
    <w:rsid w:val="00D03A78"/>
    <w:rsid w:val="00D03BE6"/>
    <w:rsid w:val="00D03FE3"/>
    <w:rsid w:val="00D04A16"/>
    <w:rsid w:val="00D04B89"/>
    <w:rsid w:val="00D04C1E"/>
    <w:rsid w:val="00D04E0F"/>
    <w:rsid w:val="00D0567B"/>
    <w:rsid w:val="00D06C43"/>
    <w:rsid w:val="00D074F1"/>
    <w:rsid w:val="00D1045A"/>
    <w:rsid w:val="00D10600"/>
    <w:rsid w:val="00D10D0A"/>
    <w:rsid w:val="00D13F6C"/>
    <w:rsid w:val="00D14737"/>
    <w:rsid w:val="00D14C11"/>
    <w:rsid w:val="00D1545A"/>
    <w:rsid w:val="00D16554"/>
    <w:rsid w:val="00D20A1C"/>
    <w:rsid w:val="00D20AAF"/>
    <w:rsid w:val="00D20CBA"/>
    <w:rsid w:val="00D216F8"/>
    <w:rsid w:val="00D21C5F"/>
    <w:rsid w:val="00D22E0D"/>
    <w:rsid w:val="00D23A3E"/>
    <w:rsid w:val="00D246C3"/>
    <w:rsid w:val="00D256A6"/>
    <w:rsid w:val="00D25D4E"/>
    <w:rsid w:val="00D276B3"/>
    <w:rsid w:val="00D30692"/>
    <w:rsid w:val="00D30754"/>
    <w:rsid w:val="00D30836"/>
    <w:rsid w:val="00D30DC5"/>
    <w:rsid w:val="00D31594"/>
    <w:rsid w:val="00D32A2F"/>
    <w:rsid w:val="00D32AEB"/>
    <w:rsid w:val="00D32C23"/>
    <w:rsid w:val="00D32DFA"/>
    <w:rsid w:val="00D33C6E"/>
    <w:rsid w:val="00D33EED"/>
    <w:rsid w:val="00D34644"/>
    <w:rsid w:val="00D359DF"/>
    <w:rsid w:val="00D35F2A"/>
    <w:rsid w:val="00D36BD2"/>
    <w:rsid w:val="00D37C31"/>
    <w:rsid w:val="00D37E49"/>
    <w:rsid w:val="00D37ED4"/>
    <w:rsid w:val="00D40536"/>
    <w:rsid w:val="00D4080A"/>
    <w:rsid w:val="00D40B21"/>
    <w:rsid w:val="00D40D41"/>
    <w:rsid w:val="00D42236"/>
    <w:rsid w:val="00D4249D"/>
    <w:rsid w:val="00D42BB1"/>
    <w:rsid w:val="00D4436A"/>
    <w:rsid w:val="00D45712"/>
    <w:rsid w:val="00D45A49"/>
    <w:rsid w:val="00D46A27"/>
    <w:rsid w:val="00D47432"/>
    <w:rsid w:val="00D474CC"/>
    <w:rsid w:val="00D51271"/>
    <w:rsid w:val="00D5158C"/>
    <w:rsid w:val="00D52494"/>
    <w:rsid w:val="00D52865"/>
    <w:rsid w:val="00D5291A"/>
    <w:rsid w:val="00D52A90"/>
    <w:rsid w:val="00D53DBE"/>
    <w:rsid w:val="00D54C9E"/>
    <w:rsid w:val="00D552CF"/>
    <w:rsid w:val="00D57ED0"/>
    <w:rsid w:val="00D6295D"/>
    <w:rsid w:val="00D62DC4"/>
    <w:rsid w:val="00D632BD"/>
    <w:rsid w:val="00D637EA"/>
    <w:rsid w:val="00D66BFB"/>
    <w:rsid w:val="00D6786F"/>
    <w:rsid w:val="00D7057E"/>
    <w:rsid w:val="00D710CA"/>
    <w:rsid w:val="00D71848"/>
    <w:rsid w:val="00D73FF0"/>
    <w:rsid w:val="00D741D7"/>
    <w:rsid w:val="00D750D2"/>
    <w:rsid w:val="00D75468"/>
    <w:rsid w:val="00D7655F"/>
    <w:rsid w:val="00D76D21"/>
    <w:rsid w:val="00D779B6"/>
    <w:rsid w:val="00D77C32"/>
    <w:rsid w:val="00D77DB9"/>
    <w:rsid w:val="00D805ED"/>
    <w:rsid w:val="00D80D16"/>
    <w:rsid w:val="00D814E1"/>
    <w:rsid w:val="00D818A9"/>
    <w:rsid w:val="00D81D6B"/>
    <w:rsid w:val="00D8208C"/>
    <w:rsid w:val="00D82506"/>
    <w:rsid w:val="00D82713"/>
    <w:rsid w:val="00D843C3"/>
    <w:rsid w:val="00D86C5C"/>
    <w:rsid w:val="00D872EA"/>
    <w:rsid w:val="00D87FE1"/>
    <w:rsid w:val="00D90C20"/>
    <w:rsid w:val="00D90D04"/>
    <w:rsid w:val="00D912AE"/>
    <w:rsid w:val="00D91E70"/>
    <w:rsid w:val="00D92171"/>
    <w:rsid w:val="00D92699"/>
    <w:rsid w:val="00D92A39"/>
    <w:rsid w:val="00D92CB9"/>
    <w:rsid w:val="00D93697"/>
    <w:rsid w:val="00D9417C"/>
    <w:rsid w:val="00D94687"/>
    <w:rsid w:val="00D94780"/>
    <w:rsid w:val="00D95472"/>
    <w:rsid w:val="00D95FE1"/>
    <w:rsid w:val="00D96BAD"/>
    <w:rsid w:val="00D9752F"/>
    <w:rsid w:val="00D97E9E"/>
    <w:rsid w:val="00DA04E3"/>
    <w:rsid w:val="00DA0945"/>
    <w:rsid w:val="00DA2FD2"/>
    <w:rsid w:val="00DA3148"/>
    <w:rsid w:val="00DA3679"/>
    <w:rsid w:val="00DA4C67"/>
    <w:rsid w:val="00DA7065"/>
    <w:rsid w:val="00DA7EBF"/>
    <w:rsid w:val="00DB100D"/>
    <w:rsid w:val="00DB1E1F"/>
    <w:rsid w:val="00DB2409"/>
    <w:rsid w:val="00DB4151"/>
    <w:rsid w:val="00DB4E06"/>
    <w:rsid w:val="00DB507A"/>
    <w:rsid w:val="00DB68AA"/>
    <w:rsid w:val="00DB721A"/>
    <w:rsid w:val="00DB7DA1"/>
    <w:rsid w:val="00DC00C4"/>
    <w:rsid w:val="00DC0521"/>
    <w:rsid w:val="00DC056C"/>
    <w:rsid w:val="00DC1409"/>
    <w:rsid w:val="00DC21E4"/>
    <w:rsid w:val="00DC2DA6"/>
    <w:rsid w:val="00DC41FD"/>
    <w:rsid w:val="00DC4B02"/>
    <w:rsid w:val="00DC5351"/>
    <w:rsid w:val="00DC5E7E"/>
    <w:rsid w:val="00DC6077"/>
    <w:rsid w:val="00DC6260"/>
    <w:rsid w:val="00DC6FF1"/>
    <w:rsid w:val="00DC720C"/>
    <w:rsid w:val="00DD09BB"/>
    <w:rsid w:val="00DD106D"/>
    <w:rsid w:val="00DD11B1"/>
    <w:rsid w:val="00DD328E"/>
    <w:rsid w:val="00DD492D"/>
    <w:rsid w:val="00DD51D4"/>
    <w:rsid w:val="00DD522E"/>
    <w:rsid w:val="00DD53E8"/>
    <w:rsid w:val="00DD65AC"/>
    <w:rsid w:val="00DD675E"/>
    <w:rsid w:val="00DE19D9"/>
    <w:rsid w:val="00DE2C75"/>
    <w:rsid w:val="00DE33A1"/>
    <w:rsid w:val="00DE37EB"/>
    <w:rsid w:val="00DE407F"/>
    <w:rsid w:val="00DE43C4"/>
    <w:rsid w:val="00DE45B5"/>
    <w:rsid w:val="00DF0407"/>
    <w:rsid w:val="00DF108E"/>
    <w:rsid w:val="00DF45E0"/>
    <w:rsid w:val="00DF50E3"/>
    <w:rsid w:val="00DF531A"/>
    <w:rsid w:val="00DF5778"/>
    <w:rsid w:val="00DF6456"/>
    <w:rsid w:val="00E00C16"/>
    <w:rsid w:val="00E01706"/>
    <w:rsid w:val="00E031BF"/>
    <w:rsid w:val="00E03AEF"/>
    <w:rsid w:val="00E0435C"/>
    <w:rsid w:val="00E0438D"/>
    <w:rsid w:val="00E04592"/>
    <w:rsid w:val="00E05790"/>
    <w:rsid w:val="00E062FF"/>
    <w:rsid w:val="00E068D3"/>
    <w:rsid w:val="00E06CF7"/>
    <w:rsid w:val="00E06FD4"/>
    <w:rsid w:val="00E10292"/>
    <w:rsid w:val="00E117D1"/>
    <w:rsid w:val="00E121D5"/>
    <w:rsid w:val="00E12869"/>
    <w:rsid w:val="00E128E4"/>
    <w:rsid w:val="00E12BD7"/>
    <w:rsid w:val="00E14539"/>
    <w:rsid w:val="00E14A9F"/>
    <w:rsid w:val="00E158CD"/>
    <w:rsid w:val="00E158CE"/>
    <w:rsid w:val="00E17784"/>
    <w:rsid w:val="00E17CAD"/>
    <w:rsid w:val="00E207D6"/>
    <w:rsid w:val="00E21807"/>
    <w:rsid w:val="00E21BFA"/>
    <w:rsid w:val="00E21CD2"/>
    <w:rsid w:val="00E23937"/>
    <w:rsid w:val="00E240AF"/>
    <w:rsid w:val="00E242D1"/>
    <w:rsid w:val="00E249D8"/>
    <w:rsid w:val="00E254C3"/>
    <w:rsid w:val="00E254F6"/>
    <w:rsid w:val="00E259F6"/>
    <w:rsid w:val="00E2715F"/>
    <w:rsid w:val="00E27219"/>
    <w:rsid w:val="00E27BDB"/>
    <w:rsid w:val="00E30988"/>
    <w:rsid w:val="00E31A7A"/>
    <w:rsid w:val="00E31C59"/>
    <w:rsid w:val="00E321B9"/>
    <w:rsid w:val="00E322F4"/>
    <w:rsid w:val="00E3248D"/>
    <w:rsid w:val="00E32CBA"/>
    <w:rsid w:val="00E33E62"/>
    <w:rsid w:val="00E34277"/>
    <w:rsid w:val="00E360B4"/>
    <w:rsid w:val="00E36211"/>
    <w:rsid w:val="00E36D24"/>
    <w:rsid w:val="00E371F3"/>
    <w:rsid w:val="00E37F91"/>
    <w:rsid w:val="00E40A3E"/>
    <w:rsid w:val="00E4365E"/>
    <w:rsid w:val="00E43802"/>
    <w:rsid w:val="00E440A7"/>
    <w:rsid w:val="00E44410"/>
    <w:rsid w:val="00E4494F"/>
    <w:rsid w:val="00E44CFA"/>
    <w:rsid w:val="00E45DF0"/>
    <w:rsid w:val="00E460BB"/>
    <w:rsid w:val="00E46A76"/>
    <w:rsid w:val="00E47030"/>
    <w:rsid w:val="00E474E6"/>
    <w:rsid w:val="00E502E5"/>
    <w:rsid w:val="00E50826"/>
    <w:rsid w:val="00E52451"/>
    <w:rsid w:val="00E52964"/>
    <w:rsid w:val="00E52D4E"/>
    <w:rsid w:val="00E545D6"/>
    <w:rsid w:val="00E55114"/>
    <w:rsid w:val="00E55DA2"/>
    <w:rsid w:val="00E57086"/>
    <w:rsid w:val="00E57A8A"/>
    <w:rsid w:val="00E62454"/>
    <w:rsid w:val="00E6446D"/>
    <w:rsid w:val="00E646D3"/>
    <w:rsid w:val="00E64DD0"/>
    <w:rsid w:val="00E64E61"/>
    <w:rsid w:val="00E651EC"/>
    <w:rsid w:val="00E66FE2"/>
    <w:rsid w:val="00E707C4"/>
    <w:rsid w:val="00E71C20"/>
    <w:rsid w:val="00E7267B"/>
    <w:rsid w:val="00E733CC"/>
    <w:rsid w:val="00E73500"/>
    <w:rsid w:val="00E755B8"/>
    <w:rsid w:val="00E757DD"/>
    <w:rsid w:val="00E75BA5"/>
    <w:rsid w:val="00E75DF8"/>
    <w:rsid w:val="00E75EE4"/>
    <w:rsid w:val="00E802A7"/>
    <w:rsid w:val="00E8070B"/>
    <w:rsid w:val="00E80CE2"/>
    <w:rsid w:val="00E81934"/>
    <w:rsid w:val="00E826D4"/>
    <w:rsid w:val="00E82AF4"/>
    <w:rsid w:val="00E83B92"/>
    <w:rsid w:val="00E845A3"/>
    <w:rsid w:val="00E845A7"/>
    <w:rsid w:val="00E8621D"/>
    <w:rsid w:val="00E867D8"/>
    <w:rsid w:val="00E86F27"/>
    <w:rsid w:val="00E9086D"/>
    <w:rsid w:val="00E91736"/>
    <w:rsid w:val="00E91BE9"/>
    <w:rsid w:val="00E938A2"/>
    <w:rsid w:val="00E95093"/>
    <w:rsid w:val="00E95262"/>
    <w:rsid w:val="00E9630C"/>
    <w:rsid w:val="00E964C4"/>
    <w:rsid w:val="00E96B84"/>
    <w:rsid w:val="00E97290"/>
    <w:rsid w:val="00E97736"/>
    <w:rsid w:val="00EA00C2"/>
    <w:rsid w:val="00EA07CD"/>
    <w:rsid w:val="00EA12A3"/>
    <w:rsid w:val="00EA15AF"/>
    <w:rsid w:val="00EA1A4D"/>
    <w:rsid w:val="00EA1B5F"/>
    <w:rsid w:val="00EA2128"/>
    <w:rsid w:val="00EA35BD"/>
    <w:rsid w:val="00EA3B8D"/>
    <w:rsid w:val="00EA3D5A"/>
    <w:rsid w:val="00EA4936"/>
    <w:rsid w:val="00EA4BB1"/>
    <w:rsid w:val="00EA5358"/>
    <w:rsid w:val="00EA5435"/>
    <w:rsid w:val="00EA5769"/>
    <w:rsid w:val="00EA66D2"/>
    <w:rsid w:val="00EA6FAD"/>
    <w:rsid w:val="00EA72CB"/>
    <w:rsid w:val="00EA75EB"/>
    <w:rsid w:val="00EA7688"/>
    <w:rsid w:val="00EA7EE2"/>
    <w:rsid w:val="00EB19F8"/>
    <w:rsid w:val="00EB4D7D"/>
    <w:rsid w:val="00EB5524"/>
    <w:rsid w:val="00EB60FA"/>
    <w:rsid w:val="00EB6E43"/>
    <w:rsid w:val="00EC05A2"/>
    <w:rsid w:val="00EC0F0C"/>
    <w:rsid w:val="00EC1602"/>
    <w:rsid w:val="00EC1D65"/>
    <w:rsid w:val="00EC37EB"/>
    <w:rsid w:val="00EC3B5C"/>
    <w:rsid w:val="00EC49ED"/>
    <w:rsid w:val="00EC54F3"/>
    <w:rsid w:val="00EC5CC4"/>
    <w:rsid w:val="00EC67AB"/>
    <w:rsid w:val="00EC7CDD"/>
    <w:rsid w:val="00EC7F4A"/>
    <w:rsid w:val="00ED0281"/>
    <w:rsid w:val="00ED052C"/>
    <w:rsid w:val="00ED0B6B"/>
    <w:rsid w:val="00ED1E03"/>
    <w:rsid w:val="00ED20E5"/>
    <w:rsid w:val="00ED2604"/>
    <w:rsid w:val="00ED2758"/>
    <w:rsid w:val="00ED3542"/>
    <w:rsid w:val="00ED3B30"/>
    <w:rsid w:val="00ED44CC"/>
    <w:rsid w:val="00ED4E01"/>
    <w:rsid w:val="00ED5076"/>
    <w:rsid w:val="00ED67AF"/>
    <w:rsid w:val="00ED73F6"/>
    <w:rsid w:val="00ED7E24"/>
    <w:rsid w:val="00EE0A0D"/>
    <w:rsid w:val="00EE2B88"/>
    <w:rsid w:val="00EE3524"/>
    <w:rsid w:val="00EE3DF1"/>
    <w:rsid w:val="00EE444F"/>
    <w:rsid w:val="00EE46AB"/>
    <w:rsid w:val="00EE5DF4"/>
    <w:rsid w:val="00EE60B0"/>
    <w:rsid w:val="00EE6574"/>
    <w:rsid w:val="00EE6A07"/>
    <w:rsid w:val="00EE74F8"/>
    <w:rsid w:val="00EF1118"/>
    <w:rsid w:val="00EF155F"/>
    <w:rsid w:val="00EF277D"/>
    <w:rsid w:val="00EF37E0"/>
    <w:rsid w:val="00EF44EE"/>
    <w:rsid w:val="00EF4B59"/>
    <w:rsid w:val="00EF5405"/>
    <w:rsid w:val="00EF54C9"/>
    <w:rsid w:val="00EF5FB9"/>
    <w:rsid w:val="00EF6653"/>
    <w:rsid w:val="00EF6BAD"/>
    <w:rsid w:val="00EF739A"/>
    <w:rsid w:val="00EF76EC"/>
    <w:rsid w:val="00F00D21"/>
    <w:rsid w:val="00F02691"/>
    <w:rsid w:val="00F028BA"/>
    <w:rsid w:val="00F02917"/>
    <w:rsid w:val="00F03E3C"/>
    <w:rsid w:val="00F050F6"/>
    <w:rsid w:val="00F05847"/>
    <w:rsid w:val="00F1086E"/>
    <w:rsid w:val="00F1094C"/>
    <w:rsid w:val="00F10EB7"/>
    <w:rsid w:val="00F110BF"/>
    <w:rsid w:val="00F1159A"/>
    <w:rsid w:val="00F12A53"/>
    <w:rsid w:val="00F12F53"/>
    <w:rsid w:val="00F13C9B"/>
    <w:rsid w:val="00F14655"/>
    <w:rsid w:val="00F152F1"/>
    <w:rsid w:val="00F1547A"/>
    <w:rsid w:val="00F15897"/>
    <w:rsid w:val="00F1621A"/>
    <w:rsid w:val="00F1654E"/>
    <w:rsid w:val="00F16EC3"/>
    <w:rsid w:val="00F20C9B"/>
    <w:rsid w:val="00F20F25"/>
    <w:rsid w:val="00F21FD1"/>
    <w:rsid w:val="00F23A14"/>
    <w:rsid w:val="00F23D74"/>
    <w:rsid w:val="00F24FE6"/>
    <w:rsid w:val="00F2573E"/>
    <w:rsid w:val="00F25845"/>
    <w:rsid w:val="00F25873"/>
    <w:rsid w:val="00F26747"/>
    <w:rsid w:val="00F31D07"/>
    <w:rsid w:val="00F31FEB"/>
    <w:rsid w:val="00F3206B"/>
    <w:rsid w:val="00F33646"/>
    <w:rsid w:val="00F3386E"/>
    <w:rsid w:val="00F33CFC"/>
    <w:rsid w:val="00F3433C"/>
    <w:rsid w:val="00F352C4"/>
    <w:rsid w:val="00F35EFA"/>
    <w:rsid w:val="00F36B55"/>
    <w:rsid w:val="00F3773D"/>
    <w:rsid w:val="00F41F95"/>
    <w:rsid w:val="00F43F44"/>
    <w:rsid w:val="00F44816"/>
    <w:rsid w:val="00F45A9C"/>
    <w:rsid w:val="00F46126"/>
    <w:rsid w:val="00F46B8D"/>
    <w:rsid w:val="00F46F28"/>
    <w:rsid w:val="00F46F7C"/>
    <w:rsid w:val="00F47D7A"/>
    <w:rsid w:val="00F5008C"/>
    <w:rsid w:val="00F50DFF"/>
    <w:rsid w:val="00F53A79"/>
    <w:rsid w:val="00F551DA"/>
    <w:rsid w:val="00F55329"/>
    <w:rsid w:val="00F55FDA"/>
    <w:rsid w:val="00F56D9C"/>
    <w:rsid w:val="00F56F07"/>
    <w:rsid w:val="00F60A8E"/>
    <w:rsid w:val="00F60A91"/>
    <w:rsid w:val="00F60D85"/>
    <w:rsid w:val="00F6113C"/>
    <w:rsid w:val="00F61245"/>
    <w:rsid w:val="00F616E3"/>
    <w:rsid w:val="00F62BE7"/>
    <w:rsid w:val="00F63274"/>
    <w:rsid w:val="00F63AC4"/>
    <w:rsid w:val="00F64523"/>
    <w:rsid w:val="00F64A4E"/>
    <w:rsid w:val="00F652C6"/>
    <w:rsid w:val="00F66B11"/>
    <w:rsid w:val="00F67109"/>
    <w:rsid w:val="00F679A7"/>
    <w:rsid w:val="00F67F1A"/>
    <w:rsid w:val="00F70422"/>
    <w:rsid w:val="00F70517"/>
    <w:rsid w:val="00F71253"/>
    <w:rsid w:val="00F72D5B"/>
    <w:rsid w:val="00F73D1F"/>
    <w:rsid w:val="00F74C63"/>
    <w:rsid w:val="00F76B76"/>
    <w:rsid w:val="00F76FBB"/>
    <w:rsid w:val="00F80223"/>
    <w:rsid w:val="00F81165"/>
    <w:rsid w:val="00F81C03"/>
    <w:rsid w:val="00F828A6"/>
    <w:rsid w:val="00F840AF"/>
    <w:rsid w:val="00F858E5"/>
    <w:rsid w:val="00F876A6"/>
    <w:rsid w:val="00F9083C"/>
    <w:rsid w:val="00F90A80"/>
    <w:rsid w:val="00F91054"/>
    <w:rsid w:val="00F91B7B"/>
    <w:rsid w:val="00F9225C"/>
    <w:rsid w:val="00F941CF"/>
    <w:rsid w:val="00F96799"/>
    <w:rsid w:val="00F9682C"/>
    <w:rsid w:val="00F96D8D"/>
    <w:rsid w:val="00FA005E"/>
    <w:rsid w:val="00FA0303"/>
    <w:rsid w:val="00FA0334"/>
    <w:rsid w:val="00FA07AF"/>
    <w:rsid w:val="00FA1124"/>
    <w:rsid w:val="00FA1787"/>
    <w:rsid w:val="00FA26F9"/>
    <w:rsid w:val="00FA3149"/>
    <w:rsid w:val="00FA511C"/>
    <w:rsid w:val="00FA5B9C"/>
    <w:rsid w:val="00FA6966"/>
    <w:rsid w:val="00FA6C11"/>
    <w:rsid w:val="00FA6D96"/>
    <w:rsid w:val="00FA71B8"/>
    <w:rsid w:val="00FA781F"/>
    <w:rsid w:val="00FA792D"/>
    <w:rsid w:val="00FA7AF4"/>
    <w:rsid w:val="00FB0CD4"/>
    <w:rsid w:val="00FB20F9"/>
    <w:rsid w:val="00FB2586"/>
    <w:rsid w:val="00FB3EFC"/>
    <w:rsid w:val="00FB47E5"/>
    <w:rsid w:val="00FB55D6"/>
    <w:rsid w:val="00FB5BDD"/>
    <w:rsid w:val="00FB6B3A"/>
    <w:rsid w:val="00FB7F63"/>
    <w:rsid w:val="00FC0788"/>
    <w:rsid w:val="00FC097D"/>
    <w:rsid w:val="00FC1549"/>
    <w:rsid w:val="00FC1B15"/>
    <w:rsid w:val="00FC2C14"/>
    <w:rsid w:val="00FC39E2"/>
    <w:rsid w:val="00FC4726"/>
    <w:rsid w:val="00FC5251"/>
    <w:rsid w:val="00FC557F"/>
    <w:rsid w:val="00FC68E3"/>
    <w:rsid w:val="00FD0E16"/>
    <w:rsid w:val="00FD1B89"/>
    <w:rsid w:val="00FD27D9"/>
    <w:rsid w:val="00FD2CFF"/>
    <w:rsid w:val="00FD2E66"/>
    <w:rsid w:val="00FD3D2E"/>
    <w:rsid w:val="00FD4223"/>
    <w:rsid w:val="00FD4359"/>
    <w:rsid w:val="00FD454A"/>
    <w:rsid w:val="00FD48D0"/>
    <w:rsid w:val="00FD4B5B"/>
    <w:rsid w:val="00FD5985"/>
    <w:rsid w:val="00FD6555"/>
    <w:rsid w:val="00FD7A2D"/>
    <w:rsid w:val="00FD7F62"/>
    <w:rsid w:val="00FE0170"/>
    <w:rsid w:val="00FE0847"/>
    <w:rsid w:val="00FE0BA4"/>
    <w:rsid w:val="00FE31A4"/>
    <w:rsid w:val="00FE324E"/>
    <w:rsid w:val="00FE3742"/>
    <w:rsid w:val="00FE39A5"/>
    <w:rsid w:val="00FE47D9"/>
    <w:rsid w:val="00FE48E7"/>
    <w:rsid w:val="00FE54C4"/>
    <w:rsid w:val="00FE5755"/>
    <w:rsid w:val="00FE5CD0"/>
    <w:rsid w:val="00FE620D"/>
    <w:rsid w:val="00FE65A3"/>
    <w:rsid w:val="00FF0894"/>
    <w:rsid w:val="00FF0F66"/>
    <w:rsid w:val="00FF1AFB"/>
    <w:rsid w:val="00FF2999"/>
    <w:rsid w:val="00FF2F4E"/>
    <w:rsid w:val="00FF344A"/>
    <w:rsid w:val="00FF3F0B"/>
    <w:rsid w:val="00FF4181"/>
    <w:rsid w:val="00FF4D65"/>
    <w:rsid w:val="00FF5A0F"/>
    <w:rsid w:val="00FF6BC4"/>
    <w:rsid w:val="00FF6E82"/>
    <w:rsid w:val="00FF6F85"/>
    <w:rsid w:val="00FF77AB"/>
    <w:rsid w:val="00FF7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B2B1A"/>
  <w14:defaultImageDpi w14:val="32767"/>
  <w15:chartTrackingRefBased/>
  <w15:docId w15:val="{1FBB4A04-2D01-445A-A7BB-21CF54F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98"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iPriority="19" w:unhideWhenUsed="1"/>
    <w:lsdException w:name="List Number 5" w:semiHidden="1" w:uiPriority="19"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26" w:unhideWhenUsed="1"/>
    <w:lsdException w:name="List Continue 5" w:semiHidden="1" w:uiPriority="26"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78"/>
    <w:pPr>
      <w:keepLines/>
    </w:pPr>
  </w:style>
  <w:style w:type="paragraph" w:styleId="Heading10">
    <w:name w:val="heading 1"/>
    <w:basedOn w:val="Normal"/>
    <w:next w:val="Normal"/>
    <w:link w:val="Heading1Char"/>
    <w:uiPriority w:val="9"/>
    <w:qFormat/>
    <w:rsid w:val="00C60BFA"/>
    <w:pPr>
      <w:keepNext/>
      <w:spacing w:before="360"/>
      <w:outlineLvl w:val="0"/>
    </w:pPr>
    <w:rPr>
      <w:rFonts w:asciiTheme="majorHAnsi" w:eastAsiaTheme="majorEastAsia" w:hAnsiTheme="majorHAnsi" w:cstheme="majorBidi"/>
      <w:b/>
      <w:caps/>
      <w:sz w:val="27"/>
      <w:szCs w:val="32"/>
    </w:rPr>
  </w:style>
  <w:style w:type="paragraph" w:styleId="Heading20">
    <w:name w:val="heading 2"/>
    <w:basedOn w:val="Heading10"/>
    <w:next w:val="Normal"/>
    <w:link w:val="Heading2Char"/>
    <w:uiPriority w:val="9"/>
    <w:unhideWhenUsed/>
    <w:qFormat/>
    <w:rsid w:val="00C60BFA"/>
    <w:pPr>
      <w:spacing w:before="240"/>
      <w:outlineLvl w:val="1"/>
    </w:pPr>
    <w:rPr>
      <w:caps w:val="0"/>
      <w:szCs w:val="26"/>
    </w:rPr>
  </w:style>
  <w:style w:type="paragraph" w:styleId="Heading30">
    <w:name w:val="heading 3"/>
    <w:basedOn w:val="Heading20"/>
    <w:next w:val="Normal"/>
    <w:link w:val="Heading3Char"/>
    <w:uiPriority w:val="9"/>
    <w:unhideWhenUsed/>
    <w:qFormat/>
    <w:rsid w:val="00404D90"/>
    <w:pPr>
      <w:tabs>
        <w:tab w:val="left" w:pos="907"/>
        <w:tab w:val="right" w:pos="7711"/>
      </w:tabs>
      <w:spacing w:after="60"/>
      <w:ind w:left="907" w:hanging="907"/>
      <w:outlineLvl w:val="2"/>
    </w:pPr>
    <w:rPr>
      <w:sz w:val="20"/>
      <w:szCs w:val="24"/>
    </w:rPr>
  </w:style>
  <w:style w:type="paragraph" w:styleId="Heading4">
    <w:name w:val="heading 4"/>
    <w:basedOn w:val="Heading30"/>
    <w:next w:val="Normal"/>
    <w:link w:val="Heading4Char"/>
    <w:uiPriority w:val="9"/>
    <w:unhideWhenUsed/>
    <w:qFormat/>
    <w:rsid w:val="004D509B"/>
    <w:pPr>
      <w:spacing w:before="180"/>
      <w:ind w:left="0" w:firstLine="0"/>
      <w:outlineLvl w:val="3"/>
    </w:pPr>
    <w:rPr>
      <w:b w:val="0"/>
      <w:i/>
      <w:iCs/>
    </w:rPr>
  </w:style>
  <w:style w:type="paragraph" w:styleId="Heading5">
    <w:name w:val="heading 5"/>
    <w:basedOn w:val="Heading4"/>
    <w:next w:val="Normal"/>
    <w:link w:val="Heading5Char"/>
    <w:uiPriority w:val="9"/>
    <w:unhideWhenUsed/>
    <w:qFormat/>
    <w:rsid w:val="00C60BFA"/>
    <w:pPr>
      <w:outlineLvl w:val="4"/>
    </w:pPr>
    <w:rPr>
      <w:b/>
      <w:i w:val="0"/>
      <w:sz w:val="19"/>
    </w:rPr>
  </w:style>
  <w:style w:type="paragraph" w:styleId="Heading6">
    <w:name w:val="heading 6"/>
    <w:basedOn w:val="Normal"/>
    <w:next w:val="Normal"/>
    <w:link w:val="Heading6Char"/>
    <w:uiPriority w:val="9"/>
    <w:semiHidden/>
    <w:unhideWhenUsed/>
    <w:qFormat/>
    <w:rsid w:val="008A7429"/>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7429"/>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7429"/>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7429"/>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next w:val="Normal"/>
    <w:link w:val="ChapterHeadingChar"/>
    <w:uiPriority w:val="84"/>
    <w:qFormat/>
    <w:rsid w:val="008F6E27"/>
    <w:pPr>
      <w:keepNext/>
      <w:pBdr>
        <w:bottom w:val="single" w:sz="12" w:space="1" w:color="auto"/>
      </w:pBdr>
      <w:spacing w:before="1440" w:after="360"/>
      <w:outlineLvl w:val="0"/>
    </w:pPr>
    <w:rPr>
      <w:rFonts w:asciiTheme="majorHAnsi" w:hAnsiTheme="majorHAnsi" w:cstheme="minorBidi"/>
      <w:b/>
      <w:caps/>
      <w:sz w:val="36"/>
    </w:rPr>
  </w:style>
  <w:style w:type="paragraph" w:styleId="Header">
    <w:name w:val="header"/>
    <w:basedOn w:val="Normal"/>
    <w:link w:val="HeaderChar"/>
    <w:uiPriority w:val="99"/>
    <w:unhideWhenUsed/>
    <w:rsid w:val="00B84BA2"/>
    <w:pPr>
      <w:tabs>
        <w:tab w:val="center" w:pos="4513"/>
        <w:tab w:val="right" w:pos="9026"/>
      </w:tabs>
      <w:spacing w:after="180"/>
    </w:pPr>
    <w:rPr>
      <w:rFonts w:asciiTheme="majorHAnsi" w:hAnsiTheme="majorHAnsi"/>
      <w:b/>
      <w:color w:val="53565A"/>
    </w:rPr>
  </w:style>
  <w:style w:type="character" w:customStyle="1" w:styleId="HeaderChar">
    <w:name w:val="Header Char"/>
    <w:basedOn w:val="DefaultParagraphFont"/>
    <w:link w:val="Header"/>
    <w:uiPriority w:val="99"/>
    <w:rsid w:val="00B84BA2"/>
    <w:rPr>
      <w:rFonts w:asciiTheme="majorHAnsi" w:hAnsiTheme="majorHAnsi"/>
      <w:b/>
      <w:color w:val="53565A"/>
    </w:rPr>
  </w:style>
  <w:style w:type="paragraph" w:styleId="Footer">
    <w:name w:val="footer"/>
    <w:basedOn w:val="Normal"/>
    <w:link w:val="FooterChar"/>
    <w:uiPriority w:val="99"/>
    <w:rsid w:val="00C60BFA"/>
    <w:pPr>
      <w:tabs>
        <w:tab w:val="center" w:pos="4513"/>
        <w:tab w:val="right" w:pos="9026"/>
      </w:tabs>
      <w:spacing w:before="0"/>
    </w:pPr>
  </w:style>
  <w:style w:type="character" w:customStyle="1" w:styleId="FooterChar">
    <w:name w:val="Footer Char"/>
    <w:basedOn w:val="DefaultParagraphFont"/>
    <w:link w:val="Footer"/>
    <w:uiPriority w:val="99"/>
    <w:rsid w:val="00575549"/>
  </w:style>
  <w:style w:type="paragraph" w:customStyle="1" w:styleId="FooterOddPage">
    <w:name w:val="Footer [Odd Page]"/>
    <w:basedOn w:val="Normal"/>
    <w:uiPriority w:val="99"/>
    <w:qFormat/>
    <w:rsid w:val="005E4204"/>
    <w:pPr>
      <w:pBdr>
        <w:top w:val="single" w:sz="6" w:space="1" w:color="auto"/>
      </w:pBdr>
      <w:tabs>
        <w:tab w:val="center" w:pos="4366"/>
        <w:tab w:val="right" w:pos="7711"/>
      </w:tabs>
    </w:pPr>
    <w:rPr>
      <w:rFonts w:asciiTheme="majorHAnsi" w:hAnsiTheme="majorHAnsi" w:cstheme="minorBidi"/>
      <w:sz w:val="18"/>
    </w:rPr>
  </w:style>
  <w:style w:type="paragraph" w:customStyle="1" w:styleId="FooterEvenPage">
    <w:name w:val="Footer [Even Page]"/>
    <w:basedOn w:val="Normal"/>
    <w:uiPriority w:val="99"/>
    <w:qFormat/>
    <w:rsid w:val="005E4204"/>
    <w:pPr>
      <w:pBdr>
        <w:top w:val="single" w:sz="6" w:space="1" w:color="auto"/>
      </w:pBdr>
      <w:tabs>
        <w:tab w:val="center" w:pos="3289"/>
        <w:tab w:val="right" w:pos="7711"/>
      </w:tabs>
    </w:pPr>
    <w:rPr>
      <w:rFonts w:asciiTheme="majorHAnsi" w:hAnsiTheme="majorHAnsi" w:cstheme="minorBidi"/>
      <w:sz w:val="18"/>
    </w:rPr>
  </w:style>
  <w:style w:type="character" w:customStyle="1" w:styleId="Heading1Char">
    <w:name w:val="Heading 1 Char"/>
    <w:basedOn w:val="DefaultParagraphFont"/>
    <w:link w:val="Heading10"/>
    <w:uiPriority w:val="9"/>
    <w:rsid w:val="00C60BFA"/>
    <w:rPr>
      <w:rFonts w:asciiTheme="majorHAnsi" w:eastAsiaTheme="majorEastAsia" w:hAnsiTheme="majorHAnsi" w:cstheme="majorBidi"/>
      <w:b/>
      <w:caps/>
      <w:sz w:val="27"/>
      <w:szCs w:val="32"/>
    </w:rPr>
  </w:style>
  <w:style w:type="character" w:customStyle="1" w:styleId="Heading2Char">
    <w:name w:val="Heading 2 Char"/>
    <w:basedOn w:val="DefaultParagraphFont"/>
    <w:link w:val="Heading20"/>
    <w:uiPriority w:val="9"/>
    <w:rsid w:val="00C60BFA"/>
    <w:rPr>
      <w:rFonts w:asciiTheme="majorHAnsi" w:eastAsiaTheme="majorEastAsia" w:hAnsiTheme="majorHAnsi" w:cstheme="majorBidi"/>
      <w:b/>
      <w:sz w:val="27"/>
      <w:szCs w:val="26"/>
    </w:rPr>
  </w:style>
  <w:style w:type="character" w:customStyle="1" w:styleId="Heading3Char">
    <w:name w:val="Heading 3 Char"/>
    <w:basedOn w:val="DefaultParagraphFont"/>
    <w:link w:val="Heading30"/>
    <w:uiPriority w:val="9"/>
    <w:rsid w:val="005C5C20"/>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rsid w:val="004D509B"/>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C60BFA"/>
    <w:rPr>
      <w:rFonts w:asciiTheme="majorHAnsi" w:eastAsiaTheme="majorEastAsia" w:hAnsiTheme="majorHAnsi" w:cstheme="majorBidi"/>
      <w:b/>
      <w:iCs/>
      <w:sz w:val="19"/>
      <w:szCs w:val="24"/>
    </w:rPr>
  </w:style>
  <w:style w:type="paragraph" w:styleId="ListParagraph">
    <w:name w:val="List Paragraph"/>
    <w:basedOn w:val="Normal"/>
    <w:uiPriority w:val="34"/>
    <w:qFormat/>
    <w:rsid w:val="00BD48C4"/>
  </w:style>
  <w:style w:type="paragraph" w:styleId="ListBullet">
    <w:name w:val="List Bullet"/>
    <w:basedOn w:val="Normal"/>
    <w:uiPriority w:val="19"/>
    <w:qFormat/>
    <w:rsid w:val="00671848"/>
    <w:pPr>
      <w:numPr>
        <w:numId w:val="1"/>
      </w:numPr>
      <w:spacing w:before="60" w:after="60"/>
    </w:pPr>
  </w:style>
  <w:style w:type="paragraph" w:styleId="ListBullet2">
    <w:name w:val="List Bullet 2"/>
    <w:basedOn w:val="Normal"/>
    <w:uiPriority w:val="19"/>
    <w:unhideWhenUsed/>
    <w:rsid w:val="00671848"/>
    <w:pPr>
      <w:numPr>
        <w:ilvl w:val="1"/>
        <w:numId w:val="1"/>
      </w:numPr>
      <w:spacing w:before="60" w:after="60"/>
    </w:pPr>
  </w:style>
  <w:style w:type="paragraph" w:styleId="ListBullet3">
    <w:name w:val="List Bullet 3"/>
    <w:basedOn w:val="Normal"/>
    <w:uiPriority w:val="19"/>
    <w:unhideWhenUsed/>
    <w:rsid w:val="00671848"/>
    <w:pPr>
      <w:numPr>
        <w:ilvl w:val="2"/>
        <w:numId w:val="1"/>
      </w:numPr>
      <w:spacing w:before="60" w:after="60"/>
    </w:pPr>
  </w:style>
  <w:style w:type="paragraph" w:styleId="ListNumber">
    <w:name w:val="List Number"/>
    <w:basedOn w:val="Normal"/>
    <w:uiPriority w:val="19"/>
    <w:rsid w:val="00671848"/>
    <w:pPr>
      <w:numPr>
        <w:numId w:val="2"/>
      </w:numPr>
      <w:spacing w:before="60" w:after="60"/>
    </w:pPr>
  </w:style>
  <w:style w:type="paragraph" w:styleId="ListNumber2">
    <w:name w:val="List Number 2"/>
    <w:basedOn w:val="Normal"/>
    <w:uiPriority w:val="19"/>
    <w:unhideWhenUsed/>
    <w:rsid w:val="00671848"/>
    <w:pPr>
      <w:numPr>
        <w:ilvl w:val="1"/>
        <w:numId w:val="2"/>
      </w:numPr>
      <w:spacing w:before="60" w:after="60"/>
    </w:pPr>
  </w:style>
  <w:style w:type="paragraph" w:styleId="ListNumber3">
    <w:name w:val="List Number 3"/>
    <w:basedOn w:val="Normal"/>
    <w:uiPriority w:val="19"/>
    <w:unhideWhenUsed/>
    <w:rsid w:val="00671848"/>
    <w:pPr>
      <w:numPr>
        <w:ilvl w:val="2"/>
        <w:numId w:val="2"/>
      </w:numPr>
      <w:spacing w:before="60" w:after="60"/>
    </w:pPr>
  </w:style>
  <w:style w:type="paragraph" w:customStyle="1" w:styleId="ListAlpha">
    <w:name w:val="List Alpha"/>
    <w:basedOn w:val="Normal"/>
    <w:uiPriority w:val="20"/>
    <w:qFormat/>
    <w:rsid w:val="00671848"/>
    <w:pPr>
      <w:numPr>
        <w:numId w:val="3"/>
      </w:numPr>
      <w:spacing w:before="60" w:after="60"/>
    </w:pPr>
  </w:style>
  <w:style w:type="paragraph" w:customStyle="1" w:styleId="ListAlpha2">
    <w:name w:val="List Alpha 2"/>
    <w:basedOn w:val="Normal"/>
    <w:uiPriority w:val="20"/>
    <w:unhideWhenUsed/>
    <w:qFormat/>
    <w:rsid w:val="00671848"/>
    <w:pPr>
      <w:numPr>
        <w:ilvl w:val="1"/>
        <w:numId w:val="3"/>
      </w:numPr>
      <w:spacing w:before="60" w:after="60"/>
    </w:pPr>
  </w:style>
  <w:style w:type="paragraph" w:customStyle="1" w:styleId="ListAlpha3">
    <w:name w:val="List Alpha 3"/>
    <w:basedOn w:val="Normal"/>
    <w:uiPriority w:val="20"/>
    <w:unhideWhenUsed/>
    <w:qFormat/>
    <w:rsid w:val="00671848"/>
    <w:pPr>
      <w:numPr>
        <w:ilvl w:val="2"/>
        <w:numId w:val="3"/>
      </w:numPr>
      <w:spacing w:before="60" w:after="60"/>
    </w:pPr>
  </w:style>
  <w:style w:type="paragraph" w:styleId="ListContinue">
    <w:name w:val="List Continue"/>
    <w:basedOn w:val="Normal"/>
    <w:uiPriority w:val="26"/>
    <w:rsid w:val="005910F5"/>
    <w:pPr>
      <w:numPr>
        <w:numId w:val="4"/>
      </w:numPr>
      <w:spacing w:before="60" w:after="60"/>
    </w:pPr>
  </w:style>
  <w:style w:type="paragraph" w:styleId="ListContinue2">
    <w:name w:val="List Continue 2"/>
    <w:basedOn w:val="Normal"/>
    <w:uiPriority w:val="26"/>
    <w:unhideWhenUsed/>
    <w:rsid w:val="005910F5"/>
    <w:pPr>
      <w:numPr>
        <w:ilvl w:val="1"/>
        <w:numId w:val="4"/>
      </w:numPr>
      <w:spacing w:before="60" w:after="60"/>
    </w:pPr>
  </w:style>
  <w:style w:type="paragraph" w:styleId="ListContinue3">
    <w:name w:val="List Continue 3"/>
    <w:basedOn w:val="Normal"/>
    <w:uiPriority w:val="26"/>
    <w:unhideWhenUsed/>
    <w:rsid w:val="005910F5"/>
    <w:pPr>
      <w:numPr>
        <w:ilvl w:val="2"/>
        <w:numId w:val="4"/>
      </w:numPr>
      <w:spacing w:before="60" w:after="60"/>
    </w:pPr>
  </w:style>
  <w:style w:type="paragraph" w:customStyle="1" w:styleId="TableHeading">
    <w:name w:val="Table Heading"/>
    <w:basedOn w:val="Normal"/>
    <w:next w:val="Normal"/>
    <w:link w:val="TableHeadingChar"/>
    <w:uiPriority w:val="49"/>
    <w:qFormat/>
    <w:rsid w:val="004135EE"/>
    <w:pPr>
      <w:keepNext/>
      <w:tabs>
        <w:tab w:val="left" w:pos="1021"/>
        <w:tab w:val="right" w:pos="7711"/>
      </w:tabs>
      <w:spacing w:after="60"/>
      <w:ind w:left="1021" w:hanging="1021"/>
      <w:contextualSpacing/>
    </w:pPr>
    <w:rPr>
      <w:rFonts w:asciiTheme="majorHAnsi" w:hAnsiTheme="majorHAnsi" w:cstheme="minorBidi"/>
      <w:b/>
      <w:iCs/>
      <w:sz w:val="20"/>
      <w:szCs w:val="18"/>
    </w:rPr>
  </w:style>
  <w:style w:type="character" w:customStyle="1" w:styleId="TableHeadingChar">
    <w:name w:val="Table Heading Char"/>
    <w:basedOn w:val="DefaultParagraphFont"/>
    <w:link w:val="TableHeading"/>
    <w:uiPriority w:val="49"/>
    <w:rsid w:val="00B84BA2"/>
    <w:rPr>
      <w:rFonts w:asciiTheme="majorHAnsi" w:hAnsiTheme="majorHAnsi" w:cstheme="minorBidi"/>
      <w:b/>
      <w:iCs/>
      <w:sz w:val="20"/>
      <w:szCs w:val="18"/>
    </w:rPr>
  </w:style>
  <w:style w:type="paragraph" w:customStyle="1" w:styleId="Source">
    <w:name w:val="Source"/>
    <w:basedOn w:val="Note"/>
    <w:link w:val="SourceChar"/>
    <w:uiPriority w:val="30"/>
    <w:qFormat/>
    <w:rsid w:val="00B84BA2"/>
    <w:pPr>
      <w:spacing w:after="60"/>
    </w:pPr>
  </w:style>
  <w:style w:type="paragraph" w:customStyle="1" w:styleId="Note">
    <w:name w:val="Note"/>
    <w:basedOn w:val="Normal"/>
    <w:link w:val="NoteChar"/>
    <w:uiPriority w:val="31"/>
    <w:qFormat/>
    <w:rsid w:val="00B84BA2"/>
    <w:pPr>
      <w:tabs>
        <w:tab w:val="left" w:pos="284"/>
      </w:tabs>
      <w:spacing w:before="60"/>
      <w:ind w:left="284" w:hanging="284"/>
      <w:contextualSpacing/>
    </w:pPr>
    <w:rPr>
      <w:rFonts w:asciiTheme="majorHAnsi" w:hAnsiTheme="majorHAnsi" w:cstheme="minorBidi"/>
      <w:i/>
      <w:sz w:val="14"/>
    </w:rPr>
  </w:style>
  <w:style w:type="paragraph" w:customStyle="1" w:styleId="Note2">
    <w:name w:val="Note 2"/>
    <w:basedOn w:val="Note"/>
    <w:uiPriority w:val="31"/>
    <w:qFormat/>
    <w:rsid w:val="00B84BA2"/>
    <w:pPr>
      <w:numPr>
        <w:numId w:val="5"/>
      </w:numPr>
      <w:ind w:left="568" w:hanging="284"/>
    </w:pPr>
  </w:style>
  <w:style w:type="paragraph" w:customStyle="1" w:styleId="NoteContinue">
    <w:name w:val="Note Continue"/>
    <w:basedOn w:val="Note"/>
    <w:uiPriority w:val="31"/>
    <w:qFormat/>
    <w:rsid w:val="00B84BA2"/>
    <w:pPr>
      <w:ind w:firstLine="0"/>
    </w:pPr>
  </w:style>
  <w:style w:type="character" w:customStyle="1" w:styleId="NoteChar">
    <w:name w:val="Note Char"/>
    <w:basedOn w:val="DefaultParagraphFont"/>
    <w:link w:val="Note"/>
    <w:uiPriority w:val="31"/>
    <w:rsid w:val="00B84BA2"/>
    <w:rPr>
      <w:rFonts w:asciiTheme="majorHAnsi" w:hAnsiTheme="majorHAnsi" w:cstheme="minorBidi"/>
      <w:i/>
      <w:sz w:val="14"/>
    </w:rPr>
  </w:style>
  <w:style w:type="character" w:customStyle="1" w:styleId="SourceChar">
    <w:name w:val="Source Char"/>
    <w:link w:val="Source"/>
    <w:uiPriority w:val="30"/>
    <w:locked/>
    <w:rsid w:val="00B84BA2"/>
    <w:rPr>
      <w:rFonts w:asciiTheme="majorHAnsi" w:hAnsiTheme="majorHAnsi" w:cstheme="minorBidi"/>
      <w:i/>
      <w:sz w:val="14"/>
    </w:rPr>
  </w:style>
  <w:style w:type="paragraph" w:styleId="TOC3">
    <w:name w:val="toc 3"/>
    <w:basedOn w:val="Normal"/>
    <w:next w:val="Normal"/>
    <w:autoRedefine/>
    <w:uiPriority w:val="49"/>
    <w:rsid w:val="008A7429"/>
    <w:pPr>
      <w:spacing w:after="100"/>
      <w:ind w:left="440"/>
    </w:pPr>
  </w:style>
  <w:style w:type="paragraph" w:customStyle="1" w:styleId="ShadedBoxText">
    <w:name w:val="Shaded Box Text"/>
    <w:basedOn w:val="Normal"/>
    <w:uiPriority w:val="38"/>
    <w:qFormat/>
    <w:rsid w:val="00B84BA2"/>
    <w:pPr>
      <w:pBdr>
        <w:top w:val="single" w:sz="6" w:space="3" w:color="auto"/>
        <w:left w:val="single" w:sz="6" w:space="4" w:color="auto"/>
        <w:bottom w:val="single" w:sz="6" w:space="3" w:color="auto"/>
        <w:right w:val="single" w:sz="6" w:space="4" w:color="auto"/>
      </w:pBdr>
      <w:shd w:val="clear" w:color="auto" w:fill="F2F2F2" w:themeFill="background1" w:themeFillShade="F2"/>
    </w:pPr>
    <w:rPr>
      <w:rFonts w:cstheme="minorBidi"/>
    </w:rPr>
  </w:style>
  <w:style w:type="paragraph" w:customStyle="1" w:styleId="ShadedBoxHeading">
    <w:name w:val="Shaded Box Heading"/>
    <w:basedOn w:val="ShadedBoxText"/>
    <w:next w:val="ShadedBoxText"/>
    <w:uiPriority w:val="38"/>
    <w:qFormat/>
    <w:rsid w:val="00B84BA2"/>
    <w:pPr>
      <w:keepNext/>
    </w:pPr>
    <w:rPr>
      <w:rFonts w:asciiTheme="majorHAnsi" w:hAnsiTheme="majorHAnsi"/>
      <w:b/>
      <w:sz w:val="20"/>
    </w:rPr>
  </w:style>
  <w:style w:type="paragraph" w:customStyle="1" w:styleId="ShadedBoxBullet">
    <w:name w:val="Shaded Box Bullet"/>
    <w:basedOn w:val="ListBullet"/>
    <w:uiPriority w:val="39"/>
    <w:qFormat/>
    <w:rsid w:val="00B84BA2"/>
    <w:pPr>
      <w:pBdr>
        <w:top w:val="single" w:sz="6" w:space="3" w:color="auto"/>
        <w:left w:val="single" w:sz="6" w:space="4" w:color="auto"/>
        <w:bottom w:val="single" w:sz="6" w:space="3" w:color="auto"/>
        <w:right w:val="single" w:sz="6" w:space="4" w:color="auto"/>
      </w:pBdr>
      <w:shd w:val="clear" w:color="auto" w:fill="F2F2F2" w:themeFill="background1" w:themeFillShade="F2"/>
      <w:tabs>
        <w:tab w:val="num" w:pos="360"/>
      </w:tabs>
      <w:ind w:left="284" w:hanging="284"/>
    </w:pPr>
    <w:rPr>
      <w:rFonts w:cstheme="minorBidi"/>
    </w:rPr>
  </w:style>
  <w:style w:type="paragraph" w:customStyle="1" w:styleId="ShadedBoxBullet2">
    <w:name w:val="Shaded Box Bullet 2"/>
    <w:basedOn w:val="Normal"/>
    <w:next w:val="ShadedBoxText"/>
    <w:uiPriority w:val="39"/>
    <w:qFormat/>
    <w:rsid w:val="00B84BA2"/>
    <w:pPr>
      <w:pBdr>
        <w:top w:val="single" w:sz="6" w:space="3" w:color="auto"/>
        <w:left w:val="single" w:sz="6" w:space="4" w:color="auto"/>
        <w:bottom w:val="single" w:sz="6" w:space="3" w:color="auto"/>
        <w:right w:val="single" w:sz="6" w:space="4" w:color="auto"/>
      </w:pBdr>
      <w:shd w:val="clear" w:color="auto" w:fill="F2F2F2" w:themeFill="background1" w:themeFillShade="F2"/>
      <w:tabs>
        <w:tab w:val="left" w:pos="340"/>
        <w:tab w:val="left" w:pos="680"/>
      </w:tabs>
      <w:spacing w:before="60" w:after="60"/>
      <w:ind w:left="680" w:hanging="680"/>
    </w:pPr>
    <w:rPr>
      <w:rFonts w:cstheme="minorBidi"/>
    </w:rPr>
  </w:style>
  <w:style w:type="paragraph" w:styleId="TOC1">
    <w:name w:val="toc 1"/>
    <w:basedOn w:val="Normal"/>
    <w:next w:val="Normal"/>
    <w:uiPriority w:val="39"/>
    <w:unhideWhenUsed/>
    <w:rsid w:val="00F352C4"/>
    <w:pPr>
      <w:keepNext/>
      <w:tabs>
        <w:tab w:val="right" w:leader="dot" w:pos="9639"/>
      </w:tabs>
      <w:spacing w:before="60"/>
    </w:pPr>
    <w:rPr>
      <w:rFonts w:asciiTheme="majorHAnsi" w:hAnsiTheme="majorHAnsi" w:cstheme="minorBidi"/>
      <w:b/>
    </w:rPr>
  </w:style>
  <w:style w:type="paragraph" w:styleId="TOC2">
    <w:name w:val="toc 2"/>
    <w:basedOn w:val="TOC1"/>
    <w:uiPriority w:val="39"/>
    <w:unhideWhenUsed/>
    <w:rsid w:val="00F352C4"/>
    <w:pPr>
      <w:keepNext w:val="0"/>
      <w:ind w:left="568" w:hanging="284"/>
    </w:pPr>
    <w:rPr>
      <w:b w:val="0"/>
    </w:rPr>
  </w:style>
  <w:style w:type="paragraph" w:styleId="TOC9">
    <w:name w:val="toc 9"/>
    <w:basedOn w:val="Normal"/>
    <w:next w:val="Normal"/>
    <w:uiPriority w:val="98"/>
    <w:unhideWhenUsed/>
    <w:rsid w:val="00B84BA2"/>
    <w:pPr>
      <w:tabs>
        <w:tab w:val="left" w:pos="567"/>
        <w:tab w:val="right" w:leader="dot" w:pos="3629"/>
      </w:tabs>
      <w:ind w:left="567" w:hanging="567"/>
    </w:pPr>
    <w:rPr>
      <w:rFonts w:cstheme="minorBidi"/>
      <w:sz w:val="20"/>
    </w:rPr>
  </w:style>
  <w:style w:type="table" w:customStyle="1" w:styleId="DTFTableNumeric">
    <w:name w:val="DTF Table [Numeric]"/>
    <w:basedOn w:val="TableNormal"/>
    <w:uiPriority w:val="99"/>
    <w:rsid w:val="00B84BA2"/>
    <w:pPr>
      <w:spacing w:before="20" w:after="20"/>
      <w:jc w:val="right"/>
    </w:pPr>
    <w:rPr>
      <w:rFonts w:asciiTheme="majorHAnsi" w:hAnsiTheme="majorHAnsi" w:cstheme="minorBid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customStyle="1" w:styleId="DTFTableText">
    <w:name w:val="DTF Table [Text]"/>
    <w:basedOn w:val="TableNormal"/>
    <w:uiPriority w:val="99"/>
    <w:rsid w:val="00B84BA2"/>
    <w:pPr>
      <w:spacing w:before="60" w:after="60"/>
    </w:pPr>
    <w:rPr>
      <w:rFonts w:asciiTheme="majorHAnsi" w:hAnsiTheme="majorHAnsi" w:cstheme="minorBid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B84BA2"/>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paragraph" w:customStyle="1" w:styleId="Heading1">
    <w:name w:val="Heading 1 [#]"/>
    <w:basedOn w:val="Heading10"/>
    <w:next w:val="Normal"/>
    <w:uiPriority w:val="5"/>
    <w:qFormat/>
    <w:rsid w:val="00B84BA2"/>
    <w:pPr>
      <w:keepLines w:val="0"/>
      <w:numPr>
        <w:numId w:val="6"/>
      </w:numPr>
    </w:pPr>
  </w:style>
  <w:style w:type="paragraph" w:customStyle="1" w:styleId="Heading2">
    <w:name w:val="Heading 2 [#]"/>
    <w:basedOn w:val="Heading20"/>
    <w:next w:val="Normal"/>
    <w:uiPriority w:val="5"/>
    <w:qFormat/>
    <w:rsid w:val="002B562C"/>
    <w:pPr>
      <w:keepLines w:val="0"/>
      <w:numPr>
        <w:ilvl w:val="1"/>
        <w:numId w:val="6"/>
      </w:numPr>
    </w:pPr>
    <w:rPr>
      <w:caps/>
    </w:rPr>
  </w:style>
  <w:style w:type="paragraph" w:customStyle="1" w:styleId="Heading3">
    <w:name w:val="Heading 3 [#]"/>
    <w:basedOn w:val="Heading30"/>
    <w:next w:val="Normal"/>
    <w:uiPriority w:val="5"/>
    <w:qFormat/>
    <w:rsid w:val="004135EE"/>
    <w:pPr>
      <w:keepLines w:val="0"/>
      <w:numPr>
        <w:ilvl w:val="2"/>
        <w:numId w:val="6"/>
      </w:numPr>
    </w:pPr>
  </w:style>
  <w:style w:type="paragraph" w:styleId="TOC4">
    <w:name w:val="toc 4"/>
    <w:basedOn w:val="Normal"/>
    <w:next w:val="Normal"/>
    <w:autoRedefine/>
    <w:uiPriority w:val="49"/>
    <w:semiHidden/>
    <w:rsid w:val="008A7429"/>
    <w:pPr>
      <w:spacing w:after="100"/>
      <w:ind w:left="660"/>
    </w:pPr>
  </w:style>
  <w:style w:type="paragraph" w:styleId="TOC5">
    <w:name w:val="toc 5"/>
    <w:basedOn w:val="Normal"/>
    <w:next w:val="Normal"/>
    <w:autoRedefine/>
    <w:uiPriority w:val="49"/>
    <w:semiHidden/>
    <w:rsid w:val="008A7429"/>
    <w:pPr>
      <w:spacing w:after="100"/>
      <w:ind w:left="880"/>
    </w:pPr>
  </w:style>
  <w:style w:type="character" w:customStyle="1" w:styleId="Heading6Char">
    <w:name w:val="Heading 6 Char"/>
    <w:basedOn w:val="DefaultParagraphFont"/>
    <w:link w:val="Heading6"/>
    <w:uiPriority w:val="9"/>
    <w:semiHidden/>
    <w:rsid w:val="008A74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A74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A74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7429"/>
    <w:rPr>
      <w:rFonts w:asciiTheme="majorHAnsi" w:eastAsiaTheme="majorEastAsia" w:hAnsiTheme="majorHAnsi" w:cstheme="majorBidi"/>
      <w:i/>
      <w:iCs/>
      <w:color w:val="272727" w:themeColor="text1" w:themeTint="D8"/>
      <w:sz w:val="21"/>
      <w:szCs w:val="21"/>
    </w:rPr>
  </w:style>
  <w:style w:type="paragraph" w:styleId="TOCHeading">
    <w:name w:val="TOC Heading"/>
    <w:basedOn w:val="ChapterHeading"/>
    <w:next w:val="Normal"/>
    <w:uiPriority w:val="89"/>
    <w:unhideWhenUsed/>
    <w:qFormat/>
    <w:rsid w:val="008F6E27"/>
    <w:pPr>
      <w:spacing w:after="240"/>
      <w:outlineLvl w:val="9"/>
    </w:pPr>
  </w:style>
  <w:style w:type="character" w:styleId="PlaceholderText">
    <w:name w:val="Placeholder Text"/>
    <w:basedOn w:val="DefaultParagraphFont"/>
    <w:uiPriority w:val="99"/>
    <w:semiHidden/>
    <w:rsid w:val="00E43802"/>
    <w:rPr>
      <w:color w:val="808080"/>
    </w:rPr>
  </w:style>
  <w:style w:type="table" w:customStyle="1" w:styleId="DTFTable">
    <w:name w:val="DTF Table"/>
    <w:basedOn w:val="TableNormal"/>
    <w:uiPriority w:val="99"/>
    <w:pPr>
      <w:spacing w:before="20" w:after="20"/>
      <w:jc w:val="right"/>
    </w:pPr>
    <w:rPr>
      <w:rFonts w:asciiTheme="majorHAnsi" w:hAnsiTheme="majorHAnsi" w:cstheme="minorBid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NormalKeepWithNext">
    <w:name w:val="Normal [Keep With Next]"/>
    <w:basedOn w:val="Normal"/>
    <w:next w:val="Normal"/>
    <w:uiPriority w:val="1"/>
    <w:qFormat/>
    <w:pPr>
      <w:keepNext/>
    </w:pPr>
    <w:rPr>
      <w:rFonts w:cstheme="minorBidi"/>
    </w:rPr>
  </w:style>
  <w:style w:type="paragraph" w:customStyle="1" w:styleId="HighlightBoxBullet">
    <w:name w:val="Highlight Box Bullet"/>
    <w:basedOn w:val="ListBullet"/>
    <w:link w:val="HighlightBoxBulletChar"/>
    <w:uiPriority w:val="60"/>
    <w:qFormat/>
    <w:pPr>
      <w:pBdr>
        <w:top w:val="single" w:sz="6" w:space="1" w:color="auto"/>
        <w:left w:val="single" w:sz="6" w:space="4" w:color="auto"/>
        <w:bottom w:val="single" w:sz="6" w:space="1" w:color="auto"/>
        <w:right w:val="single" w:sz="6" w:space="4" w:color="auto"/>
      </w:pBdr>
      <w:shd w:val="clear" w:color="auto" w:fill="F2F2F2" w:themeFill="background1" w:themeFillShade="F2"/>
      <w:spacing w:after="0"/>
      <w:ind w:left="284" w:hanging="284"/>
    </w:pPr>
    <w:rPr>
      <w:rFonts w:cstheme="minorBidi"/>
    </w:rPr>
  </w:style>
  <w:style w:type="character" w:customStyle="1" w:styleId="HighlightBoxBulletChar">
    <w:name w:val="Highlight Box Bullet Char"/>
    <w:basedOn w:val="DefaultParagraphFont"/>
    <w:link w:val="HighlightBoxBullet"/>
    <w:uiPriority w:val="60"/>
    <w:rPr>
      <w:rFonts w:cstheme="minorBidi"/>
      <w:shd w:val="clear" w:color="auto" w:fill="F2F2F2" w:themeFill="background1" w:themeFillShade="F2"/>
    </w:rPr>
  </w:style>
  <w:style w:type="numbering" w:customStyle="1" w:styleId="ListStyle-Bullet">
    <w:name w:val="List Style - Bullet"/>
    <w:uiPriority w:val="99"/>
    <w:pPr>
      <w:numPr>
        <w:numId w:val="7"/>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before="0"/>
    </w:pPr>
  </w:style>
  <w:style w:type="character" w:styleId="Mention">
    <w:name w:val="Mention"/>
    <w:basedOn w:val="DefaultParagraphFont"/>
    <w:uiPriority w:val="99"/>
    <w:unhideWhenUsed/>
    <w:rPr>
      <w:color w:val="2B579A"/>
      <w:shd w:val="clear" w:color="auto" w:fill="E1DFDD"/>
    </w:rPr>
  </w:style>
  <w:style w:type="character" w:styleId="Hyperlink">
    <w:name w:val="Hyperlink"/>
    <w:basedOn w:val="DefaultParagraphFont"/>
    <w:uiPriority w:val="99"/>
    <w:rPr>
      <w:color w:val="0000FF"/>
      <w:u w:val="single"/>
    </w:rPr>
  </w:style>
  <w:style w:type="table" w:styleId="TableGrid">
    <w:name w:val="Table Grid"/>
    <w:basedOn w:val="TableNormal"/>
    <w:uiPriority w:val="3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89"/>
    <w:qFormat/>
    <w:rsid w:val="009256ED"/>
    <w:pPr>
      <w:pageBreakBefore/>
      <w:pBdr>
        <w:bottom w:val="single" w:sz="12" w:space="1" w:color="auto"/>
      </w:pBdr>
      <w:spacing w:before="1440" w:after="360"/>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89"/>
    <w:rsid w:val="009256ED"/>
    <w:rPr>
      <w:rFonts w:asciiTheme="majorHAnsi" w:eastAsiaTheme="majorEastAsia" w:hAnsiTheme="majorHAnsi" w:cstheme="majorBidi"/>
      <w:b/>
      <w:spacing w:val="-10"/>
      <w:kern w:val="28"/>
      <w:sz w:val="52"/>
      <w:szCs w:val="56"/>
    </w:rPr>
  </w:style>
  <w:style w:type="paragraph" w:customStyle="1" w:styleId="ChapterTitle">
    <w:name w:val="Chapter Title"/>
    <w:uiPriority w:val="89"/>
    <w:qFormat/>
    <w:rsid w:val="009256ED"/>
    <w:pPr>
      <w:pBdr>
        <w:bottom w:val="single" w:sz="12" w:space="1" w:color="auto"/>
      </w:pBdr>
      <w:spacing w:before="1200" w:after="360"/>
      <w:outlineLvl w:val="0"/>
    </w:pPr>
    <w:rPr>
      <w:rFonts w:asciiTheme="majorHAnsi" w:hAnsiTheme="majorHAnsi"/>
      <w:b/>
      <w:caps/>
      <w:sz w:val="36"/>
    </w:rPr>
  </w:style>
  <w:style w:type="paragraph" w:styleId="FootnoteText">
    <w:name w:val="footnote text"/>
    <w:basedOn w:val="Normal"/>
    <w:link w:val="FootnoteTextChar"/>
    <w:uiPriority w:val="99"/>
    <w:unhideWhenUsed/>
    <w:qFormat/>
    <w:rsid w:val="00E259F6"/>
    <w:pPr>
      <w:spacing w:before="0"/>
    </w:pPr>
    <w:rPr>
      <w:sz w:val="18"/>
      <w:szCs w:val="20"/>
    </w:rPr>
  </w:style>
  <w:style w:type="character" w:customStyle="1" w:styleId="FootnoteTextChar">
    <w:name w:val="Footnote Text Char"/>
    <w:basedOn w:val="DefaultParagraphFont"/>
    <w:link w:val="FootnoteText"/>
    <w:uiPriority w:val="99"/>
    <w:rsid w:val="00E259F6"/>
    <w:rPr>
      <w:sz w:val="18"/>
      <w:szCs w:val="20"/>
    </w:rPr>
  </w:style>
  <w:style w:type="character" w:styleId="FootnoteReference">
    <w:name w:val="footnote reference"/>
    <w:basedOn w:val="DefaultParagraphFont"/>
    <w:uiPriority w:val="99"/>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Bullet">
    <w:name w:val="Bullet"/>
    <w:uiPriority w:val="99"/>
    <w:pPr>
      <w:numPr>
        <w:numId w:val="8"/>
      </w:numPr>
    </w:pPr>
  </w:style>
  <w:style w:type="character" w:customStyle="1" w:styleId="ChapterHeadingChar">
    <w:name w:val="Chapter Heading Char"/>
    <w:basedOn w:val="DefaultParagraphFont"/>
    <w:link w:val="ChapterHeading"/>
    <w:uiPriority w:val="84"/>
    <w:rPr>
      <w:rFonts w:asciiTheme="majorHAnsi" w:hAnsiTheme="majorHAnsi" w:cstheme="minorBidi"/>
      <w:b/>
      <w:caps/>
      <w:sz w:val="36"/>
    </w:rPr>
  </w:style>
  <w:style w:type="numbering" w:customStyle="1" w:styleId="ListBullets">
    <w:name w:val="List Bullets"/>
    <w:uiPriority w:val="99"/>
    <w:pPr>
      <w:numPr>
        <w:numId w:val="9"/>
      </w:numPr>
    </w:pPr>
  </w:style>
  <w:style w:type="paragraph" w:customStyle="1" w:styleId="ControlledEntitiesDepartment">
    <w:name w:val="Controlled Entities Department"/>
    <w:basedOn w:val="Normal"/>
    <w:next w:val="Normal"/>
    <w:uiPriority w:val="97"/>
    <w:qFormat/>
    <w:rsid w:val="000056E9"/>
    <w:pPr>
      <w:spacing w:before="40" w:after="20"/>
      <w:ind w:left="170" w:hanging="170"/>
    </w:pPr>
    <w:rPr>
      <w:rFonts w:asciiTheme="majorHAnsi" w:hAnsiTheme="majorHAnsi" w:cstheme="minorBidi"/>
      <w:b/>
      <w:bCs/>
      <w:sz w:val="18"/>
    </w:rPr>
  </w:style>
  <w:style w:type="paragraph" w:customStyle="1" w:styleId="TableUnits">
    <w:name w:val="Table Units"/>
    <w:basedOn w:val="Normal"/>
    <w:next w:val="Normal"/>
    <w:link w:val="TableUnitsChar"/>
    <w:uiPriority w:val="50"/>
    <w:qFormat/>
    <w:rsid w:val="009256ED"/>
    <w:pPr>
      <w:keepNext/>
      <w:tabs>
        <w:tab w:val="left" w:pos="567"/>
        <w:tab w:val="right" w:pos="9639"/>
        <w:tab w:val="right" w:pos="14572"/>
      </w:tabs>
      <w:spacing w:after="60"/>
      <w:ind w:left="1134" w:hanging="1134"/>
      <w:jc w:val="right"/>
    </w:pPr>
    <w:rPr>
      <w:rFonts w:asciiTheme="majorHAnsi" w:eastAsia="MS Mincho" w:hAnsiTheme="majorHAnsi"/>
      <w:b/>
      <w:sz w:val="20"/>
      <w:szCs w:val="20"/>
    </w:rPr>
  </w:style>
  <w:style w:type="character" w:customStyle="1" w:styleId="TableUnitsChar">
    <w:name w:val="Table Units Char"/>
    <w:basedOn w:val="DefaultParagraphFont"/>
    <w:link w:val="TableUnits"/>
    <w:uiPriority w:val="50"/>
    <w:rsid w:val="009256ED"/>
    <w:rPr>
      <w:rFonts w:asciiTheme="majorHAnsi" w:eastAsia="MS Mincho" w:hAnsiTheme="majorHAnsi"/>
      <w:b/>
      <w:sz w:val="20"/>
      <w:szCs w:val="20"/>
    </w:rPr>
  </w:style>
  <w:style w:type="paragraph" w:styleId="NoSpacing">
    <w:name w:val="No Spacing"/>
    <w:uiPriority w:val="1"/>
    <w:qFormat/>
    <w:rsid w:val="009256ED"/>
    <w:pPr>
      <w:keepLines/>
      <w:spacing w:before="0"/>
    </w:pPr>
  </w:style>
  <w:style w:type="character" w:styleId="FollowedHyperlink">
    <w:name w:val="FollowedHyperlink"/>
    <w:basedOn w:val="DefaultParagraphFont"/>
    <w:uiPriority w:val="99"/>
    <w:semiHidden/>
    <w:unhideWhenUsed/>
    <w:rsid w:val="009256ED"/>
    <w:rPr>
      <w:color w:val="954F72" w:themeColor="followedHyperlink"/>
      <w:u w:val="single"/>
    </w:rPr>
  </w:style>
  <w:style w:type="paragraph" w:customStyle="1" w:styleId="Default">
    <w:name w:val="Default"/>
    <w:rsid w:val="004135EE"/>
    <w:pPr>
      <w:autoSpaceDE w:val="0"/>
      <w:autoSpaceDN w:val="0"/>
      <w:adjustRightInd w:val="0"/>
      <w:spacing w:before="0"/>
    </w:pPr>
    <w:rPr>
      <w:rFonts w:ascii="Calibri" w:hAnsi="Calibri" w:cs="Calibri"/>
      <w:color w:val="000000"/>
      <w:sz w:val="24"/>
      <w:szCs w:val="24"/>
    </w:rPr>
  </w:style>
  <w:style w:type="paragraph" w:styleId="Caption">
    <w:name w:val="caption"/>
    <w:basedOn w:val="Normal"/>
    <w:next w:val="Normal"/>
    <w:uiPriority w:val="35"/>
    <w:unhideWhenUsed/>
    <w:qFormat/>
    <w:rsid w:val="004D509B"/>
    <w:pPr>
      <w:keepNext/>
      <w:tabs>
        <w:tab w:val="right" w:pos="7711"/>
      </w:tabs>
      <w:spacing w:after="60"/>
      <w:ind w:left="964" w:hanging="964"/>
    </w:pPr>
    <w:rPr>
      <w:rFonts w:asciiTheme="majorHAnsi" w:hAnsiTheme="majorHAnsi"/>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footer" Target="footer4.xml"/><Relationship Id="rId34" Type="http://schemas.openxmlformats.org/officeDocument/2006/relationships/header" Target="header4.xml"/><Relationship Id="rId42" Type="http://schemas.openxmlformats.org/officeDocument/2006/relationships/footer" Target="footer13.xml"/><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header" Target="header9.xml"/><Relationship Id="rId63" Type="http://schemas.openxmlformats.org/officeDocument/2006/relationships/footer" Target="footer26.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image" Target="media/image4.emf"/><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chart" Target="charts/chart9.xml"/><Relationship Id="rId53" Type="http://schemas.openxmlformats.org/officeDocument/2006/relationships/footer" Target="footer19.xml"/><Relationship Id="rId58" Type="http://schemas.openxmlformats.org/officeDocument/2006/relationships/footer" Target="footer22.xml"/><Relationship Id="rId66" Type="http://schemas.openxmlformats.org/officeDocument/2006/relationships/footer" Target="footer29.xml"/><Relationship Id="rId5" Type="http://schemas.openxmlformats.org/officeDocument/2006/relationships/customXml" Target="../customXml/item5.xml"/><Relationship Id="rId61" Type="http://schemas.openxmlformats.org/officeDocument/2006/relationships/footer" Target="footer24.xml"/><Relationship Id="rId19" Type="http://schemas.openxmlformats.org/officeDocument/2006/relationships/chart" Target="charts/chart3.xml"/><Relationship Id="rId14" Type="http://schemas.openxmlformats.org/officeDocument/2006/relationships/image" Target="media/image3.png"/><Relationship Id="rId22" Type="http://schemas.openxmlformats.org/officeDocument/2006/relationships/chart" Target="charts/chart4.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oter" Target="footer14.xml"/><Relationship Id="rId48" Type="http://schemas.openxmlformats.org/officeDocument/2006/relationships/footer" Target="footer15.xml"/><Relationship Id="rId56" Type="http://schemas.openxmlformats.org/officeDocument/2006/relationships/header" Target="header10.xml"/><Relationship Id="rId64" Type="http://schemas.openxmlformats.org/officeDocument/2006/relationships/footer" Target="footer27.xml"/><Relationship Id="rId8" Type="http://schemas.openxmlformats.org/officeDocument/2006/relationships/settings" Target="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image" Target="media/image5.emf"/><Relationship Id="rId38" Type="http://schemas.openxmlformats.org/officeDocument/2006/relationships/header" Target="header6.xml"/><Relationship Id="rId46" Type="http://schemas.openxmlformats.org/officeDocument/2006/relationships/chart" Target="charts/chart10.xml"/><Relationship Id="rId59" Type="http://schemas.openxmlformats.org/officeDocument/2006/relationships/header" Target="header11.xm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footer" Target="footer12.xml"/><Relationship Id="rId54" Type="http://schemas.openxmlformats.org/officeDocument/2006/relationships/footer" Target="footer20.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footer" Target="footer16.xml"/><Relationship Id="rId57" Type="http://schemas.openxmlformats.org/officeDocument/2006/relationships/footer" Target="footer21.xml"/><Relationship Id="rId10"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chart" Target="charts/chart8.xml"/><Relationship Id="rId52" Type="http://schemas.openxmlformats.org/officeDocument/2006/relationships/footer" Target="footer18.xml"/><Relationship Id="rId60" Type="http://schemas.openxmlformats.org/officeDocument/2006/relationships/footer" Target="footer23.xml"/><Relationship Id="rId65"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2.xml"/><Relationship Id="rId39" Type="http://schemas.openxmlformats.org/officeDocument/2006/relationships/footer" Target="footer10.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4445545850711655"/>
          <c:y val="6.4572938068682126E-2"/>
          <c:w val="0.82651313478926769"/>
          <c:h val="0.79924703424399512"/>
        </c:manualLayout>
      </c:layout>
      <c:barChart>
        <c:barDir val="col"/>
        <c:grouping val="clustered"/>
        <c:varyColors val="0"/>
        <c:ser>
          <c:idx val="0"/>
          <c:order val="0"/>
          <c:tx>
            <c:strRef>
              <c:f>Employment!$C$577</c:f>
              <c:strCache>
                <c:ptCount val="1"/>
                <c:pt idx="0">
                  <c:v>Change in number of employed persons (000s)</c:v>
                </c:pt>
              </c:strCache>
            </c:strRef>
          </c:tx>
          <c:spPr>
            <a:solidFill>
              <a:schemeClr val="bg1">
                <a:lumMod val="50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1-1E5A-43D3-8E9F-59DBEEAF2032}"/>
              </c:ext>
            </c:extLst>
          </c:dPt>
          <c:cat>
            <c:strRef>
              <c:f>Employment!$B$578:$B$583</c:f>
              <c:strCache>
                <c:ptCount val="6"/>
                <c:pt idx="0">
                  <c:v>VIC</c:v>
                </c:pt>
                <c:pt idx="1">
                  <c:v>QLD</c:v>
                </c:pt>
                <c:pt idx="2">
                  <c:v>NSW</c:v>
                </c:pt>
                <c:pt idx="3">
                  <c:v>WA</c:v>
                </c:pt>
                <c:pt idx="4">
                  <c:v>SA</c:v>
                </c:pt>
                <c:pt idx="5">
                  <c:v>TAS</c:v>
                </c:pt>
              </c:strCache>
            </c:strRef>
          </c:cat>
          <c:val>
            <c:numRef>
              <c:f>Employment!$C$578:$C$583</c:f>
              <c:numCache>
                <c:formatCode>0</c:formatCode>
                <c:ptCount val="6"/>
                <c:pt idx="0">
                  <c:v>285.17717290000019</c:v>
                </c:pt>
                <c:pt idx="1">
                  <c:v>215.33246240000017</c:v>
                </c:pt>
                <c:pt idx="2">
                  <c:v>169.10723770000004</c:v>
                </c:pt>
                <c:pt idx="3">
                  <c:v>112.01089840000009</c:v>
                </c:pt>
                <c:pt idx="4">
                  <c:v>35.573908200000005</c:v>
                </c:pt>
                <c:pt idx="5">
                  <c:v>-6.0400769999999966</c:v>
                </c:pt>
              </c:numCache>
            </c:numRef>
          </c:val>
          <c:extLst>
            <c:ext xmlns:c16="http://schemas.microsoft.com/office/drawing/2014/chart" uri="{C3380CC4-5D6E-409C-BE32-E72D297353CC}">
              <c16:uniqueId val="{00000002-1E5A-43D3-8E9F-59DBEEAF2032}"/>
            </c:ext>
          </c:extLst>
        </c:ser>
        <c:dLbls>
          <c:showLegendKey val="0"/>
          <c:showVal val="0"/>
          <c:showCatName val="0"/>
          <c:showSerName val="0"/>
          <c:showPercent val="0"/>
          <c:showBubbleSize val="0"/>
        </c:dLbls>
        <c:gapWidth val="219"/>
        <c:overlap val="-27"/>
        <c:axId val="323507864"/>
        <c:axId val="323500664"/>
      </c:barChart>
      <c:catAx>
        <c:axId val="323507864"/>
        <c:scaling>
          <c:orientation val="minMax"/>
        </c:scaling>
        <c:delete val="0"/>
        <c:axPos val="b"/>
        <c:numFmt formatCode="General" sourceLinked="1"/>
        <c:majorTickMark val="none"/>
        <c:minorTickMark val="none"/>
        <c:tickLblPos val="low"/>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323500664"/>
        <c:crosses val="autoZero"/>
        <c:auto val="1"/>
        <c:lblAlgn val="ctr"/>
        <c:lblOffset val="100"/>
        <c:noMultiLvlLbl val="0"/>
      </c:catAx>
      <c:valAx>
        <c:axId val="323500664"/>
        <c:scaling>
          <c:orientation val="minMax"/>
        </c:scaling>
        <c:delete val="0"/>
        <c:axPos val="l"/>
        <c:majorGridlines>
          <c:spPr>
            <a:ln w="9525" cap="flat" cmpd="sng" algn="ctr">
              <a:solidFill>
                <a:schemeClr val="bg1">
                  <a:lumMod val="75000"/>
                </a:schemeClr>
              </a:solidFill>
              <a:prstDash val="dash"/>
              <a:round/>
            </a:ln>
            <a:effectLst/>
          </c:spPr>
        </c:majorGridlines>
        <c:title>
          <c:tx>
            <c:rich>
              <a:bodyPr rot="-5400000" spcFirstLastPara="1" vertOverflow="ellipsis" vert="horz" wrap="square" anchor="ctr" anchorCtr="1"/>
              <a:lstStyle/>
              <a:p>
                <a:pPr>
                  <a:defRPr sz="900" b="0" i="1" u="none" strike="noStrike" kern="1200" baseline="0">
                    <a:solidFill>
                      <a:schemeClr val="tx1">
                        <a:lumMod val="65000"/>
                        <a:lumOff val="35000"/>
                      </a:schemeClr>
                    </a:solidFill>
                    <a:latin typeface="+mj-lt"/>
                    <a:ea typeface="+mn-ea"/>
                    <a:cs typeface="+mn-cs"/>
                  </a:defRPr>
                </a:pPr>
                <a:r>
                  <a:rPr lang="en-AU" sz="900" i="1">
                    <a:solidFill>
                      <a:schemeClr val="tx1">
                        <a:lumMod val="65000"/>
                        <a:lumOff val="35000"/>
                      </a:schemeClr>
                    </a:solidFill>
                  </a:rPr>
                  <a:t>persons (thousand)</a:t>
                </a:r>
              </a:p>
            </c:rich>
          </c:tx>
          <c:layout>
            <c:manualLayout>
              <c:xMode val="edge"/>
              <c:yMode val="edge"/>
              <c:x val="1.3196093956188967E-2"/>
              <c:y val="0.18497720071460105"/>
            </c:manualLayout>
          </c:layout>
          <c:overlay val="0"/>
          <c:spPr>
            <a:noFill/>
            <a:ln>
              <a:noFill/>
            </a:ln>
            <a:effectLst/>
          </c:spPr>
          <c:txPr>
            <a:bodyPr rot="-5400000" spcFirstLastPara="1" vertOverflow="ellipsis" vert="horz" wrap="square" anchor="ctr" anchorCtr="1"/>
            <a:lstStyle/>
            <a:p>
              <a:pPr>
                <a:defRPr sz="900" b="0" i="1" u="none" strike="noStrike" kern="1200" baseline="0">
                  <a:solidFill>
                    <a:schemeClr val="tx1">
                      <a:lumMod val="65000"/>
                      <a:lumOff val="35000"/>
                    </a:schemeClr>
                  </a:solidFill>
                  <a:latin typeface="+mj-lt"/>
                  <a:ea typeface="+mn-ea"/>
                  <a:cs typeface="+mn-cs"/>
                </a:defRPr>
              </a:pPr>
              <a:endParaRPr lang="en-US"/>
            </a:p>
          </c:txPr>
        </c:title>
        <c:numFmt formatCode="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323507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j-l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81387668909431"/>
          <c:y val="3.524609423822022E-2"/>
          <c:w val="0.82748257168152262"/>
          <c:h val="0.75880307237171429"/>
        </c:manualLayout>
      </c:layout>
      <c:lineChart>
        <c:grouping val="standard"/>
        <c:varyColors val="0"/>
        <c:ser>
          <c:idx val="0"/>
          <c:order val="0"/>
          <c:tx>
            <c:strRef>
              <c:f>Scenario!$C$58</c:f>
              <c:strCache>
                <c:ptCount val="1"/>
                <c:pt idx="0">
                  <c:v>Real GSP </c:v>
                </c:pt>
              </c:strCache>
            </c:strRef>
          </c:tx>
          <c:spPr>
            <a:ln w="19050" cap="rnd">
              <a:solidFill>
                <a:sysClr val="window" lastClr="FFFFFF">
                  <a:lumMod val="75000"/>
                </a:sysClr>
              </a:solidFill>
              <a:round/>
            </a:ln>
            <a:effectLst/>
          </c:spPr>
          <c:marker>
            <c:symbol val="none"/>
          </c:marker>
          <c:cat>
            <c:numRef>
              <c:f>Scenario!$F$2:$W$2</c:f>
              <c:numCache>
                <c:formatCode>m/d/yyyy</c:formatCode>
                <c:ptCount val="18"/>
                <c:pt idx="0">
                  <c:v>45444</c:v>
                </c:pt>
                <c:pt idx="1">
                  <c:v>45536</c:v>
                </c:pt>
                <c:pt idx="2">
                  <c:v>45627</c:v>
                </c:pt>
                <c:pt idx="3">
                  <c:v>45717</c:v>
                </c:pt>
                <c:pt idx="4">
                  <c:v>45809</c:v>
                </c:pt>
                <c:pt idx="5">
                  <c:v>45901</c:v>
                </c:pt>
                <c:pt idx="6">
                  <c:v>45992</c:v>
                </c:pt>
                <c:pt idx="7">
                  <c:v>46082</c:v>
                </c:pt>
                <c:pt idx="8">
                  <c:v>46174</c:v>
                </c:pt>
                <c:pt idx="9">
                  <c:v>46266</c:v>
                </c:pt>
                <c:pt idx="10">
                  <c:v>46357</c:v>
                </c:pt>
                <c:pt idx="11">
                  <c:v>46447</c:v>
                </c:pt>
                <c:pt idx="12">
                  <c:v>46539</c:v>
                </c:pt>
                <c:pt idx="13">
                  <c:v>46631</c:v>
                </c:pt>
                <c:pt idx="14">
                  <c:v>46722</c:v>
                </c:pt>
                <c:pt idx="15">
                  <c:v>46813</c:v>
                </c:pt>
                <c:pt idx="16">
                  <c:v>46905</c:v>
                </c:pt>
              </c:numCache>
            </c:numRef>
          </c:cat>
          <c:val>
            <c:numRef>
              <c:f>Scenario!$F$58:$W$58</c:f>
              <c:numCache>
                <c:formatCode>0.0</c:formatCode>
                <c:ptCount val="18"/>
                <c:pt idx="0">
                  <c:v>0</c:v>
                </c:pt>
                <c:pt idx="1">
                  <c:v>0</c:v>
                </c:pt>
                <c:pt idx="2">
                  <c:v>0</c:v>
                </c:pt>
                <c:pt idx="3">
                  <c:v>7.2344149999999996E-2</c:v>
                </c:pt>
                <c:pt idx="4">
                  <c:v>0.134046</c:v>
                </c:pt>
                <c:pt idx="5">
                  <c:v>0.179336</c:v>
                </c:pt>
                <c:pt idx="6">
                  <c:v>0.22300400000000001</c:v>
                </c:pt>
                <c:pt idx="7">
                  <c:v>0.260737</c:v>
                </c:pt>
                <c:pt idx="8">
                  <c:v>0.29510999999999998</c:v>
                </c:pt>
                <c:pt idx="9">
                  <c:v>0.32530799999999999</c:v>
                </c:pt>
                <c:pt idx="10">
                  <c:v>0.35122399999999998</c:v>
                </c:pt>
                <c:pt idx="11">
                  <c:v>0.37334899999999999</c:v>
                </c:pt>
                <c:pt idx="12">
                  <c:v>0.39085500000000001</c:v>
                </c:pt>
                <c:pt idx="13">
                  <c:v>0.40499099999999999</c:v>
                </c:pt>
                <c:pt idx="14">
                  <c:v>0.414518</c:v>
                </c:pt>
                <c:pt idx="15">
                  <c:v>0.42060399999999998</c:v>
                </c:pt>
                <c:pt idx="16">
                  <c:v>0.42269800000000002</c:v>
                </c:pt>
              </c:numCache>
            </c:numRef>
          </c:val>
          <c:smooth val="0"/>
          <c:extLst>
            <c:ext xmlns:c16="http://schemas.microsoft.com/office/drawing/2014/chart" uri="{C3380CC4-5D6E-409C-BE32-E72D297353CC}">
              <c16:uniqueId val="{00000000-7377-4586-90DE-E2F84FF7F9EE}"/>
            </c:ext>
          </c:extLst>
        </c:ser>
        <c:ser>
          <c:idx val="3"/>
          <c:order val="1"/>
          <c:tx>
            <c:strRef>
              <c:f>Scenario!$C$59</c:f>
              <c:strCache>
                <c:ptCount val="1"/>
                <c:pt idx="0">
                  <c:v>Household consumption </c:v>
                </c:pt>
              </c:strCache>
            </c:strRef>
          </c:tx>
          <c:spPr>
            <a:ln w="19050" cap="rnd">
              <a:solidFill>
                <a:sysClr val="window" lastClr="FFFFFF">
                  <a:lumMod val="50000"/>
                </a:sysClr>
              </a:solidFill>
              <a:round/>
            </a:ln>
            <a:effectLst/>
          </c:spPr>
          <c:marker>
            <c:symbol val="none"/>
          </c:marker>
          <c:cat>
            <c:numRef>
              <c:f>Scenario!$F$2:$W$2</c:f>
              <c:numCache>
                <c:formatCode>m/d/yyyy</c:formatCode>
                <c:ptCount val="18"/>
                <c:pt idx="0">
                  <c:v>45444</c:v>
                </c:pt>
                <c:pt idx="1">
                  <c:v>45536</c:v>
                </c:pt>
                <c:pt idx="2">
                  <c:v>45627</c:v>
                </c:pt>
                <c:pt idx="3">
                  <c:v>45717</c:v>
                </c:pt>
                <c:pt idx="4">
                  <c:v>45809</c:v>
                </c:pt>
                <c:pt idx="5">
                  <c:v>45901</c:v>
                </c:pt>
                <c:pt idx="6">
                  <c:v>45992</c:v>
                </c:pt>
                <c:pt idx="7">
                  <c:v>46082</c:v>
                </c:pt>
                <c:pt idx="8">
                  <c:v>46174</c:v>
                </c:pt>
                <c:pt idx="9">
                  <c:v>46266</c:v>
                </c:pt>
                <c:pt idx="10">
                  <c:v>46357</c:v>
                </c:pt>
                <c:pt idx="11">
                  <c:v>46447</c:v>
                </c:pt>
                <c:pt idx="12">
                  <c:v>46539</c:v>
                </c:pt>
                <c:pt idx="13">
                  <c:v>46631</c:v>
                </c:pt>
                <c:pt idx="14">
                  <c:v>46722</c:v>
                </c:pt>
                <c:pt idx="15">
                  <c:v>46813</c:v>
                </c:pt>
                <c:pt idx="16">
                  <c:v>46905</c:v>
                </c:pt>
              </c:numCache>
            </c:numRef>
          </c:cat>
          <c:val>
            <c:numRef>
              <c:f>Scenario!$F$59:$W$59</c:f>
              <c:numCache>
                <c:formatCode>0.00</c:formatCode>
                <c:ptCount val="18"/>
                <c:pt idx="0" formatCode="0">
                  <c:v>0</c:v>
                </c:pt>
                <c:pt idx="1">
                  <c:v>0</c:v>
                </c:pt>
                <c:pt idx="2">
                  <c:v>0</c:v>
                </c:pt>
                <c:pt idx="3">
                  <c:v>0.13440099999999999</c:v>
                </c:pt>
                <c:pt idx="4">
                  <c:v>0.21030599999999999</c:v>
                </c:pt>
                <c:pt idx="5" formatCode="0">
                  <c:v>0.26396500000000001</c:v>
                </c:pt>
                <c:pt idx="6" formatCode="0">
                  <c:v>0.317494</c:v>
                </c:pt>
                <c:pt idx="7" formatCode="0">
                  <c:v>0.36027399999999998</c:v>
                </c:pt>
                <c:pt idx="8" formatCode="0">
                  <c:v>0.399812</c:v>
                </c:pt>
                <c:pt idx="9" formatCode="0">
                  <c:v>0.43394700000000003</c:v>
                </c:pt>
                <c:pt idx="10" formatCode="0">
                  <c:v>0.464368</c:v>
                </c:pt>
                <c:pt idx="11" formatCode="0">
                  <c:v>0.48921199999999998</c:v>
                </c:pt>
                <c:pt idx="12" formatCode="0">
                  <c:v>0.50904899999999997</c:v>
                </c:pt>
                <c:pt idx="13" formatCode="0">
                  <c:v>0.51919099999999996</c:v>
                </c:pt>
                <c:pt idx="14" formatCode="0">
                  <c:v>0.52385099999999996</c:v>
                </c:pt>
                <c:pt idx="15" formatCode="0">
                  <c:v>0.52499200000000001</c:v>
                </c:pt>
                <c:pt idx="16" formatCode="0">
                  <c:v>0.52277700000000005</c:v>
                </c:pt>
              </c:numCache>
            </c:numRef>
          </c:val>
          <c:smooth val="0"/>
          <c:extLst>
            <c:ext xmlns:c16="http://schemas.microsoft.com/office/drawing/2014/chart" uri="{C3380CC4-5D6E-409C-BE32-E72D297353CC}">
              <c16:uniqueId val="{00000001-7377-4586-90DE-E2F84FF7F9EE}"/>
            </c:ext>
          </c:extLst>
        </c:ser>
        <c:ser>
          <c:idx val="1"/>
          <c:order val="2"/>
          <c:tx>
            <c:v>Investment</c:v>
          </c:tx>
          <c:spPr>
            <a:ln w="19050">
              <a:solidFill>
                <a:sysClr val="windowText" lastClr="000000"/>
              </a:solidFill>
            </a:ln>
          </c:spPr>
          <c:marker>
            <c:symbol val="none"/>
          </c:marker>
          <c:cat>
            <c:numRef>
              <c:f>Scenario!$F$2:$W$2</c:f>
              <c:numCache>
                <c:formatCode>m/d/yyyy</c:formatCode>
                <c:ptCount val="18"/>
                <c:pt idx="0">
                  <c:v>45444</c:v>
                </c:pt>
                <c:pt idx="1">
                  <c:v>45536</c:v>
                </c:pt>
                <c:pt idx="2">
                  <c:v>45627</c:v>
                </c:pt>
                <c:pt idx="3">
                  <c:v>45717</c:v>
                </c:pt>
                <c:pt idx="4">
                  <c:v>45809</c:v>
                </c:pt>
                <c:pt idx="5">
                  <c:v>45901</c:v>
                </c:pt>
                <c:pt idx="6">
                  <c:v>45992</c:v>
                </c:pt>
                <c:pt idx="7">
                  <c:v>46082</c:v>
                </c:pt>
                <c:pt idx="8">
                  <c:v>46174</c:v>
                </c:pt>
                <c:pt idx="9">
                  <c:v>46266</c:v>
                </c:pt>
                <c:pt idx="10">
                  <c:v>46357</c:v>
                </c:pt>
                <c:pt idx="11">
                  <c:v>46447</c:v>
                </c:pt>
                <c:pt idx="12">
                  <c:v>46539</c:v>
                </c:pt>
                <c:pt idx="13">
                  <c:v>46631</c:v>
                </c:pt>
                <c:pt idx="14">
                  <c:v>46722</c:v>
                </c:pt>
                <c:pt idx="15">
                  <c:v>46813</c:v>
                </c:pt>
                <c:pt idx="16">
                  <c:v>46905</c:v>
                </c:pt>
              </c:numCache>
            </c:numRef>
          </c:cat>
          <c:val>
            <c:numRef>
              <c:f>Scenario!$F$62:$W$62</c:f>
              <c:numCache>
                <c:formatCode>0</c:formatCode>
                <c:ptCount val="18"/>
                <c:pt idx="0">
                  <c:v>0</c:v>
                </c:pt>
                <c:pt idx="1">
                  <c:v>0</c:v>
                </c:pt>
                <c:pt idx="2">
                  <c:v>0</c:v>
                </c:pt>
                <c:pt idx="3">
                  <c:v>0.30296400000000001</c:v>
                </c:pt>
                <c:pt idx="4">
                  <c:v>0.33585199999999998</c:v>
                </c:pt>
                <c:pt idx="5">
                  <c:v>0.36368099999999998</c:v>
                </c:pt>
                <c:pt idx="6">
                  <c:v>0.38381300000000002</c:v>
                </c:pt>
                <c:pt idx="7">
                  <c:v>0.39575500000000002</c:v>
                </c:pt>
                <c:pt idx="8">
                  <c:v>0.40253299999999997</c:v>
                </c:pt>
                <c:pt idx="9">
                  <c:v>0.40699600000000002</c:v>
                </c:pt>
                <c:pt idx="10">
                  <c:v>0.40853099999999998</c:v>
                </c:pt>
                <c:pt idx="11">
                  <c:v>0.40892899999999999</c:v>
                </c:pt>
                <c:pt idx="12">
                  <c:v>0.40517199999999998</c:v>
                </c:pt>
                <c:pt idx="13">
                  <c:v>0.39291500000000001</c:v>
                </c:pt>
                <c:pt idx="14">
                  <c:v>0.37792500000000001</c:v>
                </c:pt>
                <c:pt idx="15">
                  <c:v>0.36805900000000003</c:v>
                </c:pt>
                <c:pt idx="16">
                  <c:v>0.35661100000000001</c:v>
                </c:pt>
              </c:numCache>
            </c:numRef>
          </c:val>
          <c:smooth val="0"/>
          <c:extLst>
            <c:ext xmlns:c16="http://schemas.microsoft.com/office/drawing/2014/chart" uri="{C3380CC4-5D6E-409C-BE32-E72D297353CC}">
              <c16:uniqueId val="{00000002-7377-4586-90DE-E2F84FF7F9EE}"/>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45352"/>
        </c:scaling>
        <c:delete val="0"/>
        <c:axPos val="b"/>
        <c:numFmt formatCode="yyyy" sourceLinked="0"/>
        <c:majorTickMark val="out"/>
        <c:minorTickMark val="none"/>
        <c:tickLblPos val="low"/>
        <c:spPr>
          <a:noFill/>
          <a:ln w="9525" cap="flat" cmpd="sng" algn="ctr">
            <a:solidFill>
              <a:sysClr val="window" lastClr="FFFFFF">
                <a:lumMod val="50000"/>
              </a:sysClr>
            </a:solidFill>
            <a:round/>
          </a:ln>
          <a:effectLst/>
        </c:spPr>
        <c:txPr>
          <a:bodyPr rot="-60000000" vert="horz"/>
          <a:lstStyle/>
          <a:p>
            <a:pPr>
              <a:defRPr>
                <a:solidFill>
                  <a:schemeClr val="tx1">
                    <a:lumMod val="65000"/>
                    <a:lumOff val="35000"/>
                  </a:schemeClr>
                </a:solidFill>
              </a:defRPr>
            </a:pPr>
            <a:endParaRPr lang="en-US"/>
          </a:p>
        </c:txPr>
        <c:crossAx val="1032677424"/>
        <c:crosses val="autoZero"/>
        <c:auto val="0"/>
        <c:lblOffset val="100"/>
        <c:baseTimeUnit val="months"/>
        <c:majorUnit val="12"/>
        <c:majorTimeUnit val="months"/>
        <c:minorUnit val="1"/>
      </c:dateAx>
      <c:valAx>
        <c:axId val="1032677424"/>
        <c:scaling>
          <c:orientation val="minMax"/>
        </c:scaling>
        <c:delete val="0"/>
        <c:axPos val="l"/>
        <c:majorGridlines>
          <c:spPr>
            <a:ln w="9525">
              <a:solidFill>
                <a:sysClr val="window" lastClr="FFFFFF">
                  <a:lumMod val="75000"/>
                </a:sysClr>
              </a:solidFill>
              <a:prstDash val="dash"/>
            </a:ln>
          </c:spPr>
        </c:majorGridlines>
        <c:title>
          <c:tx>
            <c:rich>
              <a:bodyPr/>
              <a:lstStyle/>
              <a:p>
                <a:pPr>
                  <a:defRPr b="0" i="1">
                    <a:solidFill>
                      <a:schemeClr val="tx1">
                        <a:lumMod val="65000"/>
                        <a:lumOff val="35000"/>
                      </a:schemeClr>
                    </a:solidFill>
                  </a:defRPr>
                </a:pPr>
                <a:r>
                  <a:rPr lang="en-AU" b="0" i="1">
                    <a:solidFill>
                      <a:schemeClr val="tx1">
                        <a:lumMod val="65000"/>
                        <a:lumOff val="35000"/>
                      </a:schemeClr>
                    </a:solidFill>
                  </a:rPr>
                  <a:t>percentage</a:t>
                </a:r>
                <a:r>
                  <a:rPr lang="en-AU" b="0" i="1" baseline="0">
                    <a:solidFill>
                      <a:schemeClr val="tx1">
                        <a:lumMod val="65000"/>
                        <a:lumOff val="35000"/>
                      </a:schemeClr>
                    </a:solidFill>
                  </a:rPr>
                  <a:t> deviation from baseline</a:t>
                </a:r>
                <a:endParaRPr lang="en-AU" b="0" i="1">
                  <a:solidFill>
                    <a:schemeClr val="tx1">
                      <a:lumMod val="65000"/>
                      <a:lumOff val="35000"/>
                    </a:schemeClr>
                  </a:solidFill>
                </a:endParaRPr>
              </a:p>
            </c:rich>
          </c:tx>
          <c:layout>
            <c:manualLayout>
              <c:xMode val="edge"/>
              <c:yMode val="edge"/>
              <c:x val="2.4552306399386503E-3"/>
              <c:y val="7.2201998565548819E-2"/>
            </c:manualLayout>
          </c:layout>
          <c:overlay val="0"/>
        </c:title>
        <c:numFmt formatCode="#,##0.0" sourceLinked="0"/>
        <c:majorTickMark val="out"/>
        <c:minorTickMark val="none"/>
        <c:tickLblPos val="nextTo"/>
        <c:spPr>
          <a:noFill/>
          <a:ln>
            <a:solidFill>
              <a:sysClr val="window" lastClr="FFFFFF">
                <a:lumMod val="50000"/>
              </a:sysClr>
            </a:solidFill>
          </a:ln>
          <a:effectLst/>
        </c:spPr>
        <c:txPr>
          <a:bodyPr rot="-60000000" vert="horz"/>
          <a:lstStyle/>
          <a:p>
            <a:pPr>
              <a:defRPr/>
            </a:pPr>
            <a:endParaRPr lang="en-US"/>
          </a:p>
        </c:txPr>
        <c:crossAx val="1032676440"/>
        <c:crossesAt val="1"/>
        <c:crossBetween val="between"/>
        <c:majorUnit val="0.1"/>
      </c:valAx>
      <c:spPr>
        <a:noFill/>
        <a:ln>
          <a:noFill/>
        </a:ln>
        <a:effectLst/>
      </c:spPr>
    </c:plotArea>
    <c:legend>
      <c:legendPos val="r"/>
      <c:layout>
        <c:manualLayout>
          <c:xMode val="edge"/>
          <c:yMode val="edge"/>
          <c:x val="0.1017950549271873"/>
          <c:y val="0.87348114656291442"/>
          <c:w val="0.85451351209209092"/>
          <c:h val="0.1067966016118409"/>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c:chart>
  <c:spPr>
    <a:solidFill>
      <a:sysClr val="window" lastClr="FFFFFF"/>
    </a:solidFill>
    <a:ln w="9525" cap="flat" cmpd="sng" algn="ctr">
      <a:noFill/>
      <a:round/>
    </a:ln>
    <a:effectLst/>
  </c:spPr>
  <c:txPr>
    <a:bodyPr/>
    <a:lstStyle/>
    <a:p>
      <a:pPr>
        <a:defRPr sz="9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lt"/>
                <a:ea typeface="+mn-ea"/>
                <a:cs typeface="+mn-cs"/>
              </a:defRPr>
            </a:pPr>
            <a:r>
              <a:rPr lang="en-AU" sz="900" b="0">
                <a:solidFill>
                  <a:schemeClr val="tx1">
                    <a:lumMod val="65000"/>
                    <a:lumOff val="35000"/>
                  </a:schemeClr>
                </a:solidFill>
                <a:latin typeface="Calibri" panose="020F0502020204030204" pitchFamily="34" charset="0"/>
                <a:cs typeface="Calibri" panose="020F0502020204030204" pitchFamily="34" charset="0"/>
              </a:rPr>
              <a:t>Annual growth</a:t>
            </a:r>
          </a:p>
        </c:rich>
      </c:tx>
      <c:layout>
        <c:manualLayout>
          <c:xMode val="edge"/>
          <c:yMode val="edge"/>
          <c:x val="0.36504040718314457"/>
          <c:y val="2.7071681087565705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manualLayout>
          <c:layoutTarget val="inner"/>
          <c:xMode val="edge"/>
          <c:yMode val="edge"/>
          <c:x val="0.18212183031634527"/>
          <c:y val="0.14334514251862887"/>
          <c:w val="0.76629552021120451"/>
          <c:h val="0.64882871766216932"/>
        </c:manualLayout>
      </c:layout>
      <c:barChart>
        <c:barDir val="col"/>
        <c:grouping val="clustered"/>
        <c:varyColors val="0"/>
        <c:ser>
          <c:idx val="0"/>
          <c:order val="0"/>
          <c:tx>
            <c:strRef>
              <c:f>'Nat Accs'!$B$178</c:f>
              <c:strCache>
                <c:ptCount val="1"/>
                <c:pt idx="0">
                  <c:v>Vic</c:v>
                </c:pt>
              </c:strCache>
            </c:strRef>
          </c:tx>
          <c:spPr>
            <a:solidFill>
              <a:schemeClr val="bg1">
                <a:lumMod val="75000"/>
              </a:schemeClr>
            </a:solidFill>
            <a:ln>
              <a:noFill/>
            </a:ln>
            <a:effectLst/>
          </c:spPr>
          <c:invertIfNegative val="0"/>
          <c:cat>
            <c:strRef>
              <c:f>'Nat Accs'!$N$53:$N$55</c:f>
              <c:strCache>
                <c:ptCount val="3"/>
                <c:pt idx="0">
                  <c:v>2021-22</c:v>
                </c:pt>
                <c:pt idx="1">
                  <c:v>2022-23</c:v>
                </c:pt>
                <c:pt idx="2">
                  <c:v>2023-24</c:v>
                </c:pt>
              </c:strCache>
            </c:strRef>
          </c:cat>
          <c:val>
            <c:numRef>
              <c:f>'Nat Accs'!$O$53:$O$55</c:f>
              <c:numCache>
                <c:formatCode>0.0</c:formatCode>
                <c:ptCount val="3"/>
                <c:pt idx="0">
                  <c:v>11.055816836195277</c:v>
                </c:pt>
                <c:pt idx="1">
                  <c:v>10.675771055266491</c:v>
                </c:pt>
                <c:pt idx="2">
                  <c:v>6.5760007118810027</c:v>
                </c:pt>
              </c:numCache>
            </c:numRef>
          </c:val>
          <c:extLst>
            <c:ext xmlns:c16="http://schemas.microsoft.com/office/drawing/2014/chart" uri="{C3380CC4-5D6E-409C-BE32-E72D297353CC}">
              <c16:uniqueId val="{00000000-1FA5-4DAD-B94E-AD454B14A494}"/>
            </c:ext>
          </c:extLst>
        </c:ser>
        <c:ser>
          <c:idx val="1"/>
          <c:order val="1"/>
          <c:tx>
            <c:strRef>
              <c:f>'Nat Accs'!$C$178</c:f>
              <c:strCache>
                <c:ptCount val="1"/>
                <c:pt idx="0">
                  <c:v>Rest of Aus</c:v>
                </c:pt>
              </c:strCache>
            </c:strRef>
          </c:tx>
          <c:spPr>
            <a:solidFill>
              <a:schemeClr val="bg1">
                <a:lumMod val="50000"/>
              </a:schemeClr>
            </a:solidFill>
            <a:ln>
              <a:noFill/>
            </a:ln>
            <a:effectLst/>
          </c:spPr>
          <c:invertIfNegative val="0"/>
          <c:cat>
            <c:strRef>
              <c:f>'Nat Accs'!$N$53:$N$55</c:f>
              <c:strCache>
                <c:ptCount val="3"/>
                <c:pt idx="0">
                  <c:v>2021-22</c:v>
                </c:pt>
                <c:pt idx="1">
                  <c:v>2022-23</c:v>
                </c:pt>
                <c:pt idx="2">
                  <c:v>2023-24</c:v>
                </c:pt>
              </c:strCache>
            </c:strRef>
          </c:cat>
          <c:val>
            <c:numRef>
              <c:f>'Nat Accs'!$P$53:$P$55</c:f>
              <c:numCache>
                <c:formatCode>0.0</c:formatCode>
                <c:ptCount val="3"/>
                <c:pt idx="0">
                  <c:v>7.7995965373713672</c:v>
                </c:pt>
                <c:pt idx="1">
                  <c:v>6.7482482695888191</c:v>
                </c:pt>
                <c:pt idx="2">
                  <c:v>6.1809596087359919</c:v>
                </c:pt>
              </c:numCache>
            </c:numRef>
          </c:val>
          <c:extLst>
            <c:ext xmlns:c16="http://schemas.microsoft.com/office/drawing/2014/chart" uri="{C3380CC4-5D6E-409C-BE32-E72D297353CC}">
              <c16:uniqueId val="{00000001-1FA5-4DAD-B94E-AD454B14A494}"/>
            </c:ext>
          </c:extLst>
        </c:ser>
        <c:dLbls>
          <c:showLegendKey val="0"/>
          <c:showVal val="0"/>
          <c:showCatName val="0"/>
          <c:showSerName val="0"/>
          <c:showPercent val="0"/>
          <c:showBubbleSize val="0"/>
        </c:dLbls>
        <c:gapWidth val="219"/>
        <c:overlap val="-27"/>
        <c:axId val="1054264904"/>
        <c:axId val="1054263464"/>
      </c:barChart>
      <c:catAx>
        <c:axId val="105426490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1054263464"/>
        <c:crosses val="autoZero"/>
        <c:auto val="1"/>
        <c:lblAlgn val="ctr"/>
        <c:lblOffset val="100"/>
        <c:noMultiLvlLbl val="0"/>
      </c:catAx>
      <c:valAx>
        <c:axId val="1054263464"/>
        <c:scaling>
          <c:orientation val="minMax"/>
        </c:scaling>
        <c:delete val="0"/>
        <c:axPos val="l"/>
        <c:majorGridlines>
          <c:spPr>
            <a:ln w="9525" cap="flat" cmpd="sng" algn="ctr">
              <a:solidFill>
                <a:schemeClr val="bg1">
                  <a:lumMod val="75000"/>
                </a:schemeClr>
              </a:solidFill>
              <a:prstDash val="dash"/>
              <a:round/>
            </a:ln>
            <a:effectLst/>
          </c:spPr>
        </c:maj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j-lt"/>
                    <a:ea typeface="+mn-ea"/>
                    <a:cs typeface="+mn-cs"/>
                  </a:defRPr>
                </a:pPr>
                <a:r>
                  <a:rPr lang="en-AU" i="1">
                    <a:solidFill>
                      <a:schemeClr val="tx1">
                        <a:lumMod val="65000"/>
                        <a:lumOff val="35000"/>
                      </a:schemeClr>
                    </a:solidFill>
                  </a:rPr>
                  <a:t>per cent</a:t>
                </a:r>
              </a:p>
            </c:rich>
          </c:tx>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j-lt"/>
                  <a:ea typeface="+mn-ea"/>
                  <a:cs typeface="+mn-cs"/>
                </a:defRPr>
              </a:pPr>
              <a:endParaRPr lang="en-US"/>
            </a:p>
          </c:txPr>
        </c:title>
        <c:numFmt formatCode="General"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1054264904"/>
        <c:crosses val="autoZero"/>
        <c:crossBetween val="between"/>
      </c:valAx>
      <c:spPr>
        <a:noFill/>
        <a:ln>
          <a:noFill/>
        </a:ln>
        <a:effectLst/>
      </c:spPr>
    </c:plotArea>
    <c:legend>
      <c:legendPos val="b"/>
      <c:layout>
        <c:manualLayout>
          <c:xMode val="edge"/>
          <c:yMode val="edge"/>
          <c:x val="0.31842815076017017"/>
          <c:y val="0.90077930750143542"/>
          <c:w val="0.40065798340271946"/>
          <c:h val="9.714277531010351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j-lt"/>
                <a:ea typeface="+mn-ea"/>
                <a:cs typeface="+mn-cs"/>
              </a:defRPr>
            </a:pPr>
            <a:r>
              <a:rPr lang="en-AU" sz="900" b="0">
                <a:solidFill>
                  <a:schemeClr val="tx1">
                    <a:lumMod val="65000"/>
                    <a:lumOff val="35000"/>
                  </a:schemeClr>
                </a:solidFill>
                <a:latin typeface="Calibri" panose="020F0502020204030204" pitchFamily="34" charset="0"/>
                <a:cs typeface="Calibri" panose="020F0502020204030204" pitchFamily="34" charset="0"/>
              </a:rPr>
              <a:t>Share of gross state product</a:t>
            </a:r>
          </a:p>
        </c:rich>
      </c:tx>
      <c:layout>
        <c:manualLayout>
          <c:xMode val="edge"/>
          <c:yMode val="edge"/>
          <c:x val="0.25619260362372798"/>
          <c:y val="3.4590593991314221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manualLayout>
          <c:layoutTarget val="inner"/>
          <c:xMode val="edge"/>
          <c:yMode val="edge"/>
          <c:x val="0.18939578568103152"/>
          <c:y val="0.16305152591275815"/>
          <c:w val="0.75404894439608927"/>
          <c:h val="0.68522604862384373"/>
        </c:manualLayout>
      </c:layout>
      <c:lineChart>
        <c:grouping val="standard"/>
        <c:varyColors val="0"/>
        <c:ser>
          <c:idx val="0"/>
          <c:order val="0"/>
          <c:tx>
            <c:strRef>
              <c:f>'Nat Accs'!$U$11</c:f>
              <c:strCache>
                <c:ptCount val="1"/>
                <c:pt idx="0">
                  <c:v>Vic</c:v>
                </c:pt>
              </c:strCache>
            </c:strRef>
          </c:tx>
          <c:spPr>
            <a:ln w="19050" cap="rnd">
              <a:solidFill>
                <a:schemeClr val="bg1">
                  <a:lumMod val="50000"/>
                </a:schemeClr>
              </a:solidFill>
              <a:round/>
            </a:ln>
            <a:effectLst/>
          </c:spPr>
          <c:marker>
            <c:symbol val="none"/>
          </c:marker>
          <c:cat>
            <c:numRef>
              <c:f>'Nat Accs'!$N$12:$N$46</c:f>
              <c:numCache>
                <c:formatCode>mmm\-yyyy</c:formatCode>
                <c:ptCount val="35"/>
                <c:pt idx="0">
                  <c:v>33025</c:v>
                </c:pt>
                <c:pt idx="1">
                  <c:v>33390</c:v>
                </c:pt>
                <c:pt idx="2">
                  <c:v>33756</c:v>
                </c:pt>
                <c:pt idx="3">
                  <c:v>34121</c:v>
                </c:pt>
                <c:pt idx="4">
                  <c:v>34486</c:v>
                </c:pt>
                <c:pt idx="5">
                  <c:v>34851</c:v>
                </c:pt>
                <c:pt idx="6">
                  <c:v>35217</c:v>
                </c:pt>
                <c:pt idx="7">
                  <c:v>35582</c:v>
                </c:pt>
                <c:pt idx="8">
                  <c:v>35947</c:v>
                </c:pt>
                <c:pt idx="9">
                  <c:v>36312</c:v>
                </c:pt>
                <c:pt idx="10">
                  <c:v>36678</c:v>
                </c:pt>
                <c:pt idx="11">
                  <c:v>37043</c:v>
                </c:pt>
                <c:pt idx="12">
                  <c:v>37408</c:v>
                </c:pt>
                <c:pt idx="13">
                  <c:v>37773</c:v>
                </c:pt>
                <c:pt idx="14">
                  <c:v>38139</c:v>
                </c:pt>
                <c:pt idx="15">
                  <c:v>38504</c:v>
                </c:pt>
                <c:pt idx="16">
                  <c:v>38869</c:v>
                </c:pt>
                <c:pt idx="17">
                  <c:v>39234</c:v>
                </c:pt>
                <c:pt idx="18">
                  <c:v>39600</c:v>
                </c:pt>
                <c:pt idx="19">
                  <c:v>39965</c:v>
                </c:pt>
                <c:pt idx="20">
                  <c:v>40330</c:v>
                </c:pt>
                <c:pt idx="21">
                  <c:v>40695</c:v>
                </c:pt>
                <c:pt idx="22">
                  <c:v>41061</c:v>
                </c:pt>
                <c:pt idx="23">
                  <c:v>41426</c:v>
                </c:pt>
                <c:pt idx="24">
                  <c:v>41791</c:v>
                </c:pt>
                <c:pt idx="25">
                  <c:v>42156</c:v>
                </c:pt>
                <c:pt idx="26">
                  <c:v>42522</c:v>
                </c:pt>
                <c:pt idx="27">
                  <c:v>42887</c:v>
                </c:pt>
                <c:pt idx="28">
                  <c:v>43252</c:v>
                </c:pt>
                <c:pt idx="29">
                  <c:v>43617</c:v>
                </c:pt>
                <c:pt idx="30">
                  <c:v>43983</c:v>
                </c:pt>
                <c:pt idx="31">
                  <c:v>44348</c:v>
                </c:pt>
                <c:pt idx="32">
                  <c:v>44713</c:v>
                </c:pt>
                <c:pt idx="33">
                  <c:v>45078</c:v>
                </c:pt>
                <c:pt idx="34">
                  <c:v>45444</c:v>
                </c:pt>
              </c:numCache>
            </c:numRef>
          </c:cat>
          <c:val>
            <c:numRef>
              <c:f>'Nat Accs'!$U$12:$U$46</c:f>
              <c:numCache>
                <c:formatCode>General</c:formatCode>
                <c:ptCount val="35"/>
                <c:pt idx="0">
                  <c:v>6.5894608861462558</c:v>
                </c:pt>
                <c:pt idx="1">
                  <c:v>5.3698716222282075</c:v>
                </c:pt>
                <c:pt idx="2">
                  <c:v>4.8252123949407668</c:v>
                </c:pt>
                <c:pt idx="3">
                  <c:v>5.3399131841303014</c:v>
                </c:pt>
                <c:pt idx="4">
                  <c:v>5.5762487206590494</c:v>
                </c:pt>
                <c:pt idx="5">
                  <c:v>5.9191387384601608</c:v>
                </c:pt>
                <c:pt idx="6">
                  <c:v>6.871102443320777</c:v>
                </c:pt>
                <c:pt idx="7">
                  <c:v>8.1825441067904112</c:v>
                </c:pt>
                <c:pt idx="8">
                  <c:v>7.6424400617341028</c:v>
                </c:pt>
                <c:pt idx="9">
                  <c:v>7.9059221680840315</c:v>
                </c:pt>
                <c:pt idx="10">
                  <c:v>8.1789774013858061</c:v>
                </c:pt>
                <c:pt idx="11">
                  <c:v>8.1850646774065545</c:v>
                </c:pt>
                <c:pt idx="12">
                  <c:v>8.4086039253804792</c:v>
                </c:pt>
                <c:pt idx="13">
                  <c:v>9.4836770526441079</c:v>
                </c:pt>
                <c:pt idx="14">
                  <c:v>9.6277470045065066</c:v>
                </c:pt>
                <c:pt idx="15">
                  <c:v>10.377703831534678</c:v>
                </c:pt>
                <c:pt idx="16">
                  <c:v>11.377608147972698</c:v>
                </c:pt>
                <c:pt idx="17">
                  <c:v>11.20842050209205</c:v>
                </c:pt>
                <c:pt idx="18">
                  <c:v>11.879510955041289</c:v>
                </c:pt>
                <c:pt idx="19">
                  <c:v>11.494859277202734</c:v>
                </c:pt>
                <c:pt idx="20">
                  <c:v>11.254427571668444</c:v>
                </c:pt>
                <c:pt idx="21">
                  <c:v>10.673109932865426</c:v>
                </c:pt>
                <c:pt idx="22">
                  <c:v>10.117524923710054</c:v>
                </c:pt>
                <c:pt idx="23">
                  <c:v>9.2115545535646373</c:v>
                </c:pt>
                <c:pt idx="24">
                  <c:v>9.9218771143246336</c:v>
                </c:pt>
                <c:pt idx="25">
                  <c:v>10.349941533810568</c:v>
                </c:pt>
                <c:pt idx="26">
                  <c:v>10.059961015795178</c:v>
                </c:pt>
                <c:pt idx="27">
                  <c:v>9.9698867225591989</c:v>
                </c:pt>
                <c:pt idx="28">
                  <c:v>10.69345815461465</c:v>
                </c:pt>
                <c:pt idx="29">
                  <c:v>11.176559779969637</c:v>
                </c:pt>
                <c:pt idx="30">
                  <c:v>10.988932730247329</c:v>
                </c:pt>
                <c:pt idx="31">
                  <c:v>10.580583939916448</c:v>
                </c:pt>
                <c:pt idx="32">
                  <c:v>11.007919457509029</c:v>
                </c:pt>
                <c:pt idx="33">
                  <c:v>11.783219655068164</c:v>
                </c:pt>
                <c:pt idx="34">
                  <c:v>12.370248468802826</c:v>
                </c:pt>
              </c:numCache>
            </c:numRef>
          </c:val>
          <c:smooth val="0"/>
          <c:extLst>
            <c:ext xmlns:c16="http://schemas.microsoft.com/office/drawing/2014/chart" uri="{C3380CC4-5D6E-409C-BE32-E72D297353CC}">
              <c16:uniqueId val="{00000000-9E30-4FDC-9449-FD6932154A08}"/>
            </c:ext>
          </c:extLst>
        </c:ser>
        <c:dLbls>
          <c:showLegendKey val="0"/>
          <c:showVal val="0"/>
          <c:showCatName val="0"/>
          <c:showSerName val="0"/>
          <c:showPercent val="0"/>
          <c:showBubbleSize val="0"/>
        </c:dLbls>
        <c:smooth val="0"/>
        <c:axId val="495681768"/>
        <c:axId val="495682488"/>
      </c:lineChart>
      <c:dateAx>
        <c:axId val="495681768"/>
        <c:scaling>
          <c:orientation val="minMax"/>
          <c:min val="32933"/>
        </c:scaling>
        <c:delete val="0"/>
        <c:axPos val="b"/>
        <c:numFmt formatCode="yyyy" sourceLinked="0"/>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495682488"/>
        <c:crosses val="autoZero"/>
        <c:auto val="1"/>
        <c:lblOffset val="100"/>
        <c:baseTimeUnit val="months"/>
        <c:majorUnit val="8"/>
        <c:majorTimeUnit val="years"/>
      </c:dateAx>
      <c:valAx>
        <c:axId val="495682488"/>
        <c:scaling>
          <c:orientation val="minMax"/>
          <c:max val="14"/>
          <c:min val="4"/>
        </c:scaling>
        <c:delete val="0"/>
        <c:axPos val="l"/>
        <c:majorGridlines>
          <c:spPr>
            <a:ln w="9525" cap="flat" cmpd="sng" algn="ctr">
              <a:solidFill>
                <a:schemeClr val="bg1">
                  <a:lumMod val="75000"/>
                </a:schemeClr>
              </a:solidFill>
              <a:prstDash val="dash"/>
              <a:round/>
            </a:ln>
            <a:effectLst/>
          </c:spPr>
        </c:maj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j-lt"/>
                    <a:ea typeface="+mn-ea"/>
                    <a:cs typeface="+mn-cs"/>
                  </a:defRPr>
                </a:pPr>
                <a:r>
                  <a:rPr lang="en-AU" i="1">
                    <a:solidFill>
                      <a:schemeClr val="tx1">
                        <a:lumMod val="65000"/>
                        <a:lumOff val="35000"/>
                      </a:schemeClr>
                    </a:solidFill>
                  </a:rPr>
                  <a:t>per cent</a:t>
                </a:r>
              </a:p>
            </c:rich>
          </c:tx>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j-lt"/>
                  <a:ea typeface="+mn-ea"/>
                  <a:cs typeface="+mn-cs"/>
                </a:defRPr>
              </a:pPr>
              <a:endParaRPr lang="en-US"/>
            </a:p>
          </c:txPr>
        </c:title>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en-US"/>
          </a:p>
        </c:txPr>
        <c:crossAx val="495681768"/>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mj-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7340062221952"/>
          <c:y val="5.0719596551116353E-2"/>
          <c:w val="0.86051257106375234"/>
          <c:h val="0.72481915662780616"/>
        </c:manualLayout>
      </c:layout>
      <c:lineChart>
        <c:grouping val="standard"/>
        <c:varyColors val="0"/>
        <c:ser>
          <c:idx val="1"/>
          <c:order val="0"/>
          <c:tx>
            <c:strRef>
              <c:f>'[2024-25 Budget Update - Chapter 2 QA.xlsx]Disc vs non disc'!$Z$20</c:f>
              <c:strCache>
                <c:ptCount val="1"/>
                <c:pt idx="0">
                  <c:v>Essential</c:v>
                </c:pt>
              </c:strCache>
            </c:strRef>
          </c:tx>
          <c:spPr>
            <a:ln w="19050" cap="rnd">
              <a:solidFill>
                <a:schemeClr val="tx1">
                  <a:lumMod val="65000"/>
                  <a:lumOff val="35000"/>
                </a:schemeClr>
              </a:solidFill>
              <a:round/>
            </a:ln>
            <a:effectLst/>
          </c:spPr>
          <c:marker>
            <c:symbol val="none"/>
          </c:marker>
          <c:cat>
            <c:numRef>
              <c:f>'[2024-25 Budget Update - Chapter 2 QA.xlsx]Disc vs non disc'!$X$21:$X$175</c:f>
              <c:numCache>
                <c:formatCode>mmm\-yyyy</c:formatCode>
                <c:ptCount val="155"/>
                <c:pt idx="0">
                  <c:v>31382</c:v>
                </c:pt>
                <c:pt idx="1">
                  <c:v>31472</c:v>
                </c:pt>
                <c:pt idx="2">
                  <c:v>31564</c:v>
                </c:pt>
                <c:pt idx="3">
                  <c:v>31656</c:v>
                </c:pt>
                <c:pt idx="4">
                  <c:v>31747</c:v>
                </c:pt>
                <c:pt idx="5">
                  <c:v>31837</c:v>
                </c:pt>
                <c:pt idx="6">
                  <c:v>31929</c:v>
                </c:pt>
                <c:pt idx="7">
                  <c:v>32021</c:v>
                </c:pt>
                <c:pt idx="8">
                  <c:v>32112</c:v>
                </c:pt>
                <c:pt idx="9">
                  <c:v>32203</c:v>
                </c:pt>
                <c:pt idx="10">
                  <c:v>32295</c:v>
                </c:pt>
                <c:pt idx="11">
                  <c:v>32387</c:v>
                </c:pt>
                <c:pt idx="12">
                  <c:v>32478</c:v>
                </c:pt>
                <c:pt idx="13">
                  <c:v>32568</c:v>
                </c:pt>
                <c:pt idx="14">
                  <c:v>32660</c:v>
                </c:pt>
                <c:pt idx="15">
                  <c:v>32752</c:v>
                </c:pt>
                <c:pt idx="16">
                  <c:v>32843</c:v>
                </c:pt>
                <c:pt idx="17">
                  <c:v>32933</c:v>
                </c:pt>
                <c:pt idx="18">
                  <c:v>33025</c:v>
                </c:pt>
                <c:pt idx="19">
                  <c:v>33117</c:v>
                </c:pt>
                <c:pt idx="20">
                  <c:v>33208</c:v>
                </c:pt>
                <c:pt idx="21">
                  <c:v>33298</c:v>
                </c:pt>
                <c:pt idx="22">
                  <c:v>33390</c:v>
                </c:pt>
                <c:pt idx="23">
                  <c:v>33482</c:v>
                </c:pt>
                <c:pt idx="24">
                  <c:v>33573</c:v>
                </c:pt>
                <c:pt idx="25">
                  <c:v>33664</c:v>
                </c:pt>
                <c:pt idx="26">
                  <c:v>33756</c:v>
                </c:pt>
                <c:pt idx="27">
                  <c:v>33848</c:v>
                </c:pt>
                <c:pt idx="28">
                  <c:v>33939</c:v>
                </c:pt>
                <c:pt idx="29">
                  <c:v>34029</c:v>
                </c:pt>
                <c:pt idx="30">
                  <c:v>34121</c:v>
                </c:pt>
                <c:pt idx="31">
                  <c:v>34213</c:v>
                </c:pt>
                <c:pt idx="32">
                  <c:v>34304</c:v>
                </c:pt>
                <c:pt idx="33">
                  <c:v>34394</c:v>
                </c:pt>
                <c:pt idx="34">
                  <c:v>34486</c:v>
                </c:pt>
                <c:pt idx="35">
                  <c:v>34578</c:v>
                </c:pt>
                <c:pt idx="36">
                  <c:v>34669</c:v>
                </c:pt>
                <c:pt idx="37">
                  <c:v>34759</c:v>
                </c:pt>
                <c:pt idx="38">
                  <c:v>34851</c:v>
                </c:pt>
                <c:pt idx="39">
                  <c:v>34943</c:v>
                </c:pt>
                <c:pt idx="40">
                  <c:v>35034</c:v>
                </c:pt>
                <c:pt idx="41">
                  <c:v>35125</c:v>
                </c:pt>
                <c:pt idx="42">
                  <c:v>35217</c:v>
                </c:pt>
                <c:pt idx="43">
                  <c:v>35309</c:v>
                </c:pt>
                <c:pt idx="44">
                  <c:v>35400</c:v>
                </c:pt>
                <c:pt idx="45">
                  <c:v>35490</c:v>
                </c:pt>
                <c:pt idx="46">
                  <c:v>35582</c:v>
                </c:pt>
                <c:pt idx="47">
                  <c:v>35674</c:v>
                </c:pt>
                <c:pt idx="48">
                  <c:v>35765</c:v>
                </c:pt>
                <c:pt idx="49">
                  <c:v>35855</c:v>
                </c:pt>
                <c:pt idx="50">
                  <c:v>35947</c:v>
                </c:pt>
                <c:pt idx="51">
                  <c:v>36039</c:v>
                </c:pt>
                <c:pt idx="52">
                  <c:v>36130</c:v>
                </c:pt>
                <c:pt idx="53">
                  <c:v>36220</c:v>
                </c:pt>
                <c:pt idx="54">
                  <c:v>36312</c:v>
                </c:pt>
                <c:pt idx="55">
                  <c:v>36404</c:v>
                </c:pt>
                <c:pt idx="56">
                  <c:v>36495</c:v>
                </c:pt>
                <c:pt idx="57">
                  <c:v>36586</c:v>
                </c:pt>
                <c:pt idx="58">
                  <c:v>36678</c:v>
                </c:pt>
                <c:pt idx="59">
                  <c:v>36770</c:v>
                </c:pt>
                <c:pt idx="60">
                  <c:v>36861</c:v>
                </c:pt>
                <c:pt idx="61">
                  <c:v>36951</c:v>
                </c:pt>
                <c:pt idx="62">
                  <c:v>37043</c:v>
                </c:pt>
                <c:pt idx="63">
                  <c:v>37135</c:v>
                </c:pt>
                <c:pt idx="64">
                  <c:v>37226</c:v>
                </c:pt>
                <c:pt idx="65">
                  <c:v>37316</c:v>
                </c:pt>
                <c:pt idx="66">
                  <c:v>37408</c:v>
                </c:pt>
                <c:pt idx="67">
                  <c:v>37500</c:v>
                </c:pt>
                <c:pt idx="68">
                  <c:v>37591</c:v>
                </c:pt>
                <c:pt idx="69">
                  <c:v>37681</c:v>
                </c:pt>
                <c:pt idx="70">
                  <c:v>37773</c:v>
                </c:pt>
                <c:pt idx="71">
                  <c:v>37865</c:v>
                </c:pt>
                <c:pt idx="72">
                  <c:v>37956</c:v>
                </c:pt>
                <c:pt idx="73">
                  <c:v>38047</c:v>
                </c:pt>
                <c:pt idx="74">
                  <c:v>38139</c:v>
                </c:pt>
                <c:pt idx="75">
                  <c:v>38231</c:v>
                </c:pt>
                <c:pt idx="76">
                  <c:v>38322</c:v>
                </c:pt>
                <c:pt idx="77">
                  <c:v>38412</c:v>
                </c:pt>
                <c:pt idx="78">
                  <c:v>38504</c:v>
                </c:pt>
                <c:pt idx="79">
                  <c:v>38596</c:v>
                </c:pt>
                <c:pt idx="80">
                  <c:v>38687</c:v>
                </c:pt>
                <c:pt idx="81">
                  <c:v>38777</c:v>
                </c:pt>
                <c:pt idx="82">
                  <c:v>38869</c:v>
                </c:pt>
                <c:pt idx="83">
                  <c:v>38961</c:v>
                </c:pt>
                <c:pt idx="84">
                  <c:v>39052</c:v>
                </c:pt>
                <c:pt idx="85">
                  <c:v>39142</c:v>
                </c:pt>
                <c:pt idx="86">
                  <c:v>39234</c:v>
                </c:pt>
                <c:pt idx="87">
                  <c:v>39326</c:v>
                </c:pt>
                <c:pt idx="88">
                  <c:v>39417</c:v>
                </c:pt>
                <c:pt idx="89">
                  <c:v>39508</c:v>
                </c:pt>
                <c:pt idx="90">
                  <c:v>39600</c:v>
                </c:pt>
                <c:pt idx="91">
                  <c:v>39692</c:v>
                </c:pt>
                <c:pt idx="92">
                  <c:v>39783</c:v>
                </c:pt>
                <c:pt idx="93">
                  <c:v>39873</c:v>
                </c:pt>
                <c:pt idx="94">
                  <c:v>39965</c:v>
                </c:pt>
                <c:pt idx="95">
                  <c:v>40057</c:v>
                </c:pt>
                <c:pt idx="96">
                  <c:v>40148</c:v>
                </c:pt>
                <c:pt idx="97">
                  <c:v>40238</c:v>
                </c:pt>
                <c:pt idx="98">
                  <c:v>40330</c:v>
                </c:pt>
                <c:pt idx="99">
                  <c:v>40422</c:v>
                </c:pt>
                <c:pt idx="100">
                  <c:v>40513</c:v>
                </c:pt>
                <c:pt idx="101">
                  <c:v>40603</c:v>
                </c:pt>
                <c:pt idx="102">
                  <c:v>40695</c:v>
                </c:pt>
                <c:pt idx="103">
                  <c:v>40787</c:v>
                </c:pt>
                <c:pt idx="104">
                  <c:v>40878</c:v>
                </c:pt>
                <c:pt idx="105">
                  <c:v>40969</c:v>
                </c:pt>
                <c:pt idx="106">
                  <c:v>41061</c:v>
                </c:pt>
                <c:pt idx="107">
                  <c:v>41153</c:v>
                </c:pt>
                <c:pt idx="108">
                  <c:v>41244</c:v>
                </c:pt>
                <c:pt idx="109">
                  <c:v>41334</c:v>
                </c:pt>
                <c:pt idx="110">
                  <c:v>41426</c:v>
                </c:pt>
                <c:pt idx="111">
                  <c:v>41518</c:v>
                </c:pt>
                <c:pt idx="112">
                  <c:v>41609</c:v>
                </c:pt>
                <c:pt idx="113">
                  <c:v>41699</c:v>
                </c:pt>
                <c:pt idx="114">
                  <c:v>41791</c:v>
                </c:pt>
                <c:pt idx="115">
                  <c:v>41883</c:v>
                </c:pt>
                <c:pt idx="116">
                  <c:v>41974</c:v>
                </c:pt>
                <c:pt idx="117">
                  <c:v>42064</c:v>
                </c:pt>
                <c:pt idx="118">
                  <c:v>42156</c:v>
                </c:pt>
                <c:pt idx="119">
                  <c:v>42248</c:v>
                </c:pt>
                <c:pt idx="120">
                  <c:v>42339</c:v>
                </c:pt>
                <c:pt idx="121">
                  <c:v>42430</c:v>
                </c:pt>
                <c:pt idx="122">
                  <c:v>42522</c:v>
                </c:pt>
                <c:pt idx="123">
                  <c:v>42614</c:v>
                </c:pt>
                <c:pt idx="124">
                  <c:v>42705</c:v>
                </c:pt>
                <c:pt idx="125">
                  <c:v>42795</c:v>
                </c:pt>
                <c:pt idx="126">
                  <c:v>42887</c:v>
                </c:pt>
                <c:pt idx="127">
                  <c:v>42979</c:v>
                </c:pt>
                <c:pt idx="128">
                  <c:v>43070</c:v>
                </c:pt>
                <c:pt idx="129">
                  <c:v>43160</c:v>
                </c:pt>
                <c:pt idx="130">
                  <c:v>43252</c:v>
                </c:pt>
                <c:pt idx="131">
                  <c:v>43344</c:v>
                </c:pt>
                <c:pt idx="132">
                  <c:v>43435</c:v>
                </c:pt>
                <c:pt idx="133">
                  <c:v>43525</c:v>
                </c:pt>
                <c:pt idx="134">
                  <c:v>43617</c:v>
                </c:pt>
                <c:pt idx="135">
                  <c:v>43709</c:v>
                </c:pt>
                <c:pt idx="136">
                  <c:v>43800</c:v>
                </c:pt>
                <c:pt idx="137">
                  <c:v>43891</c:v>
                </c:pt>
                <c:pt idx="138">
                  <c:v>43983</c:v>
                </c:pt>
                <c:pt idx="139">
                  <c:v>44075</c:v>
                </c:pt>
                <c:pt idx="140">
                  <c:v>44166</c:v>
                </c:pt>
                <c:pt idx="141">
                  <c:v>44256</c:v>
                </c:pt>
                <c:pt idx="142">
                  <c:v>44348</c:v>
                </c:pt>
                <c:pt idx="143">
                  <c:v>44440</c:v>
                </c:pt>
                <c:pt idx="144">
                  <c:v>44531</c:v>
                </c:pt>
                <c:pt idx="145">
                  <c:v>44621</c:v>
                </c:pt>
                <c:pt idx="146">
                  <c:v>44713</c:v>
                </c:pt>
                <c:pt idx="147">
                  <c:v>44805</c:v>
                </c:pt>
                <c:pt idx="148">
                  <c:v>44896</c:v>
                </c:pt>
                <c:pt idx="149">
                  <c:v>44986</c:v>
                </c:pt>
                <c:pt idx="150">
                  <c:v>45078</c:v>
                </c:pt>
                <c:pt idx="151">
                  <c:v>45170</c:v>
                </c:pt>
                <c:pt idx="152">
                  <c:v>45261</c:v>
                </c:pt>
                <c:pt idx="153">
                  <c:v>45352</c:v>
                </c:pt>
                <c:pt idx="154">
                  <c:v>45444</c:v>
                </c:pt>
              </c:numCache>
            </c:numRef>
          </c:cat>
          <c:val>
            <c:numRef>
              <c:f>'[2024-25 Budget Update - Chapter 2 QA.xlsx]Disc vs non disc'!$Z$21:$Z$175</c:f>
              <c:numCache>
                <c:formatCode>General</c:formatCode>
                <c:ptCount val="155"/>
                <c:pt idx="0">
                  <c:v>37.833469908039696</c:v>
                </c:pt>
                <c:pt idx="1">
                  <c:v>37.731038878266411</c:v>
                </c:pt>
                <c:pt idx="2">
                  <c:v>38.689338067923153</c:v>
                </c:pt>
                <c:pt idx="3">
                  <c:v>39.010288627879454</c:v>
                </c:pt>
                <c:pt idx="4">
                  <c:v>39.893471729035781</c:v>
                </c:pt>
                <c:pt idx="5">
                  <c:v>40.036875170718382</c:v>
                </c:pt>
                <c:pt idx="6">
                  <c:v>40.332787034507881</c:v>
                </c:pt>
                <c:pt idx="7">
                  <c:v>40.291814622598558</c:v>
                </c:pt>
                <c:pt idx="8">
                  <c:v>40.592278976600198</c:v>
                </c:pt>
                <c:pt idx="9">
                  <c:v>40.788036055722479</c:v>
                </c:pt>
                <c:pt idx="10">
                  <c:v>40.605936447236637</c:v>
                </c:pt>
                <c:pt idx="11">
                  <c:v>41.384412273513611</c:v>
                </c:pt>
                <c:pt idx="12">
                  <c:v>41.807793863243191</c:v>
                </c:pt>
                <c:pt idx="13">
                  <c:v>42.884457798415731</c:v>
                </c:pt>
                <c:pt idx="14">
                  <c:v>43.109806063916963</c:v>
                </c:pt>
                <c:pt idx="15">
                  <c:v>43.512701447691889</c:v>
                </c:pt>
                <c:pt idx="16">
                  <c:v>43.744878448511336</c:v>
                </c:pt>
                <c:pt idx="17">
                  <c:v>43.945188017845759</c:v>
                </c:pt>
                <c:pt idx="18">
                  <c:v>43.983884184649</c:v>
                </c:pt>
                <c:pt idx="19">
                  <c:v>43.772193389784213</c:v>
                </c:pt>
                <c:pt idx="20">
                  <c:v>43.687972320859508</c:v>
                </c:pt>
                <c:pt idx="21">
                  <c:v>44.568879176909768</c:v>
                </c:pt>
                <c:pt idx="22">
                  <c:v>44.329873440772097</c:v>
                </c:pt>
                <c:pt idx="23">
                  <c:v>44.587089137758355</c:v>
                </c:pt>
                <c:pt idx="24">
                  <c:v>44.80333242283529</c:v>
                </c:pt>
                <c:pt idx="25">
                  <c:v>45.05144313939725</c:v>
                </c:pt>
                <c:pt idx="26">
                  <c:v>46.10306837840298</c:v>
                </c:pt>
                <c:pt idx="27">
                  <c:v>46.257853045615953</c:v>
                </c:pt>
                <c:pt idx="28">
                  <c:v>46.078029682236185</c:v>
                </c:pt>
                <c:pt idx="29">
                  <c:v>46.362560320495312</c:v>
                </c:pt>
                <c:pt idx="30">
                  <c:v>46.692615860875897</c:v>
                </c:pt>
                <c:pt idx="31">
                  <c:v>46.453610124738233</c:v>
                </c:pt>
                <c:pt idx="32">
                  <c:v>47.279887098242739</c:v>
                </c:pt>
                <c:pt idx="33">
                  <c:v>46.995356459983611</c:v>
                </c:pt>
                <c:pt idx="34">
                  <c:v>47.106892470181187</c:v>
                </c:pt>
                <c:pt idx="35">
                  <c:v>47.789766002003098</c:v>
                </c:pt>
                <c:pt idx="36">
                  <c:v>48.076572885368293</c:v>
                </c:pt>
                <c:pt idx="37">
                  <c:v>47.68050623691159</c:v>
                </c:pt>
                <c:pt idx="38">
                  <c:v>48.19949012109624</c:v>
                </c:pt>
                <c:pt idx="39">
                  <c:v>48.506783210416096</c:v>
                </c:pt>
                <c:pt idx="40">
                  <c:v>48.672949103159432</c:v>
                </c:pt>
                <c:pt idx="41">
                  <c:v>49.289811526905218</c:v>
                </c:pt>
                <c:pt idx="42">
                  <c:v>49.194209232450149</c:v>
                </c:pt>
                <c:pt idx="43">
                  <c:v>49.201037967768372</c:v>
                </c:pt>
                <c:pt idx="44">
                  <c:v>49.849767822999183</c:v>
                </c:pt>
                <c:pt idx="45">
                  <c:v>50.091049804242928</c:v>
                </c:pt>
                <c:pt idx="46">
                  <c:v>50.858144404989524</c:v>
                </c:pt>
                <c:pt idx="47">
                  <c:v>51.484111809159607</c:v>
                </c:pt>
                <c:pt idx="48">
                  <c:v>51.668487662751531</c:v>
                </c:pt>
                <c:pt idx="49">
                  <c:v>52.173814076299742</c:v>
                </c:pt>
                <c:pt idx="50">
                  <c:v>52.59264317581718</c:v>
                </c:pt>
                <c:pt idx="51">
                  <c:v>53.505417463352458</c:v>
                </c:pt>
                <c:pt idx="52">
                  <c:v>54.108622416461806</c:v>
                </c:pt>
                <c:pt idx="53">
                  <c:v>54.94855686060275</c:v>
                </c:pt>
                <c:pt idx="54">
                  <c:v>55.360557224801966</c:v>
                </c:pt>
                <c:pt idx="55">
                  <c:v>55.651916598379316</c:v>
                </c:pt>
                <c:pt idx="56">
                  <c:v>56.125375580442508</c:v>
                </c:pt>
                <c:pt idx="57">
                  <c:v>56.382591277428752</c:v>
                </c:pt>
                <c:pt idx="58">
                  <c:v>57.595829918965677</c:v>
                </c:pt>
                <c:pt idx="59">
                  <c:v>57.705089684057178</c:v>
                </c:pt>
                <c:pt idx="60">
                  <c:v>57.714194664481468</c:v>
                </c:pt>
                <c:pt idx="61">
                  <c:v>58.194482381862876</c:v>
                </c:pt>
                <c:pt idx="62">
                  <c:v>59.243831375762547</c:v>
                </c:pt>
                <c:pt idx="63">
                  <c:v>59.35309114085404</c:v>
                </c:pt>
                <c:pt idx="64">
                  <c:v>59.705909132295368</c:v>
                </c:pt>
                <c:pt idx="65">
                  <c:v>60.063279613948829</c:v>
                </c:pt>
                <c:pt idx="66">
                  <c:v>60.668760812164258</c:v>
                </c:pt>
                <c:pt idx="67">
                  <c:v>61.592916325229893</c:v>
                </c:pt>
                <c:pt idx="68">
                  <c:v>61.456341618865515</c:v>
                </c:pt>
                <c:pt idx="69">
                  <c:v>62.036784120914135</c:v>
                </c:pt>
                <c:pt idx="70">
                  <c:v>62.400983337885819</c:v>
                </c:pt>
                <c:pt idx="71">
                  <c:v>63.152144222889916</c:v>
                </c:pt>
                <c:pt idx="72">
                  <c:v>64.206045707001735</c:v>
                </c:pt>
                <c:pt idx="73">
                  <c:v>65.162068651552403</c:v>
                </c:pt>
                <c:pt idx="74">
                  <c:v>65.426113083856876</c:v>
                </c:pt>
                <c:pt idx="75">
                  <c:v>66.616589274333066</c:v>
                </c:pt>
                <c:pt idx="76">
                  <c:v>67.376855139761446</c:v>
                </c:pt>
                <c:pt idx="77">
                  <c:v>67.026313393426207</c:v>
                </c:pt>
                <c:pt idx="78">
                  <c:v>67.891286533733947</c:v>
                </c:pt>
                <c:pt idx="79">
                  <c:v>68.10297732859874</c:v>
                </c:pt>
                <c:pt idx="80">
                  <c:v>68.555950104707279</c:v>
                </c:pt>
                <c:pt idx="81">
                  <c:v>69.461895656924327</c:v>
                </c:pt>
                <c:pt idx="82">
                  <c:v>70.376946189565686</c:v>
                </c:pt>
                <c:pt idx="83">
                  <c:v>70.483929709551134</c:v>
                </c:pt>
                <c:pt idx="84">
                  <c:v>70.788946553764902</c:v>
                </c:pt>
                <c:pt idx="85">
                  <c:v>72.241190931439505</c:v>
                </c:pt>
                <c:pt idx="86">
                  <c:v>72.120549940817625</c:v>
                </c:pt>
                <c:pt idx="87">
                  <c:v>72.70782117818446</c:v>
                </c:pt>
                <c:pt idx="88">
                  <c:v>73.520440681052534</c:v>
                </c:pt>
                <c:pt idx="89">
                  <c:v>73.818628789948107</c:v>
                </c:pt>
                <c:pt idx="90">
                  <c:v>73.142583993444404</c:v>
                </c:pt>
                <c:pt idx="91">
                  <c:v>73.019666757716479</c:v>
                </c:pt>
                <c:pt idx="92">
                  <c:v>73.836838750796687</c:v>
                </c:pt>
                <c:pt idx="93">
                  <c:v>73.962032231630701</c:v>
                </c:pt>
                <c:pt idx="94">
                  <c:v>75.523536374396798</c:v>
                </c:pt>
                <c:pt idx="95">
                  <c:v>76.381680779386329</c:v>
                </c:pt>
                <c:pt idx="96">
                  <c:v>76.529636711281071</c:v>
                </c:pt>
                <c:pt idx="97">
                  <c:v>76.144951288354733</c:v>
                </c:pt>
                <c:pt idx="98">
                  <c:v>77.155604115451155</c:v>
                </c:pt>
                <c:pt idx="99">
                  <c:v>77.854411363015572</c:v>
                </c:pt>
                <c:pt idx="100">
                  <c:v>78.102522079577525</c:v>
                </c:pt>
                <c:pt idx="101">
                  <c:v>79.122279887098244</c:v>
                </c:pt>
                <c:pt idx="102">
                  <c:v>79.174633524537924</c:v>
                </c:pt>
                <c:pt idx="103">
                  <c:v>79.718656104889376</c:v>
                </c:pt>
                <c:pt idx="104">
                  <c:v>79.816534644450513</c:v>
                </c:pt>
                <c:pt idx="105">
                  <c:v>80.961485932805246</c:v>
                </c:pt>
                <c:pt idx="106">
                  <c:v>81.341618865519436</c:v>
                </c:pt>
                <c:pt idx="107">
                  <c:v>81.375762542110536</c:v>
                </c:pt>
                <c:pt idx="108">
                  <c:v>81.805972867158346</c:v>
                </c:pt>
                <c:pt idx="109">
                  <c:v>82.595829918965677</c:v>
                </c:pt>
                <c:pt idx="110">
                  <c:v>83.164891195483932</c:v>
                </c:pt>
                <c:pt idx="111">
                  <c:v>84.585268141673495</c:v>
                </c:pt>
                <c:pt idx="112">
                  <c:v>85.559501047072757</c:v>
                </c:pt>
                <c:pt idx="113">
                  <c:v>86.110352362742418</c:v>
                </c:pt>
                <c:pt idx="114">
                  <c:v>86.469999089501954</c:v>
                </c:pt>
                <c:pt idx="115">
                  <c:v>87.232541200036422</c:v>
                </c:pt>
                <c:pt idx="116">
                  <c:v>87.844851133570074</c:v>
                </c:pt>
                <c:pt idx="117">
                  <c:v>88.268232723299647</c:v>
                </c:pt>
                <c:pt idx="118">
                  <c:v>89.058089775106993</c:v>
                </c:pt>
                <c:pt idx="119">
                  <c:v>89.982245288172635</c:v>
                </c:pt>
                <c:pt idx="120">
                  <c:v>90.769826094873892</c:v>
                </c:pt>
                <c:pt idx="121">
                  <c:v>91.6552854411363</c:v>
                </c:pt>
                <c:pt idx="122">
                  <c:v>92.012655922789762</c:v>
                </c:pt>
                <c:pt idx="123">
                  <c:v>92.686424474187376</c:v>
                </c:pt>
                <c:pt idx="124">
                  <c:v>93.380679231539659</c:v>
                </c:pt>
                <c:pt idx="125">
                  <c:v>94.320768460347821</c:v>
                </c:pt>
                <c:pt idx="126">
                  <c:v>94.933078393881459</c:v>
                </c:pt>
                <c:pt idx="127">
                  <c:v>96.134935809888006</c:v>
                </c:pt>
                <c:pt idx="128">
                  <c:v>96.314759173267774</c:v>
                </c:pt>
                <c:pt idx="129">
                  <c:v>96.943002822543932</c:v>
                </c:pt>
                <c:pt idx="130">
                  <c:v>97.735136119457337</c:v>
                </c:pt>
                <c:pt idx="131">
                  <c:v>98.042429208777207</c:v>
                </c:pt>
                <c:pt idx="132">
                  <c:v>98.593280524446868</c:v>
                </c:pt>
                <c:pt idx="133">
                  <c:v>99.169170536283346</c:v>
                </c:pt>
                <c:pt idx="134">
                  <c:v>99.501502321770005</c:v>
                </c:pt>
                <c:pt idx="135">
                  <c:v>99.806519165983801</c:v>
                </c:pt>
                <c:pt idx="136">
                  <c:v>100</c:v>
                </c:pt>
                <c:pt idx="137">
                  <c:v>100.4893926978057</c:v>
                </c:pt>
                <c:pt idx="138">
                  <c:v>95.133387963215881</c:v>
                </c:pt>
                <c:pt idx="139">
                  <c:v>96.13721205499408</c:v>
                </c:pt>
                <c:pt idx="140">
                  <c:v>99.282982791586988</c:v>
                </c:pt>
                <c:pt idx="141">
                  <c:v>99.861149048529541</c:v>
                </c:pt>
                <c:pt idx="142">
                  <c:v>100.52126012929072</c:v>
                </c:pt>
                <c:pt idx="143">
                  <c:v>99.952198852772469</c:v>
                </c:pt>
                <c:pt idx="144">
                  <c:v>101.03341527815715</c:v>
                </c:pt>
                <c:pt idx="145">
                  <c:v>101.24738231812802</c:v>
                </c:pt>
                <c:pt idx="146">
                  <c:v>102.40371483201312</c:v>
                </c:pt>
                <c:pt idx="147">
                  <c:v>103.07748338341072</c:v>
                </c:pt>
                <c:pt idx="148">
                  <c:v>103.84457798415734</c:v>
                </c:pt>
                <c:pt idx="149">
                  <c:v>103.9834289356278</c:v>
                </c:pt>
                <c:pt idx="150">
                  <c:v>104.49786032960029</c:v>
                </c:pt>
                <c:pt idx="151">
                  <c:v>103.81953928799052</c:v>
                </c:pt>
                <c:pt idx="152">
                  <c:v>104.93945188017845</c:v>
                </c:pt>
                <c:pt idx="153">
                  <c:v>105.55859054903031</c:v>
                </c:pt>
                <c:pt idx="154">
                  <c:v>106.17090048256397</c:v>
                </c:pt>
              </c:numCache>
            </c:numRef>
          </c:val>
          <c:smooth val="0"/>
          <c:extLst>
            <c:ext xmlns:c16="http://schemas.microsoft.com/office/drawing/2014/chart" uri="{C3380CC4-5D6E-409C-BE32-E72D297353CC}">
              <c16:uniqueId val="{00000000-7722-4195-B88F-A045CA2CFEB6}"/>
            </c:ext>
          </c:extLst>
        </c:ser>
        <c:ser>
          <c:idx val="2"/>
          <c:order val="1"/>
          <c:tx>
            <c:strRef>
              <c:f>'[2024-25 Budget Update - Chapter 2 QA.xlsx]Disc vs non disc'!$AA$20</c:f>
              <c:strCache>
                <c:ptCount val="1"/>
                <c:pt idx="0">
                  <c:v>Discretionary</c:v>
                </c:pt>
              </c:strCache>
            </c:strRef>
          </c:tx>
          <c:spPr>
            <a:ln w="19050" cap="rnd">
              <a:solidFill>
                <a:schemeClr val="bg1">
                  <a:lumMod val="65000"/>
                </a:schemeClr>
              </a:solidFill>
              <a:round/>
            </a:ln>
            <a:effectLst/>
          </c:spPr>
          <c:marker>
            <c:symbol val="none"/>
          </c:marker>
          <c:cat>
            <c:numRef>
              <c:f>'[2024-25 Budget Update - Chapter 2 QA.xlsx]Disc vs non disc'!$X$21:$X$175</c:f>
              <c:numCache>
                <c:formatCode>mmm\-yyyy</c:formatCode>
                <c:ptCount val="155"/>
                <c:pt idx="0">
                  <c:v>31382</c:v>
                </c:pt>
                <c:pt idx="1">
                  <c:v>31472</c:v>
                </c:pt>
                <c:pt idx="2">
                  <c:v>31564</c:v>
                </c:pt>
                <c:pt idx="3">
                  <c:v>31656</c:v>
                </c:pt>
                <c:pt idx="4">
                  <c:v>31747</c:v>
                </c:pt>
                <c:pt idx="5">
                  <c:v>31837</c:v>
                </c:pt>
                <c:pt idx="6">
                  <c:v>31929</c:v>
                </c:pt>
                <c:pt idx="7">
                  <c:v>32021</c:v>
                </c:pt>
                <c:pt idx="8">
                  <c:v>32112</c:v>
                </c:pt>
                <c:pt idx="9">
                  <c:v>32203</c:v>
                </c:pt>
                <c:pt idx="10">
                  <c:v>32295</c:v>
                </c:pt>
                <c:pt idx="11">
                  <c:v>32387</c:v>
                </c:pt>
                <c:pt idx="12">
                  <c:v>32478</c:v>
                </c:pt>
                <c:pt idx="13">
                  <c:v>32568</c:v>
                </c:pt>
                <c:pt idx="14">
                  <c:v>32660</c:v>
                </c:pt>
                <c:pt idx="15">
                  <c:v>32752</c:v>
                </c:pt>
                <c:pt idx="16">
                  <c:v>32843</c:v>
                </c:pt>
                <c:pt idx="17">
                  <c:v>32933</c:v>
                </c:pt>
                <c:pt idx="18">
                  <c:v>33025</c:v>
                </c:pt>
                <c:pt idx="19">
                  <c:v>33117</c:v>
                </c:pt>
                <c:pt idx="20">
                  <c:v>33208</c:v>
                </c:pt>
                <c:pt idx="21">
                  <c:v>33298</c:v>
                </c:pt>
                <c:pt idx="22">
                  <c:v>33390</c:v>
                </c:pt>
                <c:pt idx="23">
                  <c:v>33482</c:v>
                </c:pt>
                <c:pt idx="24">
                  <c:v>33573</c:v>
                </c:pt>
                <c:pt idx="25">
                  <c:v>33664</c:v>
                </c:pt>
                <c:pt idx="26">
                  <c:v>33756</c:v>
                </c:pt>
                <c:pt idx="27">
                  <c:v>33848</c:v>
                </c:pt>
                <c:pt idx="28">
                  <c:v>33939</c:v>
                </c:pt>
                <c:pt idx="29">
                  <c:v>34029</c:v>
                </c:pt>
                <c:pt idx="30">
                  <c:v>34121</c:v>
                </c:pt>
                <c:pt idx="31">
                  <c:v>34213</c:v>
                </c:pt>
                <c:pt idx="32">
                  <c:v>34304</c:v>
                </c:pt>
                <c:pt idx="33">
                  <c:v>34394</c:v>
                </c:pt>
                <c:pt idx="34">
                  <c:v>34486</c:v>
                </c:pt>
                <c:pt idx="35">
                  <c:v>34578</c:v>
                </c:pt>
                <c:pt idx="36">
                  <c:v>34669</c:v>
                </c:pt>
                <c:pt idx="37">
                  <c:v>34759</c:v>
                </c:pt>
                <c:pt idx="38">
                  <c:v>34851</c:v>
                </c:pt>
                <c:pt idx="39">
                  <c:v>34943</c:v>
                </c:pt>
                <c:pt idx="40">
                  <c:v>35034</c:v>
                </c:pt>
                <c:pt idx="41">
                  <c:v>35125</c:v>
                </c:pt>
                <c:pt idx="42">
                  <c:v>35217</c:v>
                </c:pt>
                <c:pt idx="43">
                  <c:v>35309</c:v>
                </c:pt>
                <c:pt idx="44">
                  <c:v>35400</c:v>
                </c:pt>
                <c:pt idx="45">
                  <c:v>35490</c:v>
                </c:pt>
                <c:pt idx="46">
                  <c:v>35582</c:v>
                </c:pt>
                <c:pt idx="47">
                  <c:v>35674</c:v>
                </c:pt>
                <c:pt idx="48">
                  <c:v>35765</c:v>
                </c:pt>
                <c:pt idx="49">
                  <c:v>35855</c:v>
                </c:pt>
                <c:pt idx="50">
                  <c:v>35947</c:v>
                </c:pt>
                <c:pt idx="51">
                  <c:v>36039</c:v>
                </c:pt>
                <c:pt idx="52">
                  <c:v>36130</c:v>
                </c:pt>
                <c:pt idx="53">
                  <c:v>36220</c:v>
                </c:pt>
                <c:pt idx="54">
                  <c:v>36312</c:v>
                </c:pt>
                <c:pt idx="55">
                  <c:v>36404</c:v>
                </c:pt>
                <c:pt idx="56">
                  <c:v>36495</c:v>
                </c:pt>
                <c:pt idx="57">
                  <c:v>36586</c:v>
                </c:pt>
                <c:pt idx="58">
                  <c:v>36678</c:v>
                </c:pt>
                <c:pt idx="59">
                  <c:v>36770</c:v>
                </c:pt>
                <c:pt idx="60">
                  <c:v>36861</c:v>
                </c:pt>
                <c:pt idx="61">
                  <c:v>36951</c:v>
                </c:pt>
                <c:pt idx="62">
                  <c:v>37043</c:v>
                </c:pt>
                <c:pt idx="63">
                  <c:v>37135</c:v>
                </c:pt>
                <c:pt idx="64">
                  <c:v>37226</c:v>
                </c:pt>
                <c:pt idx="65">
                  <c:v>37316</c:v>
                </c:pt>
                <c:pt idx="66">
                  <c:v>37408</c:v>
                </c:pt>
                <c:pt idx="67">
                  <c:v>37500</c:v>
                </c:pt>
                <c:pt idx="68">
                  <c:v>37591</c:v>
                </c:pt>
                <c:pt idx="69">
                  <c:v>37681</c:v>
                </c:pt>
                <c:pt idx="70">
                  <c:v>37773</c:v>
                </c:pt>
                <c:pt idx="71">
                  <c:v>37865</c:v>
                </c:pt>
                <c:pt idx="72">
                  <c:v>37956</c:v>
                </c:pt>
                <c:pt idx="73">
                  <c:v>38047</c:v>
                </c:pt>
                <c:pt idx="74">
                  <c:v>38139</c:v>
                </c:pt>
                <c:pt idx="75">
                  <c:v>38231</c:v>
                </c:pt>
                <c:pt idx="76">
                  <c:v>38322</c:v>
                </c:pt>
                <c:pt idx="77">
                  <c:v>38412</c:v>
                </c:pt>
                <c:pt idx="78">
                  <c:v>38504</c:v>
                </c:pt>
                <c:pt idx="79">
                  <c:v>38596</c:v>
                </c:pt>
                <c:pt idx="80">
                  <c:v>38687</c:v>
                </c:pt>
                <c:pt idx="81">
                  <c:v>38777</c:v>
                </c:pt>
                <c:pt idx="82">
                  <c:v>38869</c:v>
                </c:pt>
                <c:pt idx="83">
                  <c:v>38961</c:v>
                </c:pt>
                <c:pt idx="84">
                  <c:v>39052</c:v>
                </c:pt>
                <c:pt idx="85">
                  <c:v>39142</c:v>
                </c:pt>
                <c:pt idx="86">
                  <c:v>39234</c:v>
                </c:pt>
                <c:pt idx="87">
                  <c:v>39326</c:v>
                </c:pt>
                <c:pt idx="88">
                  <c:v>39417</c:v>
                </c:pt>
                <c:pt idx="89">
                  <c:v>39508</c:v>
                </c:pt>
                <c:pt idx="90">
                  <c:v>39600</c:v>
                </c:pt>
                <c:pt idx="91">
                  <c:v>39692</c:v>
                </c:pt>
                <c:pt idx="92">
                  <c:v>39783</c:v>
                </c:pt>
                <c:pt idx="93">
                  <c:v>39873</c:v>
                </c:pt>
                <c:pt idx="94">
                  <c:v>39965</c:v>
                </c:pt>
                <c:pt idx="95">
                  <c:v>40057</c:v>
                </c:pt>
                <c:pt idx="96">
                  <c:v>40148</c:v>
                </c:pt>
                <c:pt idx="97">
                  <c:v>40238</c:v>
                </c:pt>
                <c:pt idx="98">
                  <c:v>40330</c:v>
                </c:pt>
                <c:pt idx="99">
                  <c:v>40422</c:v>
                </c:pt>
                <c:pt idx="100">
                  <c:v>40513</c:v>
                </c:pt>
                <c:pt idx="101">
                  <c:v>40603</c:v>
                </c:pt>
                <c:pt idx="102">
                  <c:v>40695</c:v>
                </c:pt>
                <c:pt idx="103">
                  <c:v>40787</c:v>
                </c:pt>
                <c:pt idx="104">
                  <c:v>40878</c:v>
                </c:pt>
                <c:pt idx="105">
                  <c:v>40969</c:v>
                </c:pt>
                <c:pt idx="106">
                  <c:v>41061</c:v>
                </c:pt>
                <c:pt idx="107">
                  <c:v>41153</c:v>
                </c:pt>
                <c:pt idx="108">
                  <c:v>41244</c:v>
                </c:pt>
                <c:pt idx="109">
                  <c:v>41334</c:v>
                </c:pt>
                <c:pt idx="110">
                  <c:v>41426</c:v>
                </c:pt>
                <c:pt idx="111">
                  <c:v>41518</c:v>
                </c:pt>
                <c:pt idx="112">
                  <c:v>41609</c:v>
                </c:pt>
                <c:pt idx="113">
                  <c:v>41699</c:v>
                </c:pt>
                <c:pt idx="114">
                  <c:v>41791</c:v>
                </c:pt>
                <c:pt idx="115">
                  <c:v>41883</c:v>
                </c:pt>
                <c:pt idx="116">
                  <c:v>41974</c:v>
                </c:pt>
                <c:pt idx="117">
                  <c:v>42064</c:v>
                </c:pt>
                <c:pt idx="118">
                  <c:v>42156</c:v>
                </c:pt>
                <c:pt idx="119">
                  <c:v>42248</c:v>
                </c:pt>
                <c:pt idx="120">
                  <c:v>42339</c:v>
                </c:pt>
                <c:pt idx="121">
                  <c:v>42430</c:v>
                </c:pt>
                <c:pt idx="122">
                  <c:v>42522</c:v>
                </c:pt>
                <c:pt idx="123">
                  <c:v>42614</c:v>
                </c:pt>
                <c:pt idx="124">
                  <c:v>42705</c:v>
                </c:pt>
                <c:pt idx="125">
                  <c:v>42795</c:v>
                </c:pt>
                <c:pt idx="126">
                  <c:v>42887</c:v>
                </c:pt>
                <c:pt idx="127">
                  <c:v>42979</c:v>
                </c:pt>
                <c:pt idx="128">
                  <c:v>43070</c:v>
                </c:pt>
                <c:pt idx="129">
                  <c:v>43160</c:v>
                </c:pt>
                <c:pt idx="130">
                  <c:v>43252</c:v>
                </c:pt>
                <c:pt idx="131">
                  <c:v>43344</c:v>
                </c:pt>
                <c:pt idx="132">
                  <c:v>43435</c:v>
                </c:pt>
                <c:pt idx="133">
                  <c:v>43525</c:v>
                </c:pt>
                <c:pt idx="134">
                  <c:v>43617</c:v>
                </c:pt>
                <c:pt idx="135">
                  <c:v>43709</c:v>
                </c:pt>
                <c:pt idx="136">
                  <c:v>43800</c:v>
                </c:pt>
                <c:pt idx="137">
                  <c:v>43891</c:v>
                </c:pt>
                <c:pt idx="138">
                  <c:v>43983</c:v>
                </c:pt>
                <c:pt idx="139">
                  <c:v>44075</c:v>
                </c:pt>
                <c:pt idx="140">
                  <c:v>44166</c:v>
                </c:pt>
                <c:pt idx="141">
                  <c:v>44256</c:v>
                </c:pt>
                <c:pt idx="142">
                  <c:v>44348</c:v>
                </c:pt>
                <c:pt idx="143">
                  <c:v>44440</c:v>
                </c:pt>
                <c:pt idx="144">
                  <c:v>44531</c:v>
                </c:pt>
                <c:pt idx="145">
                  <c:v>44621</c:v>
                </c:pt>
                <c:pt idx="146">
                  <c:v>44713</c:v>
                </c:pt>
                <c:pt idx="147">
                  <c:v>44805</c:v>
                </c:pt>
                <c:pt idx="148">
                  <c:v>44896</c:v>
                </c:pt>
                <c:pt idx="149">
                  <c:v>44986</c:v>
                </c:pt>
                <c:pt idx="150">
                  <c:v>45078</c:v>
                </c:pt>
                <c:pt idx="151">
                  <c:v>45170</c:v>
                </c:pt>
                <c:pt idx="152">
                  <c:v>45261</c:v>
                </c:pt>
                <c:pt idx="153">
                  <c:v>45352</c:v>
                </c:pt>
                <c:pt idx="154">
                  <c:v>45444</c:v>
                </c:pt>
              </c:numCache>
            </c:numRef>
          </c:cat>
          <c:val>
            <c:numRef>
              <c:f>'[2024-25 Budget Update - Chapter 2 QA.xlsx]Disc vs non disc'!$AA$21:$AA$175</c:f>
              <c:numCache>
                <c:formatCode>General</c:formatCode>
                <c:ptCount val="155"/>
                <c:pt idx="0">
                  <c:v>47.906329875206737</c:v>
                </c:pt>
                <c:pt idx="1">
                  <c:v>47.613140881070514</c:v>
                </c:pt>
                <c:pt idx="2">
                  <c:v>48.819726356938808</c:v>
                </c:pt>
                <c:pt idx="3">
                  <c:v>48.349872199669228</c:v>
                </c:pt>
                <c:pt idx="4">
                  <c:v>47.87625920914148</c:v>
                </c:pt>
                <c:pt idx="5">
                  <c:v>48.394978198767106</c:v>
                </c:pt>
                <c:pt idx="6">
                  <c:v>48.000300706660653</c:v>
                </c:pt>
                <c:pt idx="7">
                  <c:v>48.714479025710425</c:v>
                </c:pt>
                <c:pt idx="8">
                  <c:v>48.47015486393024</c:v>
                </c:pt>
                <c:pt idx="9">
                  <c:v>48.086753871598255</c:v>
                </c:pt>
                <c:pt idx="10">
                  <c:v>48.503984363253643</c:v>
                </c:pt>
                <c:pt idx="11">
                  <c:v>49.221921515561569</c:v>
                </c:pt>
                <c:pt idx="12">
                  <c:v>50.093970831453916</c:v>
                </c:pt>
                <c:pt idx="13">
                  <c:v>51.101338144639911</c:v>
                </c:pt>
                <c:pt idx="14">
                  <c:v>51.16147947677041</c:v>
                </c:pt>
                <c:pt idx="15">
                  <c:v>51.022402646218609</c:v>
                </c:pt>
                <c:pt idx="16">
                  <c:v>51.022402646218609</c:v>
                </c:pt>
                <c:pt idx="17">
                  <c:v>51.334385806645621</c:v>
                </c:pt>
                <c:pt idx="18">
                  <c:v>51.052473312283865</c:v>
                </c:pt>
                <c:pt idx="19">
                  <c:v>49.812058337092168</c:v>
                </c:pt>
                <c:pt idx="20">
                  <c:v>47.733423545331526</c:v>
                </c:pt>
                <c:pt idx="21">
                  <c:v>47.413922718388214</c:v>
                </c:pt>
                <c:pt idx="22">
                  <c:v>47.180875056382497</c:v>
                </c:pt>
                <c:pt idx="23">
                  <c:v>47.252292888287478</c:v>
                </c:pt>
                <c:pt idx="24">
                  <c:v>47.560517215456322</c:v>
                </c:pt>
                <c:pt idx="25">
                  <c:v>47.586829048263418</c:v>
                </c:pt>
                <c:pt idx="26">
                  <c:v>46.857615396181025</c:v>
                </c:pt>
                <c:pt idx="27">
                  <c:v>47.601864381296046</c:v>
                </c:pt>
                <c:pt idx="28">
                  <c:v>49.049015185686365</c:v>
                </c:pt>
                <c:pt idx="29">
                  <c:v>46.996692226732826</c:v>
                </c:pt>
                <c:pt idx="30">
                  <c:v>47.225981055480382</c:v>
                </c:pt>
                <c:pt idx="31">
                  <c:v>47.173357389866183</c:v>
                </c:pt>
                <c:pt idx="32">
                  <c:v>46.895203728762588</c:v>
                </c:pt>
                <c:pt idx="33">
                  <c:v>46.823785896857615</c:v>
                </c:pt>
                <c:pt idx="34">
                  <c:v>46.989174560216505</c:v>
                </c:pt>
                <c:pt idx="35">
                  <c:v>48.274695534506087</c:v>
                </c:pt>
                <c:pt idx="36">
                  <c:v>48.691926026161482</c:v>
                </c:pt>
                <c:pt idx="37">
                  <c:v>49.033979852653736</c:v>
                </c:pt>
                <c:pt idx="38">
                  <c:v>49.229439182077883</c:v>
                </c:pt>
                <c:pt idx="39">
                  <c:v>47.940159374530147</c:v>
                </c:pt>
                <c:pt idx="40">
                  <c:v>47.552999548940008</c:v>
                </c:pt>
                <c:pt idx="41">
                  <c:v>48.154412870245075</c:v>
                </c:pt>
                <c:pt idx="42">
                  <c:v>49.075327018493461</c:v>
                </c:pt>
                <c:pt idx="43">
                  <c:v>48.823485190196962</c:v>
                </c:pt>
                <c:pt idx="44">
                  <c:v>50</c:v>
                </c:pt>
                <c:pt idx="45">
                  <c:v>51.281762141031429</c:v>
                </c:pt>
                <c:pt idx="46">
                  <c:v>51.849345963013086</c:v>
                </c:pt>
                <c:pt idx="47">
                  <c:v>52.728912945421747</c:v>
                </c:pt>
                <c:pt idx="48">
                  <c:v>53.352879266275743</c:v>
                </c:pt>
                <c:pt idx="49">
                  <c:v>53.040896105848745</c:v>
                </c:pt>
                <c:pt idx="50">
                  <c:v>54.41662907833409</c:v>
                </c:pt>
                <c:pt idx="51">
                  <c:v>56.1156217110209</c:v>
                </c:pt>
                <c:pt idx="52">
                  <c:v>56.765899864681998</c:v>
                </c:pt>
                <c:pt idx="53">
                  <c:v>58.137874003909182</c:v>
                </c:pt>
                <c:pt idx="54">
                  <c:v>59.133964817320702</c:v>
                </c:pt>
                <c:pt idx="55">
                  <c:v>60.145090963764844</c:v>
                </c:pt>
                <c:pt idx="56">
                  <c:v>60.393173958803189</c:v>
                </c:pt>
                <c:pt idx="57">
                  <c:v>59.630130807397386</c:v>
                </c:pt>
                <c:pt idx="58">
                  <c:v>59.866937302661249</c:v>
                </c:pt>
                <c:pt idx="59">
                  <c:v>58.404751165238309</c:v>
                </c:pt>
                <c:pt idx="60">
                  <c:v>60.581115621711021</c:v>
                </c:pt>
                <c:pt idx="61">
                  <c:v>61.235152608630287</c:v>
                </c:pt>
                <c:pt idx="62">
                  <c:v>61.47195910389415</c:v>
                </c:pt>
                <c:pt idx="63">
                  <c:v>61.314088107051568</c:v>
                </c:pt>
                <c:pt idx="64">
                  <c:v>62.009472259810551</c:v>
                </c:pt>
                <c:pt idx="65">
                  <c:v>63.114569237708615</c:v>
                </c:pt>
                <c:pt idx="66">
                  <c:v>64.321154713576917</c:v>
                </c:pt>
                <c:pt idx="67">
                  <c:v>64.655690873552857</c:v>
                </c:pt>
                <c:pt idx="68">
                  <c:v>64.242219215155615</c:v>
                </c:pt>
                <c:pt idx="69">
                  <c:v>64.753420538264933</c:v>
                </c:pt>
                <c:pt idx="70">
                  <c:v>64.877462035784092</c:v>
                </c:pt>
                <c:pt idx="71">
                  <c:v>66.042700345812648</c:v>
                </c:pt>
                <c:pt idx="72">
                  <c:v>67.456021650879578</c:v>
                </c:pt>
                <c:pt idx="73">
                  <c:v>69.406856111862879</c:v>
                </c:pt>
                <c:pt idx="74">
                  <c:v>67.711622312434216</c:v>
                </c:pt>
                <c:pt idx="75">
                  <c:v>69.226432115471354</c:v>
                </c:pt>
                <c:pt idx="76">
                  <c:v>70.929183581416339</c:v>
                </c:pt>
                <c:pt idx="77">
                  <c:v>70.184934596301304</c:v>
                </c:pt>
                <c:pt idx="78">
                  <c:v>71.316343407006471</c:v>
                </c:pt>
                <c:pt idx="79">
                  <c:v>72.023004059539915</c:v>
                </c:pt>
                <c:pt idx="80">
                  <c:v>70.936701247932646</c:v>
                </c:pt>
                <c:pt idx="81">
                  <c:v>71.617050067658994</c:v>
                </c:pt>
                <c:pt idx="82">
                  <c:v>73.575402195158617</c:v>
                </c:pt>
                <c:pt idx="83">
                  <c:v>73.530296196060746</c:v>
                </c:pt>
                <c:pt idx="84">
                  <c:v>74.267027514659446</c:v>
                </c:pt>
                <c:pt idx="85">
                  <c:v>75.447301157720645</c:v>
                </c:pt>
                <c:pt idx="86">
                  <c:v>75.214253495714928</c:v>
                </c:pt>
                <c:pt idx="87">
                  <c:v>76.199067809351973</c:v>
                </c:pt>
                <c:pt idx="88">
                  <c:v>77.99579010675086</c:v>
                </c:pt>
                <c:pt idx="89">
                  <c:v>78.428055931438877</c:v>
                </c:pt>
                <c:pt idx="90">
                  <c:v>76.732822132010227</c:v>
                </c:pt>
                <c:pt idx="91">
                  <c:v>76.041196812509398</c:v>
                </c:pt>
                <c:pt idx="92">
                  <c:v>76.116373477672525</c:v>
                </c:pt>
                <c:pt idx="93">
                  <c:v>75.729213652082393</c:v>
                </c:pt>
                <c:pt idx="94">
                  <c:v>77.646218613742292</c:v>
                </c:pt>
                <c:pt idx="95">
                  <c:v>77.281611787701095</c:v>
                </c:pt>
                <c:pt idx="96">
                  <c:v>78.157419936851596</c:v>
                </c:pt>
                <c:pt idx="97">
                  <c:v>79.612088407758236</c:v>
                </c:pt>
                <c:pt idx="98">
                  <c:v>82.006465193204022</c:v>
                </c:pt>
                <c:pt idx="99">
                  <c:v>83.47616899714329</c:v>
                </c:pt>
                <c:pt idx="100">
                  <c:v>84.043752819124933</c:v>
                </c:pt>
                <c:pt idx="101">
                  <c:v>83.803187490602909</c:v>
                </c:pt>
                <c:pt idx="102">
                  <c:v>86.408058938505476</c:v>
                </c:pt>
                <c:pt idx="103">
                  <c:v>86.047210945722455</c:v>
                </c:pt>
                <c:pt idx="104">
                  <c:v>87.020748759585018</c:v>
                </c:pt>
                <c:pt idx="105">
                  <c:v>88.565629228687413</c:v>
                </c:pt>
                <c:pt idx="106">
                  <c:v>88.039392572545481</c:v>
                </c:pt>
                <c:pt idx="107">
                  <c:v>87.971733573898661</c:v>
                </c:pt>
                <c:pt idx="108">
                  <c:v>86.795218764095623</c:v>
                </c:pt>
                <c:pt idx="109">
                  <c:v>87.204931589234704</c:v>
                </c:pt>
                <c:pt idx="110">
                  <c:v>87.246278755074428</c:v>
                </c:pt>
                <c:pt idx="111">
                  <c:v>87.490602916854613</c:v>
                </c:pt>
                <c:pt idx="112">
                  <c:v>87.640956247180881</c:v>
                </c:pt>
                <c:pt idx="113">
                  <c:v>88.152157570290186</c:v>
                </c:pt>
                <c:pt idx="114">
                  <c:v>89.043001052473315</c:v>
                </c:pt>
                <c:pt idx="115">
                  <c:v>89.531649376033684</c:v>
                </c:pt>
                <c:pt idx="116">
                  <c:v>89.809803037137272</c:v>
                </c:pt>
                <c:pt idx="117">
                  <c:v>90.884829348970072</c:v>
                </c:pt>
                <c:pt idx="118">
                  <c:v>90.941211847842425</c:v>
                </c:pt>
                <c:pt idx="119">
                  <c:v>92.204179822583072</c:v>
                </c:pt>
                <c:pt idx="120">
                  <c:v>92.82062847692076</c:v>
                </c:pt>
                <c:pt idx="121">
                  <c:v>93.128852804089618</c:v>
                </c:pt>
                <c:pt idx="122">
                  <c:v>93.632536460682601</c:v>
                </c:pt>
                <c:pt idx="123">
                  <c:v>94.305367613892642</c:v>
                </c:pt>
                <c:pt idx="124">
                  <c:v>94.451962110960764</c:v>
                </c:pt>
                <c:pt idx="125">
                  <c:v>95.455570590888584</c:v>
                </c:pt>
                <c:pt idx="126">
                  <c:v>96.417831904976694</c:v>
                </c:pt>
                <c:pt idx="127">
                  <c:v>96.680950233047653</c:v>
                </c:pt>
                <c:pt idx="128">
                  <c:v>99.150503683656581</c:v>
                </c:pt>
                <c:pt idx="129">
                  <c:v>99.834611336641103</c:v>
                </c:pt>
                <c:pt idx="130">
                  <c:v>100.86829048263419</c:v>
                </c:pt>
                <c:pt idx="131">
                  <c:v>101.08630281160728</c:v>
                </c:pt>
                <c:pt idx="132">
                  <c:v>101.31183280709668</c:v>
                </c:pt>
                <c:pt idx="133">
                  <c:v>100.77431965118026</c:v>
                </c:pt>
                <c:pt idx="134">
                  <c:v>100.87580814915052</c:v>
                </c:pt>
                <c:pt idx="135">
                  <c:v>99.635393173958803</c:v>
                </c:pt>
                <c:pt idx="136">
                  <c:v>100</c:v>
                </c:pt>
                <c:pt idx="137">
                  <c:v>96.812509397083147</c:v>
                </c:pt>
                <c:pt idx="138">
                  <c:v>74.447451511050971</c:v>
                </c:pt>
                <c:pt idx="139">
                  <c:v>69.136220117275599</c:v>
                </c:pt>
                <c:pt idx="140">
                  <c:v>89.783491204330176</c:v>
                </c:pt>
                <c:pt idx="141">
                  <c:v>97.079386558412267</c:v>
                </c:pt>
                <c:pt idx="142">
                  <c:v>95.767553751315589</c:v>
                </c:pt>
                <c:pt idx="143">
                  <c:v>84.56998947526688</c:v>
                </c:pt>
                <c:pt idx="144">
                  <c:v>99.116674184333192</c:v>
                </c:pt>
                <c:pt idx="145">
                  <c:v>105.53676138926478</c:v>
                </c:pt>
                <c:pt idx="146">
                  <c:v>108.36716283265675</c:v>
                </c:pt>
                <c:pt idx="147">
                  <c:v>109.75793113817471</c:v>
                </c:pt>
                <c:pt idx="148">
                  <c:v>110.14509096376486</c:v>
                </c:pt>
                <c:pt idx="149">
                  <c:v>109.72786047210946</c:v>
                </c:pt>
                <c:pt idx="150">
                  <c:v>109.69027213952789</c:v>
                </c:pt>
                <c:pt idx="151">
                  <c:v>110.08870846489249</c:v>
                </c:pt>
                <c:pt idx="152">
                  <c:v>108.70169899263269</c:v>
                </c:pt>
                <c:pt idx="153">
                  <c:v>109.41963614494061</c:v>
                </c:pt>
                <c:pt idx="154">
                  <c:v>108.66411066005112</c:v>
                </c:pt>
              </c:numCache>
            </c:numRef>
          </c:val>
          <c:smooth val="0"/>
          <c:extLst>
            <c:ext xmlns:c16="http://schemas.microsoft.com/office/drawing/2014/chart" uri="{C3380CC4-5D6E-409C-BE32-E72D297353CC}">
              <c16:uniqueId val="{00000001-7722-4195-B88F-A045CA2CFEB6}"/>
            </c:ext>
          </c:extLst>
        </c:ser>
        <c:dLbls>
          <c:showLegendKey val="0"/>
          <c:showVal val="0"/>
          <c:showCatName val="0"/>
          <c:showSerName val="0"/>
          <c:showPercent val="0"/>
          <c:showBubbleSize val="0"/>
        </c:dLbls>
        <c:smooth val="0"/>
        <c:axId val="431700015"/>
        <c:axId val="431702175"/>
      </c:lineChart>
      <c:dateAx>
        <c:axId val="431700015"/>
        <c:scaling>
          <c:orientation val="minMax"/>
          <c:min val="41791"/>
        </c:scaling>
        <c:delete val="0"/>
        <c:axPos val="b"/>
        <c:numFmt formatCode="mmm\ yy" sourceLinked="0"/>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431702175"/>
        <c:crosses val="autoZero"/>
        <c:auto val="0"/>
        <c:lblOffset val="100"/>
        <c:baseTimeUnit val="months"/>
        <c:majorUnit val="12"/>
        <c:majorTimeUnit val="months"/>
      </c:dateAx>
      <c:valAx>
        <c:axId val="431702175"/>
        <c:scaling>
          <c:orientation val="minMax"/>
          <c:min val="60"/>
        </c:scaling>
        <c:delete val="0"/>
        <c:axPos val="l"/>
        <c:majorGridlines>
          <c:spPr>
            <a:ln w="9525" cap="flat" cmpd="sng" algn="ctr">
              <a:solidFill>
                <a:schemeClr val="bg1">
                  <a:lumMod val="75000"/>
                </a:schemeClr>
              </a:solidFill>
              <a:prstDash val="dash"/>
              <a:round/>
            </a:ln>
            <a:effectLst/>
          </c:spPr>
        </c:majorGridlines>
        <c:title>
          <c:tx>
            <c:rich>
              <a:bodyPr rot="-5400000" spcFirstLastPara="1" vertOverflow="ellipsis" vert="horz" wrap="square" anchor="ctr" anchorCtr="1"/>
              <a:lstStyle/>
              <a:p>
                <a:pPr>
                  <a:defRPr sz="900" b="0" i="1" u="none" strike="noStrike" kern="1200" baseline="0">
                    <a:solidFill>
                      <a:schemeClr val="tx1">
                        <a:lumMod val="65000"/>
                        <a:lumOff val="35000"/>
                      </a:schemeClr>
                    </a:solidFill>
                    <a:latin typeface="+mj-lt"/>
                    <a:ea typeface="+mn-ea"/>
                    <a:cs typeface="+mn-cs"/>
                  </a:defRPr>
                </a:pPr>
                <a:r>
                  <a:rPr lang="en-US" sz="900" i="1">
                    <a:solidFill>
                      <a:schemeClr val="tx1">
                        <a:lumMod val="65000"/>
                        <a:lumOff val="35000"/>
                      </a:schemeClr>
                    </a:solidFill>
                  </a:rPr>
                  <a:t>Index</a:t>
                </a:r>
                <a:r>
                  <a:rPr lang="en-US" sz="900" i="1" baseline="0">
                    <a:solidFill>
                      <a:schemeClr val="tx1">
                        <a:lumMod val="65000"/>
                        <a:lumOff val="35000"/>
                      </a:schemeClr>
                    </a:solidFill>
                  </a:rPr>
                  <a:t> (</a:t>
                </a:r>
                <a:r>
                  <a:rPr lang="en-US" sz="900" i="1">
                    <a:solidFill>
                      <a:schemeClr val="tx1">
                        <a:lumMod val="65000"/>
                        <a:lumOff val="35000"/>
                      </a:schemeClr>
                    </a:solidFill>
                  </a:rPr>
                  <a:t>December 2019 = 100)</a:t>
                </a:r>
              </a:p>
            </c:rich>
          </c:tx>
          <c:layout>
            <c:manualLayout>
              <c:xMode val="edge"/>
              <c:yMode val="edge"/>
              <c:x val="9.463817022872141E-3"/>
              <c:y val="0.16260364096790325"/>
            </c:manualLayout>
          </c:layout>
          <c:overlay val="0"/>
          <c:spPr>
            <a:noFill/>
            <a:ln>
              <a:noFill/>
            </a:ln>
            <a:effectLst/>
          </c:spPr>
          <c:txPr>
            <a:bodyPr rot="-5400000" spcFirstLastPara="1" vertOverflow="ellipsis" vert="horz" wrap="square" anchor="ctr" anchorCtr="1"/>
            <a:lstStyle/>
            <a:p>
              <a:pPr>
                <a:defRPr sz="900" b="0" i="1" u="none" strike="noStrike" kern="1200" baseline="0">
                  <a:solidFill>
                    <a:schemeClr val="tx1">
                      <a:lumMod val="65000"/>
                      <a:lumOff val="35000"/>
                    </a:schemeClr>
                  </a:solidFill>
                  <a:latin typeface="+mj-lt"/>
                  <a:ea typeface="+mn-ea"/>
                  <a:cs typeface="+mn-cs"/>
                </a:defRPr>
              </a:pPr>
              <a:endParaRPr lang="en-US"/>
            </a:p>
          </c:txPr>
        </c:title>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431700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mj-lt"/>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3.9565349852747032E-2"/>
          <c:y val="1.8030168589174802E-2"/>
          <c:w val="0.96043465014725293"/>
          <c:h val="0.87524401064773738"/>
        </c:manualLayout>
      </c:layout>
      <c:areaChart>
        <c:grouping val="stacked"/>
        <c:varyColors val="0"/>
        <c:ser>
          <c:idx val="0"/>
          <c:order val="0"/>
          <c:tx>
            <c:strRef>
              <c:f>'[Construction pipeline.xlsx]Sheet1'!$E$10</c:f>
              <c:strCache>
                <c:ptCount val="1"/>
                <c:pt idx="0">
                  <c:v>Residential building</c:v>
                </c:pt>
              </c:strCache>
            </c:strRef>
          </c:tx>
          <c:spPr>
            <a:solidFill>
              <a:srgbClr val="414141"/>
            </a:solidFill>
            <a:ln w="22225">
              <a:solidFill>
                <a:srgbClr val="414141"/>
              </a:solidFill>
            </a:ln>
            <a:effectLst/>
          </c:spPr>
          <c:cat>
            <c:numRef>
              <c:f>'[Construction pipeline.xlsx]Sheet1'!$A$11:$A$95</c:f>
              <c:numCache>
                <c:formatCode>mmm\-yyyy</c:formatCode>
                <c:ptCount val="85"/>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pt idx="81">
                  <c:v>45170</c:v>
                </c:pt>
                <c:pt idx="82">
                  <c:v>45261</c:v>
                </c:pt>
                <c:pt idx="83">
                  <c:v>45352</c:v>
                </c:pt>
                <c:pt idx="84">
                  <c:v>45444</c:v>
                </c:pt>
              </c:numCache>
            </c:numRef>
          </c:cat>
          <c:val>
            <c:numRef>
              <c:f>'[Construction pipeline.xlsx]Sheet1'!$E$11:$E$95</c:f>
              <c:numCache>
                <c:formatCode>General</c:formatCode>
                <c:ptCount val="85"/>
                <c:pt idx="0">
                  <c:v>5.1828469999999998</c:v>
                </c:pt>
                <c:pt idx="1">
                  <c:v>5.284618</c:v>
                </c:pt>
                <c:pt idx="2">
                  <c:v>5.6415329999999999</c:v>
                </c:pt>
                <c:pt idx="3">
                  <c:v>5.5420639999999999</c:v>
                </c:pt>
                <c:pt idx="4">
                  <c:v>5.6244899999999998</c:v>
                </c:pt>
                <c:pt idx="5">
                  <c:v>5.5541989999999997</c:v>
                </c:pt>
                <c:pt idx="6">
                  <c:v>5.3680589999999997</c:v>
                </c:pt>
                <c:pt idx="7">
                  <c:v>5.2338279999999999</c:v>
                </c:pt>
                <c:pt idx="8">
                  <c:v>5.0462759999999998</c:v>
                </c:pt>
                <c:pt idx="9">
                  <c:v>4.9260200000000003</c:v>
                </c:pt>
                <c:pt idx="10">
                  <c:v>4.8443449999999997</c:v>
                </c:pt>
                <c:pt idx="11">
                  <c:v>4.5367360000000003</c:v>
                </c:pt>
                <c:pt idx="12">
                  <c:v>4.6711929999999997</c:v>
                </c:pt>
                <c:pt idx="13">
                  <c:v>4.8186030000000004</c:v>
                </c:pt>
                <c:pt idx="14">
                  <c:v>4.9705050000000002</c:v>
                </c:pt>
                <c:pt idx="15">
                  <c:v>4.92713</c:v>
                </c:pt>
                <c:pt idx="16">
                  <c:v>5.1497120000000001</c:v>
                </c:pt>
                <c:pt idx="17">
                  <c:v>5.2734189999999996</c:v>
                </c:pt>
                <c:pt idx="18">
                  <c:v>5.8485569999999996</c:v>
                </c:pt>
                <c:pt idx="19">
                  <c:v>6.2208940000000004</c:v>
                </c:pt>
                <c:pt idx="20">
                  <c:v>6.2324989999999998</c:v>
                </c:pt>
                <c:pt idx="21">
                  <c:v>6.511285</c:v>
                </c:pt>
                <c:pt idx="22">
                  <c:v>6.1938950000000004</c:v>
                </c:pt>
                <c:pt idx="23">
                  <c:v>6.056317</c:v>
                </c:pt>
                <c:pt idx="24">
                  <c:v>5.7926859999999998</c:v>
                </c:pt>
                <c:pt idx="25">
                  <c:v>6.0019850000000003</c:v>
                </c:pt>
                <c:pt idx="26">
                  <c:v>6.5161660000000001</c:v>
                </c:pt>
                <c:pt idx="27">
                  <c:v>6.8266859999999996</c:v>
                </c:pt>
                <c:pt idx="28">
                  <c:v>7.2819659999999997</c:v>
                </c:pt>
                <c:pt idx="29">
                  <c:v>8.2840640000000008</c:v>
                </c:pt>
                <c:pt idx="30">
                  <c:v>8.7329489999999996</c:v>
                </c:pt>
                <c:pt idx="31">
                  <c:v>8.9900909999999996</c:v>
                </c:pt>
                <c:pt idx="32">
                  <c:v>9.1313940000000002</c:v>
                </c:pt>
                <c:pt idx="33">
                  <c:v>9.3080789999999993</c:v>
                </c:pt>
                <c:pt idx="34">
                  <c:v>8.9133469999999999</c:v>
                </c:pt>
                <c:pt idx="35">
                  <c:v>8.8692630000000001</c:v>
                </c:pt>
                <c:pt idx="36">
                  <c:v>9.165616</c:v>
                </c:pt>
                <c:pt idx="37">
                  <c:v>9.5869970000000002</c:v>
                </c:pt>
                <c:pt idx="38">
                  <c:v>9.4772949999999998</c:v>
                </c:pt>
                <c:pt idx="39">
                  <c:v>9.0521560000000001</c:v>
                </c:pt>
                <c:pt idx="40">
                  <c:v>8.9027799999999999</c:v>
                </c:pt>
                <c:pt idx="41">
                  <c:v>8.2962690000000006</c:v>
                </c:pt>
                <c:pt idx="42">
                  <c:v>9.0194939999999999</c:v>
                </c:pt>
                <c:pt idx="43">
                  <c:v>9.0465900000000001</c:v>
                </c:pt>
                <c:pt idx="44">
                  <c:v>9.2578130000000005</c:v>
                </c:pt>
                <c:pt idx="45">
                  <c:v>10.014256</c:v>
                </c:pt>
                <c:pt idx="46">
                  <c:v>10.896203999999999</c:v>
                </c:pt>
                <c:pt idx="47">
                  <c:v>11.537886</c:v>
                </c:pt>
                <c:pt idx="48">
                  <c:v>12.642839</c:v>
                </c:pt>
                <c:pt idx="49">
                  <c:v>12.444338</c:v>
                </c:pt>
                <c:pt idx="50">
                  <c:v>13.298145999999999</c:v>
                </c:pt>
                <c:pt idx="51">
                  <c:v>13.275162</c:v>
                </c:pt>
                <c:pt idx="52">
                  <c:v>13.536815000000001</c:v>
                </c:pt>
                <c:pt idx="53">
                  <c:v>14.115005</c:v>
                </c:pt>
                <c:pt idx="54">
                  <c:v>14.029763000000001</c:v>
                </c:pt>
                <c:pt idx="55">
                  <c:v>14.959984</c:v>
                </c:pt>
                <c:pt idx="56">
                  <c:v>14.691838000000001</c:v>
                </c:pt>
                <c:pt idx="57">
                  <c:v>14.811538000000001</c:v>
                </c:pt>
                <c:pt idx="58">
                  <c:v>17.267109999999999</c:v>
                </c:pt>
                <c:pt idx="59">
                  <c:v>18.227385999999999</c:v>
                </c:pt>
                <c:pt idx="60">
                  <c:v>18.844918</c:v>
                </c:pt>
                <c:pt idx="61">
                  <c:v>17.422962999999999</c:v>
                </c:pt>
                <c:pt idx="62">
                  <c:v>18.072616</c:v>
                </c:pt>
                <c:pt idx="63">
                  <c:v>17.098344999999998</c:v>
                </c:pt>
                <c:pt idx="64">
                  <c:v>16.083103000000001</c:v>
                </c:pt>
                <c:pt idx="65">
                  <c:v>15.436418</c:v>
                </c:pt>
                <c:pt idx="66">
                  <c:v>15.132991000000001</c:v>
                </c:pt>
                <c:pt idx="67">
                  <c:v>15.645377</c:v>
                </c:pt>
                <c:pt idx="68">
                  <c:v>15.554667999999999</c:v>
                </c:pt>
                <c:pt idx="69">
                  <c:v>15.318820000000001</c:v>
                </c:pt>
                <c:pt idx="70">
                  <c:v>15.606763000000001</c:v>
                </c:pt>
                <c:pt idx="71">
                  <c:v>14.735578</c:v>
                </c:pt>
                <c:pt idx="72">
                  <c:v>16.399044</c:v>
                </c:pt>
                <c:pt idx="73">
                  <c:v>17.687021999999999</c:v>
                </c:pt>
                <c:pt idx="74">
                  <c:v>18.989177999999999</c:v>
                </c:pt>
                <c:pt idx="75">
                  <c:v>19.721492999999999</c:v>
                </c:pt>
                <c:pt idx="76">
                  <c:v>20.005883000000001</c:v>
                </c:pt>
                <c:pt idx="77">
                  <c:v>20.47757</c:v>
                </c:pt>
                <c:pt idx="78">
                  <c:v>22.020878</c:v>
                </c:pt>
                <c:pt idx="79">
                  <c:v>21.777794</c:v>
                </c:pt>
                <c:pt idx="80">
                  <c:v>21.173048000000001</c:v>
                </c:pt>
                <c:pt idx="81">
                  <c:v>21.008851</c:v>
                </c:pt>
                <c:pt idx="82">
                  <c:v>22.250318</c:v>
                </c:pt>
                <c:pt idx="83">
                  <c:v>21.437207000000001</c:v>
                </c:pt>
                <c:pt idx="84">
                  <c:v>19.993696</c:v>
                </c:pt>
              </c:numCache>
            </c:numRef>
          </c:val>
          <c:extLst>
            <c:ext xmlns:c16="http://schemas.microsoft.com/office/drawing/2014/chart" uri="{C3380CC4-5D6E-409C-BE32-E72D297353CC}">
              <c16:uniqueId val="{00000000-D398-4E1C-8BE5-7415D832E159}"/>
            </c:ext>
          </c:extLst>
        </c:ser>
        <c:ser>
          <c:idx val="1"/>
          <c:order val="1"/>
          <c:tx>
            <c:strRef>
              <c:f>'[Construction pipeline.xlsx]Sheet1'!$F$10</c:f>
              <c:strCache>
                <c:ptCount val="1"/>
                <c:pt idx="0">
                  <c:v>Non-residential building</c:v>
                </c:pt>
              </c:strCache>
            </c:strRef>
          </c:tx>
          <c:spPr>
            <a:solidFill>
              <a:srgbClr val="7F7F7F"/>
            </a:solidFill>
            <a:ln w="22225">
              <a:solidFill>
                <a:srgbClr val="7F7F7F"/>
              </a:solidFill>
            </a:ln>
            <a:effectLst/>
          </c:spPr>
          <c:cat>
            <c:numRef>
              <c:f>'[Construction pipeline.xlsx]Sheet1'!$A$11:$A$95</c:f>
              <c:numCache>
                <c:formatCode>mmm\-yyyy</c:formatCode>
                <c:ptCount val="85"/>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pt idx="81">
                  <c:v>45170</c:v>
                </c:pt>
                <c:pt idx="82">
                  <c:v>45261</c:v>
                </c:pt>
                <c:pt idx="83">
                  <c:v>45352</c:v>
                </c:pt>
                <c:pt idx="84">
                  <c:v>45444</c:v>
                </c:pt>
              </c:numCache>
            </c:numRef>
          </c:cat>
          <c:val>
            <c:numRef>
              <c:f>'[Construction pipeline.xlsx]Sheet1'!$F$11:$F$95</c:f>
              <c:numCache>
                <c:formatCode>General</c:formatCode>
                <c:ptCount val="85"/>
                <c:pt idx="0">
                  <c:v>3.1374</c:v>
                </c:pt>
                <c:pt idx="1">
                  <c:v>3.2612429999999999</c:v>
                </c:pt>
                <c:pt idx="2">
                  <c:v>3.0034230000000002</c:v>
                </c:pt>
                <c:pt idx="3">
                  <c:v>3.4212720000000001</c:v>
                </c:pt>
                <c:pt idx="4">
                  <c:v>3.3589980000000002</c:v>
                </c:pt>
                <c:pt idx="5">
                  <c:v>3.4344030000000001</c:v>
                </c:pt>
                <c:pt idx="6">
                  <c:v>3.0415549999999998</c:v>
                </c:pt>
                <c:pt idx="7">
                  <c:v>2.8234979999999998</c:v>
                </c:pt>
                <c:pt idx="8">
                  <c:v>2.805151</c:v>
                </c:pt>
                <c:pt idx="9">
                  <c:v>2.9196330000000001</c:v>
                </c:pt>
                <c:pt idx="10">
                  <c:v>3.1796769999999999</c:v>
                </c:pt>
                <c:pt idx="11">
                  <c:v>3.0812240000000002</c:v>
                </c:pt>
                <c:pt idx="12">
                  <c:v>3.7172990000000001</c:v>
                </c:pt>
                <c:pt idx="13">
                  <c:v>3.8357739999999998</c:v>
                </c:pt>
                <c:pt idx="14">
                  <c:v>3.904226</c:v>
                </c:pt>
                <c:pt idx="15">
                  <c:v>4.9549880000000002</c:v>
                </c:pt>
                <c:pt idx="16">
                  <c:v>5.2675349999999996</c:v>
                </c:pt>
                <c:pt idx="17">
                  <c:v>4.8847659999999999</c:v>
                </c:pt>
                <c:pt idx="18">
                  <c:v>5.8785160000000003</c:v>
                </c:pt>
                <c:pt idx="19">
                  <c:v>6.6285550000000004</c:v>
                </c:pt>
                <c:pt idx="20">
                  <c:v>6.5646779999999998</c:v>
                </c:pt>
                <c:pt idx="21">
                  <c:v>6.3484970000000001</c:v>
                </c:pt>
                <c:pt idx="22">
                  <c:v>5.7901740000000004</c:v>
                </c:pt>
                <c:pt idx="23">
                  <c:v>5.3748769999999997</c:v>
                </c:pt>
                <c:pt idx="24">
                  <c:v>4.6271519999999997</c:v>
                </c:pt>
                <c:pt idx="25">
                  <c:v>5.3804119999999998</c:v>
                </c:pt>
                <c:pt idx="26">
                  <c:v>6.2775410000000003</c:v>
                </c:pt>
                <c:pt idx="27">
                  <c:v>6.548044</c:v>
                </c:pt>
                <c:pt idx="28">
                  <c:v>5.9031919999999998</c:v>
                </c:pt>
                <c:pt idx="29">
                  <c:v>5.3433270000000004</c:v>
                </c:pt>
                <c:pt idx="30">
                  <c:v>5.2782030000000004</c:v>
                </c:pt>
                <c:pt idx="31">
                  <c:v>5.4640529999999998</c:v>
                </c:pt>
                <c:pt idx="32">
                  <c:v>5.4963769999999998</c:v>
                </c:pt>
                <c:pt idx="33">
                  <c:v>5.48325</c:v>
                </c:pt>
                <c:pt idx="34">
                  <c:v>5.6453639999999998</c:v>
                </c:pt>
                <c:pt idx="35">
                  <c:v>6.5945109999999998</c:v>
                </c:pt>
                <c:pt idx="36">
                  <c:v>6.4385060000000003</c:v>
                </c:pt>
                <c:pt idx="37">
                  <c:v>6.5384729999999998</c:v>
                </c:pt>
                <c:pt idx="38">
                  <c:v>6.6785160000000001</c:v>
                </c:pt>
                <c:pt idx="39">
                  <c:v>6.2522869999999999</c:v>
                </c:pt>
                <c:pt idx="40">
                  <c:v>6.6402840000000003</c:v>
                </c:pt>
                <c:pt idx="41">
                  <c:v>6.2724520000000004</c:v>
                </c:pt>
                <c:pt idx="42">
                  <c:v>6.8989750000000001</c:v>
                </c:pt>
                <c:pt idx="43">
                  <c:v>7.3061499999999997</c:v>
                </c:pt>
                <c:pt idx="44">
                  <c:v>7.4668159999999997</c:v>
                </c:pt>
                <c:pt idx="45">
                  <c:v>7.8817830000000004</c:v>
                </c:pt>
                <c:pt idx="46">
                  <c:v>6.6855089999999997</c:v>
                </c:pt>
                <c:pt idx="47">
                  <c:v>7.2515799999999997</c:v>
                </c:pt>
                <c:pt idx="48">
                  <c:v>6.1494549999999997</c:v>
                </c:pt>
                <c:pt idx="49">
                  <c:v>5.588768</c:v>
                </c:pt>
                <c:pt idx="50">
                  <c:v>5.1285410000000002</c:v>
                </c:pt>
                <c:pt idx="51">
                  <c:v>5.8284729999999998</c:v>
                </c:pt>
                <c:pt idx="52">
                  <c:v>5.4068490000000002</c:v>
                </c:pt>
                <c:pt idx="53">
                  <c:v>6.0639459999999996</c:v>
                </c:pt>
                <c:pt idx="54">
                  <c:v>6.7043759999999999</c:v>
                </c:pt>
                <c:pt idx="55">
                  <c:v>7.0135069999999997</c:v>
                </c:pt>
                <c:pt idx="56">
                  <c:v>7.5977819999999996</c:v>
                </c:pt>
                <c:pt idx="57">
                  <c:v>8.7886790000000001</c:v>
                </c:pt>
                <c:pt idx="58">
                  <c:v>9.5177479999999992</c:v>
                </c:pt>
                <c:pt idx="59">
                  <c:v>10.141242</c:v>
                </c:pt>
                <c:pt idx="60">
                  <c:v>10.111554</c:v>
                </c:pt>
                <c:pt idx="61">
                  <c:v>10.812557</c:v>
                </c:pt>
                <c:pt idx="62">
                  <c:v>10.709872000000001</c:v>
                </c:pt>
                <c:pt idx="63">
                  <c:v>10.375693999999999</c:v>
                </c:pt>
                <c:pt idx="64">
                  <c:v>10.442246000000001</c:v>
                </c:pt>
                <c:pt idx="65">
                  <c:v>11.060285</c:v>
                </c:pt>
                <c:pt idx="66">
                  <c:v>11.026911</c:v>
                </c:pt>
                <c:pt idx="67">
                  <c:v>12.875779</c:v>
                </c:pt>
                <c:pt idx="68">
                  <c:v>13.237273999999999</c:v>
                </c:pt>
                <c:pt idx="69">
                  <c:v>12.063451000000001</c:v>
                </c:pt>
                <c:pt idx="70">
                  <c:v>10.955533000000001</c:v>
                </c:pt>
                <c:pt idx="71">
                  <c:v>10.910261</c:v>
                </c:pt>
                <c:pt idx="72">
                  <c:v>12.936873</c:v>
                </c:pt>
                <c:pt idx="73">
                  <c:v>13.278484000000001</c:v>
                </c:pt>
                <c:pt idx="74">
                  <c:v>13.456381</c:v>
                </c:pt>
                <c:pt idx="75">
                  <c:v>13.187576</c:v>
                </c:pt>
                <c:pt idx="76">
                  <c:v>14.061661000000001</c:v>
                </c:pt>
                <c:pt idx="77">
                  <c:v>13.831352000000001</c:v>
                </c:pt>
                <c:pt idx="78">
                  <c:v>15.452883999999999</c:v>
                </c:pt>
                <c:pt idx="79">
                  <c:v>16.321007000000002</c:v>
                </c:pt>
                <c:pt idx="80">
                  <c:v>16.058520999999999</c:v>
                </c:pt>
                <c:pt idx="81">
                  <c:v>15.456106</c:v>
                </c:pt>
                <c:pt idx="82">
                  <c:v>15.210100000000001</c:v>
                </c:pt>
                <c:pt idx="83">
                  <c:v>14.400608999999999</c:v>
                </c:pt>
                <c:pt idx="84">
                  <c:v>13.380345999999999</c:v>
                </c:pt>
              </c:numCache>
            </c:numRef>
          </c:val>
          <c:extLst>
            <c:ext xmlns:c16="http://schemas.microsoft.com/office/drawing/2014/chart" uri="{C3380CC4-5D6E-409C-BE32-E72D297353CC}">
              <c16:uniqueId val="{00000001-D398-4E1C-8BE5-7415D832E159}"/>
            </c:ext>
          </c:extLst>
        </c:ser>
        <c:ser>
          <c:idx val="2"/>
          <c:order val="2"/>
          <c:tx>
            <c:strRef>
              <c:f>'[Construction pipeline.xlsx]Sheet1'!$G$10</c:f>
              <c:strCache>
                <c:ptCount val="1"/>
                <c:pt idx="0">
                  <c:v>Engineering construction</c:v>
                </c:pt>
              </c:strCache>
            </c:strRef>
          </c:tx>
          <c:spPr>
            <a:solidFill>
              <a:srgbClr val="BFBFBF"/>
            </a:solidFill>
            <a:ln w="22225">
              <a:solidFill>
                <a:srgbClr val="BFBFBF"/>
              </a:solidFill>
            </a:ln>
            <a:effectLst/>
          </c:spPr>
          <c:cat>
            <c:numRef>
              <c:f>'[Construction pipeline.xlsx]Sheet1'!$A$11:$A$95</c:f>
              <c:numCache>
                <c:formatCode>mmm\-yyyy</c:formatCode>
                <c:ptCount val="85"/>
                <c:pt idx="0">
                  <c:v>37773</c:v>
                </c:pt>
                <c:pt idx="1">
                  <c:v>37865</c:v>
                </c:pt>
                <c:pt idx="2">
                  <c:v>37956</c:v>
                </c:pt>
                <c:pt idx="3">
                  <c:v>38047</c:v>
                </c:pt>
                <c:pt idx="4">
                  <c:v>38139</c:v>
                </c:pt>
                <c:pt idx="5">
                  <c:v>38231</c:v>
                </c:pt>
                <c:pt idx="6">
                  <c:v>38322</c:v>
                </c:pt>
                <c:pt idx="7">
                  <c:v>38412</c:v>
                </c:pt>
                <c:pt idx="8">
                  <c:v>38504</c:v>
                </c:pt>
                <c:pt idx="9">
                  <c:v>38596</c:v>
                </c:pt>
                <c:pt idx="10">
                  <c:v>38687</c:v>
                </c:pt>
                <c:pt idx="11">
                  <c:v>38777</c:v>
                </c:pt>
                <c:pt idx="12">
                  <c:v>38869</c:v>
                </c:pt>
                <c:pt idx="13">
                  <c:v>38961</c:v>
                </c:pt>
                <c:pt idx="14">
                  <c:v>39052</c:v>
                </c:pt>
                <c:pt idx="15">
                  <c:v>39142</c:v>
                </c:pt>
                <c:pt idx="16">
                  <c:v>39234</c:v>
                </c:pt>
                <c:pt idx="17">
                  <c:v>39326</c:v>
                </c:pt>
                <c:pt idx="18">
                  <c:v>39417</c:v>
                </c:pt>
                <c:pt idx="19">
                  <c:v>39508</c:v>
                </c:pt>
                <c:pt idx="20">
                  <c:v>39600</c:v>
                </c:pt>
                <c:pt idx="21">
                  <c:v>39692</c:v>
                </c:pt>
                <c:pt idx="22">
                  <c:v>39783</c:v>
                </c:pt>
                <c:pt idx="23">
                  <c:v>39873</c:v>
                </c:pt>
                <c:pt idx="24">
                  <c:v>39965</c:v>
                </c:pt>
                <c:pt idx="25">
                  <c:v>40057</c:v>
                </c:pt>
                <c:pt idx="26">
                  <c:v>40148</c:v>
                </c:pt>
                <c:pt idx="27">
                  <c:v>40238</c:v>
                </c:pt>
                <c:pt idx="28">
                  <c:v>40330</c:v>
                </c:pt>
                <c:pt idx="29">
                  <c:v>40422</c:v>
                </c:pt>
                <c:pt idx="30">
                  <c:v>40513</c:v>
                </c:pt>
                <c:pt idx="31">
                  <c:v>40603</c:v>
                </c:pt>
                <c:pt idx="32">
                  <c:v>40695</c:v>
                </c:pt>
                <c:pt idx="33">
                  <c:v>40787</c:v>
                </c:pt>
                <c:pt idx="34">
                  <c:v>40878</c:v>
                </c:pt>
                <c:pt idx="35">
                  <c:v>40969</c:v>
                </c:pt>
                <c:pt idx="36">
                  <c:v>41061</c:v>
                </c:pt>
                <c:pt idx="37">
                  <c:v>41153</c:v>
                </c:pt>
                <c:pt idx="38">
                  <c:v>41244</c:v>
                </c:pt>
                <c:pt idx="39">
                  <c:v>41334</c:v>
                </c:pt>
                <c:pt idx="40">
                  <c:v>41426</c:v>
                </c:pt>
                <c:pt idx="41">
                  <c:v>41518</c:v>
                </c:pt>
                <c:pt idx="42">
                  <c:v>41609</c:v>
                </c:pt>
                <c:pt idx="43">
                  <c:v>41699</c:v>
                </c:pt>
                <c:pt idx="44">
                  <c:v>41791</c:v>
                </c:pt>
                <c:pt idx="45">
                  <c:v>41883</c:v>
                </c:pt>
                <c:pt idx="46">
                  <c:v>41974</c:v>
                </c:pt>
                <c:pt idx="47">
                  <c:v>42064</c:v>
                </c:pt>
                <c:pt idx="48">
                  <c:v>42156</c:v>
                </c:pt>
                <c:pt idx="49">
                  <c:v>42248</c:v>
                </c:pt>
                <c:pt idx="50">
                  <c:v>42339</c:v>
                </c:pt>
                <c:pt idx="51">
                  <c:v>42430</c:v>
                </c:pt>
                <c:pt idx="52">
                  <c:v>42522</c:v>
                </c:pt>
                <c:pt idx="53">
                  <c:v>42614</c:v>
                </c:pt>
                <c:pt idx="54">
                  <c:v>42705</c:v>
                </c:pt>
                <c:pt idx="55">
                  <c:v>42795</c:v>
                </c:pt>
                <c:pt idx="56">
                  <c:v>42887</c:v>
                </c:pt>
                <c:pt idx="57">
                  <c:v>42979</c:v>
                </c:pt>
                <c:pt idx="58">
                  <c:v>43070</c:v>
                </c:pt>
                <c:pt idx="59">
                  <c:v>43160</c:v>
                </c:pt>
                <c:pt idx="60">
                  <c:v>43252</c:v>
                </c:pt>
                <c:pt idx="61">
                  <c:v>43344</c:v>
                </c:pt>
                <c:pt idx="62">
                  <c:v>43435</c:v>
                </c:pt>
                <c:pt idx="63">
                  <c:v>43525</c:v>
                </c:pt>
                <c:pt idx="64">
                  <c:v>43617</c:v>
                </c:pt>
                <c:pt idx="65">
                  <c:v>43709</c:v>
                </c:pt>
                <c:pt idx="66">
                  <c:v>43800</c:v>
                </c:pt>
                <c:pt idx="67">
                  <c:v>43891</c:v>
                </c:pt>
                <c:pt idx="68">
                  <c:v>43983</c:v>
                </c:pt>
                <c:pt idx="69">
                  <c:v>44075</c:v>
                </c:pt>
                <c:pt idx="70">
                  <c:v>44166</c:v>
                </c:pt>
                <c:pt idx="71">
                  <c:v>44256</c:v>
                </c:pt>
                <c:pt idx="72">
                  <c:v>44348</c:v>
                </c:pt>
                <c:pt idx="73">
                  <c:v>44440</c:v>
                </c:pt>
                <c:pt idx="74">
                  <c:v>44531</c:v>
                </c:pt>
                <c:pt idx="75">
                  <c:v>44621</c:v>
                </c:pt>
                <c:pt idx="76">
                  <c:v>44713</c:v>
                </c:pt>
                <c:pt idx="77">
                  <c:v>44805</c:v>
                </c:pt>
                <c:pt idx="78">
                  <c:v>44896</c:v>
                </c:pt>
                <c:pt idx="79">
                  <c:v>44986</c:v>
                </c:pt>
                <c:pt idx="80">
                  <c:v>45078</c:v>
                </c:pt>
                <c:pt idx="81">
                  <c:v>45170</c:v>
                </c:pt>
                <c:pt idx="82">
                  <c:v>45261</c:v>
                </c:pt>
                <c:pt idx="83">
                  <c:v>45352</c:v>
                </c:pt>
                <c:pt idx="84">
                  <c:v>45444</c:v>
                </c:pt>
              </c:numCache>
            </c:numRef>
          </c:cat>
          <c:val>
            <c:numRef>
              <c:f>'[Construction pipeline.xlsx]Sheet1'!$G$11:$G$95</c:f>
              <c:numCache>
                <c:formatCode>General</c:formatCode>
                <c:ptCount val="85"/>
                <c:pt idx="0">
                  <c:v>1.915983</c:v>
                </c:pt>
                <c:pt idx="1">
                  <c:v>2.2464189999999999</c:v>
                </c:pt>
                <c:pt idx="2">
                  <c:v>1.9764699999999999</c:v>
                </c:pt>
                <c:pt idx="3">
                  <c:v>2.1236869999999999</c:v>
                </c:pt>
                <c:pt idx="4">
                  <c:v>1.658684</c:v>
                </c:pt>
                <c:pt idx="5">
                  <c:v>1.595086</c:v>
                </c:pt>
                <c:pt idx="6">
                  <c:v>2.337421</c:v>
                </c:pt>
                <c:pt idx="7">
                  <c:v>5.1450490000000002</c:v>
                </c:pt>
                <c:pt idx="8">
                  <c:v>4.9924869999999997</c:v>
                </c:pt>
                <c:pt idx="9">
                  <c:v>4.5379719999999999</c:v>
                </c:pt>
                <c:pt idx="10">
                  <c:v>4.2466660000000003</c:v>
                </c:pt>
                <c:pt idx="11">
                  <c:v>4.0585310000000003</c:v>
                </c:pt>
                <c:pt idx="12">
                  <c:v>3.4236529999999998</c:v>
                </c:pt>
                <c:pt idx="13">
                  <c:v>3.3122349999999998</c:v>
                </c:pt>
                <c:pt idx="14">
                  <c:v>3.0695890000000001</c:v>
                </c:pt>
                <c:pt idx="15">
                  <c:v>2.856487</c:v>
                </c:pt>
                <c:pt idx="16">
                  <c:v>2.6014539999999999</c:v>
                </c:pt>
                <c:pt idx="17">
                  <c:v>3.4334340000000001</c:v>
                </c:pt>
                <c:pt idx="18">
                  <c:v>3.1284160000000001</c:v>
                </c:pt>
                <c:pt idx="19">
                  <c:v>3.5024289999999998</c:v>
                </c:pt>
                <c:pt idx="20">
                  <c:v>3.5088270000000001</c:v>
                </c:pt>
                <c:pt idx="21">
                  <c:v>4.3586980000000004</c:v>
                </c:pt>
                <c:pt idx="22">
                  <c:v>3.472372</c:v>
                </c:pt>
                <c:pt idx="23">
                  <c:v>2.9507919999999999</c:v>
                </c:pt>
                <c:pt idx="24">
                  <c:v>2.8063449999999999</c:v>
                </c:pt>
                <c:pt idx="25">
                  <c:v>3.1908069999999999</c:v>
                </c:pt>
                <c:pt idx="26">
                  <c:v>6.1478960000000002</c:v>
                </c:pt>
                <c:pt idx="27">
                  <c:v>6.3523339999999999</c:v>
                </c:pt>
                <c:pt idx="28">
                  <c:v>6.7418699999999996</c:v>
                </c:pt>
                <c:pt idx="29">
                  <c:v>7.9849990000000002</c:v>
                </c:pt>
                <c:pt idx="30">
                  <c:v>7.4796630000000004</c:v>
                </c:pt>
                <c:pt idx="31">
                  <c:v>7.6570650000000002</c:v>
                </c:pt>
                <c:pt idx="32">
                  <c:v>5.8772479999999998</c:v>
                </c:pt>
                <c:pt idx="33">
                  <c:v>5.0872719999999996</c:v>
                </c:pt>
                <c:pt idx="34">
                  <c:v>5.2841279999999999</c:v>
                </c:pt>
                <c:pt idx="35">
                  <c:v>6.0263869999999997</c:v>
                </c:pt>
                <c:pt idx="36">
                  <c:v>5.9038040000000001</c:v>
                </c:pt>
                <c:pt idx="37">
                  <c:v>5.4900929999999999</c:v>
                </c:pt>
                <c:pt idx="38">
                  <c:v>5.477328</c:v>
                </c:pt>
                <c:pt idx="39">
                  <c:v>4.7355299999999998</c:v>
                </c:pt>
                <c:pt idx="40">
                  <c:v>4.1854610000000001</c:v>
                </c:pt>
                <c:pt idx="41">
                  <c:v>4.5661129999999996</c:v>
                </c:pt>
                <c:pt idx="42">
                  <c:v>5.0643419999999999</c:v>
                </c:pt>
                <c:pt idx="43">
                  <c:v>5.2048160000000001</c:v>
                </c:pt>
                <c:pt idx="44">
                  <c:v>5.7646759999999997</c:v>
                </c:pt>
                <c:pt idx="45">
                  <c:v>5.786791</c:v>
                </c:pt>
                <c:pt idx="46">
                  <c:v>6.8095309999999998</c:v>
                </c:pt>
                <c:pt idx="47">
                  <c:v>4.2131759999999998</c:v>
                </c:pt>
                <c:pt idx="48">
                  <c:v>4.7208290000000002</c:v>
                </c:pt>
                <c:pt idx="49">
                  <c:v>4.6725440000000003</c:v>
                </c:pt>
                <c:pt idx="50">
                  <c:v>4.6349539999999996</c:v>
                </c:pt>
                <c:pt idx="51">
                  <c:v>4.1774079999999998</c:v>
                </c:pt>
                <c:pt idx="52">
                  <c:v>5.0250409999999999</c:v>
                </c:pt>
                <c:pt idx="53">
                  <c:v>5.043291</c:v>
                </c:pt>
                <c:pt idx="54">
                  <c:v>4.8535190000000004</c:v>
                </c:pt>
                <c:pt idx="55">
                  <c:v>4.6244449999999997</c:v>
                </c:pt>
                <c:pt idx="56">
                  <c:v>5.9648490000000001</c:v>
                </c:pt>
                <c:pt idx="57">
                  <c:v>5.5816100000000004</c:v>
                </c:pt>
                <c:pt idx="58">
                  <c:v>4.8987740000000004</c:v>
                </c:pt>
                <c:pt idx="59">
                  <c:v>16.080202</c:v>
                </c:pt>
                <c:pt idx="60">
                  <c:v>16.272231999999999</c:v>
                </c:pt>
                <c:pt idx="61">
                  <c:v>15.809129</c:v>
                </c:pt>
                <c:pt idx="62">
                  <c:v>16.350641</c:v>
                </c:pt>
                <c:pt idx="63">
                  <c:v>15.808562</c:v>
                </c:pt>
                <c:pt idx="64">
                  <c:v>15.471294</c:v>
                </c:pt>
                <c:pt idx="65">
                  <c:v>14.239659</c:v>
                </c:pt>
                <c:pt idx="66">
                  <c:v>14.788969</c:v>
                </c:pt>
                <c:pt idx="67">
                  <c:v>17.753830000000001</c:v>
                </c:pt>
                <c:pt idx="68">
                  <c:v>15.818042</c:v>
                </c:pt>
                <c:pt idx="69">
                  <c:v>14.592430999999999</c:v>
                </c:pt>
                <c:pt idx="70">
                  <c:v>13.909312</c:v>
                </c:pt>
                <c:pt idx="71">
                  <c:v>13.723432000000001</c:v>
                </c:pt>
                <c:pt idx="72">
                  <c:v>12.984209999999999</c:v>
                </c:pt>
                <c:pt idx="73">
                  <c:v>12.577761000000001</c:v>
                </c:pt>
                <c:pt idx="74">
                  <c:v>14.453097</c:v>
                </c:pt>
                <c:pt idx="75">
                  <c:v>16.475919000000001</c:v>
                </c:pt>
                <c:pt idx="76">
                  <c:v>15.434841</c:v>
                </c:pt>
                <c:pt idx="77">
                  <c:v>25.460436000000001</c:v>
                </c:pt>
                <c:pt idx="78">
                  <c:v>24.690180000000002</c:v>
                </c:pt>
                <c:pt idx="79">
                  <c:v>25.731513</c:v>
                </c:pt>
                <c:pt idx="80">
                  <c:v>23.977281999999999</c:v>
                </c:pt>
                <c:pt idx="81">
                  <c:v>22.432341000000001</c:v>
                </c:pt>
                <c:pt idx="82">
                  <c:v>22.055945000000001</c:v>
                </c:pt>
                <c:pt idx="83">
                  <c:v>23.814906000000001</c:v>
                </c:pt>
                <c:pt idx="84">
                  <c:v>22.648648000000001</c:v>
                </c:pt>
              </c:numCache>
            </c:numRef>
          </c:val>
          <c:extLst>
            <c:ext xmlns:c16="http://schemas.microsoft.com/office/drawing/2014/chart" uri="{C3380CC4-5D6E-409C-BE32-E72D297353CC}">
              <c16:uniqueId val="{00000002-D398-4E1C-8BE5-7415D832E159}"/>
            </c:ext>
          </c:extLst>
        </c:ser>
        <c:dLbls>
          <c:showLegendKey val="0"/>
          <c:showVal val="0"/>
          <c:showCatName val="0"/>
          <c:showSerName val="0"/>
          <c:showPercent val="0"/>
          <c:showBubbleSize val="0"/>
        </c:dLbls>
        <c:axId val="1151309536"/>
        <c:axId val="1151308456"/>
      </c:areaChart>
      <c:dateAx>
        <c:axId val="1151309536"/>
        <c:scaling>
          <c:orientation val="minMax"/>
        </c:scaling>
        <c:delete val="0"/>
        <c:axPos val="b"/>
        <c:numFmt formatCode="mmm\ yy" sourceLinked="0"/>
        <c:majorTickMark val="out"/>
        <c:minorTickMark val="out"/>
        <c:tickLblPos val="low"/>
        <c:spPr>
          <a:noFill/>
          <a:ln w="9525" cap="flat" cmpd="sng" algn="ctr">
            <a:solidFill>
              <a:schemeClr val="bg1">
                <a:lumMod val="50000"/>
              </a:schemeClr>
            </a:solidFill>
            <a:round/>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1151308456"/>
        <c:crosses val="autoZero"/>
        <c:auto val="1"/>
        <c:lblOffset val="100"/>
        <c:baseTimeUnit val="months"/>
        <c:majorUnit val="48"/>
        <c:majorTimeUnit val="months"/>
        <c:minorUnit val="12"/>
        <c:minorTimeUnit val="months"/>
      </c:dateAx>
      <c:valAx>
        <c:axId val="1151308456"/>
        <c:scaling>
          <c:orientation val="minMax"/>
        </c:scaling>
        <c:delete val="0"/>
        <c:axPos val="l"/>
        <c:majorGridlines>
          <c:spPr>
            <a:ln w="9525" cap="flat" cmpd="sng" algn="ctr">
              <a:solidFill>
                <a:schemeClr val="bg1">
                  <a:lumMod val="75000"/>
                </a:schemeClr>
              </a:solidFill>
              <a:prstDash val="dash"/>
              <a:round/>
            </a:ln>
            <a:effectLst/>
          </c:spPr>
        </c:majorGridlines>
        <c:title>
          <c:tx>
            <c:rich>
              <a:bodyPr rot="-5400000" spcFirstLastPara="1" vertOverflow="ellipsis" vert="horz" wrap="square" anchor="ctr" anchorCtr="1"/>
              <a:lstStyle/>
              <a:p>
                <a:pPr>
                  <a:defRPr sz="900" b="0" i="1" u="none" strike="noStrike" kern="1200" baseline="0">
                    <a:solidFill>
                      <a:schemeClr val="tx1">
                        <a:lumMod val="65000"/>
                        <a:lumOff val="35000"/>
                      </a:schemeClr>
                    </a:solidFill>
                    <a:latin typeface="Calibri"/>
                    <a:ea typeface="Calibri"/>
                    <a:cs typeface="Calibri"/>
                  </a:defRPr>
                </a:pPr>
                <a:r>
                  <a:rPr lang="en-US" sz="900"/>
                  <a:t>$ billion</a:t>
                </a:r>
              </a:p>
            </c:rich>
          </c:tx>
          <c:overlay val="0"/>
          <c:spPr>
            <a:noFill/>
            <a:ln>
              <a:noFill/>
            </a:ln>
            <a:effectLst/>
          </c:spPr>
          <c:txPr>
            <a:bodyPr rot="-5400000" spcFirstLastPara="1" vertOverflow="ellipsis" vert="horz" wrap="square" anchor="ctr" anchorCtr="1"/>
            <a:lstStyle/>
            <a:p>
              <a:pPr>
                <a:defRPr sz="900" b="0" i="1" u="none" strike="noStrike" kern="1200" baseline="0">
                  <a:solidFill>
                    <a:schemeClr val="tx1">
                      <a:lumMod val="65000"/>
                      <a:lumOff val="35000"/>
                    </a:schemeClr>
                  </a:solidFill>
                  <a:latin typeface="Calibri"/>
                  <a:ea typeface="Calibri"/>
                  <a:cs typeface="Calibri"/>
                </a:defRPr>
              </a:pPr>
              <a:endParaRPr lang="en-US"/>
            </a:p>
          </c:txPr>
        </c:title>
        <c:numFmt formatCode="###\ ###\ ##0" sourceLinked="0"/>
        <c:majorTickMark val="none"/>
        <c:minorTickMark val="none"/>
        <c:tickLblPos val="nextTo"/>
        <c:spPr>
          <a:noFill/>
          <a:ln w="9525">
            <a:solidFill>
              <a:schemeClr val="bg1">
                <a:lumMod val="50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1151309536"/>
        <c:crosses val="autoZero"/>
        <c:crossBetween val="midCat"/>
      </c:valAx>
      <c:spPr>
        <a:noFill/>
        <a:ln>
          <a:noFill/>
        </a:ln>
        <a:effectLst/>
        <a:extLst>
          <a:ext uri="{909E8E84-426E-40DD-AFC4-6F175D3DCCD1}">
            <a14:hiddenFill xmlns:a14="http://schemas.microsoft.com/office/drawing/2010/main">
              <a:noFill/>
            </a14:hiddenFill>
          </a:ext>
        </a:ex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latin typeface="Calibri" panose="020F0502020204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39553353244635"/>
          <c:y val="3.524609423822022E-2"/>
          <c:w val="0.7834696578875916"/>
          <c:h val="0.7478808505889819"/>
        </c:manualLayout>
      </c:layout>
      <c:lineChart>
        <c:grouping val="standard"/>
        <c:varyColors val="0"/>
        <c:ser>
          <c:idx val="3"/>
          <c:order val="0"/>
          <c:tx>
            <c:v>Unemployment rate</c:v>
          </c:tx>
          <c:spPr>
            <a:ln w="12700" cap="rnd">
              <a:solidFill>
                <a:sysClr val="windowText" lastClr="000000">
                  <a:lumMod val="65000"/>
                  <a:lumOff val="35000"/>
                </a:sysClr>
              </a:solidFill>
              <a:round/>
            </a:ln>
            <a:effectLst/>
          </c:spPr>
          <c:marker>
            <c:symbol val="none"/>
          </c:marker>
          <c:cat>
            <c:numRef>
              <c:f>Sheet1!$A$11:$A$590</c:f>
              <c:numCache>
                <c:formatCode>mmm\-yyyy</c:formatCode>
                <c:ptCount val="580"/>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pt idx="548">
                  <c:v>45200</c:v>
                </c:pt>
                <c:pt idx="549">
                  <c:v>45231</c:v>
                </c:pt>
                <c:pt idx="550">
                  <c:v>45261</c:v>
                </c:pt>
                <c:pt idx="551">
                  <c:v>45292</c:v>
                </c:pt>
                <c:pt idx="552">
                  <c:v>45323</c:v>
                </c:pt>
                <c:pt idx="553">
                  <c:v>45352</c:v>
                </c:pt>
                <c:pt idx="554">
                  <c:v>45383</c:v>
                </c:pt>
                <c:pt idx="555">
                  <c:v>45413</c:v>
                </c:pt>
                <c:pt idx="556">
                  <c:v>45444</c:v>
                </c:pt>
                <c:pt idx="557">
                  <c:v>45474</c:v>
                </c:pt>
                <c:pt idx="558">
                  <c:v>45505</c:v>
                </c:pt>
                <c:pt idx="559">
                  <c:v>45536</c:v>
                </c:pt>
                <c:pt idx="560">
                  <c:v>45566</c:v>
                </c:pt>
              </c:numCache>
            </c:numRef>
          </c:cat>
          <c:val>
            <c:numRef>
              <c:f>Sheet1!$D$11:$D$590</c:f>
              <c:numCache>
                <c:formatCode>0.0;\-0.0;0.0;@</c:formatCode>
                <c:ptCount val="580"/>
                <c:pt idx="0">
                  <c:v>5.9614380999999996</c:v>
                </c:pt>
                <c:pt idx="1">
                  <c:v>5.7224335000000002</c:v>
                </c:pt>
                <c:pt idx="2">
                  <c:v>5.4934469999999997</c:v>
                </c:pt>
                <c:pt idx="3">
                  <c:v>5.6391008999999999</c:v>
                </c:pt>
                <c:pt idx="4">
                  <c:v>5.5248666999999996</c:v>
                </c:pt>
                <c:pt idx="5">
                  <c:v>5.4227276</c:v>
                </c:pt>
                <c:pt idx="6">
                  <c:v>6.0592481999999999</c:v>
                </c:pt>
                <c:pt idx="7">
                  <c:v>5.1694604999999996</c:v>
                </c:pt>
                <c:pt idx="8">
                  <c:v>5.3533378000000003</c:v>
                </c:pt>
                <c:pt idx="9">
                  <c:v>5.3541419000000001</c:v>
                </c:pt>
                <c:pt idx="10">
                  <c:v>6.0196231999999998</c:v>
                </c:pt>
                <c:pt idx="11">
                  <c:v>5.7520799</c:v>
                </c:pt>
                <c:pt idx="12">
                  <c:v>5.6571787999999996</c:v>
                </c:pt>
                <c:pt idx="13">
                  <c:v>5.3914225</c:v>
                </c:pt>
                <c:pt idx="14">
                  <c:v>5.7218653000000002</c:v>
                </c:pt>
                <c:pt idx="15">
                  <c:v>5.1446798999999999</c:v>
                </c:pt>
                <c:pt idx="16">
                  <c:v>5.5262700000000002</c:v>
                </c:pt>
                <c:pt idx="17">
                  <c:v>5.5717188999999996</c:v>
                </c:pt>
                <c:pt idx="18">
                  <c:v>5.7441044000000003</c:v>
                </c:pt>
                <c:pt idx="19">
                  <c:v>6.113111</c:v>
                </c:pt>
                <c:pt idx="20">
                  <c:v>6.1464468999999999</c:v>
                </c:pt>
                <c:pt idx="21">
                  <c:v>5.9825413000000003</c:v>
                </c:pt>
                <c:pt idx="22">
                  <c:v>5.4499439000000001</c:v>
                </c:pt>
                <c:pt idx="23">
                  <c:v>5.6625686999999996</c:v>
                </c:pt>
                <c:pt idx="24">
                  <c:v>5.4893489000000004</c:v>
                </c:pt>
                <c:pt idx="25">
                  <c:v>5.6497884000000003</c:v>
                </c:pt>
                <c:pt idx="26">
                  <c:v>5.7931575999999998</c:v>
                </c:pt>
                <c:pt idx="27">
                  <c:v>5.7367514999999996</c:v>
                </c:pt>
                <c:pt idx="28">
                  <c:v>6.1202947999999999</c:v>
                </c:pt>
                <c:pt idx="29">
                  <c:v>6.0138949000000004</c:v>
                </c:pt>
                <c:pt idx="30">
                  <c:v>6.0422342999999996</c:v>
                </c:pt>
                <c:pt idx="31">
                  <c:v>5.9575490999999996</c:v>
                </c:pt>
                <c:pt idx="32">
                  <c:v>6.1066612999999998</c:v>
                </c:pt>
                <c:pt idx="33">
                  <c:v>5.8983983999999996</c:v>
                </c:pt>
                <c:pt idx="34">
                  <c:v>6.1502254000000001</c:v>
                </c:pt>
                <c:pt idx="35">
                  <c:v>5.7176951000000003</c:v>
                </c:pt>
                <c:pt idx="36">
                  <c:v>5.7224836000000003</c:v>
                </c:pt>
                <c:pt idx="37">
                  <c:v>5.8288041000000002</c:v>
                </c:pt>
                <c:pt idx="38">
                  <c:v>5.3198886999999999</c:v>
                </c:pt>
                <c:pt idx="39">
                  <c:v>5.6725048999999999</c:v>
                </c:pt>
                <c:pt idx="40">
                  <c:v>5.3821003999999997</c:v>
                </c:pt>
                <c:pt idx="41">
                  <c:v>5.6377931999999999</c:v>
                </c:pt>
                <c:pt idx="42">
                  <c:v>5.8185713000000003</c:v>
                </c:pt>
                <c:pt idx="43">
                  <c:v>5.8387671000000001</c:v>
                </c:pt>
                <c:pt idx="44">
                  <c:v>5.4958733000000004</c:v>
                </c:pt>
                <c:pt idx="45">
                  <c:v>5.5481901999999996</c:v>
                </c:pt>
                <c:pt idx="46">
                  <c:v>5.5978082000000002</c:v>
                </c:pt>
                <c:pt idx="47">
                  <c:v>5.5366403000000002</c:v>
                </c:pt>
                <c:pt idx="48">
                  <c:v>5.9934855000000002</c:v>
                </c:pt>
                <c:pt idx="49">
                  <c:v>6.1569909000000003</c:v>
                </c:pt>
                <c:pt idx="50">
                  <c:v>5.9853535999999998</c:v>
                </c:pt>
                <c:pt idx="51">
                  <c:v>6.3754333000000001</c:v>
                </c:pt>
                <c:pt idx="52">
                  <c:v>6.3962146999999998</c:v>
                </c:pt>
                <c:pt idx="53">
                  <c:v>6.6220128999999996</c:v>
                </c:pt>
                <c:pt idx="54">
                  <c:v>6.3387766000000001</c:v>
                </c:pt>
                <c:pt idx="55">
                  <c:v>6.8450420000000003</c:v>
                </c:pt>
                <c:pt idx="56">
                  <c:v>7.4806726000000001</c:v>
                </c:pt>
                <c:pt idx="57">
                  <c:v>7.7803953999999997</c:v>
                </c:pt>
                <c:pt idx="58">
                  <c:v>8.1400810000000003</c:v>
                </c:pt>
                <c:pt idx="59">
                  <c:v>8.1296949000000005</c:v>
                </c:pt>
                <c:pt idx="60">
                  <c:v>8.4508905999999993</c:v>
                </c:pt>
                <c:pt idx="61">
                  <c:v>8.7610164000000008</c:v>
                </c:pt>
                <c:pt idx="62">
                  <c:v>9.3438906999999993</c:v>
                </c:pt>
                <c:pt idx="63">
                  <c:v>9.6285454000000001</c:v>
                </c:pt>
                <c:pt idx="64">
                  <c:v>9.3413620999999996</c:v>
                </c:pt>
                <c:pt idx="65">
                  <c:v>9.4673102999999994</c:v>
                </c:pt>
                <c:pt idx="66">
                  <c:v>9.3238731000000001</c:v>
                </c:pt>
                <c:pt idx="67">
                  <c:v>9.6263295000000006</c:v>
                </c:pt>
                <c:pt idx="68">
                  <c:v>8.8458959999999998</c:v>
                </c:pt>
                <c:pt idx="69">
                  <c:v>8.7652180000000008</c:v>
                </c:pt>
                <c:pt idx="70">
                  <c:v>8.4463269000000007</c:v>
                </c:pt>
                <c:pt idx="71">
                  <c:v>8.6052575000000004</c:v>
                </c:pt>
                <c:pt idx="72">
                  <c:v>8.6766912999999999</c:v>
                </c:pt>
                <c:pt idx="73">
                  <c:v>8.0276648999999995</c:v>
                </c:pt>
                <c:pt idx="74">
                  <c:v>8.1845789</c:v>
                </c:pt>
                <c:pt idx="75">
                  <c:v>7.6765002000000004</c:v>
                </c:pt>
                <c:pt idx="76">
                  <c:v>7.7641397999999997</c:v>
                </c:pt>
                <c:pt idx="77">
                  <c:v>7.5884442999999999</c:v>
                </c:pt>
                <c:pt idx="78">
                  <c:v>7.3657520999999999</c:v>
                </c:pt>
                <c:pt idx="79">
                  <c:v>7.3919237999999998</c:v>
                </c:pt>
                <c:pt idx="80">
                  <c:v>6.8595781999999996</c:v>
                </c:pt>
                <c:pt idx="81">
                  <c:v>7.3123515000000001</c:v>
                </c:pt>
                <c:pt idx="82">
                  <c:v>7.2549052999999999</c:v>
                </c:pt>
                <c:pt idx="83">
                  <c:v>7.3559735999999996</c:v>
                </c:pt>
                <c:pt idx="84">
                  <c:v>7.0452699000000001</c:v>
                </c:pt>
                <c:pt idx="85">
                  <c:v>7.6160474000000002</c:v>
                </c:pt>
                <c:pt idx="86">
                  <c:v>7.1609803999999997</c:v>
                </c:pt>
                <c:pt idx="87">
                  <c:v>6.8420851999999996</c:v>
                </c:pt>
                <c:pt idx="88">
                  <c:v>7.1989628999999997</c:v>
                </c:pt>
                <c:pt idx="89">
                  <c:v>6.8323226999999997</c:v>
                </c:pt>
                <c:pt idx="90">
                  <c:v>6.4863498000000002</c:v>
                </c:pt>
                <c:pt idx="91">
                  <c:v>6.6727920000000003</c:v>
                </c:pt>
                <c:pt idx="92">
                  <c:v>6.7344764000000001</c:v>
                </c:pt>
                <c:pt idx="93">
                  <c:v>6.5978829000000001</c:v>
                </c:pt>
                <c:pt idx="94">
                  <c:v>6.3644993000000003</c:v>
                </c:pt>
                <c:pt idx="95">
                  <c:v>6.4043999999999999</c:v>
                </c:pt>
                <c:pt idx="96">
                  <c:v>6.5888372999999998</c:v>
                </c:pt>
                <c:pt idx="97">
                  <c:v>6.5989167999999996</c:v>
                </c:pt>
                <c:pt idx="98">
                  <c:v>6.6549486</c:v>
                </c:pt>
                <c:pt idx="99">
                  <c:v>6.1949396999999999</c:v>
                </c:pt>
                <c:pt idx="100">
                  <c:v>5.9631727000000003</c:v>
                </c:pt>
                <c:pt idx="101">
                  <c:v>6.7658651000000001</c:v>
                </c:pt>
                <c:pt idx="102">
                  <c:v>7.1238716999999996</c:v>
                </c:pt>
                <c:pt idx="103">
                  <c:v>7.1235331000000004</c:v>
                </c:pt>
                <c:pt idx="104">
                  <c:v>6.7858384000000003</c:v>
                </c:pt>
                <c:pt idx="105">
                  <c:v>6.8819809000000003</c:v>
                </c:pt>
                <c:pt idx="106">
                  <c:v>7.0023166000000003</c:v>
                </c:pt>
                <c:pt idx="107">
                  <c:v>6.6458063000000003</c:v>
                </c:pt>
                <c:pt idx="108">
                  <c:v>6.5796545999999996</c:v>
                </c:pt>
                <c:pt idx="109">
                  <c:v>6.7768915999999999</c:v>
                </c:pt>
                <c:pt idx="110">
                  <c:v>6.4947759999999999</c:v>
                </c:pt>
                <c:pt idx="111">
                  <c:v>6.2301896000000001</c:v>
                </c:pt>
                <c:pt idx="112">
                  <c:v>5.9150862000000002</c:v>
                </c:pt>
                <c:pt idx="113">
                  <c:v>6.0126827</c:v>
                </c:pt>
                <c:pt idx="114">
                  <c:v>6.2939394000000002</c:v>
                </c:pt>
                <c:pt idx="115">
                  <c:v>5.7800083000000004</c:v>
                </c:pt>
                <c:pt idx="116">
                  <c:v>6.2057893999999996</c:v>
                </c:pt>
                <c:pt idx="117">
                  <c:v>6.068276</c:v>
                </c:pt>
                <c:pt idx="118">
                  <c:v>6.1490179999999999</c:v>
                </c:pt>
                <c:pt idx="119">
                  <c:v>6.1665599000000002</c:v>
                </c:pt>
                <c:pt idx="120">
                  <c:v>6.0140359999999999</c:v>
                </c:pt>
                <c:pt idx="121">
                  <c:v>6.1902767000000001</c:v>
                </c:pt>
                <c:pt idx="122">
                  <c:v>6.6142317999999998</c:v>
                </c:pt>
                <c:pt idx="123">
                  <c:v>6.4188204000000004</c:v>
                </c:pt>
                <c:pt idx="124">
                  <c:v>6.2209614000000002</c:v>
                </c:pt>
                <c:pt idx="125">
                  <c:v>5.4878181000000001</c:v>
                </c:pt>
                <c:pt idx="126">
                  <c:v>5.9655686000000001</c:v>
                </c:pt>
                <c:pt idx="127">
                  <c:v>5.5520437999999999</c:v>
                </c:pt>
                <c:pt idx="128">
                  <c:v>5.6350989</c:v>
                </c:pt>
                <c:pt idx="129">
                  <c:v>5.0043047999999999</c:v>
                </c:pt>
                <c:pt idx="130">
                  <c:v>5.4704034999999998</c:v>
                </c:pt>
                <c:pt idx="131">
                  <c:v>5.5312482999999997</c:v>
                </c:pt>
                <c:pt idx="132">
                  <c:v>5.6876188000000001</c:v>
                </c:pt>
                <c:pt idx="133">
                  <c:v>5.2025956999999998</c:v>
                </c:pt>
                <c:pt idx="134">
                  <c:v>5.1036584999999999</c:v>
                </c:pt>
                <c:pt idx="135">
                  <c:v>4.9962625000000003</c:v>
                </c:pt>
                <c:pt idx="136">
                  <c:v>4.5671714999999997</c:v>
                </c:pt>
                <c:pt idx="137">
                  <c:v>4.6725260000000004</c:v>
                </c:pt>
                <c:pt idx="138">
                  <c:v>4.6285977000000003</c:v>
                </c:pt>
                <c:pt idx="139">
                  <c:v>4.8179524999999996</c:v>
                </c:pt>
                <c:pt idx="140">
                  <c:v>4.6080030000000001</c:v>
                </c:pt>
                <c:pt idx="141">
                  <c:v>4.7756239999999996</c:v>
                </c:pt>
                <c:pt idx="142">
                  <c:v>4.5330458</c:v>
                </c:pt>
                <c:pt idx="143">
                  <c:v>4.6012452000000001</c:v>
                </c:pt>
                <c:pt idx="144">
                  <c:v>5.0794477000000002</c:v>
                </c:pt>
                <c:pt idx="145">
                  <c:v>4.8262821000000002</c:v>
                </c:pt>
                <c:pt idx="146">
                  <c:v>4.8629308</c:v>
                </c:pt>
                <c:pt idx="147">
                  <c:v>5.2926148</c:v>
                </c:pt>
                <c:pt idx="148">
                  <c:v>5.3044301000000003</c:v>
                </c:pt>
                <c:pt idx="149">
                  <c:v>6.3805890999999999</c:v>
                </c:pt>
                <c:pt idx="150">
                  <c:v>6.5933317999999996</c:v>
                </c:pt>
                <c:pt idx="151">
                  <c:v>6.9262031999999998</c:v>
                </c:pt>
                <c:pt idx="152">
                  <c:v>7.4071350000000002</c:v>
                </c:pt>
                <c:pt idx="153">
                  <c:v>8.0126829999999991</c:v>
                </c:pt>
                <c:pt idx="154">
                  <c:v>7.8748971000000001</c:v>
                </c:pt>
                <c:pt idx="155">
                  <c:v>8.4677737000000004</c:v>
                </c:pt>
                <c:pt idx="156">
                  <c:v>8.4960372999999993</c:v>
                </c:pt>
                <c:pt idx="157">
                  <c:v>9.3012703999999999</c:v>
                </c:pt>
                <c:pt idx="158">
                  <c:v>10.5853199</c:v>
                </c:pt>
                <c:pt idx="159">
                  <c:v>9.9993154000000004</c:v>
                </c:pt>
                <c:pt idx="160">
                  <c:v>10.291607300000001</c:v>
                </c:pt>
                <c:pt idx="161">
                  <c:v>10.093151799999999</c:v>
                </c:pt>
                <c:pt idx="162">
                  <c:v>10.155516499999999</c:v>
                </c:pt>
                <c:pt idx="163">
                  <c:v>10.770966100000001</c:v>
                </c:pt>
                <c:pt idx="164">
                  <c:v>10.338413299999999</c:v>
                </c:pt>
                <c:pt idx="165">
                  <c:v>10.7327125</c:v>
                </c:pt>
                <c:pt idx="166">
                  <c:v>11.0178498</c:v>
                </c:pt>
                <c:pt idx="167">
                  <c:v>10.9324063</c:v>
                </c:pt>
                <c:pt idx="168">
                  <c:v>10.991778800000001</c:v>
                </c:pt>
                <c:pt idx="169">
                  <c:v>11.5212617</c:v>
                </c:pt>
                <c:pt idx="170">
                  <c:v>11.4504617</c:v>
                </c:pt>
                <c:pt idx="171">
                  <c:v>11.632936900000001</c:v>
                </c:pt>
                <c:pt idx="172">
                  <c:v>11.592556800000001</c:v>
                </c:pt>
                <c:pt idx="173">
                  <c:v>11.9808538</c:v>
                </c:pt>
                <c:pt idx="174">
                  <c:v>11.3679785</c:v>
                </c:pt>
                <c:pt idx="175">
                  <c:v>11.113227500000001</c:v>
                </c:pt>
                <c:pt idx="176">
                  <c:v>11.6037743</c:v>
                </c:pt>
                <c:pt idx="177">
                  <c:v>11.881401500000001</c:v>
                </c:pt>
                <c:pt idx="178">
                  <c:v>11.5739158</c:v>
                </c:pt>
                <c:pt idx="179">
                  <c:v>11.499945800000001</c:v>
                </c:pt>
                <c:pt idx="180">
                  <c:v>11.6142322</c:v>
                </c:pt>
                <c:pt idx="181">
                  <c:v>11.560639800000001</c:v>
                </c:pt>
                <c:pt idx="182">
                  <c:v>11.3735763</c:v>
                </c:pt>
                <c:pt idx="183">
                  <c:v>12.3080625</c:v>
                </c:pt>
                <c:pt idx="184">
                  <c:v>12.370363899999999</c:v>
                </c:pt>
                <c:pt idx="185">
                  <c:v>12.4688629</c:v>
                </c:pt>
                <c:pt idx="186">
                  <c:v>12.5288343</c:v>
                </c:pt>
                <c:pt idx="187">
                  <c:v>12.0689899</c:v>
                </c:pt>
                <c:pt idx="188">
                  <c:v>12.3287114</c:v>
                </c:pt>
                <c:pt idx="189">
                  <c:v>12.281180000000001</c:v>
                </c:pt>
                <c:pt idx="190">
                  <c:v>12.1884304</c:v>
                </c:pt>
                <c:pt idx="191">
                  <c:v>12.052166100000001</c:v>
                </c:pt>
                <c:pt idx="192">
                  <c:v>11.977094299999999</c:v>
                </c:pt>
                <c:pt idx="193">
                  <c:v>11.9163558</c:v>
                </c:pt>
                <c:pt idx="194">
                  <c:v>11.2273248</c:v>
                </c:pt>
                <c:pt idx="195">
                  <c:v>10.895639600000001</c:v>
                </c:pt>
                <c:pt idx="196">
                  <c:v>10.6549321</c:v>
                </c:pt>
                <c:pt idx="197">
                  <c:v>10.4223648</c:v>
                </c:pt>
                <c:pt idx="198">
                  <c:v>10.830185200000001</c:v>
                </c:pt>
                <c:pt idx="199">
                  <c:v>10.0796767</c:v>
                </c:pt>
                <c:pt idx="200">
                  <c:v>9.7278088999999994</c:v>
                </c:pt>
                <c:pt idx="201">
                  <c:v>9.9914895999999995</c:v>
                </c:pt>
                <c:pt idx="202">
                  <c:v>9.7124112999999994</c:v>
                </c:pt>
                <c:pt idx="203">
                  <c:v>9.8855559999999993</c:v>
                </c:pt>
                <c:pt idx="204">
                  <c:v>9.3058010000000007</c:v>
                </c:pt>
                <c:pt idx="205">
                  <c:v>8.9563491000000006</c:v>
                </c:pt>
                <c:pt idx="206">
                  <c:v>8.6774055000000008</c:v>
                </c:pt>
                <c:pt idx="207">
                  <c:v>8.7862393000000001</c:v>
                </c:pt>
                <c:pt idx="208">
                  <c:v>8.7545382000000007</c:v>
                </c:pt>
                <c:pt idx="209">
                  <c:v>9.0057066999999993</c:v>
                </c:pt>
                <c:pt idx="210">
                  <c:v>8.5382475000000007</c:v>
                </c:pt>
                <c:pt idx="211">
                  <c:v>8.8746182999999998</c:v>
                </c:pt>
                <c:pt idx="212">
                  <c:v>9.3870693999999997</c:v>
                </c:pt>
                <c:pt idx="213">
                  <c:v>8.5355089</c:v>
                </c:pt>
                <c:pt idx="214">
                  <c:v>8.3047775000000001</c:v>
                </c:pt>
                <c:pt idx="215">
                  <c:v>8.6014827999999994</c:v>
                </c:pt>
                <c:pt idx="216">
                  <c:v>8.9241674999999994</c:v>
                </c:pt>
                <c:pt idx="217">
                  <c:v>8.4851769000000008</c:v>
                </c:pt>
                <c:pt idx="218">
                  <c:v>8.8591259000000004</c:v>
                </c:pt>
                <c:pt idx="219">
                  <c:v>8.3537558000000001</c:v>
                </c:pt>
                <c:pt idx="220">
                  <c:v>8.0725099999999994</c:v>
                </c:pt>
                <c:pt idx="221">
                  <c:v>8.5884686000000006</c:v>
                </c:pt>
                <c:pt idx="222">
                  <c:v>8.9017240999999991</c:v>
                </c:pt>
                <c:pt idx="223">
                  <c:v>9.0418018999999994</c:v>
                </c:pt>
                <c:pt idx="224">
                  <c:v>9.3614864000000004</c:v>
                </c:pt>
                <c:pt idx="225">
                  <c:v>9.2640019999999996</c:v>
                </c:pt>
                <c:pt idx="226">
                  <c:v>9.1367311000000004</c:v>
                </c:pt>
                <c:pt idx="227">
                  <c:v>8.6760167999999993</c:v>
                </c:pt>
                <c:pt idx="228">
                  <c:v>9.0065378000000003</c:v>
                </c:pt>
                <c:pt idx="229">
                  <c:v>8.9850867000000001</c:v>
                </c:pt>
                <c:pt idx="230">
                  <c:v>8.9819671999999997</c:v>
                </c:pt>
                <c:pt idx="231">
                  <c:v>8.8907322000000004</c:v>
                </c:pt>
                <c:pt idx="232">
                  <c:v>9.1354568</c:v>
                </c:pt>
                <c:pt idx="233">
                  <c:v>8.8800489000000002</c:v>
                </c:pt>
                <c:pt idx="234">
                  <c:v>8.9671555000000005</c:v>
                </c:pt>
                <c:pt idx="235">
                  <c:v>8.5367034000000004</c:v>
                </c:pt>
                <c:pt idx="236">
                  <c:v>8.1139910999999998</c:v>
                </c:pt>
                <c:pt idx="237">
                  <c:v>7.9721912000000001</c:v>
                </c:pt>
                <c:pt idx="238">
                  <c:v>8.0323817000000002</c:v>
                </c:pt>
                <c:pt idx="239">
                  <c:v>8.2662037999999995</c:v>
                </c:pt>
                <c:pt idx="240">
                  <c:v>7.6498149</c:v>
                </c:pt>
                <c:pt idx="241">
                  <c:v>8.2258220000000009</c:v>
                </c:pt>
                <c:pt idx="242">
                  <c:v>8.0543499999999995</c:v>
                </c:pt>
                <c:pt idx="243">
                  <c:v>7.9378308000000004</c:v>
                </c:pt>
                <c:pt idx="244">
                  <c:v>7.9455843000000002</c:v>
                </c:pt>
                <c:pt idx="245">
                  <c:v>7.9314238000000001</c:v>
                </c:pt>
                <c:pt idx="246">
                  <c:v>7.7468161000000002</c:v>
                </c:pt>
                <c:pt idx="247">
                  <c:v>7.6121539</c:v>
                </c:pt>
                <c:pt idx="248">
                  <c:v>7.4972501999999999</c:v>
                </c:pt>
                <c:pt idx="249">
                  <c:v>7.8215871000000003</c:v>
                </c:pt>
                <c:pt idx="250">
                  <c:v>7.0760738999999999</c:v>
                </c:pt>
                <c:pt idx="251">
                  <c:v>7.1335917999999996</c:v>
                </c:pt>
                <c:pt idx="252">
                  <c:v>7.3801527</c:v>
                </c:pt>
                <c:pt idx="253">
                  <c:v>7.0401750999999999</c:v>
                </c:pt>
                <c:pt idx="254">
                  <c:v>7.3246821999999998</c:v>
                </c:pt>
                <c:pt idx="255">
                  <c:v>7.4032052999999998</c:v>
                </c:pt>
                <c:pt idx="256">
                  <c:v>7.0556839</c:v>
                </c:pt>
                <c:pt idx="257">
                  <c:v>7.1355336999999999</c:v>
                </c:pt>
                <c:pt idx="258">
                  <c:v>6.9451052000000004</c:v>
                </c:pt>
                <c:pt idx="259">
                  <c:v>6.9772467999999996</c:v>
                </c:pt>
                <c:pt idx="260">
                  <c:v>6.5285419999999998</c:v>
                </c:pt>
                <c:pt idx="261">
                  <c:v>6.6155803999999998</c:v>
                </c:pt>
                <c:pt idx="262">
                  <c:v>6.5912147000000001</c:v>
                </c:pt>
                <c:pt idx="263">
                  <c:v>6.7795959000000003</c:v>
                </c:pt>
                <c:pt idx="264">
                  <c:v>6.6108558000000004</c:v>
                </c:pt>
                <c:pt idx="265">
                  <c:v>6.6201701000000002</c:v>
                </c:pt>
                <c:pt idx="266">
                  <c:v>6.3159783000000003</c:v>
                </c:pt>
                <c:pt idx="267">
                  <c:v>6.6379314000000003</c:v>
                </c:pt>
                <c:pt idx="268">
                  <c:v>6.1296090000000003</c:v>
                </c:pt>
                <c:pt idx="269">
                  <c:v>5.9316608999999998</c:v>
                </c:pt>
                <c:pt idx="270">
                  <c:v>5.9281328999999996</c:v>
                </c:pt>
                <c:pt idx="271">
                  <c:v>5.9582053999999998</c:v>
                </c:pt>
                <c:pt idx="272">
                  <c:v>5.7951549</c:v>
                </c:pt>
                <c:pt idx="273">
                  <c:v>5.8673449</c:v>
                </c:pt>
                <c:pt idx="274">
                  <c:v>5.7124788000000004</c:v>
                </c:pt>
                <c:pt idx="275">
                  <c:v>5.8250244000000002</c:v>
                </c:pt>
                <c:pt idx="276">
                  <c:v>6.0008739000000002</c:v>
                </c:pt>
                <c:pt idx="277">
                  <c:v>6.1226840999999999</c:v>
                </c:pt>
                <c:pt idx="278">
                  <c:v>6.2652212</c:v>
                </c:pt>
                <c:pt idx="279">
                  <c:v>6.4166102</c:v>
                </c:pt>
                <c:pt idx="280">
                  <c:v>6.3231273999999997</c:v>
                </c:pt>
                <c:pt idx="281">
                  <c:v>6.4577036999999997</c:v>
                </c:pt>
                <c:pt idx="282">
                  <c:v>6.5889917000000002</c:v>
                </c:pt>
                <c:pt idx="283">
                  <c:v>6.3592529000000004</c:v>
                </c:pt>
                <c:pt idx="284">
                  <c:v>7.1430372999999996</c:v>
                </c:pt>
                <c:pt idx="285">
                  <c:v>6.6747357000000003</c:v>
                </c:pt>
                <c:pt idx="286">
                  <c:v>6.7436974000000003</c:v>
                </c:pt>
                <c:pt idx="287">
                  <c:v>6.5969144999999996</c:v>
                </c:pt>
                <c:pt idx="288">
                  <c:v>6.2685852999999998</c:v>
                </c:pt>
                <c:pt idx="289">
                  <c:v>6.0327546999999999</c:v>
                </c:pt>
                <c:pt idx="290">
                  <c:v>5.6304631000000001</c:v>
                </c:pt>
                <c:pt idx="291">
                  <c:v>5.7904678000000001</c:v>
                </c:pt>
                <c:pt idx="292">
                  <c:v>6.3202049999999996</c:v>
                </c:pt>
                <c:pt idx="293">
                  <c:v>5.5629656000000001</c:v>
                </c:pt>
                <c:pt idx="294">
                  <c:v>6.2227021999999996</c:v>
                </c:pt>
                <c:pt idx="295">
                  <c:v>5.8975005999999999</c:v>
                </c:pt>
                <c:pt idx="296">
                  <c:v>5.9665622999999997</c:v>
                </c:pt>
                <c:pt idx="297">
                  <c:v>5.7726569999999997</c:v>
                </c:pt>
                <c:pt idx="298">
                  <c:v>5.5955347</c:v>
                </c:pt>
                <c:pt idx="299">
                  <c:v>5.5749560000000002</c:v>
                </c:pt>
                <c:pt idx="300">
                  <c:v>5.0710451000000001</c:v>
                </c:pt>
                <c:pt idx="301">
                  <c:v>5.6165773999999997</c:v>
                </c:pt>
                <c:pt idx="302">
                  <c:v>5.7310819000000004</c:v>
                </c:pt>
                <c:pt idx="303">
                  <c:v>5.8858490000000003</c:v>
                </c:pt>
                <c:pt idx="304">
                  <c:v>5.8966092000000003</c:v>
                </c:pt>
                <c:pt idx="305">
                  <c:v>5.6832263999999997</c:v>
                </c:pt>
                <c:pt idx="306">
                  <c:v>5.5135550000000002</c:v>
                </c:pt>
                <c:pt idx="307">
                  <c:v>5.3008006999999999</c:v>
                </c:pt>
                <c:pt idx="308">
                  <c:v>5.5501889000000002</c:v>
                </c:pt>
                <c:pt idx="309">
                  <c:v>5.2772877999999999</c:v>
                </c:pt>
                <c:pt idx="310">
                  <c:v>5.5575466000000002</c:v>
                </c:pt>
                <c:pt idx="311">
                  <c:v>5.4819142999999997</c:v>
                </c:pt>
                <c:pt idx="312">
                  <c:v>5.5878493999999996</c:v>
                </c:pt>
                <c:pt idx="313">
                  <c:v>5.2255650999999999</c:v>
                </c:pt>
                <c:pt idx="314">
                  <c:v>5.5562877000000004</c:v>
                </c:pt>
                <c:pt idx="315">
                  <c:v>5.0552890000000001</c:v>
                </c:pt>
                <c:pt idx="316">
                  <c:v>5.3191604999999997</c:v>
                </c:pt>
                <c:pt idx="317">
                  <c:v>5.4182781999999996</c:v>
                </c:pt>
                <c:pt idx="318">
                  <c:v>5.8234569</c:v>
                </c:pt>
                <c:pt idx="319">
                  <c:v>5.8130588000000003</c:v>
                </c:pt>
                <c:pt idx="320">
                  <c:v>5.6578115999999996</c:v>
                </c:pt>
                <c:pt idx="321">
                  <c:v>5.6741083000000003</c:v>
                </c:pt>
                <c:pt idx="322">
                  <c:v>5.5503939999999998</c:v>
                </c:pt>
                <c:pt idx="323">
                  <c:v>5.3923133999999999</c:v>
                </c:pt>
                <c:pt idx="324">
                  <c:v>5.4563921000000004</c:v>
                </c:pt>
                <c:pt idx="325">
                  <c:v>5.3695073999999998</c:v>
                </c:pt>
                <c:pt idx="326">
                  <c:v>5.4103437999999997</c:v>
                </c:pt>
                <c:pt idx="327">
                  <c:v>5.3612599999999997</c:v>
                </c:pt>
                <c:pt idx="328">
                  <c:v>5.1729656000000004</c:v>
                </c:pt>
                <c:pt idx="329">
                  <c:v>5.2524609</c:v>
                </c:pt>
                <c:pt idx="330">
                  <c:v>5.0842822999999999</c:v>
                </c:pt>
                <c:pt idx="331">
                  <c:v>5.4767523999999996</c:v>
                </c:pt>
                <c:pt idx="332">
                  <c:v>5.3456830000000002</c:v>
                </c:pt>
                <c:pt idx="333">
                  <c:v>5.2987982000000002</c:v>
                </c:pt>
                <c:pt idx="334">
                  <c:v>5.3160996999999997</c:v>
                </c:pt>
                <c:pt idx="335">
                  <c:v>5.2721931</c:v>
                </c:pt>
                <c:pt idx="336">
                  <c:v>5.3023566999999998</c:v>
                </c:pt>
                <c:pt idx="337">
                  <c:v>5.1142922999999998</c:v>
                </c:pt>
                <c:pt idx="338">
                  <c:v>5.1864938</c:v>
                </c:pt>
                <c:pt idx="339">
                  <c:v>5.0290305999999996</c:v>
                </c:pt>
                <c:pt idx="340">
                  <c:v>5.0095178999999996</c:v>
                </c:pt>
                <c:pt idx="341">
                  <c:v>5.0541613999999999</c:v>
                </c:pt>
                <c:pt idx="342">
                  <c:v>4.5318459999999998</c:v>
                </c:pt>
                <c:pt idx="343">
                  <c:v>4.5783101999999998</c:v>
                </c:pt>
                <c:pt idx="344">
                  <c:v>4.9148085000000004</c:v>
                </c:pt>
                <c:pt idx="345">
                  <c:v>4.7341505000000002</c:v>
                </c:pt>
                <c:pt idx="346">
                  <c:v>5.0492010000000001</c:v>
                </c:pt>
                <c:pt idx="347">
                  <c:v>4.9508888999999998</c:v>
                </c:pt>
                <c:pt idx="348">
                  <c:v>4.8147023999999998</c:v>
                </c:pt>
                <c:pt idx="349">
                  <c:v>4.8375912999999997</c:v>
                </c:pt>
                <c:pt idx="350">
                  <c:v>4.7022192</c:v>
                </c:pt>
                <c:pt idx="351">
                  <c:v>4.7114992000000004</c:v>
                </c:pt>
                <c:pt idx="352">
                  <c:v>4.6439161000000002</c:v>
                </c:pt>
                <c:pt idx="353">
                  <c:v>4.3203961</c:v>
                </c:pt>
                <c:pt idx="354">
                  <c:v>4.7213091</c:v>
                </c:pt>
                <c:pt idx="355">
                  <c:v>4.2488992999999997</c:v>
                </c:pt>
                <c:pt idx="356">
                  <c:v>4.3887206000000001</c:v>
                </c:pt>
                <c:pt idx="357">
                  <c:v>4.9310131000000004</c:v>
                </c:pt>
                <c:pt idx="358">
                  <c:v>4.8798437999999997</c:v>
                </c:pt>
                <c:pt idx="359">
                  <c:v>4.5085167999999998</c:v>
                </c:pt>
                <c:pt idx="360">
                  <c:v>4.1617407000000002</c:v>
                </c:pt>
                <c:pt idx="361">
                  <c:v>4.2682513000000002</c:v>
                </c:pt>
                <c:pt idx="362">
                  <c:v>4.6871831000000004</c:v>
                </c:pt>
                <c:pt idx="363">
                  <c:v>4.3172398000000003</c:v>
                </c:pt>
                <c:pt idx="364">
                  <c:v>4.6642242999999999</c:v>
                </c:pt>
                <c:pt idx="365">
                  <c:v>4.6307270999999997</c:v>
                </c:pt>
                <c:pt idx="366">
                  <c:v>4.1794982999999997</c:v>
                </c:pt>
                <c:pt idx="367">
                  <c:v>4.3661665999999997</c:v>
                </c:pt>
                <c:pt idx="368">
                  <c:v>4.3295320999999998</c:v>
                </c:pt>
                <c:pt idx="369">
                  <c:v>4.4903243000000002</c:v>
                </c:pt>
                <c:pt idx="370">
                  <c:v>4.8102355000000001</c:v>
                </c:pt>
                <c:pt idx="371">
                  <c:v>4.9044322999999999</c:v>
                </c:pt>
                <c:pt idx="372">
                  <c:v>5.6487496000000004</c:v>
                </c:pt>
                <c:pt idx="373">
                  <c:v>5.7022792999999998</c:v>
                </c:pt>
                <c:pt idx="374">
                  <c:v>5.7659210999999999</c:v>
                </c:pt>
                <c:pt idx="375">
                  <c:v>6.0152877</c:v>
                </c:pt>
                <c:pt idx="376">
                  <c:v>6.1494331999999998</c:v>
                </c:pt>
                <c:pt idx="377">
                  <c:v>5.7751576</c:v>
                </c:pt>
                <c:pt idx="378">
                  <c:v>6.0954597000000001</c:v>
                </c:pt>
                <c:pt idx="379">
                  <c:v>5.5689082000000001</c:v>
                </c:pt>
                <c:pt idx="380">
                  <c:v>5.5802028999999997</c:v>
                </c:pt>
                <c:pt idx="381">
                  <c:v>5.1810198999999999</c:v>
                </c:pt>
                <c:pt idx="382">
                  <c:v>5.3561684999999999</c:v>
                </c:pt>
                <c:pt idx="383">
                  <c:v>5.2700697999999999</c:v>
                </c:pt>
                <c:pt idx="384">
                  <c:v>5.3082022000000002</c:v>
                </c:pt>
                <c:pt idx="385">
                  <c:v>5.4498208000000004</c:v>
                </c:pt>
                <c:pt idx="386">
                  <c:v>5.4234150999999997</c:v>
                </c:pt>
                <c:pt idx="387">
                  <c:v>5.5117400999999999</c:v>
                </c:pt>
                <c:pt idx="388">
                  <c:v>5.5027252000000004</c:v>
                </c:pt>
                <c:pt idx="389">
                  <c:v>5.4570555000000001</c:v>
                </c:pt>
                <c:pt idx="390">
                  <c:v>5.4279384000000004</c:v>
                </c:pt>
                <c:pt idx="391">
                  <c:v>5.1674163000000002</c:v>
                </c:pt>
                <c:pt idx="392">
                  <c:v>5.4761519999999999</c:v>
                </c:pt>
                <c:pt idx="393">
                  <c:v>5.2117772999999996</c:v>
                </c:pt>
                <c:pt idx="394">
                  <c:v>4.8439512000000002</c:v>
                </c:pt>
                <c:pt idx="395">
                  <c:v>4.9609588999999996</c:v>
                </c:pt>
                <c:pt idx="396">
                  <c:v>5.0150553000000002</c:v>
                </c:pt>
                <c:pt idx="397">
                  <c:v>4.4057740000000001</c:v>
                </c:pt>
                <c:pt idx="398">
                  <c:v>4.7351793999999998</c:v>
                </c:pt>
                <c:pt idx="399">
                  <c:v>5.1944663000000002</c:v>
                </c:pt>
                <c:pt idx="400">
                  <c:v>4.6590134000000001</c:v>
                </c:pt>
                <c:pt idx="401">
                  <c:v>5.1852014999999998</c:v>
                </c:pt>
                <c:pt idx="402">
                  <c:v>5.1589400000000003</c:v>
                </c:pt>
                <c:pt idx="403">
                  <c:v>5.3200108000000004</c:v>
                </c:pt>
                <c:pt idx="404">
                  <c:v>5.3955226999999999</c:v>
                </c:pt>
                <c:pt idx="405">
                  <c:v>5.3905066000000001</c:v>
                </c:pt>
                <c:pt idx="406">
                  <c:v>5.1966654999999999</c:v>
                </c:pt>
                <c:pt idx="407">
                  <c:v>5.0216232999999999</c:v>
                </c:pt>
                <c:pt idx="408">
                  <c:v>5.5133074000000004</c:v>
                </c:pt>
                <c:pt idx="409">
                  <c:v>5.8305577</c:v>
                </c:pt>
                <c:pt idx="410">
                  <c:v>5.2996838999999998</c:v>
                </c:pt>
                <c:pt idx="411">
                  <c:v>5.5455262999999997</c:v>
                </c:pt>
                <c:pt idx="412">
                  <c:v>5.5330602000000004</c:v>
                </c:pt>
                <c:pt idx="413">
                  <c:v>5.4047972</c:v>
                </c:pt>
                <c:pt idx="414">
                  <c:v>5.6018964999999996</c:v>
                </c:pt>
                <c:pt idx="415">
                  <c:v>5.6437096999999996</c:v>
                </c:pt>
                <c:pt idx="416">
                  <c:v>5.4835197000000004</c:v>
                </c:pt>
                <c:pt idx="417">
                  <c:v>5.4008453999999997</c:v>
                </c:pt>
                <c:pt idx="418">
                  <c:v>5.6619086999999997</c:v>
                </c:pt>
                <c:pt idx="419">
                  <c:v>5.9566469</c:v>
                </c:pt>
                <c:pt idx="420">
                  <c:v>5.6158438000000004</c:v>
                </c:pt>
                <c:pt idx="421">
                  <c:v>5.7079003999999998</c:v>
                </c:pt>
                <c:pt idx="422">
                  <c:v>5.9035770999999997</c:v>
                </c:pt>
                <c:pt idx="423">
                  <c:v>5.5922653999999996</c:v>
                </c:pt>
                <c:pt idx="424">
                  <c:v>5.9218485000000003</c:v>
                </c:pt>
                <c:pt idx="425">
                  <c:v>5.6616735</c:v>
                </c:pt>
                <c:pt idx="426">
                  <c:v>5.8121119999999999</c:v>
                </c:pt>
                <c:pt idx="427">
                  <c:v>5.8786012999999997</c:v>
                </c:pt>
                <c:pt idx="428">
                  <c:v>6.1496746</c:v>
                </c:pt>
                <c:pt idx="429">
                  <c:v>6.1847892</c:v>
                </c:pt>
                <c:pt idx="430">
                  <c:v>6.2657214000000003</c:v>
                </c:pt>
                <c:pt idx="431">
                  <c:v>6.3619444999999999</c:v>
                </c:pt>
                <c:pt idx="432">
                  <c:v>6.3328341000000004</c:v>
                </c:pt>
                <c:pt idx="433">
                  <c:v>6.4927410999999999</c:v>
                </c:pt>
                <c:pt idx="434">
                  <c:v>6.4610330999999999</c:v>
                </c:pt>
                <c:pt idx="435">
                  <c:v>6.2204344000000003</c:v>
                </c:pt>
                <c:pt idx="436">
                  <c:v>6.6044970999999997</c:v>
                </c:pt>
                <c:pt idx="437">
                  <c:v>6.8202173000000004</c:v>
                </c:pt>
                <c:pt idx="438">
                  <c:v>6.8115414999999997</c:v>
                </c:pt>
                <c:pt idx="439">
                  <c:v>6.8619656000000004</c:v>
                </c:pt>
                <c:pt idx="440">
                  <c:v>6.9845898000000002</c:v>
                </c:pt>
                <c:pt idx="441">
                  <c:v>6.7450096000000004</c:v>
                </c:pt>
                <c:pt idx="442">
                  <c:v>6.4414902999999999</c:v>
                </c:pt>
                <c:pt idx="443">
                  <c:v>6.5364367999999997</c:v>
                </c:pt>
                <c:pt idx="444">
                  <c:v>5.9175348000000003</c:v>
                </c:pt>
                <c:pt idx="445">
                  <c:v>6.2270482999999999</c:v>
                </c:pt>
                <c:pt idx="446">
                  <c:v>6.1683262000000001</c:v>
                </c:pt>
                <c:pt idx="447">
                  <c:v>5.9350471999999996</c:v>
                </c:pt>
                <c:pt idx="448">
                  <c:v>6.0261956999999997</c:v>
                </c:pt>
                <c:pt idx="449">
                  <c:v>6.3714928000000004</c:v>
                </c:pt>
                <c:pt idx="450">
                  <c:v>5.9420102000000004</c:v>
                </c:pt>
                <c:pt idx="451">
                  <c:v>6.3199193999999999</c:v>
                </c:pt>
                <c:pt idx="452">
                  <c:v>5.6944273000000001</c:v>
                </c:pt>
                <c:pt idx="453">
                  <c:v>6.2242652999999999</c:v>
                </c:pt>
                <c:pt idx="454">
                  <c:v>5.9752447999999996</c:v>
                </c:pt>
                <c:pt idx="455">
                  <c:v>6.3291532999999998</c:v>
                </c:pt>
                <c:pt idx="456">
                  <c:v>5.8142442000000001</c:v>
                </c:pt>
                <c:pt idx="457">
                  <c:v>5.6431012000000003</c:v>
                </c:pt>
                <c:pt idx="458">
                  <c:v>5.5495748999999996</c:v>
                </c:pt>
                <c:pt idx="459">
                  <c:v>5.7998697000000003</c:v>
                </c:pt>
                <c:pt idx="460">
                  <c:v>5.6770791999999997</c:v>
                </c:pt>
                <c:pt idx="461">
                  <c:v>5.8767718000000002</c:v>
                </c:pt>
                <c:pt idx="462">
                  <c:v>5.5411234</c:v>
                </c:pt>
                <c:pt idx="463">
                  <c:v>5.8134027000000001</c:v>
                </c:pt>
                <c:pt idx="464">
                  <c:v>5.8439109</c:v>
                </c:pt>
                <c:pt idx="465">
                  <c:v>6.0822449000000001</c:v>
                </c:pt>
                <c:pt idx="466">
                  <c:v>6.0577296</c:v>
                </c:pt>
                <c:pt idx="467">
                  <c:v>5.7758060000000002</c:v>
                </c:pt>
                <c:pt idx="468">
                  <c:v>5.9557295000000003</c:v>
                </c:pt>
                <c:pt idx="469">
                  <c:v>6.1873005000000001</c:v>
                </c:pt>
                <c:pt idx="470">
                  <c:v>6.1034778999999997</c:v>
                </c:pt>
                <c:pt idx="471">
                  <c:v>5.9803582999999998</c:v>
                </c:pt>
                <c:pt idx="472">
                  <c:v>5.9439716000000002</c:v>
                </c:pt>
                <c:pt idx="473">
                  <c:v>6.1456964000000003</c:v>
                </c:pt>
                <c:pt idx="474">
                  <c:v>6.1212138999999999</c:v>
                </c:pt>
                <c:pt idx="475">
                  <c:v>6.0221270999999996</c:v>
                </c:pt>
                <c:pt idx="476">
                  <c:v>5.7731896999999996</c:v>
                </c:pt>
                <c:pt idx="477">
                  <c:v>5.5106358000000002</c:v>
                </c:pt>
                <c:pt idx="478">
                  <c:v>6.1328836000000004</c:v>
                </c:pt>
                <c:pt idx="479">
                  <c:v>5.5563311000000004</c:v>
                </c:pt>
                <c:pt idx="480">
                  <c:v>5.6319239000000003</c:v>
                </c:pt>
                <c:pt idx="481">
                  <c:v>5.2294152</c:v>
                </c:pt>
                <c:pt idx="482">
                  <c:v>5.1867340000000004</c:v>
                </c:pt>
                <c:pt idx="483">
                  <c:v>5.0245566000000004</c:v>
                </c:pt>
                <c:pt idx="484">
                  <c:v>5.6042757999999999</c:v>
                </c:pt>
                <c:pt idx="485">
                  <c:v>5.0088109999999997</c:v>
                </c:pt>
                <c:pt idx="486">
                  <c:v>4.7781931999999996</c:v>
                </c:pt>
                <c:pt idx="487">
                  <c:v>4.5845367000000001</c:v>
                </c:pt>
                <c:pt idx="488">
                  <c:v>4.5272769000000004</c:v>
                </c:pt>
                <c:pt idx="489">
                  <c:v>4.6099411000000003</c:v>
                </c:pt>
                <c:pt idx="490">
                  <c:v>4.1745584999999998</c:v>
                </c:pt>
                <c:pt idx="491">
                  <c:v>4.5760218999999998</c:v>
                </c:pt>
                <c:pt idx="492">
                  <c:v>4.7885068000000004</c:v>
                </c:pt>
                <c:pt idx="493">
                  <c:v>4.6062075</c:v>
                </c:pt>
                <c:pt idx="494">
                  <c:v>4.8264696000000002</c:v>
                </c:pt>
                <c:pt idx="495">
                  <c:v>4.5404957000000001</c:v>
                </c:pt>
                <c:pt idx="496">
                  <c:v>4.8632413999999997</c:v>
                </c:pt>
                <c:pt idx="497">
                  <c:v>4.9324101000000002</c:v>
                </c:pt>
                <c:pt idx="498">
                  <c:v>4.9437885000000001</c:v>
                </c:pt>
                <c:pt idx="499">
                  <c:v>4.7435904999999998</c:v>
                </c:pt>
                <c:pt idx="500">
                  <c:v>4.8184484000000003</c:v>
                </c:pt>
                <c:pt idx="501">
                  <c:v>4.5578567000000003</c:v>
                </c:pt>
                <c:pt idx="502">
                  <c:v>4.850047</c:v>
                </c:pt>
                <c:pt idx="503">
                  <c:v>5.3012601999999998</c:v>
                </c:pt>
                <c:pt idx="504">
                  <c:v>5.3226944999999999</c:v>
                </c:pt>
                <c:pt idx="505">
                  <c:v>5.1157260999999998</c:v>
                </c:pt>
                <c:pt idx="506">
                  <c:v>5.8845387999999996</c:v>
                </c:pt>
                <c:pt idx="507">
                  <c:v>6.7130839</c:v>
                </c:pt>
                <c:pt idx="508">
                  <c:v>7.5066537999999996</c:v>
                </c:pt>
                <c:pt idx="509">
                  <c:v>6.9708151000000003</c:v>
                </c:pt>
                <c:pt idx="510">
                  <c:v>7.1234080999999998</c:v>
                </c:pt>
                <c:pt idx="511">
                  <c:v>6.7136186999999996</c:v>
                </c:pt>
                <c:pt idx="512">
                  <c:v>7.2872439</c:v>
                </c:pt>
                <c:pt idx="513">
                  <c:v>7.0948048999999997</c:v>
                </c:pt>
                <c:pt idx="514">
                  <c:v>6.3987081000000003</c:v>
                </c:pt>
                <c:pt idx="515">
                  <c:v>6.2645036000000003</c:v>
                </c:pt>
                <c:pt idx="516">
                  <c:v>5.7106903000000004</c:v>
                </c:pt>
                <c:pt idx="517">
                  <c:v>6.0245543000000001</c:v>
                </c:pt>
                <c:pt idx="518">
                  <c:v>5.3523006000000004</c:v>
                </c:pt>
                <c:pt idx="519">
                  <c:v>4.7310746999999997</c:v>
                </c:pt>
                <c:pt idx="520">
                  <c:v>4.5687148999999998</c:v>
                </c:pt>
                <c:pt idx="521">
                  <c:v>4.6307827000000001</c:v>
                </c:pt>
                <c:pt idx="522">
                  <c:v>4.0853120000000001</c:v>
                </c:pt>
                <c:pt idx="523">
                  <c:v>4.7642866000000001</c:v>
                </c:pt>
                <c:pt idx="524">
                  <c:v>5.614954</c:v>
                </c:pt>
                <c:pt idx="525">
                  <c:v>4.6784319999999999</c:v>
                </c:pt>
                <c:pt idx="526">
                  <c:v>4.2402157999999996</c:v>
                </c:pt>
                <c:pt idx="527">
                  <c:v>4.0899369999999999</c:v>
                </c:pt>
                <c:pt idx="528">
                  <c:v>4.1848647000000003</c:v>
                </c:pt>
                <c:pt idx="529">
                  <c:v>4.0825082000000004</c:v>
                </c:pt>
                <c:pt idx="530">
                  <c:v>4.1849841999999997</c:v>
                </c:pt>
                <c:pt idx="531">
                  <c:v>3.7652736999999998</c:v>
                </c:pt>
                <c:pt idx="532">
                  <c:v>3.3226406000000002</c:v>
                </c:pt>
                <c:pt idx="533">
                  <c:v>3.2704388999999998</c:v>
                </c:pt>
                <c:pt idx="534">
                  <c:v>3.8331545</c:v>
                </c:pt>
                <c:pt idx="535">
                  <c:v>3.5118192000000001</c:v>
                </c:pt>
                <c:pt idx="536">
                  <c:v>3.7130321999999998</c:v>
                </c:pt>
                <c:pt idx="537">
                  <c:v>3.6569047000000001</c:v>
                </c:pt>
                <c:pt idx="538">
                  <c:v>3.4883524000000001</c:v>
                </c:pt>
                <c:pt idx="539">
                  <c:v>4.0537942999999999</c:v>
                </c:pt>
                <c:pt idx="540">
                  <c:v>3.7793024000000002</c:v>
                </c:pt>
                <c:pt idx="541">
                  <c:v>3.7034169000000001</c:v>
                </c:pt>
                <c:pt idx="542">
                  <c:v>3.8705767</c:v>
                </c:pt>
                <c:pt idx="543">
                  <c:v>3.7127965000000001</c:v>
                </c:pt>
                <c:pt idx="544">
                  <c:v>3.7229296000000001</c:v>
                </c:pt>
                <c:pt idx="545">
                  <c:v>3.6773815000000001</c:v>
                </c:pt>
                <c:pt idx="546">
                  <c:v>3.5610854999999999</c:v>
                </c:pt>
                <c:pt idx="547">
                  <c:v>3.5328919999999999</c:v>
                </c:pt>
                <c:pt idx="548">
                  <c:v>3.8530354999999998</c:v>
                </c:pt>
                <c:pt idx="549">
                  <c:v>4.0198368999999996</c:v>
                </c:pt>
                <c:pt idx="550">
                  <c:v>4.0541140999999996</c:v>
                </c:pt>
                <c:pt idx="551">
                  <c:v>3.9525256</c:v>
                </c:pt>
                <c:pt idx="552">
                  <c:v>3.9031813</c:v>
                </c:pt>
                <c:pt idx="553">
                  <c:v>4.1018488</c:v>
                </c:pt>
                <c:pt idx="554">
                  <c:v>4.2842947000000002</c:v>
                </c:pt>
                <c:pt idx="555">
                  <c:v>4.3927813999999996</c:v>
                </c:pt>
                <c:pt idx="556">
                  <c:v>4.5520798999999998</c:v>
                </c:pt>
                <c:pt idx="557">
                  <c:v>4.5899109999999999</c:v>
                </c:pt>
                <c:pt idx="558">
                  <c:v>4.4805878999999997</c:v>
                </c:pt>
                <c:pt idx="559">
                  <c:v>4.4181816999999999</c:v>
                </c:pt>
                <c:pt idx="560">
                  <c:v>4.5425943999999996</c:v>
                </c:pt>
              </c:numCache>
            </c:numRef>
          </c:val>
          <c:smooth val="0"/>
          <c:extLst>
            <c:ext xmlns:c16="http://schemas.microsoft.com/office/drawing/2014/chart" uri="{C3380CC4-5D6E-409C-BE32-E72D297353CC}">
              <c16:uniqueId val="{00000000-AB20-4F5D-BF97-DE243C4939AC}"/>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28856"/>
        </c:scaling>
        <c:delete val="0"/>
        <c:axPos val="b"/>
        <c:numFmt formatCode="yyyy" sourceLinked="0"/>
        <c:majorTickMark val="out"/>
        <c:minorTickMark val="none"/>
        <c:tickLblPos val="low"/>
        <c:spPr>
          <a:noFill/>
          <a:ln w="9525" cap="flat" cmpd="sng" algn="ctr">
            <a:solidFill>
              <a:sysClr val="window" lastClr="FFFFFF">
                <a:lumMod val="50000"/>
              </a:sysClr>
            </a:solidFill>
            <a:round/>
          </a:ln>
          <a:effectLst/>
        </c:spPr>
        <c:txPr>
          <a:bodyPr rot="-60000000" vert="horz"/>
          <a:lstStyle/>
          <a:p>
            <a:pPr>
              <a:defRPr>
                <a:solidFill>
                  <a:schemeClr val="tx1">
                    <a:lumMod val="65000"/>
                    <a:lumOff val="35000"/>
                  </a:schemeClr>
                </a:solidFill>
              </a:defRPr>
            </a:pPr>
            <a:endParaRPr lang="en-US"/>
          </a:p>
        </c:txPr>
        <c:crossAx val="1032677424"/>
        <c:crosses val="autoZero"/>
        <c:auto val="0"/>
        <c:lblOffset val="100"/>
        <c:baseTimeUnit val="months"/>
        <c:majorUnit val="108"/>
        <c:majorTimeUnit val="months"/>
        <c:minorUnit val="1"/>
      </c:dateAx>
      <c:valAx>
        <c:axId val="1032677424"/>
        <c:scaling>
          <c:orientation val="minMax"/>
        </c:scaling>
        <c:delete val="0"/>
        <c:axPos val="l"/>
        <c:majorGridlines>
          <c:spPr>
            <a:ln w="9525">
              <a:solidFill>
                <a:sysClr val="window" lastClr="FFFFFF">
                  <a:lumMod val="75000"/>
                </a:sysClr>
              </a:solidFill>
              <a:prstDash val="dash"/>
            </a:ln>
          </c:spPr>
        </c:majorGridlines>
        <c:title>
          <c:tx>
            <c:rich>
              <a:bodyPr/>
              <a:lstStyle/>
              <a:p>
                <a:pPr>
                  <a:defRPr b="0" i="1">
                    <a:solidFill>
                      <a:schemeClr val="tx1">
                        <a:lumMod val="65000"/>
                        <a:lumOff val="35000"/>
                      </a:schemeClr>
                    </a:solidFill>
                    <a:latin typeface="+mj-lt"/>
                  </a:defRPr>
                </a:pPr>
                <a:r>
                  <a:rPr lang="en-AU" b="0" i="1">
                    <a:solidFill>
                      <a:schemeClr val="tx1">
                        <a:lumMod val="65000"/>
                        <a:lumOff val="35000"/>
                      </a:schemeClr>
                    </a:solidFill>
                    <a:latin typeface="+mj-lt"/>
                  </a:rPr>
                  <a:t>per cent</a:t>
                </a:r>
              </a:p>
            </c:rich>
          </c:tx>
          <c:layout>
            <c:manualLayout>
              <c:xMode val="edge"/>
              <c:yMode val="edge"/>
              <c:x val="2.5132624453604148E-3"/>
              <c:y val="0.33507354428349245"/>
            </c:manualLayout>
          </c:layout>
          <c:overlay val="0"/>
        </c:title>
        <c:numFmt formatCode="#,##0" sourceLinked="0"/>
        <c:majorTickMark val="out"/>
        <c:minorTickMark val="none"/>
        <c:tickLblPos val="nextTo"/>
        <c:spPr>
          <a:noFill/>
          <a:ln>
            <a:solidFill>
              <a:sysClr val="window" lastClr="FFFFFF">
                <a:lumMod val="50000"/>
              </a:sysClr>
            </a:solidFill>
          </a:ln>
          <a:effectLst/>
        </c:spPr>
        <c:txPr>
          <a:bodyPr rot="-60000000" vert="horz"/>
          <a:lstStyle/>
          <a:p>
            <a:pPr>
              <a:defRPr>
                <a:solidFill>
                  <a:schemeClr val="tx1">
                    <a:lumMod val="65000"/>
                    <a:lumOff val="35000"/>
                  </a:schemeClr>
                </a:solidFill>
              </a:defRPr>
            </a:pPr>
            <a:endParaRPr lang="en-US"/>
          </a:p>
        </c:txPr>
        <c:crossAx val="1032676440"/>
        <c:crossesAt val="1"/>
        <c:crossBetween val="between"/>
      </c:valAx>
      <c:spPr>
        <a:noFill/>
        <a:ln>
          <a:noFill/>
        </a:ln>
        <a:effectLst/>
      </c:spPr>
    </c:plotArea>
    <c:legend>
      <c:legendPos val="r"/>
      <c:layout>
        <c:manualLayout>
          <c:xMode val="edge"/>
          <c:yMode val="edge"/>
          <c:x val="0.10179498710290524"/>
          <c:y val="0.88352803330938812"/>
          <c:w val="0.85451351209209092"/>
          <c:h val="4.9558975265558268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c:chart>
  <c:spPr>
    <a:solidFill>
      <a:sysClr val="window" lastClr="FFFFFF"/>
    </a:solidFill>
    <a:ln w="9525" cap="flat" cmpd="sng" algn="ctr">
      <a:noFill/>
      <a:round/>
    </a:ln>
    <a:effectLst/>
  </c:spPr>
  <c:txPr>
    <a:bodyPr/>
    <a:lstStyle/>
    <a:p>
      <a:pPr>
        <a:defRPr sz="900"/>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517143930551113"/>
          <c:y val="3.524609423822022E-2"/>
          <c:w val="0.76212498754111435"/>
          <c:h val="0.74555520808401277"/>
        </c:manualLayout>
      </c:layout>
      <c:lineChart>
        <c:grouping val="standard"/>
        <c:varyColors val="0"/>
        <c:ser>
          <c:idx val="0"/>
          <c:order val="0"/>
          <c:tx>
            <c:v>Participation rate</c:v>
          </c:tx>
          <c:spPr>
            <a:ln w="12700" cap="rnd">
              <a:solidFill>
                <a:srgbClr val="A5A5A5"/>
              </a:solidFill>
              <a:round/>
            </a:ln>
            <a:effectLst/>
          </c:spPr>
          <c:marker>
            <c:symbol val="none"/>
          </c:marker>
          <c:cat>
            <c:numRef>
              <c:f>Sheet1!$A$11:$A$579</c:f>
              <c:numCache>
                <c:formatCode>mmm\-yyyy</c:formatCode>
                <c:ptCount val="569"/>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pt idx="548">
                  <c:v>45200</c:v>
                </c:pt>
                <c:pt idx="549">
                  <c:v>45231</c:v>
                </c:pt>
                <c:pt idx="550">
                  <c:v>45261</c:v>
                </c:pt>
                <c:pt idx="551">
                  <c:v>45292</c:v>
                </c:pt>
                <c:pt idx="552">
                  <c:v>45323</c:v>
                </c:pt>
                <c:pt idx="553">
                  <c:v>45352</c:v>
                </c:pt>
                <c:pt idx="554">
                  <c:v>45383</c:v>
                </c:pt>
                <c:pt idx="555">
                  <c:v>45413</c:v>
                </c:pt>
                <c:pt idx="556">
                  <c:v>45444</c:v>
                </c:pt>
                <c:pt idx="557">
                  <c:v>45474</c:v>
                </c:pt>
                <c:pt idx="558">
                  <c:v>45505</c:v>
                </c:pt>
                <c:pt idx="559">
                  <c:v>45536</c:v>
                </c:pt>
                <c:pt idx="560">
                  <c:v>45566</c:v>
                </c:pt>
              </c:numCache>
            </c:numRef>
          </c:cat>
          <c:val>
            <c:numRef>
              <c:f>Sheet1!$C$11:$C$579</c:f>
              <c:numCache>
                <c:formatCode>0.0;\-0.0;0.0;@</c:formatCode>
                <c:ptCount val="569"/>
                <c:pt idx="0">
                  <c:v>61.255042500000002</c:v>
                </c:pt>
                <c:pt idx="1">
                  <c:v>61.341898100000002</c:v>
                </c:pt>
                <c:pt idx="2">
                  <c:v>61.8820385</c:v>
                </c:pt>
                <c:pt idx="3">
                  <c:v>61.754145700000002</c:v>
                </c:pt>
                <c:pt idx="4">
                  <c:v>61.629983699999997</c:v>
                </c:pt>
                <c:pt idx="5">
                  <c:v>61.445643199999999</c:v>
                </c:pt>
                <c:pt idx="6">
                  <c:v>61.496018399999997</c:v>
                </c:pt>
                <c:pt idx="7">
                  <c:v>60.754182299999997</c:v>
                </c:pt>
                <c:pt idx="8">
                  <c:v>60.677519599999997</c:v>
                </c:pt>
                <c:pt idx="9">
                  <c:v>60.7571917</c:v>
                </c:pt>
                <c:pt idx="10">
                  <c:v>61.146219700000003</c:v>
                </c:pt>
                <c:pt idx="11">
                  <c:v>61.245108500000001</c:v>
                </c:pt>
                <c:pt idx="12">
                  <c:v>61.394090499999997</c:v>
                </c:pt>
                <c:pt idx="13">
                  <c:v>60.964240400000001</c:v>
                </c:pt>
                <c:pt idx="14">
                  <c:v>61.3011816</c:v>
                </c:pt>
                <c:pt idx="15">
                  <c:v>60.884674199999999</c:v>
                </c:pt>
                <c:pt idx="16">
                  <c:v>61.0171396</c:v>
                </c:pt>
                <c:pt idx="17">
                  <c:v>60.7221312</c:v>
                </c:pt>
                <c:pt idx="18">
                  <c:v>60.947928599999997</c:v>
                </c:pt>
                <c:pt idx="19">
                  <c:v>61.191931400000001</c:v>
                </c:pt>
                <c:pt idx="20">
                  <c:v>61.560278799999999</c:v>
                </c:pt>
                <c:pt idx="21">
                  <c:v>61.859251200000003</c:v>
                </c:pt>
                <c:pt idx="22">
                  <c:v>61.4625877</c:v>
                </c:pt>
                <c:pt idx="23">
                  <c:v>61.860591300000003</c:v>
                </c:pt>
                <c:pt idx="24">
                  <c:v>61.770834600000001</c:v>
                </c:pt>
                <c:pt idx="25">
                  <c:v>61.166016399999997</c:v>
                </c:pt>
                <c:pt idx="26">
                  <c:v>61.499928400000002</c:v>
                </c:pt>
                <c:pt idx="27">
                  <c:v>61.672359299999997</c:v>
                </c:pt>
                <c:pt idx="28">
                  <c:v>61.806742100000001</c:v>
                </c:pt>
                <c:pt idx="29">
                  <c:v>61.993263599999999</c:v>
                </c:pt>
                <c:pt idx="30">
                  <c:v>62.384248300000003</c:v>
                </c:pt>
                <c:pt idx="31">
                  <c:v>61.745641999999997</c:v>
                </c:pt>
                <c:pt idx="32">
                  <c:v>61.771266799999999</c:v>
                </c:pt>
                <c:pt idx="33">
                  <c:v>61.758979699999998</c:v>
                </c:pt>
                <c:pt idx="34">
                  <c:v>62.153035099999997</c:v>
                </c:pt>
                <c:pt idx="35">
                  <c:v>61.744954800000002</c:v>
                </c:pt>
                <c:pt idx="36">
                  <c:v>61.850163500000001</c:v>
                </c:pt>
                <c:pt idx="37">
                  <c:v>62.163326699999999</c:v>
                </c:pt>
                <c:pt idx="38">
                  <c:v>61.960146199999997</c:v>
                </c:pt>
                <c:pt idx="39">
                  <c:v>62.009442800000002</c:v>
                </c:pt>
                <c:pt idx="40">
                  <c:v>61.743540899999999</c:v>
                </c:pt>
                <c:pt idx="41">
                  <c:v>61.772903700000001</c:v>
                </c:pt>
                <c:pt idx="42">
                  <c:v>61.996432400000003</c:v>
                </c:pt>
                <c:pt idx="43">
                  <c:v>61.900038500000001</c:v>
                </c:pt>
                <c:pt idx="44">
                  <c:v>61.558978799999998</c:v>
                </c:pt>
                <c:pt idx="45">
                  <c:v>61.058734800000003</c:v>
                </c:pt>
                <c:pt idx="46">
                  <c:v>61.0144509</c:v>
                </c:pt>
                <c:pt idx="47">
                  <c:v>60.999625700000003</c:v>
                </c:pt>
                <c:pt idx="48">
                  <c:v>61.101987299999998</c:v>
                </c:pt>
                <c:pt idx="49">
                  <c:v>61.0346628</c:v>
                </c:pt>
                <c:pt idx="50">
                  <c:v>61.220007600000002</c:v>
                </c:pt>
                <c:pt idx="51">
                  <c:v>60.990400899999997</c:v>
                </c:pt>
                <c:pt idx="52">
                  <c:v>60.869024000000003</c:v>
                </c:pt>
                <c:pt idx="53">
                  <c:v>61.0810435</c:v>
                </c:pt>
                <c:pt idx="54">
                  <c:v>61.058161699999999</c:v>
                </c:pt>
                <c:pt idx="55">
                  <c:v>60.961934900000003</c:v>
                </c:pt>
                <c:pt idx="56">
                  <c:v>61.172873899999999</c:v>
                </c:pt>
                <c:pt idx="57">
                  <c:v>60.267041200000001</c:v>
                </c:pt>
                <c:pt idx="58">
                  <c:v>60.416976699999999</c:v>
                </c:pt>
                <c:pt idx="59">
                  <c:v>60.327867500000004</c:v>
                </c:pt>
                <c:pt idx="60">
                  <c:v>60.348598899999999</c:v>
                </c:pt>
                <c:pt idx="61">
                  <c:v>59.9467049</c:v>
                </c:pt>
                <c:pt idx="62">
                  <c:v>59.856988999999999</c:v>
                </c:pt>
                <c:pt idx="63">
                  <c:v>60.172028500000003</c:v>
                </c:pt>
                <c:pt idx="64">
                  <c:v>60.330832200000003</c:v>
                </c:pt>
                <c:pt idx="65">
                  <c:v>60.604930799999998</c:v>
                </c:pt>
                <c:pt idx="66">
                  <c:v>60.610550000000003</c:v>
                </c:pt>
                <c:pt idx="67">
                  <c:v>60.925457600000001</c:v>
                </c:pt>
                <c:pt idx="68">
                  <c:v>60.6474665</c:v>
                </c:pt>
                <c:pt idx="69">
                  <c:v>60.610087700000001</c:v>
                </c:pt>
                <c:pt idx="70">
                  <c:v>60.459555999999999</c:v>
                </c:pt>
                <c:pt idx="71">
                  <c:v>59.671267499999999</c:v>
                </c:pt>
                <c:pt idx="72">
                  <c:v>60.317912200000002</c:v>
                </c:pt>
                <c:pt idx="73">
                  <c:v>60.543172300000002</c:v>
                </c:pt>
                <c:pt idx="74">
                  <c:v>60.411174099999997</c:v>
                </c:pt>
                <c:pt idx="75">
                  <c:v>60.392166899999999</c:v>
                </c:pt>
                <c:pt idx="76">
                  <c:v>60.518738599999999</c:v>
                </c:pt>
                <c:pt idx="77">
                  <c:v>60.518568700000003</c:v>
                </c:pt>
                <c:pt idx="78">
                  <c:v>60.000854199999999</c:v>
                </c:pt>
                <c:pt idx="79">
                  <c:v>60.4517983</c:v>
                </c:pt>
                <c:pt idx="80">
                  <c:v>60.297758899999998</c:v>
                </c:pt>
                <c:pt idx="81">
                  <c:v>60.660336200000003</c:v>
                </c:pt>
                <c:pt idx="82">
                  <c:v>60.576848499999997</c:v>
                </c:pt>
                <c:pt idx="83">
                  <c:v>60.142987300000001</c:v>
                </c:pt>
                <c:pt idx="84">
                  <c:v>60.518225200000003</c:v>
                </c:pt>
                <c:pt idx="85">
                  <c:v>60.0298303</c:v>
                </c:pt>
                <c:pt idx="86">
                  <c:v>59.882995299999997</c:v>
                </c:pt>
                <c:pt idx="87">
                  <c:v>60.140037599999999</c:v>
                </c:pt>
                <c:pt idx="88">
                  <c:v>60.434040000000003</c:v>
                </c:pt>
                <c:pt idx="89">
                  <c:v>60.764591099999997</c:v>
                </c:pt>
                <c:pt idx="90">
                  <c:v>60.670390599999998</c:v>
                </c:pt>
                <c:pt idx="91">
                  <c:v>60.814480799999998</c:v>
                </c:pt>
                <c:pt idx="92">
                  <c:v>60.329192300000003</c:v>
                </c:pt>
                <c:pt idx="93">
                  <c:v>61.515096499999999</c:v>
                </c:pt>
                <c:pt idx="94">
                  <c:v>60.956169899999999</c:v>
                </c:pt>
                <c:pt idx="95">
                  <c:v>61.305958099999998</c:v>
                </c:pt>
                <c:pt idx="96">
                  <c:v>61.4332718</c:v>
                </c:pt>
                <c:pt idx="97">
                  <c:v>61.7062454</c:v>
                </c:pt>
                <c:pt idx="98">
                  <c:v>61.834364800000003</c:v>
                </c:pt>
                <c:pt idx="99">
                  <c:v>61.555939000000002</c:v>
                </c:pt>
                <c:pt idx="100">
                  <c:v>61.550295599999998</c:v>
                </c:pt>
                <c:pt idx="101">
                  <c:v>61.757353199999997</c:v>
                </c:pt>
                <c:pt idx="102">
                  <c:v>61.447618300000002</c:v>
                </c:pt>
                <c:pt idx="103">
                  <c:v>62.2746754</c:v>
                </c:pt>
                <c:pt idx="104">
                  <c:v>62.436475700000003</c:v>
                </c:pt>
                <c:pt idx="105">
                  <c:v>62.072204900000003</c:v>
                </c:pt>
                <c:pt idx="106">
                  <c:v>62.374844099999997</c:v>
                </c:pt>
                <c:pt idx="107">
                  <c:v>62.347862300000003</c:v>
                </c:pt>
                <c:pt idx="108">
                  <c:v>62.2805471</c:v>
                </c:pt>
                <c:pt idx="109">
                  <c:v>62.912518499999997</c:v>
                </c:pt>
                <c:pt idx="110">
                  <c:v>62.6264951</c:v>
                </c:pt>
                <c:pt idx="111">
                  <c:v>62.776757500000002</c:v>
                </c:pt>
                <c:pt idx="112">
                  <c:v>62.525193199999997</c:v>
                </c:pt>
                <c:pt idx="113">
                  <c:v>62.899253899999998</c:v>
                </c:pt>
                <c:pt idx="114">
                  <c:v>63.022974599999998</c:v>
                </c:pt>
                <c:pt idx="115">
                  <c:v>61.684306100000001</c:v>
                </c:pt>
                <c:pt idx="116">
                  <c:v>62.257627499999998</c:v>
                </c:pt>
                <c:pt idx="117">
                  <c:v>62.079519400000002</c:v>
                </c:pt>
                <c:pt idx="118">
                  <c:v>62.5964265</c:v>
                </c:pt>
                <c:pt idx="119">
                  <c:v>62.691348699999999</c:v>
                </c:pt>
                <c:pt idx="120">
                  <c:v>62.0955376</c:v>
                </c:pt>
                <c:pt idx="121">
                  <c:v>62.401336399999998</c:v>
                </c:pt>
                <c:pt idx="122">
                  <c:v>62.970308500000002</c:v>
                </c:pt>
                <c:pt idx="123">
                  <c:v>62.304867100000003</c:v>
                </c:pt>
                <c:pt idx="124">
                  <c:v>62.307018900000003</c:v>
                </c:pt>
                <c:pt idx="125">
                  <c:v>61.752356200000001</c:v>
                </c:pt>
                <c:pt idx="126">
                  <c:v>61.959578299999997</c:v>
                </c:pt>
                <c:pt idx="127">
                  <c:v>62.453221399999997</c:v>
                </c:pt>
                <c:pt idx="128">
                  <c:v>62.173808999999999</c:v>
                </c:pt>
                <c:pt idx="129">
                  <c:v>62.440383400000002</c:v>
                </c:pt>
                <c:pt idx="130">
                  <c:v>63.221052200000003</c:v>
                </c:pt>
                <c:pt idx="131">
                  <c:v>62.785800799999997</c:v>
                </c:pt>
                <c:pt idx="132">
                  <c:v>63.548617499999999</c:v>
                </c:pt>
                <c:pt idx="133">
                  <c:v>63.520436500000002</c:v>
                </c:pt>
                <c:pt idx="134">
                  <c:v>63.6104311</c:v>
                </c:pt>
                <c:pt idx="135">
                  <c:v>64.098909199999994</c:v>
                </c:pt>
                <c:pt idx="136">
                  <c:v>63.658022600000002</c:v>
                </c:pt>
                <c:pt idx="137">
                  <c:v>63.668249099999997</c:v>
                </c:pt>
                <c:pt idx="138">
                  <c:v>63.825369199999997</c:v>
                </c:pt>
                <c:pt idx="139">
                  <c:v>64.123800900000006</c:v>
                </c:pt>
                <c:pt idx="140">
                  <c:v>63.886601400000004</c:v>
                </c:pt>
                <c:pt idx="141">
                  <c:v>64.184251200000006</c:v>
                </c:pt>
                <c:pt idx="142">
                  <c:v>63.705278900000003</c:v>
                </c:pt>
                <c:pt idx="143">
                  <c:v>64.448779999999999</c:v>
                </c:pt>
                <c:pt idx="144">
                  <c:v>64.614273299999994</c:v>
                </c:pt>
                <c:pt idx="145">
                  <c:v>64.264431400000007</c:v>
                </c:pt>
                <c:pt idx="146">
                  <c:v>64.817256599999993</c:v>
                </c:pt>
                <c:pt idx="147">
                  <c:v>64.894165599999994</c:v>
                </c:pt>
                <c:pt idx="148">
                  <c:v>64.758403599999994</c:v>
                </c:pt>
                <c:pt idx="149">
                  <c:v>65.242221099999995</c:v>
                </c:pt>
                <c:pt idx="150">
                  <c:v>64.947643900000003</c:v>
                </c:pt>
                <c:pt idx="151">
                  <c:v>64.356347600000007</c:v>
                </c:pt>
                <c:pt idx="152">
                  <c:v>64.643014100000002</c:v>
                </c:pt>
                <c:pt idx="153">
                  <c:v>64.722611200000003</c:v>
                </c:pt>
                <c:pt idx="154">
                  <c:v>64.276198600000001</c:v>
                </c:pt>
                <c:pt idx="155">
                  <c:v>64.215891799999994</c:v>
                </c:pt>
                <c:pt idx="156">
                  <c:v>64.1145839</c:v>
                </c:pt>
                <c:pt idx="157">
                  <c:v>63.421926499999998</c:v>
                </c:pt>
                <c:pt idx="158">
                  <c:v>63.797623199999997</c:v>
                </c:pt>
                <c:pt idx="159">
                  <c:v>63.2888017</c:v>
                </c:pt>
                <c:pt idx="160">
                  <c:v>63.009250000000002</c:v>
                </c:pt>
                <c:pt idx="161">
                  <c:v>62.706130100000003</c:v>
                </c:pt>
                <c:pt idx="162">
                  <c:v>62.963967500000003</c:v>
                </c:pt>
                <c:pt idx="163">
                  <c:v>63.544757699999998</c:v>
                </c:pt>
                <c:pt idx="164">
                  <c:v>63.172083299999997</c:v>
                </c:pt>
                <c:pt idx="165">
                  <c:v>62.696851100000003</c:v>
                </c:pt>
                <c:pt idx="166">
                  <c:v>63.215402300000001</c:v>
                </c:pt>
                <c:pt idx="167">
                  <c:v>63.4871269</c:v>
                </c:pt>
                <c:pt idx="168">
                  <c:v>62.970148100000003</c:v>
                </c:pt>
                <c:pt idx="169">
                  <c:v>62.9336044</c:v>
                </c:pt>
                <c:pt idx="170">
                  <c:v>62.679655199999999</c:v>
                </c:pt>
                <c:pt idx="171">
                  <c:v>62.7423158</c:v>
                </c:pt>
                <c:pt idx="172">
                  <c:v>63.084886599999997</c:v>
                </c:pt>
                <c:pt idx="173">
                  <c:v>63.269940200000001</c:v>
                </c:pt>
                <c:pt idx="174">
                  <c:v>62.8655179</c:v>
                </c:pt>
                <c:pt idx="175">
                  <c:v>62.362708599999998</c:v>
                </c:pt>
                <c:pt idx="176">
                  <c:v>62.842222599999999</c:v>
                </c:pt>
                <c:pt idx="177">
                  <c:v>62.807681199999998</c:v>
                </c:pt>
                <c:pt idx="178">
                  <c:v>62.653179299999998</c:v>
                </c:pt>
                <c:pt idx="179">
                  <c:v>62.285856299999999</c:v>
                </c:pt>
                <c:pt idx="180">
                  <c:v>61.495178899999999</c:v>
                </c:pt>
                <c:pt idx="181">
                  <c:v>62.474174400000003</c:v>
                </c:pt>
                <c:pt idx="182">
                  <c:v>62.032396400000003</c:v>
                </c:pt>
                <c:pt idx="183">
                  <c:v>62.223044700000003</c:v>
                </c:pt>
                <c:pt idx="184">
                  <c:v>62.330713099999997</c:v>
                </c:pt>
                <c:pt idx="185">
                  <c:v>62.355989899999997</c:v>
                </c:pt>
                <c:pt idx="186">
                  <c:v>62.490191099999997</c:v>
                </c:pt>
                <c:pt idx="187">
                  <c:v>62.5484437</c:v>
                </c:pt>
                <c:pt idx="188">
                  <c:v>62.874775200000002</c:v>
                </c:pt>
                <c:pt idx="189">
                  <c:v>62.983024999999998</c:v>
                </c:pt>
                <c:pt idx="190">
                  <c:v>62.673551000000003</c:v>
                </c:pt>
                <c:pt idx="191">
                  <c:v>62.487721399999998</c:v>
                </c:pt>
                <c:pt idx="192">
                  <c:v>62.379921899999999</c:v>
                </c:pt>
                <c:pt idx="193">
                  <c:v>62.9659987</c:v>
                </c:pt>
                <c:pt idx="194">
                  <c:v>62.707031499999999</c:v>
                </c:pt>
                <c:pt idx="195">
                  <c:v>62.609639700000002</c:v>
                </c:pt>
                <c:pt idx="196">
                  <c:v>62.762262499999999</c:v>
                </c:pt>
                <c:pt idx="197">
                  <c:v>63.2318055</c:v>
                </c:pt>
                <c:pt idx="198">
                  <c:v>62.775285500000003</c:v>
                </c:pt>
                <c:pt idx="199">
                  <c:v>62.9552902</c:v>
                </c:pt>
                <c:pt idx="200">
                  <c:v>62.7268811</c:v>
                </c:pt>
                <c:pt idx="201">
                  <c:v>62.388399499999998</c:v>
                </c:pt>
                <c:pt idx="202">
                  <c:v>62.7114622</c:v>
                </c:pt>
                <c:pt idx="203">
                  <c:v>62.635517</c:v>
                </c:pt>
                <c:pt idx="204">
                  <c:v>62.8815819</c:v>
                </c:pt>
                <c:pt idx="205">
                  <c:v>63.026587200000002</c:v>
                </c:pt>
                <c:pt idx="206">
                  <c:v>62.690105600000003</c:v>
                </c:pt>
                <c:pt idx="207">
                  <c:v>63.149221599999997</c:v>
                </c:pt>
                <c:pt idx="208">
                  <c:v>63.1839388</c:v>
                </c:pt>
                <c:pt idx="209">
                  <c:v>63.6133314</c:v>
                </c:pt>
                <c:pt idx="210">
                  <c:v>63.240714500000003</c:v>
                </c:pt>
                <c:pt idx="211">
                  <c:v>63.199577900000001</c:v>
                </c:pt>
                <c:pt idx="212">
                  <c:v>63.3177594</c:v>
                </c:pt>
                <c:pt idx="213">
                  <c:v>63.453741700000002</c:v>
                </c:pt>
                <c:pt idx="214">
                  <c:v>63.327037599999997</c:v>
                </c:pt>
                <c:pt idx="215">
                  <c:v>63.832620200000001</c:v>
                </c:pt>
                <c:pt idx="216">
                  <c:v>63.5800074</c:v>
                </c:pt>
                <c:pt idx="217">
                  <c:v>62.927486500000001</c:v>
                </c:pt>
                <c:pt idx="218">
                  <c:v>63.611051799999998</c:v>
                </c:pt>
                <c:pt idx="219">
                  <c:v>63.536523000000003</c:v>
                </c:pt>
                <c:pt idx="220">
                  <c:v>62.900649199999997</c:v>
                </c:pt>
                <c:pt idx="221">
                  <c:v>63.141651799999998</c:v>
                </c:pt>
                <c:pt idx="222">
                  <c:v>63.368498899999999</c:v>
                </c:pt>
                <c:pt idx="223">
                  <c:v>63.318555400000001</c:v>
                </c:pt>
                <c:pt idx="224">
                  <c:v>63.658893399999997</c:v>
                </c:pt>
                <c:pt idx="225">
                  <c:v>63.926789999999997</c:v>
                </c:pt>
                <c:pt idx="226">
                  <c:v>63.444325800000001</c:v>
                </c:pt>
                <c:pt idx="227">
                  <c:v>63.309266600000001</c:v>
                </c:pt>
                <c:pt idx="228">
                  <c:v>63.239173200000003</c:v>
                </c:pt>
                <c:pt idx="229">
                  <c:v>63.0632789</c:v>
                </c:pt>
                <c:pt idx="230">
                  <c:v>63.237641199999999</c:v>
                </c:pt>
                <c:pt idx="231">
                  <c:v>63.123089299999997</c:v>
                </c:pt>
                <c:pt idx="232">
                  <c:v>63.493498600000002</c:v>
                </c:pt>
                <c:pt idx="233">
                  <c:v>63.084667899999999</c:v>
                </c:pt>
                <c:pt idx="234">
                  <c:v>62.682015499999999</c:v>
                </c:pt>
                <c:pt idx="235">
                  <c:v>62.952951400000003</c:v>
                </c:pt>
                <c:pt idx="236">
                  <c:v>62.675316600000002</c:v>
                </c:pt>
                <c:pt idx="237">
                  <c:v>62.885278599999999</c:v>
                </c:pt>
                <c:pt idx="238">
                  <c:v>62.993853799999997</c:v>
                </c:pt>
                <c:pt idx="239">
                  <c:v>62.871548500000003</c:v>
                </c:pt>
                <c:pt idx="240">
                  <c:v>62.890360299999998</c:v>
                </c:pt>
                <c:pt idx="241">
                  <c:v>63.117299899999999</c:v>
                </c:pt>
                <c:pt idx="242">
                  <c:v>63.3630347</c:v>
                </c:pt>
                <c:pt idx="243">
                  <c:v>63.212734099999999</c:v>
                </c:pt>
                <c:pt idx="244">
                  <c:v>63.3868449</c:v>
                </c:pt>
                <c:pt idx="245">
                  <c:v>63.245879600000002</c:v>
                </c:pt>
                <c:pt idx="246">
                  <c:v>63.718616400000002</c:v>
                </c:pt>
                <c:pt idx="247">
                  <c:v>63.6142088</c:v>
                </c:pt>
                <c:pt idx="248">
                  <c:v>62.869013899999999</c:v>
                </c:pt>
                <c:pt idx="249">
                  <c:v>63.056705399999998</c:v>
                </c:pt>
                <c:pt idx="250">
                  <c:v>62.5860986</c:v>
                </c:pt>
                <c:pt idx="251">
                  <c:v>62.528270399999997</c:v>
                </c:pt>
                <c:pt idx="252">
                  <c:v>62.590677900000003</c:v>
                </c:pt>
                <c:pt idx="253">
                  <c:v>62.2699839</c:v>
                </c:pt>
                <c:pt idx="254">
                  <c:v>62.556458399999997</c:v>
                </c:pt>
                <c:pt idx="255">
                  <c:v>62.081451000000001</c:v>
                </c:pt>
                <c:pt idx="256">
                  <c:v>62.516674500000001</c:v>
                </c:pt>
                <c:pt idx="257">
                  <c:v>62.7096722</c:v>
                </c:pt>
                <c:pt idx="258">
                  <c:v>62.382708299999997</c:v>
                </c:pt>
                <c:pt idx="259">
                  <c:v>62.414876999999997</c:v>
                </c:pt>
                <c:pt idx="260">
                  <c:v>62.264644199999999</c:v>
                </c:pt>
                <c:pt idx="261">
                  <c:v>62.104829199999998</c:v>
                </c:pt>
                <c:pt idx="262">
                  <c:v>62.709296899999998</c:v>
                </c:pt>
                <c:pt idx="263">
                  <c:v>62.036273700000002</c:v>
                </c:pt>
                <c:pt idx="264">
                  <c:v>62.308950799999998</c:v>
                </c:pt>
                <c:pt idx="265">
                  <c:v>62.464760300000002</c:v>
                </c:pt>
                <c:pt idx="266">
                  <c:v>62.482257500000003</c:v>
                </c:pt>
                <c:pt idx="267">
                  <c:v>62.711035299999999</c:v>
                </c:pt>
                <c:pt idx="268">
                  <c:v>62.832136499999997</c:v>
                </c:pt>
                <c:pt idx="269">
                  <c:v>63.394906599999999</c:v>
                </c:pt>
                <c:pt idx="270">
                  <c:v>63.167766399999998</c:v>
                </c:pt>
                <c:pt idx="271">
                  <c:v>63.141716700000003</c:v>
                </c:pt>
                <c:pt idx="272">
                  <c:v>63.071394499999997</c:v>
                </c:pt>
                <c:pt idx="273">
                  <c:v>62.834575899999997</c:v>
                </c:pt>
                <c:pt idx="274">
                  <c:v>62.978261799999999</c:v>
                </c:pt>
                <c:pt idx="275">
                  <c:v>63.017773400000003</c:v>
                </c:pt>
                <c:pt idx="276">
                  <c:v>63.3226473</c:v>
                </c:pt>
                <c:pt idx="277">
                  <c:v>62.984192200000003</c:v>
                </c:pt>
                <c:pt idx="278">
                  <c:v>63.362777299999998</c:v>
                </c:pt>
                <c:pt idx="279">
                  <c:v>63.571908800000003</c:v>
                </c:pt>
                <c:pt idx="280">
                  <c:v>63.415907300000001</c:v>
                </c:pt>
                <c:pt idx="281">
                  <c:v>63.420534400000001</c:v>
                </c:pt>
                <c:pt idx="282">
                  <c:v>63.483744799999997</c:v>
                </c:pt>
                <c:pt idx="283">
                  <c:v>63.358883400000003</c:v>
                </c:pt>
                <c:pt idx="284">
                  <c:v>63.837139800000003</c:v>
                </c:pt>
                <c:pt idx="285">
                  <c:v>63.673350499999998</c:v>
                </c:pt>
                <c:pt idx="286">
                  <c:v>63.198597999999997</c:v>
                </c:pt>
                <c:pt idx="287">
                  <c:v>63.489267300000002</c:v>
                </c:pt>
                <c:pt idx="288">
                  <c:v>63.104758699999998</c:v>
                </c:pt>
                <c:pt idx="289">
                  <c:v>62.9583893</c:v>
                </c:pt>
                <c:pt idx="290">
                  <c:v>62.694490000000002</c:v>
                </c:pt>
                <c:pt idx="291">
                  <c:v>62.871637399999997</c:v>
                </c:pt>
                <c:pt idx="292">
                  <c:v>63.180590000000002</c:v>
                </c:pt>
                <c:pt idx="293">
                  <c:v>62.5897772</c:v>
                </c:pt>
                <c:pt idx="294">
                  <c:v>63.3661672</c:v>
                </c:pt>
                <c:pt idx="295">
                  <c:v>63.062081999999997</c:v>
                </c:pt>
                <c:pt idx="296">
                  <c:v>62.787639499999997</c:v>
                </c:pt>
                <c:pt idx="297">
                  <c:v>63.334654299999997</c:v>
                </c:pt>
                <c:pt idx="298">
                  <c:v>63.687267800000001</c:v>
                </c:pt>
                <c:pt idx="299">
                  <c:v>63.755618400000003</c:v>
                </c:pt>
                <c:pt idx="300">
                  <c:v>63.539830199999997</c:v>
                </c:pt>
                <c:pt idx="301">
                  <c:v>63.132331999999998</c:v>
                </c:pt>
                <c:pt idx="302">
                  <c:v>63.127713900000003</c:v>
                </c:pt>
                <c:pt idx="303">
                  <c:v>63.473675299999996</c:v>
                </c:pt>
                <c:pt idx="304">
                  <c:v>63.229765200000003</c:v>
                </c:pt>
                <c:pt idx="305">
                  <c:v>63.034803199999999</c:v>
                </c:pt>
                <c:pt idx="306">
                  <c:v>63.010893899999999</c:v>
                </c:pt>
                <c:pt idx="307">
                  <c:v>63.283828700000001</c:v>
                </c:pt>
                <c:pt idx="308">
                  <c:v>63.103043200000002</c:v>
                </c:pt>
                <c:pt idx="309">
                  <c:v>62.763038700000003</c:v>
                </c:pt>
                <c:pt idx="310">
                  <c:v>63.089275100000002</c:v>
                </c:pt>
                <c:pt idx="311">
                  <c:v>63.099020400000001</c:v>
                </c:pt>
                <c:pt idx="312">
                  <c:v>63.0627797</c:v>
                </c:pt>
                <c:pt idx="313">
                  <c:v>63.031449000000002</c:v>
                </c:pt>
                <c:pt idx="314">
                  <c:v>63.087995200000002</c:v>
                </c:pt>
                <c:pt idx="315">
                  <c:v>62.855410900000003</c:v>
                </c:pt>
                <c:pt idx="316">
                  <c:v>63.089809899999999</c:v>
                </c:pt>
                <c:pt idx="317">
                  <c:v>63.217730600000003</c:v>
                </c:pt>
                <c:pt idx="318">
                  <c:v>63.666829900000003</c:v>
                </c:pt>
                <c:pt idx="319">
                  <c:v>63.874916900000002</c:v>
                </c:pt>
                <c:pt idx="320">
                  <c:v>63.985801600000002</c:v>
                </c:pt>
                <c:pt idx="321">
                  <c:v>64.165477999999993</c:v>
                </c:pt>
                <c:pt idx="322">
                  <c:v>64.383222200000006</c:v>
                </c:pt>
                <c:pt idx="323">
                  <c:v>64.3798484</c:v>
                </c:pt>
                <c:pt idx="324">
                  <c:v>64.270680799999994</c:v>
                </c:pt>
                <c:pt idx="325">
                  <c:v>64.355891099999994</c:v>
                </c:pt>
                <c:pt idx="326">
                  <c:v>64.3566395</c:v>
                </c:pt>
                <c:pt idx="327">
                  <c:v>64.612584200000001</c:v>
                </c:pt>
                <c:pt idx="328">
                  <c:v>64.3838528</c:v>
                </c:pt>
                <c:pt idx="329">
                  <c:v>64.059170100000003</c:v>
                </c:pt>
                <c:pt idx="330">
                  <c:v>64.4123132</c:v>
                </c:pt>
                <c:pt idx="331">
                  <c:v>64.2176039</c:v>
                </c:pt>
                <c:pt idx="332">
                  <c:v>64.558681500000006</c:v>
                </c:pt>
                <c:pt idx="333">
                  <c:v>64.090992299999996</c:v>
                </c:pt>
                <c:pt idx="334">
                  <c:v>64.121728300000001</c:v>
                </c:pt>
                <c:pt idx="335">
                  <c:v>63.781696599999997</c:v>
                </c:pt>
                <c:pt idx="336">
                  <c:v>64.1019881</c:v>
                </c:pt>
                <c:pt idx="337">
                  <c:v>64.181253799999993</c:v>
                </c:pt>
                <c:pt idx="338">
                  <c:v>64.5975988</c:v>
                </c:pt>
                <c:pt idx="339">
                  <c:v>64.159065999999996</c:v>
                </c:pt>
                <c:pt idx="340">
                  <c:v>64.675966399999993</c:v>
                </c:pt>
                <c:pt idx="341">
                  <c:v>64.743632899999994</c:v>
                </c:pt>
                <c:pt idx="342">
                  <c:v>64.4692328</c:v>
                </c:pt>
                <c:pt idx="343">
                  <c:v>64.707978999999995</c:v>
                </c:pt>
                <c:pt idx="344">
                  <c:v>64.577385599999999</c:v>
                </c:pt>
                <c:pt idx="345">
                  <c:v>64.200105300000004</c:v>
                </c:pt>
                <c:pt idx="346">
                  <c:v>64.882385600000006</c:v>
                </c:pt>
                <c:pt idx="347">
                  <c:v>64.618824900000007</c:v>
                </c:pt>
                <c:pt idx="348">
                  <c:v>64.857165600000002</c:v>
                </c:pt>
                <c:pt idx="349">
                  <c:v>65.020426499999999</c:v>
                </c:pt>
                <c:pt idx="350">
                  <c:v>65.305939899999998</c:v>
                </c:pt>
                <c:pt idx="351">
                  <c:v>65.107421299999999</c:v>
                </c:pt>
                <c:pt idx="352">
                  <c:v>64.949748</c:v>
                </c:pt>
                <c:pt idx="353">
                  <c:v>65.056359299999997</c:v>
                </c:pt>
                <c:pt idx="354">
                  <c:v>65.247040400000003</c:v>
                </c:pt>
                <c:pt idx="355">
                  <c:v>64.969407599999997</c:v>
                </c:pt>
                <c:pt idx="356">
                  <c:v>64.953088100000002</c:v>
                </c:pt>
                <c:pt idx="357">
                  <c:v>65.4806636</c:v>
                </c:pt>
                <c:pt idx="358">
                  <c:v>65.838478800000004</c:v>
                </c:pt>
                <c:pt idx="359">
                  <c:v>65.559968900000001</c:v>
                </c:pt>
                <c:pt idx="360">
                  <c:v>65.187056699999999</c:v>
                </c:pt>
                <c:pt idx="361">
                  <c:v>64.744864300000003</c:v>
                </c:pt>
                <c:pt idx="362">
                  <c:v>65.319982999999993</c:v>
                </c:pt>
                <c:pt idx="363">
                  <c:v>64.995428000000004</c:v>
                </c:pt>
                <c:pt idx="364">
                  <c:v>65.196969199999998</c:v>
                </c:pt>
                <c:pt idx="365">
                  <c:v>65.099674899999997</c:v>
                </c:pt>
                <c:pt idx="366">
                  <c:v>64.948048400000005</c:v>
                </c:pt>
                <c:pt idx="367">
                  <c:v>64.653018399999993</c:v>
                </c:pt>
                <c:pt idx="368">
                  <c:v>64.640594500000006</c:v>
                </c:pt>
                <c:pt idx="369">
                  <c:v>64.462335800000005</c:v>
                </c:pt>
                <c:pt idx="370">
                  <c:v>64.614725800000002</c:v>
                </c:pt>
                <c:pt idx="371">
                  <c:v>64.574463899999998</c:v>
                </c:pt>
                <c:pt idx="372">
                  <c:v>64.906473099999999</c:v>
                </c:pt>
                <c:pt idx="373">
                  <c:v>64.646525400000002</c:v>
                </c:pt>
                <c:pt idx="374">
                  <c:v>64.471285300000005</c:v>
                </c:pt>
                <c:pt idx="375">
                  <c:v>64.656849300000005</c:v>
                </c:pt>
                <c:pt idx="376">
                  <c:v>64.727671299999997</c:v>
                </c:pt>
                <c:pt idx="377">
                  <c:v>64.7899879</c:v>
                </c:pt>
                <c:pt idx="378">
                  <c:v>65.088912899999997</c:v>
                </c:pt>
                <c:pt idx="379">
                  <c:v>64.705561299999999</c:v>
                </c:pt>
                <c:pt idx="380">
                  <c:v>65.292163400000007</c:v>
                </c:pt>
                <c:pt idx="381">
                  <c:v>65.375952999999996</c:v>
                </c:pt>
                <c:pt idx="382">
                  <c:v>65.456271799999996</c:v>
                </c:pt>
                <c:pt idx="383">
                  <c:v>65.681898000000004</c:v>
                </c:pt>
                <c:pt idx="384">
                  <c:v>65.0611727</c:v>
                </c:pt>
                <c:pt idx="385">
                  <c:v>65.188986499999999</c:v>
                </c:pt>
                <c:pt idx="386">
                  <c:v>65.142326299999993</c:v>
                </c:pt>
                <c:pt idx="387">
                  <c:v>65.201745200000005</c:v>
                </c:pt>
                <c:pt idx="388">
                  <c:v>65.098781599999995</c:v>
                </c:pt>
                <c:pt idx="389">
                  <c:v>65.230150600000002</c:v>
                </c:pt>
                <c:pt idx="390">
                  <c:v>65.804254</c:v>
                </c:pt>
                <c:pt idx="391">
                  <c:v>65.542693700000001</c:v>
                </c:pt>
                <c:pt idx="392">
                  <c:v>65.7778524</c:v>
                </c:pt>
                <c:pt idx="393">
                  <c:v>66.019098200000002</c:v>
                </c:pt>
                <c:pt idx="394">
                  <c:v>65.622102499999997</c:v>
                </c:pt>
                <c:pt idx="395">
                  <c:v>66.089998100000003</c:v>
                </c:pt>
                <c:pt idx="396">
                  <c:v>65.907087099999998</c:v>
                </c:pt>
                <c:pt idx="397">
                  <c:v>65.493188500000002</c:v>
                </c:pt>
                <c:pt idx="398">
                  <c:v>65.266752499999996</c:v>
                </c:pt>
                <c:pt idx="399">
                  <c:v>65.633820099999994</c:v>
                </c:pt>
                <c:pt idx="400">
                  <c:v>65.670726299999998</c:v>
                </c:pt>
                <c:pt idx="401">
                  <c:v>65.463759899999999</c:v>
                </c:pt>
                <c:pt idx="402">
                  <c:v>65.454159500000003</c:v>
                </c:pt>
                <c:pt idx="403">
                  <c:v>65.669122900000005</c:v>
                </c:pt>
                <c:pt idx="404">
                  <c:v>65.666273099999998</c:v>
                </c:pt>
                <c:pt idx="405">
                  <c:v>65.3526715</c:v>
                </c:pt>
                <c:pt idx="406">
                  <c:v>65.031765199999995</c:v>
                </c:pt>
                <c:pt idx="407">
                  <c:v>64.972903400000007</c:v>
                </c:pt>
                <c:pt idx="408">
                  <c:v>64.810863299999994</c:v>
                </c:pt>
                <c:pt idx="409">
                  <c:v>65.333590599999994</c:v>
                </c:pt>
                <c:pt idx="410">
                  <c:v>65.449724799999998</c:v>
                </c:pt>
                <c:pt idx="411">
                  <c:v>65.691241700000006</c:v>
                </c:pt>
                <c:pt idx="412">
                  <c:v>65.588848200000001</c:v>
                </c:pt>
                <c:pt idx="413">
                  <c:v>65.226308000000003</c:v>
                </c:pt>
                <c:pt idx="414">
                  <c:v>65.007929899999993</c:v>
                </c:pt>
                <c:pt idx="415">
                  <c:v>65.322779800000006</c:v>
                </c:pt>
                <c:pt idx="416">
                  <c:v>65.041455099999993</c:v>
                </c:pt>
                <c:pt idx="417">
                  <c:v>64.659973600000001</c:v>
                </c:pt>
                <c:pt idx="418">
                  <c:v>65.051297700000006</c:v>
                </c:pt>
                <c:pt idx="419">
                  <c:v>64.836314299999998</c:v>
                </c:pt>
                <c:pt idx="420">
                  <c:v>64.898153500000006</c:v>
                </c:pt>
                <c:pt idx="421">
                  <c:v>64.638776500000006</c:v>
                </c:pt>
                <c:pt idx="422">
                  <c:v>65.015214999999998</c:v>
                </c:pt>
                <c:pt idx="423">
                  <c:v>64.744745800000004</c:v>
                </c:pt>
                <c:pt idx="424">
                  <c:v>65.420732999999998</c:v>
                </c:pt>
                <c:pt idx="425">
                  <c:v>64.866475500000007</c:v>
                </c:pt>
                <c:pt idx="426">
                  <c:v>64.853480899999994</c:v>
                </c:pt>
                <c:pt idx="427">
                  <c:v>64.670652599999997</c:v>
                </c:pt>
                <c:pt idx="428">
                  <c:v>64.997484900000003</c:v>
                </c:pt>
                <c:pt idx="429">
                  <c:v>64.821245599999997</c:v>
                </c:pt>
                <c:pt idx="430">
                  <c:v>64.409756900000005</c:v>
                </c:pt>
                <c:pt idx="431">
                  <c:v>64.649582199999998</c:v>
                </c:pt>
                <c:pt idx="432">
                  <c:v>64.132458099999994</c:v>
                </c:pt>
                <c:pt idx="433">
                  <c:v>64.286455099999998</c:v>
                </c:pt>
                <c:pt idx="434">
                  <c:v>64.179125999999997</c:v>
                </c:pt>
                <c:pt idx="435">
                  <c:v>64.3915121</c:v>
                </c:pt>
                <c:pt idx="436">
                  <c:v>64.362600099999995</c:v>
                </c:pt>
                <c:pt idx="437">
                  <c:v>64.8914975</c:v>
                </c:pt>
                <c:pt idx="438">
                  <c:v>64.734419000000003</c:v>
                </c:pt>
                <c:pt idx="439">
                  <c:v>64.943563400000002</c:v>
                </c:pt>
                <c:pt idx="440">
                  <c:v>64.832969899999995</c:v>
                </c:pt>
                <c:pt idx="441">
                  <c:v>64.613943800000001</c:v>
                </c:pt>
                <c:pt idx="442">
                  <c:v>65.118927200000002</c:v>
                </c:pt>
                <c:pt idx="443">
                  <c:v>65.128003300000003</c:v>
                </c:pt>
                <c:pt idx="444">
                  <c:v>64.981425700000003</c:v>
                </c:pt>
                <c:pt idx="445">
                  <c:v>65.097363200000004</c:v>
                </c:pt>
                <c:pt idx="446">
                  <c:v>65.028952099999998</c:v>
                </c:pt>
                <c:pt idx="447">
                  <c:v>64.813472700000005</c:v>
                </c:pt>
                <c:pt idx="448">
                  <c:v>64.625218200000006</c:v>
                </c:pt>
                <c:pt idx="449">
                  <c:v>65.055729499999998</c:v>
                </c:pt>
                <c:pt idx="450">
                  <c:v>64.265526199999996</c:v>
                </c:pt>
                <c:pt idx="451">
                  <c:v>64.6325827</c:v>
                </c:pt>
                <c:pt idx="452">
                  <c:v>64.787802400000004</c:v>
                </c:pt>
                <c:pt idx="453">
                  <c:v>65.143657599999997</c:v>
                </c:pt>
                <c:pt idx="454">
                  <c:v>64.625696599999998</c:v>
                </c:pt>
                <c:pt idx="455">
                  <c:v>64.628447699999995</c:v>
                </c:pt>
                <c:pt idx="456">
                  <c:v>64.963194599999994</c:v>
                </c:pt>
                <c:pt idx="457">
                  <c:v>64.861180500000003</c:v>
                </c:pt>
                <c:pt idx="458">
                  <c:v>64.788170699999995</c:v>
                </c:pt>
                <c:pt idx="459">
                  <c:v>64.903614300000001</c:v>
                </c:pt>
                <c:pt idx="460">
                  <c:v>65.334918599999995</c:v>
                </c:pt>
                <c:pt idx="461">
                  <c:v>65.520972099999994</c:v>
                </c:pt>
                <c:pt idx="462">
                  <c:v>65.411255499999996</c:v>
                </c:pt>
                <c:pt idx="463">
                  <c:v>65.356944400000003</c:v>
                </c:pt>
                <c:pt idx="464">
                  <c:v>65.8280666</c:v>
                </c:pt>
                <c:pt idx="465">
                  <c:v>65.725871999999995</c:v>
                </c:pt>
                <c:pt idx="466">
                  <c:v>65.976817699999998</c:v>
                </c:pt>
                <c:pt idx="467">
                  <c:v>65.423429200000001</c:v>
                </c:pt>
                <c:pt idx="468">
                  <c:v>65.758378399999998</c:v>
                </c:pt>
                <c:pt idx="469">
                  <c:v>65.838388899999998</c:v>
                </c:pt>
                <c:pt idx="470">
                  <c:v>66.145188899999994</c:v>
                </c:pt>
                <c:pt idx="471">
                  <c:v>66.028989499999994</c:v>
                </c:pt>
                <c:pt idx="472">
                  <c:v>66.009968499999999</c:v>
                </c:pt>
                <c:pt idx="473">
                  <c:v>66.007323999999997</c:v>
                </c:pt>
                <c:pt idx="474">
                  <c:v>66.225940399999999</c:v>
                </c:pt>
                <c:pt idx="475">
                  <c:v>66.280780300000004</c:v>
                </c:pt>
                <c:pt idx="476">
                  <c:v>65.823673299999996</c:v>
                </c:pt>
                <c:pt idx="477">
                  <c:v>65.904752299999998</c:v>
                </c:pt>
                <c:pt idx="478">
                  <c:v>66.237809900000002</c:v>
                </c:pt>
                <c:pt idx="479">
                  <c:v>65.973757599999999</c:v>
                </c:pt>
                <c:pt idx="480">
                  <c:v>65.384576100000004</c:v>
                </c:pt>
                <c:pt idx="481">
                  <c:v>65.487532900000005</c:v>
                </c:pt>
                <c:pt idx="482">
                  <c:v>65.277588100000003</c:v>
                </c:pt>
                <c:pt idx="483">
                  <c:v>65.543099100000006</c:v>
                </c:pt>
                <c:pt idx="484">
                  <c:v>65.684739899999997</c:v>
                </c:pt>
                <c:pt idx="485">
                  <c:v>65.7069106</c:v>
                </c:pt>
                <c:pt idx="486">
                  <c:v>65.417796699999997</c:v>
                </c:pt>
                <c:pt idx="487">
                  <c:v>65.569080299999996</c:v>
                </c:pt>
                <c:pt idx="488">
                  <c:v>65.410630999999995</c:v>
                </c:pt>
                <c:pt idx="489">
                  <c:v>65.860477000000003</c:v>
                </c:pt>
                <c:pt idx="490">
                  <c:v>65.738896199999999</c:v>
                </c:pt>
                <c:pt idx="491">
                  <c:v>65.866450400000005</c:v>
                </c:pt>
                <c:pt idx="492">
                  <c:v>65.974025600000004</c:v>
                </c:pt>
                <c:pt idx="493">
                  <c:v>65.887593499999994</c:v>
                </c:pt>
                <c:pt idx="494">
                  <c:v>65.928804200000002</c:v>
                </c:pt>
                <c:pt idx="495">
                  <c:v>65.846003100000004</c:v>
                </c:pt>
                <c:pt idx="496">
                  <c:v>65.967923999999996</c:v>
                </c:pt>
                <c:pt idx="497">
                  <c:v>66.026462800000004</c:v>
                </c:pt>
                <c:pt idx="498">
                  <c:v>66.404926399999994</c:v>
                </c:pt>
                <c:pt idx="499">
                  <c:v>66.295458199999999</c:v>
                </c:pt>
                <c:pt idx="500">
                  <c:v>66.270910000000001</c:v>
                </c:pt>
                <c:pt idx="501">
                  <c:v>66.238073799999995</c:v>
                </c:pt>
                <c:pt idx="502">
                  <c:v>66.703366099999997</c:v>
                </c:pt>
                <c:pt idx="503">
                  <c:v>66.754000300000001</c:v>
                </c:pt>
                <c:pt idx="504">
                  <c:v>66.127090800000005</c:v>
                </c:pt>
                <c:pt idx="505">
                  <c:v>66.132207100000002</c:v>
                </c:pt>
                <c:pt idx="506">
                  <c:v>64.205970100000002</c:v>
                </c:pt>
                <c:pt idx="507">
                  <c:v>63.286792300000002</c:v>
                </c:pt>
                <c:pt idx="508">
                  <c:v>64.3503781</c:v>
                </c:pt>
                <c:pt idx="509">
                  <c:v>64.242429400000006</c:v>
                </c:pt>
                <c:pt idx="510">
                  <c:v>63.590184100000002</c:v>
                </c:pt>
                <c:pt idx="511">
                  <c:v>62.484686500000002</c:v>
                </c:pt>
                <c:pt idx="512">
                  <c:v>64.485149000000007</c:v>
                </c:pt>
                <c:pt idx="513">
                  <c:v>65.7163173</c:v>
                </c:pt>
                <c:pt idx="514">
                  <c:v>65.7113236</c:v>
                </c:pt>
                <c:pt idx="515">
                  <c:v>66.305510699999999</c:v>
                </c:pt>
                <c:pt idx="516">
                  <c:v>66.0602193</c:v>
                </c:pt>
                <c:pt idx="517">
                  <c:v>66.466315899999998</c:v>
                </c:pt>
                <c:pt idx="518">
                  <c:v>66.062503899999996</c:v>
                </c:pt>
                <c:pt idx="519">
                  <c:v>66.055194900000004</c:v>
                </c:pt>
                <c:pt idx="520">
                  <c:v>65.739519700000002</c:v>
                </c:pt>
                <c:pt idx="521">
                  <c:v>66.235484700000001</c:v>
                </c:pt>
                <c:pt idx="522">
                  <c:v>66.452537399999997</c:v>
                </c:pt>
                <c:pt idx="523">
                  <c:v>64.549931099999995</c:v>
                </c:pt>
                <c:pt idx="524">
                  <c:v>64.319007299999996</c:v>
                </c:pt>
                <c:pt idx="525">
                  <c:v>66.595686000000001</c:v>
                </c:pt>
                <c:pt idx="526">
                  <c:v>66.870006399999994</c:v>
                </c:pt>
                <c:pt idx="527">
                  <c:v>66.612026099999994</c:v>
                </c:pt>
                <c:pt idx="528">
                  <c:v>66.850435200000007</c:v>
                </c:pt>
                <c:pt idx="529">
                  <c:v>66.757244200000002</c:v>
                </c:pt>
                <c:pt idx="530">
                  <c:v>67.112643199999994</c:v>
                </c:pt>
                <c:pt idx="531">
                  <c:v>66.558390599999996</c:v>
                </c:pt>
                <c:pt idx="532">
                  <c:v>66.866895099999994</c:v>
                </c:pt>
                <c:pt idx="533">
                  <c:v>66.404707299999998</c:v>
                </c:pt>
                <c:pt idx="534">
                  <c:v>66.891495599999999</c:v>
                </c:pt>
                <c:pt idx="535">
                  <c:v>66.486377700000006</c:v>
                </c:pt>
                <c:pt idx="536">
                  <c:v>66.657019199999993</c:v>
                </c:pt>
                <c:pt idx="537">
                  <c:v>67.140194100000002</c:v>
                </c:pt>
                <c:pt idx="538">
                  <c:v>66.635618199999996</c:v>
                </c:pt>
                <c:pt idx="539">
                  <c:v>66.458412899999999</c:v>
                </c:pt>
                <c:pt idx="540">
                  <c:v>67.0639884</c:v>
                </c:pt>
                <c:pt idx="541">
                  <c:v>67.667079099999995</c:v>
                </c:pt>
                <c:pt idx="542">
                  <c:v>67.212470400000001</c:v>
                </c:pt>
                <c:pt idx="543">
                  <c:v>67.460353699999999</c:v>
                </c:pt>
                <c:pt idx="544">
                  <c:v>67.518167300000002</c:v>
                </c:pt>
                <c:pt idx="545">
                  <c:v>67.538127299999999</c:v>
                </c:pt>
                <c:pt idx="546">
                  <c:v>67.194101900000007</c:v>
                </c:pt>
                <c:pt idx="547">
                  <c:v>66.999657099999993</c:v>
                </c:pt>
                <c:pt idx="548">
                  <c:v>67.611301900000001</c:v>
                </c:pt>
                <c:pt idx="549">
                  <c:v>67.475409400000004</c:v>
                </c:pt>
                <c:pt idx="550">
                  <c:v>67.162285499999996</c:v>
                </c:pt>
                <c:pt idx="551">
                  <c:v>66.968238799999995</c:v>
                </c:pt>
                <c:pt idx="552">
                  <c:v>67.330992800000004</c:v>
                </c:pt>
                <c:pt idx="553">
                  <c:v>67.3546257</c:v>
                </c:pt>
                <c:pt idx="554">
                  <c:v>67.515796499999993</c:v>
                </c:pt>
                <c:pt idx="555">
                  <c:v>67.7733451</c:v>
                </c:pt>
                <c:pt idx="556">
                  <c:v>67.910695000000004</c:v>
                </c:pt>
                <c:pt idx="557">
                  <c:v>68.260838899999996</c:v>
                </c:pt>
                <c:pt idx="558">
                  <c:v>68.307996299999999</c:v>
                </c:pt>
                <c:pt idx="559">
                  <c:v>68.490570399999996</c:v>
                </c:pt>
                <c:pt idx="560">
                  <c:v>68.399861599999994</c:v>
                </c:pt>
              </c:numCache>
            </c:numRef>
          </c:val>
          <c:smooth val="0"/>
          <c:extLst>
            <c:ext xmlns:c16="http://schemas.microsoft.com/office/drawing/2014/chart" uri="{C3380CC4-5D6E-409C-BE32-E72D297353CC}">
              <c16:uniqueId val="{00000000-3109-425C-AD48-564D5FEE5452}"/>
            </c:ext>
          </c:extLst>
        </c:ser>
        <c:ser>
          <c:idx val="3"/>
          <c:order val="1"/>
          <c:tx>
            <c:v>Employment to population ratio</c:v>
          </c:tx>
          <c:spPr>
            <a:ln w="12700" cap="rnd">
              <a:solidFill>
                <a:sysClr val="windowText" lastClr="000000">
                  <a:lumMod val="65000"/>
                  <a:lumOff val="35000"/>
                </a:sysClr>
              </a:solidFill>
              <a:round/>
            </a:ln>
            <a:effectLst/>
          </c:spPr>
          <c:marker>
            <c:symbol val="none"/>
          </c:marker>
          <c:cat>
            <c:numRef>
              <c:f>Sheet1!$A$11:$A$579</c:f>
              <c:numCache>
                <c:formatCode>mmm\-yyyy</c:formatCode>
                <c:ptCount val="569"/>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pt idx="548">
                  <c:v>45200</c:v>
                </c:pt>
                <c:pt idx="549">
                  <c:v>45231</c:v>
                </c:pt>
                <c:pt idx="550">
                  <c:v>45261</c:v>
                </c:pt>
                <c:pt idx="551">
                  <c:v>45292</c:v>
                </c:pt>
                <c:pt idx="552">
                  <c:v>45323</c:v>
                </c:pt>
                <c:pt idx="553">
                  <c:v>45352</c:v>
                </c:pt>
                <c:pt idx="554">
                  <c:v>45383</c:v>
                </c:pt>
                <c:pt idx="555">
                  <c:v>45413</c:v>
                </c:pt>
                <c:pt idx="556">
                  <c:v>45444</c:v>
                </c:pt>
                <c:pt idx="557">
                  <c:v>45474</c:v>
                </c:pt>
                <c:pt idx="558">
                  <c:v>45505</c:v>
                </c:pt>
                <c:pt idx="559">
                  <c:v>45536</c:v>
                </c:pt>
                <c:pt idx="560">
                  <c:v>45566</c:v>
                </c:pt>
              </c:numCache>
            </c:numRef>
          </c:cat>
          <c:val>
            <c:numRef>
              <c:f>Sheet1!$B$11:$B$579</c:f>
              <c:numCache>
                <c:formatCode>0.0;\-0.0;0.0;@</c:formatCode>
                <c:ptCount val="569"/>
                <c:pt idx="0">
                  <c:v>57.603361</c:v>
                </c:pt>
                <c:pt idx="1">
                  <c:v>57.831648800000004</c:v>
                </c:pt>
                <c:pt idx="2">
                  <c:v>58.482581500000002</c:v>
                </c:pt>
                <c:pt idx="3">
                  <c:v>58.271766999999997</c:v>
                </c:pt>
                <c:pt idx="4">
                  <c:v>58.225009300000004</c:v>
                </c:pt>
                <c:pt idx="5">
                  <c:v>58.113613299999997</c:v>
                </c:pt>
                <c:pt idx="6">
                  <c:v>57.769821999999998</c:v>
                </c:pt>
                <c:pt idx="7">
                  <c:v>57.613518900000003</c:v>
                </c:pt>
                <c:pt idx="8">
                  <c:v>57.429246999999997</c:v>
                </c:pt>
                <c:pt idx="9">
                  <c:v>57.504165399999998</c:v>
                </c:pt>
                <c:pt idx="10">
                  <c:v>57.465447699999999</c:v>
                </c:pt>
                <c:pt idx="11">
                  <c:v>57.722240900000003</c:v>
                </c:pt>
                <c:pt idx="12">
                  <c:v>57.920917000000003</c:v>
                </c:pt>
                <c:pt idx="13">
                  <c:v>57.6774007</c:v>
                </c:pt>
                <c:pt idx="14">
                  <c:v>57.793610600000001</c:v>
                </c:pt>
                <c:pt idx="15">
                  <c:v>57.752352600000002</c:v>
                </c:pt>
                <c:pt idx="16">
                  <c:v>57.645167700000002</c:v>
                </c:pt>
                <c:pt idx="17">
                  <c:v>57.338864800000003</c:v>
                </c:pt>
                <c:pt idx="18">
                  <c:v>57.447015899999997</c:v>
                </c:pt>
                <c:pt idx="19">
                  <c:v>57.451200700000001</c:v>
                </c:pt>
                <c:pt idx="20">
                  <c:v>57.776508999999997</c:v>
                </c:pt>
                <c:pt idx="21">
                  <c:v>58.158495899999998</c:v>
                </c:pt>
                <c:pt idx="22">
                  <c:v>58.112911199999999</c:v>
                </c:pt>
                <c:pt idx="23">
                  <c:v>58.357692800000002</c:v>
                </c:pt>
                <c:pt idx="24">
                  <c:v>58.380017899999999</c:v>
                </c:pt>
                <c:pt idx="25">
                  <c:v>57.710265800000002</c:v>
                </c:pt>
                <c:pt idx="26">
                  <c:v>57.937140599999999</c:v>
                </c:pt>
                <c:pt idx="27">
                  <c:v>58.134369300000003</c:v>
                </c:pt>
                <c:pt idx="28">
                  <c:v>58.023987300000002</c:v>
                </c:pt>
                <c:pt idx="29">
                  <c:v>58.265053899999998</c:v>
                </c:pt>
                <c:pt idx="30">
                  <c:v>58.614845799999998</c:v>
                </c:pt>
                <c:pt idx="31">
                  <c:v>58.067115100000002</c:v>
                </c:pt>
                <c:pt idx="32">
                  <c:v>57.999104799999998</c:v>
                </c:pt>
                <c:pt idx="33">
                  <c:v>58.116188999999999</c:v>
                </c:pt>
                <c:pt idx="34">
                  <c:v>58.330483399999999</c:v>
                </c:pt>
                <c:pt idx="35">
                  <c:v>58.214566599999998</c:v>
                </c:pt>
                <c:pt idx="36">
                  <c:v>58.3107981</c:v>
                </c:pt>
                <c:pt idx="37">
                  <c:v>58.539948099999997</c:v>
                </c:pt>
                <c:pt idx="38">
                  <c:v>58.6639354</c:v>
                </c:pt>
                <c:pt idx="39">
                  <c:v>58.491954100000001</c:v>
                </c:pt>
                <c:pt idx="40">
                  <c:v>58.420441599999997</c:v>
                </c:pt>
                <c:pt idx="41">
                  <c:v>58.290275100000002</c:v>
                </c:pt>
                <c:pt idx="42">
                  <c:v>58.389125800000002</c:v>
                </c:pt>
                <c:pt idx="43">
                  <c:v>58.2858394</c:v>
                </c:pt>
                <c:pt idx="44">
                  <c:v>58.175775299999998</c:v>
                </c:pt>
                <c:pt idx="45">
                  <c:v>57.671080099999998</c:v>
                </c:pt>
                <c:pt idx="46">
                  <c:v>57.598979</c:v>
                </c:pt>
                <c:pt idx="47">
                  <c:v>57.622295800000003</c:v>
                </c:pt>
                <c:pt idx="48">
                  <c:v>57.439848599999998</c:v>
                </c:pt>
                <c:pt idx="49">
                  <c:v>57.276764200000002</c:v>
                </c:pt>
                <c:pt idx="50">
                  <c:v>57.555773700000003</c:v>
                </c:pt>
                <c:pt idx="51">
                  <c:v>57.101998600000002</c:v>
                </c:pt>
                <c:pt idx="52">
                  <c:v>56.975710499999998</c:v>
                </c:pt>
                <c:pt idx="53">
                  <c:v>57.036248899999997</c:v>
                </c:pt>
                <c:pt idx="54">
                  <c:v>57.187821200000002</c:v>
                </c:pt>
                <c:pt idx="55">
                  <c:v>56.7890649</c:v>
                </c:pt>
                <c:pt idx="56">
                  <c:v>56.596731499999997</c:v>
                </c:pt>
                <c:pt idx="57">
                  <c:v>55.5780271</c:v>
                </c:pt>
                <c:pt idx="58">
                  <c:v>55.4989858</c:v>
                </c:pt>
                <c:pt idx="59">
                  <c:v>55.423395900000003</c:v>
                </c:pt>
                <c:pt idx="60">
                  <c:v>55.248604899999997</c:v>
                </c:pt>
                <c:pt idx="61">
                  <c:v>54.694764200000002</c:v>
                </c:pt>
                <c:pt idx="62">
                  <c:v>54.2640174</c:v>
                </c:pt>
                <c:pt idx="63">
                  <c:v>54.378337399999999</c:v>
                </c:pt>
                <c:pt idx="64">
                  <c:v>54.695110700000001</c:v>
                </c:pt>
                <c:pt idx="65">
                  <c:v>54.867274000000002</c:v>
                </c:pt>
                <c:pt idx="66">
                  <c:v>54.959299199999997</c:v>
                </c:pt>
                <c:pt idx="67">
                  <c:v>55.060572299999997</c:v>
                </c:pt>
                <c:pt idx="68">
                  <c:v>55.282654700000002</c:v>
                </c:pt>
                <c:pt idx="69">
                  <c:v>55.297481400000002</c:v>
                </c:pt>
                <c:pt idx="70">
                  <c:v>55.352944299999997</c:v>
                </c:pt>
                <c:pt idx="71">
                  <c:v>54.536401300000001</c:v>
                </c:pt>
                <c:pt idx="72">
                  <c:v>55.084313199999997</c:v>
                </c:pt>
                <c:pt idx="73">
                  <c:v>55.682969300000003</c:v>
                </c:pt>
                <c:pt idx="74">
                  <c:v>55.4667739</c:v>
                </c:pt>
                <c:pt idx="75">
                  <c:v>55.756162000000003</c:v>
                </c:pt>
                <c:pt idx="76">
                  <c:v>55.819979099999998</c:v>
                </c:pt>
                <c:pt idx="77">
                  <c:v>55.926150800000002</c:v>
                </c:pt>
                <c:pt idx="78">
                  <c:v>55.581339999999997</c:v>
                </c:pt>
                <c:pt idx="79">
                  <c:v>55.983247400000003</c:v>
                </c:pt>
                <c:pt idx="80">
                  <c:v>56.161586999999997</c:v>
                </c:pt>
                <c:pt idx="81">
                  <c:v>56.224639199999999</c:v>
                </c:pt>
                <c:pt idx="82">
                  <c:v>56.182055499999997</c:v>
                </c:pt>
                <c:pt idx="83">
                  <c:v>55.718885</c:v>
                </c:pt>
                <c:pt idx="84">
                  <c:v>56.2545529</c:v>
                </c:pt>
                <c:pt idx="85">
                  <c:v>55.457929900000003</c:v>
                </c:pt>
                <c:pt idx="86">
                  <c:v>55.594785700000003</c:v>
                </c:pt>
                <c:pt idx="87">
                  <c:v>56.025205</c:v>
                </c:pt>
                <c:pt idx="88">
                  <c:v>56.083415899999999</c:v>
                </c:pt>
                <c:pt idx="89">
                  <c:v>56.6129581</c:v>
                </c:pt>
                <c:pt idx="90">
                  <c:v>56.735096900000002</c:v>
                </c:pt>
                <c:pt idx="91">
                  <c:v>56.756456999999997</c:v>
                </c:pt>
                <c:pt idx="92">
                  <c:v>56.266337100000001</c:v>
                </c:pt>
                <c:pt idx="93">
                  <c:v>57.456402400000002</c:v>
                </c:pt>
                <c:pt idx="94">
                  <c:v>57.076614800000002</c:v>
                </c:pt>
                <c:pt idx="95">
                  <c:v>57.379679299999999</c:v>
                </c:pt>
                <c:pt idx="96">
                  <c:v>57.3855334</c:v>
                </c:pt>
                <c:pt idx="97">
                  <c:v>57.634301600000001</c:v>
                </c:pt>
                <c:pt idx="98">
                  <c:v>57.719319599999999</c:v>
                </c:pt>
                <c:pt idx="99">
                  <c:v>57.742585699999999</c:v>
                </c:pt>
                <c:pt idx="100">
                  <c:v>57.8799451</c:v>
                </c:pt>
                <c:pt idx="101">
                  <c:v>57.578933999999997</c:v>
                </c:pt>
                <c:pt idx="102">
                  <c:v>57.070168799999998</c:v>
                </c:pt>
                <c:pt idx="103">
                  <c:v>57.838518299999997</c:v>
                </c:pt>
                <c:pt idx="104">
                  <c:v>58.1996374</c:v>
                </c:pt>
                <c:pt idx="105">
                  <c:v>57.8004076</c:v>
                </c:pt>
                <c:pt idx="106">
                  <c:v>58.0071601</c:v>
                </c:pt>
                <c:pt idx="107">
                  <c:v>58.2043441</c:v>
                </c:pt>
                <c:pt idx="108">
                  <c:v>58.182702200000001</c:v>
                </c:pt>
                <c:pt idx="109">
                  <c:v>58.6490054</c:v>
                </c:pt>
                <c:pt idx="110">
                  <c:v>58.5590446</c:v>
                </c:pt>
                <c:pt idx="111">
                  <c:v>58.865646400000003</c:v>
                </c:pt>
                <c:pt idx="112">
                  <c:v>58.826774100000002</c:v>
                </c:pt>
                <c:pt idx="113">
                  <c:v>59.1173213</c:v>
                </c:pt>
                <c:pt idx="114">
                  <c:v>59.0563468</c:v>
                </c:pt>
                <c:pt idx="115">
                  <c:v>58.118948199999998</c:v>
                </c:pt>
                <c:pt idx="116">
                  <c:v>58.394050300000004</c:v>
                </c:pt>
                <c:pt idx="117">
                  <c:v>58.312362800000002</c:v>
                </c:pt>
                <c:pt idx="118">
                  <c:v>58.747360899999997</c:v>
                </c:pt>
                <c:pt idx="119">
                  <c:v>58.825449200000001</c:v>
                </c:pt>
                <c:pt idx="120">
                  <c:v>58.3610896</c:v>
                </c:pt>
                <c:pt idx="121">
                  <c:v>58.538521099999997</c:v>
                </c:pt>
                <c:pt idx="122">
                  <c:v>58.805306299999998</c:v>
                </c:pt>
                <c:pt idx="123">
                  <c:v>58.305629600000003</c:v>
                </c:pt>
                <c:pt idx="124">
                  <c:v>58.430923300000003</c:v>
                </c:pt>
                <c:pt idx="125">
                  <c:v>58.3634992</c:v>
                </c:pt>
                <c:pt idx="126">
                  <c:v>58.263337200000002</c:v>
                </c:pt>
                <c:pt idx="127">
                  <c:v>58.985791200000001</c:v>
                </c:pt>
                <c:pt idx="128">
                  <c:v>58.6702534</c:v>
                </c:pt>
                <c:pt idx="129">
                  <c:v>59.3156763</c:v>
                </c:pt>
                <c:pt idx="130">
                  <c:v>59.762605499999999</c:v>
                </c:pt>
                <c:pt idx="131">
                  <c:v>59.312962300000002</c:v>
                </c:pt>
                <c:pt idx="132">
                  <c:v>59.934214400000002</c:v>
                </c:pt>
                <c:pt idx="133">
                  <c:v>60.2157251</c:v>
                </c:pt>
                <c:pt idx="134">
                  <c:v>60.363971900000003</c:v>
                </c:pt>
                <c:pt idx="135">
                  <c:v>60.896359400000001</c:v>
                </c:pt>
                <c:pt idx="136">
                  <c:v>60.750651599999998</c:v>
                </c:pt>
                <c:pt idx="137">
                  <c:v>60.693333600000003</c:v>
                </c:pt>
                <c:pt idx="138">
                  <c:v>60.871149600000003</c:v>
                </c:pt>
                <c:pt idx="139">
                  <c:v>61.034346599999999</c:v>
                </c:pt>
                <c:pt idx="140">
                  <c:v>60.942704900000003</c:v>
                </c:pt>
                <c:pt idx="141">
                  <c:v>61.119052699999997</c:v>
                </c:pt>
                <c:pt idx="142">
                  <c:v>60.817489399999999</c:v>
                </c:pt>
                <c:pt idx="143">
                  <c:v>61.483333600000002</c:v>
                </c:pt>
                <c:pt idx="144">
                  <c:v>61.332225100000002</c:v>
                </c:pt>
                <c:pt idx="145">
                  <c:v>61.162848599999997</c:v>
                </c:pt>
                <c:pt idx="146">
                  <c:v>61.665238299999999</c:v>
                </c:pt>
                <c:pt idx="147">
                  <c:v>61.459567300000003</c:v>
                </c:pt>
                <c:pt idx="148">
                  <c:v>61.323339400000002</c:v>
                </c:pt>
                <c:pt idx="149">
                  <c:v>61.079383</c:v>
                </c:pt>
                <c:pt idx="150">
                  <c:v>60.665430299999997</c:v>
                </c:pt>
                <c:pt idx="151">
                  <c:v>59.898896200000003</c:v>
                </c:pt>
                <c:pt idx="152">
                  <c:v>59.854818799999997</c:v>
                </c:pt>
                <c:pt idx="153">
                  <c:v>59.536593500000002</c:v>
                </c:pt>
                <c:pt idx="154">
                  <c:v>59.214514100000002</c:v>
                </c:pt>
                <c:pt idx="155">
                  <c:v>58.7782354</c:v>
                </c:pt>
                <c:pt idx="156">
                  <c:v>58.667384900000002</c:v>
                </c:pt>
                <c:pt idx="157">
                  <c:v>57.522881599999998</c:v>
                </c:pt>
                <c:pt idx="158">
                  <c:v>57.044440600000001</c:v>
                </c:pt>
                <c:pt idx="159">
                  <c:v>56.960354799999998</c:v>
                </c:pt>
                <c:pt idx="160">
                  <c:v>56.524585399999999</c:v>
                </c:pt>
                <c:pt idx="161">
                  <c:v>56.377105200000003</c:v>
                </c:pt>
                <c:pt idx="162">
                  <c:v>56.569651399999998</c:v>
                </c:pt>
                <c:pt idx="163">
                  <c:v>56.700373399999997</c:v>
                </c:pt>
                <c:pt idx="164">
                  <c:v>56.641092200000003</c:v>
                </c:pt>
                <c:pt idx="165">
                  <c:v>55.9677784</c:v>
                </c:pt>
                <c:pt idx="166">
                  <c:v>56.250424199999998</c:v>
                </c:pt>
                <c:pt idx="167">
                  <c:v>56.546456300000003</c:v>
                </c:pt>
                <c:pt idx="168">
                  <c:v>56.048608799999997</c:v>
                </c:pt>
                <c:pt idx="169">
                  <c:v>55.682859100000002</c:v>
                </c:pt>
                <c:pt idx="170">
                  <c:v>55.502545300000001</c:v>
                </c:pt>
                <c:pt idx="171">
                  <c:v>55.443541799999998</c:v>
                </c:pt>
                <c:pt idx="172">
                  <c:v>55.771735300000003</c:v>
                </c:pt>
                <c:pt idx="173">
                  <c:v>55.689661200000003</c:v>
                </c:pt>
                <c:pt idx="174">
                  <c:v>55.718979400000002</c:v>
                </c:pt>
                <c:pt idx="175">
                  <c:v>55.432198900000003</c:v>
                </c:pt>
                <c:pt idx="176">
                  <c:v>55.5501529</c:v>
                </c:pt>
                <c:pt idx="177">
                  <c:v>55.345248499999997</c:v>
                </c:pt>
                <c:pt idx="178">
                  <c:v>55.401753100000001</c:v>
                </c:pt>
                <c:pt idx="179">
                  <c:v>55.1230166</c:v>
                </c:pt>
                <c:pt idx="180">
                  <c:v>54.352986000000001</c:v>
                </c:pt>
                <c:pt idx="181">
                  <c:v>55.251760099999998</c:v>
                </c:pt>
                <c:pt idx="182">
                  <c:v>54.977094399999999</c:v>
                </c:pt>
                <c:pt idx="183">
                  <c:v>54.564593500000001</c:v>
                </c:pt>
                <c:pt idx="184">
                  <c:v>54.620176999999998</c:v>
                </c:pt>
                <c:pt idx="185">
                  <c:v>54.580906900000002</c:v>
                </c:pt>
                <c:pt idx="186">
                  <c:v>54.660898600000003</c:v>
                </c:pt>
                <c:pt idx="187">
                  <c:v>54.9994783</c:v>
                </c:pt>
                <c:pt idx="188">
                  <c:v>55.123125600000002</c:v>
                </c:pt>
                <c:pt idx="189">
                  <c:v>55.247966300000002</c:v>
                </c:pt>
                <c:pt idx="190">
                  <c:v>55.0346288</c:v>
                </c:pt>
                <c:pt idx="191">
                  <c:v>54.956597500000001</c:v>
                </c:pt>
                <c:pt idx="192">
                  <c:v>54.908619799999997</c:v>
                </c:pt>
                <c:pt idx="193">
                  <c:v>55.462746299999999</c:v>
                </c:pt>
                <c:pt idx="194">
                  <c:v>55.666709400000002</c:v>
                </c:pt>
                <c:pt idx="195">
                  <c:v>55.787919000000002</c:v>
                </c:pt>
                <c:pt idx="196">
                  <c:v>56.074986099999997</c:v>
                </c:pt>
                <c:pt idx="197">
                  <c:v>56.641556100000003</c:v>
                </c:pt>
                <c:pt idx="198">
                  <c:v>55.976605800000002</c:v>
                </c:pt>
                <c:pt idx="199">
                  <c:v>56.609600399999998</c:v>
                </c:pt>
                <c:pt idx="200">
                  <c:v>56.624929899999998</c:v>
                </c:pt>
                <c:pt idx="201">
                  <c:v>56.154868999999998</c:v>
                </c:pt>
                <c:pt idx="202">
                  <c:v>56.620667099999999</c:v>
                </c:pt>
                <c:pt idx="203">
                  <c:v>56.443647900000002</c:v>
                </c:pt>
                <c:pt idx="204">
                  <c:v>57.029947</c:v>
                </c:pt>
                <c:pt idx="205">
                  <c:v>57.381706000000001</c:v>
                </c:pt>
                <c:pt idx="206">
                  <c:v>57.250230899999998</c:v>
                </c:pt>
                <c:pt idx="207">
                  <c:v>57.600779899999999</c:v>
                </c:pt>
                <c:pt idx="208">
                  <c:v>57.652476700000001</c:v>
                </c:pt>
                <c:pt idx="209">
                  <c:v>57.884501399999998</c:v>
                </c:pt>
                <c:pt idx="210">
                  <c:v>57.841065700000001</c:v>
                </c:pt>
                <c:pt idx="211">
                  <c:v>57.590856600000002</c:v>
                </c:pt>
                <c:pt idx="212">
                  <c:v>57.374077399999997</c:v>
                </c:pt>
                <c:pt idx="213">
                  <c:v>58.037641899999997</c:v>
                </c:pt>
                <c:pt idx="214">
                  <c:v>58.067867999999997</c:v>
                </c:pt>
                <c:pt idx="215">
                  <c:v>58.342068400000002</c:v>
                </c:pt>
                <c:pt idx="216">
                  <c:v>57.906021000000003</c:v>
                </c:pt>
                <c:pt idx="217">
                  <c:v>57.587977899999998</c:v>
                </c:pt>
                <c:pt idx="218">
                  <c:v>57.975668599999999</c:v>
                </c:pt>
                <c:pt idx="219">
                  <c:v>58.228836999999999</c:v>
                </c:pt>
                <c:pt idx="220">
                  <c:v>57.822988000000002</c:v>
                </c:pt>
                <c:pt idx="221">
                  <c:v>57.718750900000003</c:v>
                </c:pt>
                <c:pt idx="222">
                  <c:v>57.727609899999997</c:v>
                </c:pt>
                <c:pt idx="223">
                  <c:v>57.593417100000003</c:v>
                </c:pt>
                <c:pt idx="224">
                  <c:v>57.699474799999997</c:v>
                </c:pt>
                <c:pt idx="225">
                  <c:v>58.004610900000003</c:v>
                </c:pt>
                <c:pt idx="226">
                  <c:v>57.647588300000002</c:v>
                </c:pt>
                <c:pt idx="227">
                  <c:v>57.816544</c:v>
                </c:pt>
                <c:pt idx="228">
                  <c:v>57.543513099999998</c:v>
                </c:pt>
                <c:pt idx="229">
                  <c:v>57.3969886</c:v>
                </c:pt>
                <c:pt idx="230">
                  <c:v>57.557656999999999</c:v>
                </c:pt>
                <c:pt idx="231">
                  <c:v>57.510984499999999</c:v>
                </c:pt>
                <c:pt idx="232">
                  <c:v>57.693077500000001</c:v>
                </c:pt>
                <c:pt idx="233">
                  <c:v>57.482718599999998</c:v>
                </c:pt>
                <c:pt idx="234">
                  <c:v>57.061221699999997</c:v>
                </c:pt>
                <c:pt idx="235">
                  <c:v>57.578844699999998</c:v>
                </c:pt>
                <c:pt idx="236">
                  <c:v>57.589846999999999</c:v>
                </c:pt>
                <c:pt idx="237">
                  <c:v>57.871943999999999</c:v>
                </c:pt>
                <c:pt idx="238">
                  <c:v>57.933947000000003</c:v>
                </c:pt>
                <c:pt idx="239">
                  <c:v>57.674458199999997</c:v>
                </c:pt>
                <c:pt idx="240">
                  <c:v>58.079364200000001</c:v>
                </c:pt>
                <c:pt idx="241">
                  <c:v>57.925383099999998</c:v>
                </c:pt>
                <c:pt idx="242">
                  <c:v>58.259554100000003</c:v>
                </c:pt>
                <c:pt idx="243">
                  <c:v>58.195014200000003</c:v>
                </c:pt>
                <c:pt idx="244">
                  <c:v>58.350389700000001</c:v>
                </c:pt>
                <c:pt idx="245">
                  <c:v>58.229580900000002</c:v>
                </c:pt>
                <c:pt idx="246">
                  <c:v>58.782452399999997</c:v>
                </c:pt>
                <c:pt idx="247">
                  <c:v>58.771797300000003</c:v>
                </c:pt>
                <c:pt idx="248">
                  <c:v>58.1555666</c:v>
                </c:pt>
                <c:pt idx="249">
                  <c:v>58.124670299999998</c:v>
                </c:pt>
                <c:pt idx="250">
                  <c:v>58.15746</c:v>
                </c:pt>
                <c:pt idx="251">
                  <c:v>58.0677588</c:v>
                </c:pt>
                <c:pt idx="252">
                  <c:v>57.971390300000003</c:v>
                </c:pt>
                <c:pt idx="253">
                  <c:v>57.886068000000002</c:v>
                </c:pt>
                <c:pt idx="254">
                  <c:v>57.974396599999999</c:v>
                </c:pt>
                <c:pt idx="255">
                  <c:v>57.485433800000003</c:v>
                </c:pt>
                <c:pt idx="256">
                  <c:v>58.105695500000003</c:v>
                </c:pt>
                <c:pt idx="257">
                  <c:v>58.235002399999999</c:v>
                </c:pt>
                <c:pt idx="258">
                  <c:v>58.050163499999996</c:v>
                </c:pt>
                <c:pt idx="259">
                  <c:v>58.060037000000001</c:v>
                </c:pt>
                <c:pt idx="260">
                  <c:v>58.199670699999999</c:v>
                </c:pt>
                <c:pt idx="261">
                  <c:v>57.996234299999998</c:v>
                </c:pt>
                <c:pt idx="262">
                  <c:v>58.575992499999998</c:v>
                </c:pt>
                <c:pt idx="263">
                  <c:v>57.830465099999998</c:v>
                </c:pt>
                <c:pt idx="264">
                  <c:v>58.1897959</c:v>
                </c:pt>
                <c:pt idx="265">
                  <c:v>58.329486799999998</c:v>
                </c:pt>
                <c:pt idx="266">
                  <c:v>58.535891700000001</c:v>
                </c:pt>
                <c:pt idx="267">
                  <c:v>58.548319900000003</c:v>
                </c:pt>
                <c:pt idx="268">
                  <c:v>58.980772199999997</c:v>
                </c:pt>
                <c:pt idx="269">
                  <c:v>59.634535700000001</c:v>
                </c:pt>
                <c:pt idx="270">
                  <c:v>59.423097200000001</c:v>
                </c:pt>
                <c:pt idx="271">
                  <c:v>59.379603500000002</c:v>
                </c:pt>
                <c:pt idx="272">
                  <c:v>59.416309499999997</c:v>
                </c:pt>
                <c:pt idx="273">
                  <c:v>59.147854600000002</c:v>
                </c:pt>
                <c:pt idx="274">
                  <c:v>59.380642000000002</c:v>
                </c:pt>
                <c:pt idx="275">
                  <c:v>59.346972700000002</c:v>
                </c:pt>
                <c:pt idx="276">
                  <c:v>59.522734999999997</c:v>
                </c:pt>
                <c:pt idx="277">
                  <c:v>59.127869099999998</c:v>
                </c:pt>
                <c:pt idx="278">
                  <c:v>59.3929592</c:v>
                </c:pt>
                <c:pt idx="279">
                  <c:v>59.492747199999997</c:v>
                </c:pt>
                <c:pt idx="280">
                  <c:v>59.406038700000003</c:v>
                </c:pt>
                <c:pt idx="281">
                  <c:v>59.325024200000001</c:v>
                </c:pt>
                <c:pt idx="282">
                  <c:v>59.300806100000003</c:v>
                </c:pt>
                <c:pt idx="283">
                  <c:v>59.329731799999998</c:v>
                </c:pt>
                <c:pt idx="284">
                  <c:v>59.2772291</c:v>
                </c:pt>
                <c:pt idx="285">
                  <c:v>59.423322599999999</c:v>
                </c:pt>
                <c:pt idx="286">
                  <c:v>58.936675800000003</c:v>
                </c:pt>
                <c:pt idx="287">
                  <c:v>59.300934599999998</c:v>
                </c:pt>
                <c:pt idx="288">
                  <c:v>59.148983100000002</c:v>
                </c:pt>
                <c:pt idx="289">
                  <c:v>59.160264099999999</c:v>
                </c:pt>
                <c:pt idx="290">
                  <c:v>59.164499900000003</c:v>
                </c:pt>
                <c:pt idx="291">
                  <c:v>59.231075500000003</c:v>
                </c:pt>
                <c:pt idx="292">
                  <c:v>59.1874471</c:v>
                </c:pt>
                <c:pt idx="293">
                  <c:v>59.107929400000003</c:v>
                </c:pt>
                <c:pt idx="294">
                  <c:v>59.423079299999998</c:v>
                </c:pt>
                <c:pt idx="295">
                  <c:v>59.342995299999998</c:v>
                </c:pt>
                <c:pt idx="296">
                  <c:v>59.041375899999998</c:v>
                </c:pt>
                <c:pt idx="297">
                  <c:v>59.678561999999999</c:v>
                </c:pt>
                <c:pt idx="298">
                  <c:v>60.123624599999999</c:v>
                </c:pt>
                <c:pt idx="299">
                  <c:v>60.201270700000002</c:v>
                </c:pt>
                <c:pt idx="300">
                  <c:v>60.317696699999999</c:v>
                </c:pt>
                <c:pt idx="301">
                  <c:v>59.586455700000002</c:v>
                </c:pt>
                <c:pt idx="302">
                  <c:v>59.5098129</c:v>
                </c:pt>
                <c:pt idx="303">
                  <c:v>59.737710700000001</c:v>
                </c:pt>
                <c:pt idx="304">
                  <c:v>59.501353100000003</c:v>
                </c:pt>
                <c:pt idx="305">
                  <c:v>59.452392699999997</c:v>
                </c:pt>
                <c:pt idx="306">
                  <c:v>59.536753599999997</c:v>
                </c:pt>
                <c:pt idx="307">
                  <c:v>59.929279100000002</c:v>
                </c:pt>
                <c:pt idx="308">
                  <c:v>59.600705099999999</c:v>
                </c:pt>
                <c:pt idx="309">
                  <c:v>59.450852500000003</c:v>
                </c:pt>
                <c:pt idx="310">
                  <c:v>59.583059200000001</c:v>
                </c:pt>
                <c:pt idx="311">
                  <c:v>59.639986200000003</c:v>
                </c:pt>
                <c:pt idx="312">
                  <c:v>59.538926600000003</c:v>
                </c:pt>
                <c:pt idx="313">
                  <c:v>59.737699599999999</c:v>
                </c:pt>
                <c:pt idx="314">
                  <c:v>59.582644700000003</c:v>
                </c:pt>
                <c:pt idx="315">
                  <c:v>59.677888199999998</c:v>
                </c:pt>
                <c:pt idx="316">
                  <c:v>59.733961700000002</c:v>
                </c:pt>
                <c:pt idx="317">
                  <c:v>59.792418099999999</c:v>
                </c:pt>
                <c:pt idx="318">
                  <c:v>59.959219500000003</c:v>
                </c:pt>
                <c:pt idx="319">
                  <c:v>60.161830399999999</c:v>
                </c:pt>
                <c:pt idx="320">
                  <c:v>60.365605500000001</c:v>
                </c:pt>
                <c:pt idx="321">
                  <c:v>60.524659300000003</c:v>
                </c:pt>
                <c:pt idx="322">
                  <c:v>60.809699700000003</c:v>
                </c:pt>
                <c:pt idx="323">
                  <c:v>60.908285200000002</c:v>
                </c:pt>
                <c:pt idx="324">
                  <c:v>60.7638204</c:v>
                </c:pt>
                <c:pt idx="325">
                  <c:v>60.900296699999998</c:v>
                </c:pt>
                <c:pt idx="326">
                  <c:v>60.874724000000001</c:v>
                </c:pt>
                <c:pt idx="327">
                  <c:v>61.148535600000002</c:v>
                </c:pt>
                <c:pt idx="328">
                  <c:v>61.0532982</c:v>
                </c:pt>
                <c:pt idx="329">
                  <c:v>60.694487199999998</c:v>
                </c:pt>
                <c:pt idx="330">
                  <c:v>61.137409400000003</c:v>
                </c:pt>
                <c:pt idx="331">
                  <c:v>60.700564800000002</c:v>
                </c:pt>
                <c:pt idx="332">
                  <c:v>61.107579100000002</c:v>
                </c:pt>
                <c:pt idx="333">
                  <c:v>60.694939900000001</c:v>
                </c:pt>
                <c:pt idx="334">
                  <c:v>60.712953300000002</c:v>
                </c:pt>
                <c:pt idx="335">
                  <c:v>60.419002399999997</c:v>
                </c:pt>
                <c:pt idx="336">
                  <c:v>60.7030721</c:v>
                </c:pt>
                <c:pt idx="337">
                  <c:v>60.898836899999999</c:v>
                </c:pt>
                <c:pt idx="338">
                  <c:v>61.247248300000003</c:v>
                </c:pt>
                <c:pt idx="339">
                  <c:v>60.932487000000002</c:v>
                </c:pt>
                <c:pt idx="340">
                  <c:v>61.436012300000002</c:v>
                </c:pt>
                <c:pt idx="341">
                  <c:v>61.4713852</c:v>
                </c:pt>
                <c:pt idx="342">
                  <c:v>61.5475864</c:v>
                </c:pt>
                <c:pt idx="343">
                  <c:v>61.745446999999999</c:v>
                </c:pt>
                <c:pt idx="344">
                  <c:v>61.403530799999999</c:v>
                </c:pt>
                <c:pt idx="345">
                  <c:v>61.160775700000002</c:v>
                </c:pt>
                <c:pt idx="346">
                  <c:v>61.606343600000002</c:v>
                </c:pt>
                <c:pt idx="347">
                  <c:v>61.419618700000001</c:v>
                </c:pt>
                <c:pt idx="348">
                  <c:v>61.734485999999997</c:v>
                </c:pt>
                <c:pt idx="349">
                  <c:v>61.875003999999997</c:v>
                </c:pt>
                <c:pt idx="350">
                  <c:v>62.235111500000002</c:v>
                </c:pt>
                <c:pt idx="351">
                  <c:v>62.039885599999998</c:v>
                </c:pt>
                <c:pt idx="352">
                  <c:v>61.933536199999999</c:v>
                </c:pt>
                <c:pt idx="353">
                  <c:v>62.245666900000003</c:v>
                </c:pt>
                <c:pt idx="354">
                  <c:v>62.166525999999998</c:v>
                </c:pt>
                <c:pt idx="355">
                  <c:v>62.208922899999997</c:v>
                </c:pt>
                <c:pt idx="356">
                  <c:v>62.102478499999997</c:v>
                </c:pt>
                <c:pt idx="357">
                  <c:v>62.251803500000001</c:v>
                </c:pt>
                <c:pt idx="358">
                  <c:v>62.625663899999999</c:v>
                </c:pt>
                <c:pt idx="359">
                  <c:v>62.604186599999998</c:v>
                </c:pt>
                <c:pt idx="360">
                  <c:v>62.474140400000003</c:v>
                </c:pt>
                <c:pt idx="361">
                  <c:v>61.9813908</c:v>
                </c:pt>
                <c:pt idx="362">
                  <c:v>62.258315799999998</c:v>
                </c:pt>
                <c:pt idx="363">
                  <c:v>62.1894195</c:v>
                </c:pt>
                <c:pt idx="364">
                  <c:v>62.156036299999997</c:v>
                </c:pt>
                <c:pt idx="365">
                  <c:v>62.085086599999997</c:v>
                </c:pt>
                <c:pt idx="366">
                  <c:v>62.233545800000002</c:v>
                </c:pt>
                <c:pt idx="367">
                  <c:v>61.830159899999998</c:v>
                </c:pt>
                <c:pt idx="368">
                  <c:v>61.841959199999998</c:v>
                </c:pt>
                <c:pt idx="369">
                  <c:v>61.567767799999999</c:v>
                </c:pt>
                <c:pt idx="370">
                  <c:v>61.506605299999997</c:v>
                </c:pt>
                <c:pt idx="371">
                  <c:v>61.407452999999997</c:v>
                </c:pt>
                <c:pt idx="372">
                  <c:v>61.240068999999998</c:v>
                </c:pt>
                <c:pt idx="373">
                  <c:v>60.960199899999999</c:v>
                </c:pt>
                <c:pt idx="374">
                  <c:v>60.753921800000001</c:v>
                </c:pt>
                <c:pt idx="375">
                  <c:v>60.767553800000002</c:v>
                </c:pt>
                <c:pt idx="376">
                  <c:v>60.7472864</c:v>
                </c:pt>
                <c:pt idx="377">
                  <c:v>61.048263900000002</c:v>
                </c:pt>
                <c:pt idx="378">
                  <c:v>61.121444500000003</c:v>
                </c:pt>
                <c:pt idx="379">
                  <c:v>61.102167999999999</c:v>
                </c:pt>
                <c:pt idx="380">
                  <c:v>61.648728200000001</c:v>
                </c:pt>
                <c:pt idx="381">
                  <c:v>61.988811900000002</c:v>
                </c:pt>
                <c:pt idx="382">
                  <c:v>61.950323599999997</c:v>
                </c:pt>
                <c:pt idx="383">
                  <c:v>62.220416100000001</c:v>
                </c:pt>
                <c:pt idx="384">
                  <c:v>61.6075941</c:v>
                </c:pt>
                <c:pt idx="385">
                  <c:v>61.636303599999998</c:v>
                </c:pt>
                <c:pt idx="386">
                  <c:v>61.609387499999997</c:v>
                </c:pt>
                <c:pt idx="387">
                  <c:v>61.607994400000003</c:v>
                </c:pt>
                <c:pt idx="388">
                  <c:v>61.516574599999998</c:v>
                </c:pt>
                <c:pt idx="389">
                  <c:v>61.6705051</c:v>
                </c:pt>
                <c:pt idx="390">
                  <c:v>62.232439599999999</c:v>
                </c:pt>
                <c:pt idx="391">
                  <c:v>62.155829900000001</c:v>
                </c:pt>
                <c:pt idx="392">
                  <c:v>62.175757300000001</c:v>
                </c:pt>
                <c:pt idx="393">
                  <c:v>62.578329799999999</c:v>
                </c:pt>
                <c:pt idx="394">
                  <c:v>62.443399900000003</c:v>
                </c:pt>
                <c:pt idx="395">
                  <c:v>62.8113004</c:v>
                </c:pt>
                <c:pt idx="396">
                  <c:v>62.601810200000003</c:v>
                </c:pt>
                <c:pt idx="397">
                  <c:v>62.6077066</c:v>
                </c:pt>
                <c:pt idx="398">
                  <c:v>62.176254700000001</c:v>
                </c:pt>
                <c:pt idx="399">
                  <c:v>62.2244934</c:v>
                </c:pt>
                <c:pt idx="400">
                  <c:v>62.611118400000002</c:v>
                </c:pt>
                <c:pt idx="401">
                  <c:v>62.069332000000003</c:v>
                </c:pt>
                <c:pt idx="402">
                  <c:v>62.077418700000003</c:v>
                </c:pt>
                <c:pt idx="403">
                  <c:v>62.175518500000003</c:v>
                </c:pt>
                <c:pt idx="404">
                  <c:v>62.123234400000001</c:v>
                </c:pt>
                <c:pt idx="405">
                  <c:v>61.829831499999997</c:v>
                </c:pt>
                <c:pt idx="406">
                  <c:v>61.652281899999998</c:v>
                </c:pt>
                <c:pt idx="407">
                  <c:v>61.710208899999998</c:v>
                </c:pt>
                <c:pt idx="408">
                  <c:v>61.237641199999999</c:v>
                </c:pt>
                <c:pt idx="409">
                  <c:v>61.524277900000001</c:v>
                </c:pt>
                <c:pt idx="410">
                  <c:v>61.981096299999997</c:v>
                </c:pt>
                <c:pt idx="411">
                  <c:v>62.0483166</c:v>
                </c:pt>
                <c:pt idx="412">
                  <c:v>61.959777699999997</c:v>
                </c:pt>
                <c:pt idx="413">
                  <c:v>61.700958300000003</c:v>
                </c:pt>
                <c:pt idx="414">
                  <c:v>61.366252899999999</c:v>
                </c:pt>
                <c:pt idx="415">
                  <c:v>61.636151699999999</c:v>
                </c:pt>
                <c:pt idx="416">
                  <c:v>61.474893999999999</c:v>
                </c:pt>
                <c:pt idx="417">
                  <c:v>61.167788399999999</c:v>
                </c:pt>
                <c:pt idx="418">
                  <c:v>61.368152600000002</c:v>
                </c:pt>
                <c:pt idx="419">
                  <c:v>60.974243999999999</c:v>
                </c:pt>
                <c:pt idx="420">
                  <c:v>61.2535746</c:v>
                </c:pt>
                <c:pt idx="421">
                  <c:v>60.949259599999998</c:v>
                </c:pt>
                <c:pt idx="422">
                  <c:v>61.176991700000002</c:v>
                </c:pt>
                <c:pt idx="423">
                  <c:v>61.124047699999998</c:v>
                </c:pt>
                <c:pt idx="424">
                  <c:v>61.546616299999997</c:v>
                </c:pt>
                <c:pt idx="425">
                  <c:v>61.193947399999999</c:v>
                </c:pt>
                <c:pt idx="426">
                  <c:v>61.084124000000003</c:v>
                </c:pt>
                <c:pt idx="427">
                  <c:v>60.868922699999999</c:v>
                </c:pt>
                <c:pt idx="428">
                  <c:v>61.000351100000003</c:v>
                </c:pt>
                <c:pt idx="429">
                  <c:v>60.812188200000001</c:v>
                </c:pt>
                <c:pt idx="430">
                  <c:v>60.374020999999999</c:v>
                </c:pt>
                <c:pt idx="431">
                  <c:v>60.536611600000001</c:v>
                </c:pt>
                <c:pt idx="432">
                  <c:v>60.071055899999998</c:v>
                </c:pt>
                <c:pt idx="433">
                  <c:v>60.112501999999999</c:v>
                </c:pt>
                <c:pt idx="434">
                  <c:v>60.032491399999998</c:v>
                </c:pt>
                <c:pt idx="435">
                  <c:v>60.386080300000003</c:v>
                </c:pt>
                <c:pt idx="436">
                  <c:v>60.111773999999997</c:v>
                </c:pt>
                <c:pt idx="437">
                  <c:v>60.465756300000002</c:v>
                </c:pt>
                <c:pt idx="438">
                  <c:v>60.325007200000002</c:v>
                </c:pt>
                <c:pt idx="439">
                  <c:v>60.487158399999998</c:v>
                </c:pt>
                <c:pt idx="440">
                  <c:v>60.304652900000001</c:v>
                </c:pt>
                <c:pt idx="441">
                  <c:v>60.255727100000001</c:v>
                </c:pt>
                <c:pt idx="442">
                  <c:v>60.924297799999998</c:v>
                </c:pt>
                <c:pt idx="443">
                  <c:v>60.870952500000001</c:v>
                </c:pt>
                <c:pt idx="444">
                  <c:v>61.136127299999998</c:v>
                </c:pt>
                <c:pt idx="445">
                  <c:v>61.043719000000003</c:v>
                </c:pt>
                <c:pt idx="446">
                  <c:v>61.0177543</c:v>
                </c:pt>
                <c:pt idx="447">
                  <c:v>60.966762500000002</c:v>
                </c:pt>
                <c:pt idx="448">
                  <c:v>60.730775999999999</c:v>
                </c:pt>
                <c:pt idx="449">
                  <c:v>60.910708399999997</c:v>
                </c:pt>
                <c:pt idx="450">
                  <c:v>60.446862099999997</c:v>
                </c:pt>
                <c:pt idx="451">
                  <c:v>60.547855599999998</c:v>
                </c:pt>
                <c:pt idx="452">
                  <c:v>61.098508099999997</c:v>
                </c:pt>
                <c:pt idx="453">
                  <c:v>61.0889436</c:v>
                </c:pt>
                <c:pt idx="454">
                  <c:v>60.764153</c:v>
                </c:pt>
                <c:pt idx="455">
                  <c:v>60.538014099999998</c:v>
                </c:pt>
                <c:pt idx="456">
                  <c:v>61.186075799999998</c:v>
                </c:pt>
                <c:pt idx="457">
                  <c:v>61.200998499999997</c:v>
                </c:pt>
                <c:pt idx="458">
                  <c:v>61.192702599999997</c:v>
                </c:pt>
                <c:pt idx="459">
                  <c:v>61.1392892</c:v>
                </c:pt>
                <c:pt idx="460">
                  <c:v>61.625803599999998</c:v>
                </c:pt>
                <c:pt idx="461">
                  <c:v>61.670454100000001</c:v>
                </c:pt>
                <c:pt idx="462">
                  <c:v>61.786737100000003</c:v>
                </c:pt>
                <c:pt idx="463">
                  <c:v>61.557482</c:v>
                </c:pt>
                <c:pt idx="464">
                  <c:v>61.981133100000001</c:v>
                </c:pt>
                <c:pt idx="465">
                  <c:v>61.728263499999997</c:v>
                </c:pt>
                <c:pt idx="466">
                  <c:v>61.980120499999998</c:v>
                </c:pt>
                <c:pt idx="467">
                  <c:v>61.6446988</c:v>
                </c:pt>
                <c:pt idx="468">
                  <c:v>61.8419873</c:v>
                </c:pt>
                <c:pt idx="469">
                  <c:v>61.764769899999997</c:v>
                </c:pt>
                <c:pt idx="470">
                  <c:v>62.1080319</c:v>
                </c:pt>
                <c:pt idx="471">
                  <c:v>62.080219300000003</c:v>
                </c:pt>
                <c:pt idx="472">
                  <c:v>62.086354700000001</c:v>
                </c:pt>
                <c:pt idx="473">
                  <c:v>61.9507142</c:v>
                </c:pt>
                <c:pt idx="474">
                  <c:v>62.172108899999998</c:v>
                </c:pt>
                <c:pt idx="475">
                  <c:v>62.2892674</c:v>
                </c:pt>
                <c:pt idx="476">
                  <c:v>62.023547700000002</c:v>
                </c:pt>
                <c:pt idx="477">
                  <c:v>62.272981399999999</c:v>
                </c:pt>
                <c:pt idx="478">
                  <c:v>62.175522200000003</c:v>
                </c:pt>
                <c:pt idx="479">
                  <c:v>62.308037200000001</c:v>
                </c:pt>
                <c:pt idx="480">
                  <c:v>61.702166599999998</c:v>
                </c:pt>
                <c:pt idx="481">
                  <c:v>62.062918000000003</c:v>
                </c:pt>
                <c:pt idx="482">
                  <c:v>61.891813300000003</c:v>
                </c:pt>
                <c:pt idx="483">
                  <c:v>62.249848999999998</c:v>
                </c:pt>
                <c:pt idx="484">
                  <c:v>62.003585899999997</c:v>
                </c:pt>
                <c:pt idx="485">
                  <c:v>62.415775699999998</c:v>
                </c:pt>
                <c:pt idx="486">
                  <c:v>62.292008000000003</c:v>
                </c:pt>
                <c:pt idx="487">
                  <c:v>62.563041800000001</c:v>
                </c:pt>
                <c:pt idx="488">
                  <c:v>62.449310599999997</c:v>
                </c:pt>
                <c:pt idx="489">
                  <c:v>62.824347799999998</c:v>
                </c:pt>
                <c:pt idx="490">
                  <c:v>62.994587600000003</c:v>
                </c:pt>
                <c:pt idx="491">
                  <c:v>62.852387299999997</c:v>
                </c:pt>
                <c:pt idx="492">
                  <c:v>62.8148549</c:v>
                </c:pt>
                <c:pt idx="493">
                  <c:v>62.852674299999997</c:v>
                </c:pt>
                <c:pt idx="494">
                  <c:v>62.746770499999997</c:v>
                </c:pt>
                <c:pt idx="495">
                  <c:v>62.856268200000002</c:v>
                </c:pt>
                <c:pt idx="496">
                  <c:v>62.759744599999998</c:v>
                </c:pt>
                <c:pt idx="497">
                  <c:v>62.7697669</c:v>
                </c:pt>
                <c:pt idx="498">
                  <c:v>63.1220073</c:v>
                </c:pt>
                <c:pt idx="499">
                  <c:v>63.1506732</c:v>
                </c:pt>
                <c:pt idx="500">
                  <c:v>63.077680399999998</c:v>
                </c:pt>
                <c:pt idx="501">
                  <c:v>63.219037299999997</c:v>
                </c:pt>
                <c:pt idx="502">
                  <c:v>63.468221499999999</c:v>
                </c:pt>
                <c:pt idx="503">
                  <c:v>63.215197099999997</c:v>
                </c:pt>
                <c:pt idx="504">
                  <c:v>62.607347799999999</c:v>
                </c:pt>
                <c:pt idx="505">
                  <c:v>62.749064599999997</c:v>
                </c:pt>
                <c:pt idx="506">
                  <c:v>60.4277449</c:v>
                </c:pt>
                <c:pt idx="507">
                  <c:v>59.038296799999998</c:v>
                </c:pt>
                <c:pt idx="508">
                  <c:v>59.519818000000001</c:v>
                </c:pt>
                <c:pt idx="509">
                  <c:v>59.764208400000001</c:v>
                </c:pt>
                <c:pt idx="510">
                  <c:v>59.060395800000002</c:v>
                </c:pt>
                <c:pt idx="511">
                  <c:v>58.289702800000001</c:v>
                </c:pt>
                <c:pt idx="512">
                  <c:v>59.785958899999997</c:v>
                </c:pt>
                <c:pt idx="513">
                  <c:v>61.053872800000001</c:v>
                </c:pt>
                <c:pt idx="514">
                  <c:v>61.506647800000003</c:v>
                </c:pt>
                <c:pt idx="515">
                  <c:v>62.151799699999998</c:v>
                </c:pt>
                <c:pt idx="516">
                  <c:v>62.287724799999999</c:v>
                </c:pt>
                <c:pt idx="517">
                  <c:v>62.462016599999998</c:v>
                </c:pt>
                <c:pt idx="518">
                  <c:v>62.526640100000002</c:v>
                </c:pt>
                <c:pt idx="519">
                  <c:v>62.930074300000001</c:v>
                </c:pt>
                <c:pt idx="520">
                  <c:v>62.736068500000002</c:v>
                </c:pt>
                <c:pt idx="521">
                  <c:v>63.168263400000001</c:v>
                </c:pt>
                <c:pt idx="522">
                  <c:v>63.737743899999998</c:v>
                </c:pt>
                <c:pt idx="523">
                  <c:v>61.474587399999997</c:v>
                </c:pt>
                <c:pt idx="524">
                  <c:v>60.707524599999999</c:v>
                </c:pt>
                <c:pt idx="525">
                  <c:v>63.480052100000002</c:v>
                </c:pt>
                <c:pt idx="526">
                  <c:v>64.034573800000004</c:v>
                </c:pt>
                <c:pt idx="527">
                  <c:v>63.887636200000003</c:v>
                </c:pt>
                <c:pt idx="528">
                  <c:v>64.052835000000002</c:v>
                </c:pt>
                <c:pt idx="529">
                  <c:v>64.031874200000004</c:v>
                </c:pt>
                <c:pt idx="530">
                  <c:v>64.303989700000002</c:v>
                </c:pt>
                <c:pt idx="531">
                  <c:v>64.052285100000006</c:v>
                </c:pt>
                <c:pt idx="532">
                  <c:v>64.645148599999999</c:v>
                </c:pt>
                <c:pt idx="533">
                  <c:v>64.232981899999999</c:v>
                </c:pt>
                <c:pt idx="534">
                  <c:v>64.327441199999996</c:v>
                </c:pt>
                <c:pt idx="535">
                  <c:v>64.151496300000005</c:v>
                </c:pt>
                <c:pt idx="536">
                  <c:v>64.182022599999996</c:v>
                </c:pt>
                <c:pt idx="537">
                  <c:v>64.684941199999997</c:v>
                </c:pt>
                <c:pt idx="538">
                  <c:v>64.311132999999998</c:v>
                </c:pt>
                <c:pt idx="539">
                  <c:v>63.764325499999998</c:v>
                </c:pt>
                <c:pt idx="540">
                  <c:v>64.5294375</c:v>
                </c:pt>
                <c:pt idx="541">
                  <c:v>65.161085099999994</c:v>
                </c:pt>
                <c:pt idx="542">
                  <c:v>64.610960199999994</c:v>
                </c:pt>
                <c:pt idx="543">
                  <c:v>64.955687999999995</c:v>
                </c:pt>
                <c:pt idx="544">
                  <c:v>65.004513500000002</c:v>
                </c:pt>
                <c:pt idx="545">
                  <c:v>65.054492600000003</c:v>
                </c:pt>
                <c:pt idx="546">
                  <c:v>64.801262500000007</c:v>
                </c:pt>
                <c:pt idx="547">
                  <c:v>64.632631599999996</c:v>
                </c:pt>
                <c:pt idx="548">
                  <c:v>65.006214499999999</c:v>
                </c:pt>
                <c:pt idx="549">
                  <c:v>64.763007999999999</c:v>
                </c:pt>
                <c:pt idx="550">
                  <c:v>64.439449699999997</c:v>
                </c:pt>
                <c:pt idx="551">
                  <c:v>64.321302000000003</c:v>
                </c:pt>
                <c:pt idx="552">
                  <c:v>64.702942100000001</c:v>
                </c:pt>
                <c:pt idx="553">
                  <c:v>64.5918408</c:v>
                </c:pt>
                <c:pt idx="554">
                  <c:v>64.623220900000007</c:v>
                </c:pt>
                <c:pt idx="555">
                  <c:v>64.796210200000004</c:v>
                </c:pt>
                <c:pt idx="556">
                  <c:v>64.819345799999994</c:v>
                </c:pt>
                <c:pt idx="557">
                  <c:v>65.127727100000001</c:v>
                </c:pt>
                <c:pt idx="558">
                  <c:v>65.2473964</c:v>
                </c:pt>
                <c:pt idx="559">
                  <c:v>65.464532599999998</c:v>
                </c:pt>
                <c:pt idx="560">
                  <c:v>65.292733299999995</c:v>
                </c:pt>
              </c:numCache>
            </c:numRef>
          </c:val>
          <c:smooth val="0"/>
          <c:extLst>
            <c:ext xmlns:c16="http://schemas.microsoft.com/office/drawing/2014/chart" uri="{C3380CC4-5D6E-409C-BE32-E72D297353CC}">
              <c16:uniqueId val="{00000001-3109-425C-AD48-564D5FEE5452}"/>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28856"/>
        </c:scaling>
        <c:delete val="0"/>
        <c:axPos val="b"/>
        <c:numFmt formatCode="yyyy" sourceLinked="0"/>
        <c:majorTickMark val="out"/>
        <c:minorTickMark val="none"/>
        <c:tickLblPos val="low"/>
        <c:spPr>
          <a:noFill/>
          <a:ln w="9525" cap="flat" cmpd="sng" algn="ctr">
            <a:solidFill>
              <a:sysClr val="window" lastClr="FFFFFF">
                <a:lumMod val="50000"/>
              </a:sysClr>
            </a:solidFill>
            <a:round/>
          </a:ln>
          <a:effectLst/>
        </c:spPr>
        <c:txPr>
          <a:bodyPr rot="-60000000" vert="horz"/>
          <a:lstStyle/>
          <a:p>
            <a:pPr>
              <a:defRPr>
                <a:solidFill>
                  <a:schemeClr val="tx1">
                    <a:lumMod val="65000"/>
                    <a:lumOff val="35000"/>
                  </a:schemeClr>
                </a:solidFill>
              </a:defRPr>
            </a:pPr>
            <a:endParaRPr lang="en-US"/>
          </a:p>
        </c:txPr>
        <c:crossAx val="1032677424"/>
        <c:crosses val="autoZero"/>
        <c:auto val="0"/>
        <c:lblOffset val="100"/>
        <c:baseTimeUnit val="months"/>
        <c:majorUnit val="108"/>
        <c:majorTimeUnit val="months"/>
        <c:minorUnit val="1"/>
      </c:dateAx>
      <c:valAx>
        <c:axId val="1032677424"/>
        <c:scaling>
          <c:orientation val="minMax"/>
          <c:min val="52"/>
        </c:scaling>
        <c:delete val="0"/>
        <c:axPos val="l"/>
        <c:majorGridlines>
          <c:spPr>
            <a:ln w="9525">
              <a:solidFill>
                <a:sysClr val="window" lastClr="FFFFFF">
                  <a:lumMod val="75000"/>
                </a:sysClr>
              </a:solidFill>
              <a:prstDash val="dash"/>
            </a:ln>
          </c:spPr>
        </c:majorGridlines>
        <c:title>
          <c:tx>
            <c:rich>
              <a:bodyPr/>
              <a:lstStyle/>
              <a:p>
                <a:pPr>
                  <a:defRPr b="0" i="1">
                    <a:solidFill>
                      <a:schemeClr val="tx1">
                        <a:lumMod val="65000"/>
                        <a:lumOff val="35000"/>
                      </a:schemeClr>
                    </a:solidFill>
                    <a:latin typeface="+mj-lt"/>
                  </a:defRPr>
                </a:pPr>
                <a:r>
                  <a:rPr lang="en-AU" b="0" i="1">
                    <a:solidFill>
                      <a:schemeClr val="tx1">
                        <a:lumMod val="65000"/>
                        <a:lumOff val="35000"/>
                      </a:schemeClr>
                    </a:solidFill>
                    <a:latin typeface="+mj-lt"/>
                  </a:rPr>
                  <a:t>per cent</a:t>
                </a:r>
              </a:p>
            </c:rich>
          </c:tx>
          <c:layout>
            <c:manualLayout>
              <c:xMode val="edge"/>
              <c:yMode val="edge"/>
              <c:x val="2.5130948960545535E-3"/>
              <c:y val="0.32215888145998617"/>
            </c:manualLayout>
          </c:layout>
          <c:overlay val="0"/>
        </c:title>
        <c:numFmt formatCode="#,##0" sourceLinked="0"/>
        <c:majorTickMark val="out"/>
        <c:minorTickMark val="none"/>
        <c:tickLblPos val="nextTo"/>
        <c:spPr>
          <a:noFill/>
          <a:ln>
            <a:solidFill>
              <a:sysClr val="window" lastClr="FFFFFF">
                <a:lumMod val="50000"/>
              </a:sysClr>
            </a:solidFill>
          </a:ln>
          <a:effectLst/>
        </c:spPr>
        <c:txPr>
          <a:bodyPr rot="-60000000" vert="horz"/>
          <a:lstStyle/>
          <a:p>
            <a:pPr>
              <a:defRPr>
                <a:solidFill>
                  <a:schemeClr val="tx1">
                    <a:lumMod val="65000"/>
                    <a:lumOff val="35000"/>
                  </a:schemeClr>
                </a:solidFill>
              </a:defRPr>
            </a:pPr>
            <a:endParaRPr lang="en-US"/>
          </a:p>
        </c:txPr>
        <c:crossAx val="1032676440"/>
        <c:crossesAt val="1"/>
        <c:crossBetween val="between"/>
      </c:valAx>
      <c:spPr>
        <a:noFill/>
        <a:ln>
          <a:noFill/>
        </a:ln>
        <a:effectLst/>
      </c:spPr>
    </c:plotArea>
    <c:legend>
      <c:legendPos val="r"/>
      <c:layout>
        <c:manualLayout>
          <c:xMode val="edge"/>
          <c:yMode val="edge"/>
          <c:x val="0.1017950549271873"/>
          <c:y val="0.87348114656291442"/>
          <c:w val="0.85451351209209092"/>
          <c:h val="0.1067966016118409"/>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c:chart>
  <c:spPr>
    <a:solidFill>
      <a:sysClr val="window" lastClr="FFFFFF"/>
    </a:solidFill>
    <a:ln w="9525" cap="flat" cmpd="sng" algn="ctr">
      <a:noFill/>
      <a:round/>
    </a:ln>
    <a:effectLst/>
  </c:spPr>
  <c:txPr>
    <a:bodyPr/>
    <a:lstStyle/>
    <a:p>
      <a:pPr>
        <a:defRPr sz="90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13945263884268"/>
          <c:y val="3.524609423822022E-2"/>
          <c:w val="0.85173487116927282"/>
          <c:h val="0.78185863297347624"/>
        </c:manualLayout>
      </c:layout>
      <c:lineChart>
        <c:grouping val="standard"/>
        <c:varyColors val="0"/>
        <c:ser>
          <c:idx val="3"/>
          <c:order val="0"/>
          <c:tx>
            <c:v>Real GSP</c:v>
          </c:tx>
          <c:spPr>
            <a:ln w="19050" cap="rnd">
              <a:solidFill>
                <a:sysClr val="windowText" lastClr="000000"/>
              </a:solidFill>
              <a:round/>
            </a:ln>
            <a:effectLst/>
          </c:spPr>
          <c:marker>
            <c:symbol val="none"/>
          </c:marker>
          <c:cat>
            <c:numRef>
              <c:f>'Comparsion with Budget'!$F$3:$AA$3</c:f>
              <c:numCache>
                <c:formatCode>mmm\-yy</c:formatCode>
                <c:ptCount val="22"/>
                <c:pt idx="0">
                  <c:v>45261</c:v>
                </c:pt>
                <c:pt idx="1">
                  <c:v>45352</c:v>
                </c:pt>
                <c:pt idx="2">
                  <c:v>45444</c:v>
                </c:pt>
                <c:pt idx="3">
                  <c:v>45536</c:v>
                </c:pt>
                <c:pt idx="4">
                  <c:v>45627</c:v>
                </c:pt>
                <c:pt idx="5">
                  <c:v>45717</c:v>
                </c:pt>
                <c:pt idx="6">
                  <c:v>45809</c:v>
                </c:pt>
                <c:pt idx="7">
                  <c:v>45901</c:v>
                </c:pt>
                <c:pt idx="8">
                  <c:v>45992</c:v>
                </c:pt>
                <c:pt idx="9">
                  <c:v>46082</c:v>
                </c:pt>
                <c:pt idx="10">
                  <c:v>46174</c:v>
                </c:pt>
                <c:pt idx="11">
                  <c:v>46266</c:v>
                </c:pt>
                <c:pt idx="12">
                  <c:v>46357</c:v>
                </c:pt>
                <c:pt idx="13">
                  <c:v>46447</c:v>
                </c:pt>
                <c:pt idx="14">
                  <c:v>46539</c:v>
                </c:pt>
                <c:pt idx="15">
                  <c:v>46631</c:v>
                </c:pt>
                <c:pt idx="16">
                  <c:v>46722</c:v>
                </c:pt>
                <c:pt idx="17">
                  <c:v>46813</c:v>
                </c:pt>
                <c:pt idx="18">
                  <c:v>46905</c:v>
                </c:pt>
              </c:numCache>
            </c:numRef>
          </c:cat>
          <c:val>
            <c:numRef>
              <c:f>'Comparsion with Budget'!$F$4:$AA$4</c:f>
              <c:numCache>
                <c:formatCode>General</c:formatCode>
                <c:ptCount val="22"/>
                <c:pt idx="0">
                  <c:v>0</c:v>
                </c:pt>
                <c:pt idx="1">
                  <c:v>0</c:v>
                </c:pt>
                <c:pt idx="2">
                  <c:v>0</c:v>
                </c:pt>
                <c:pt idx="3" formatCode="0.00">
                  <c:v>0</c:v>
                </c:pt>
                <c:pt idx="4" formatCode="0.00">
                  <c:v>0</c:v>
                </c:pt>
                <c:pt idx="5" formatCode="0.00">
                  <c:v>-8.3588949999999995E-2</c:v>
                </c:pt>
                <c:pt idx="6" formatCode="0.00">
                  <c:v>-0.49808799999999998</c:v>
                </c:pt>
                <c:pt idx="7" formatCode="0.00">
                  <c:v>-0.77456899999999995</c:v>
                </c:pt>
                <c:pt idx="8" formatCode="0.00">
                  <c:v>-0.66497099999999998</c:v>
                </c:pt>
                <c:pt idx="9" formatCode="0.00">
                  <c:v>-0.52008200000000004</c:v>
                </c:pt>
                <c:pt idx="10" formatCode="0.00">
                  <c:v>-0.38994800000000002</c:v>
                </c:pt>
                <c:pt idx="11" formatCode="0.00">
                  <c:v>-0.25955699999999998</c:v>
                </c:pt>
                <c:pt idx="12" formatCode="0.00">
                  <c:v>-0.132941</c:v>
                </c:pt>
                <c:pt idx="13" formatCode="0.00">
                  <c:v>-9.6079709999999999E-2</c:v>
                </c:pt>
                <c:pt idx="14" formatCode="0.00">
                  <c:v>-8.9409749999999996E-2</c:v>
                </c:pt>
                <c:pt idx="15" formatCode="0.00">
                  <c:v>-7.7226110000000001E-2</c:v>
                </c:pt>
                <c:pt idx="16" formatCode="0.00">
                  <c:v>-7.5133179999999994E-2</c:v>
                </c:pt>
                <c:pt idx="17" formatCode="0.00">
                  <c:v>-7.7447290000000002E-2</c:v>
                </c:pt>
                <c:pt idx="18" formatCode="0.00">
                  <c:v>-7.9060519999999995E-2</c:v>
                </c:pt>
                <c:pt idx="21">
                  <c:v>7</c:v>
                </c:pt>
              </c:numCache>
            </c:numRef>
          </c:val>
          <c:smooth val="0"/>
          <c:extLst>
            <c:ext xmlns:c16="http://schemas.microsoft.com/office/drawing/2014/chart" uri="{C3380CC4-5D6E-409C-BE32-E72D297353CC}">
              <c16:uniqueId val="{00000000-915F-425C-9DB3-A21508B5DB8A}"/>
            </c:ext>
          </c:extLst>
        </c:ser>
        <c:ser>
          <c:idx val="4"/>
          <c:order val="1"/>
          <c:tx>
            <c:v>Household consumption</c:v>
          </c:tx>
          <c:spPr>
            <a:ln>
              <a:solidFill>
                <a:sysClr val="window" lastClr="FFFFFF">
                  <a:lumMod val="50000"/>
                </a:sysClr>
              </a:solidFill>
            </a:ln>
          </c:spPr>
          <c:marker>
            <c:symbol val="none"/>
          </c:marker>
          <c:cat>
            <c:numRef>
              <c:f>'Comparsion with Budget'!$F$3:$AA$3</c:f>
              <c:numCache>
                <c:formatCode>mmm\-yy</c:formatCode>
                <c:ptCount val="22"/>
                <c:pt idx="0">
                  <c:v>45261</c:v>
                </c:pt>
                <c:pt idx="1">
                  <c:v>45352</c:v>
                </c:pt>
                <c:pt idx="2">
                  <c:v>45444</c:v>
                </c:pt>
                <c:pt idx="3">
                  <c:v>45536</c:v>
                </c:pt>
                <c:pt idx="4">
                  <c:v>45627</c:v>
                </c:pt>
                <c:pt idx="5">
                  <c:v>45717</c:v>
                </c:pt>
                <c:pt idx="6">
                  <c:v>45809</c:v>
                </c:pt>
                <c:pt idx="7">
                  <c:v>45901</c:v>
                </c:pt>
                <c:pt idx="8">
                  <c:v>45992</c:v>
                </c:pt>
                <c:pt idx="9">
                  <c:v>46082</c:v>
                </c:pt>
                <c:pt idx="10">
                  <c:v>46174</c:v>
                </c:pt>
                <c:pt idx="11">
                  <c:v>46266</c:v>
                </c:pt>
                <c:pt idx="12">
                  <c:v>46357</c:v>
                </c:pt>
                <c:pt idx="13">
                  <c:v>46447</c:v>
                </c:pt>
                <c:pt idx="14">
                  <c:v>46539</c:v>
                </c:pt>
                <c:pt idx="15">
                  <c:v>46631</c:v>
                </c:pt>
                <c:pt idx="16">
                  <c:v>46722</c:v>
                </c:pt>
                <c:pt idx="17">
                  <c:v>46813</c:v>
                </c:pt>
                <c:pt idx="18">
                  <c:v>46905</c:v>
                </c:pt>
              </c:numCache>
            </c:numRef>
          </c:cat>
          <c:val>
            <c:numRef>
              <c:f>'Comparsion with Budget'!$F$14:$AA$14</c:f>
              <c:numCache>
                <c:formatCode>General</c:formatCode>
                <c:ptCount val="22"/>
                <c:pt idx="0">
                  <c:v>0</c:v>
                </c:pt>
                <c:pt idx="1">
                  <c:v>0</c:v>
                </c:pt>
                <c:pt idx="2">
                  <c:v>0</c:v>
                </c:pt>
                <c:pt idx="3" formatCode="0.00">
                  <c:v>0</c:v>
                </c:pt>
                <c:pt idx="4" formatCode="0.00">
                  <c:v>0</c:v>
                </c:pt>
                <c:pt idx="5" formatCode="0.00">
                  <c:v>-9.1301170000000001E-2</c:v>
                </c:pt>
                <c:pt idx="6" formatCode="0.00">
                  <c:v>-0.54538200000000003</c:v>
                </c:pt>
                <c:pt idx="7" formatCode="0.00">
                  <c:v>-0.86885699999999999</c:v>
                </c:pt>
                <c:pt idx="8" formatCode="0.00">
                  <c:v>-0.79144700000000001</c:v>
                </c:pt>
                <c:pt idx="9" formatCode="0.00">
                  <c:v>-0.66587200000000002</c:v>
                </c:pt>
                <c:pt idx="10" formatCode="0.00">
                  <c:v>-0.53304700000000005</c:v>
                </c:pt>
                <c:pt idx="11" formatCode="0.00">
                  <c:v>-0.40037</c:v>
                </c:pt>
                <c:pt idx="12" formatCode="0.00">
                  <c:v>-0.26574999999999999</c:v>
                </c:pt>
                <c:pt idx="13" formatCode="0.00">
                  <c:v>-0.21834799999999999</c:v>
                </c:pt>
                <c:pt idx="14" formatCode="0.00">
                  <c:v>-0.22103999999999999</c:v>
                </c:pt>
                <c:pt idx="15" formatCode="0.00">
                  <c:v>-0.22586800000000001</c:v>
                </c:pt>
                <c:pt idx="16" formatCode="0.00">
                  <c:v>-0.22662099999999999</c:v>
                </c:pt>
                <c:pt idx="17" formatCode="0.00">
                  <c:v>-0.22553699999999999</c:v>
                </c:pt>
                <c:pt idx="18" formatCode="0.00">
                  <c:v>-0.224882</c:v>
                </c:pt>
              </c:numCache>
            </c:numRef>
          </c:val>
          <c:smooth val="0"/>
          <c:extLst>
            <c:ext xmlns:c16="http://schemas.microsoft.com/office/drawing/2014/chart" uri="{C3380CC4-5D6E-409C-BE32-E72D297353CC}">
              <c16:uniqueId val="{00000001-915F-425C-9DB3-A21508B5DB8A}"/>
            </c:ext>
          </c:extLst>
        </c:ser>
        <c:ser>
          <c:idx val="0"/>
          <c:order val="2"/>
          <c:tx>
            <c:v>Investment</c:v>
          </c:tx>
          <c:spPr>
            <a:ln>
              <a:solidFill>
                <a:sysClr val="window" lastClr="FFFFFF">
                  <a:lumMod val="75000"/>
                </a:sysClr>
              </a:solidFill>
            </a:ln>
          </c:spPr>
          <c:marker>
            <c:symbol val="none"/>
          </c:marker>
          <c:cat>
            <c:numRef>
              <c:f>'Comparsion with Budget'!$F$3:$AA$3</c:f>
              <c:numCache>
                <c:formatCode>mmm\-yy</c:formatCode>
                <c:ptCount val="22"/>
                <c:pt idx="0">
                  <c:v>45261</c:v>
                </c:pt>
                <c:pt idx="1">
                  <c:v>45352</c:v>
                </c:pt>
                <c:pt idx="2">
                  <c:v>45444</c:v>
                </c:pt>
                <c:pt idx="3">
                  <c:v>45536</c:v>
                </c:pt>
                <c:pt idx="4">
                  <c:v>45627</c:v>
                </c:pt>
                <c:pt idx="5">
                  <c:v>45717</c:v>
                </c:pt>
                <c:pt idx="6">
                  <c:v>45809</c:v>
                </c:pt>
                <c:pt idx="7">
                  <c:v>45901</c:v>
                </c:pt>
                <c:pt idx="8">
                  <c:v>45992</c:v>
                </c:pt>
                <c:pt idx="9">
                  <c:v>46082</c:v>
                </c:pt>
                <c:pt idx="10">
                  <c:v>46174</c:v>
                </c:pt>
                <c:pt idx="11">
                  <c:v>46266</c:v>
                </c:pt>
                <c:pt idx="12">
                  <c:v>46357</c:v>
                </c:pt>
                <c:pt idx="13">
                  <c:v>46447</c:v>
                </c:pt>
                <c:pt idx="14">
                  <c:v>46539</c:v>
                </c:pt>
                <c:pt idx="15">
                  <c:v>46631</c:v>
                </c:pt>
                <c:pt idx="16">
                  <c:v>46722</c:v>
                </c:pt>
                <c:pt idx="17">
                  <c:v>46813</c:v>
                </c:pt>
                <c:pt idx="18">
                  <c:v>46905</c:v>
                </c:pt>
              </c:numCache>
            </c:numRef>
          </c:cat>
          <c:val>
            <c:numRef>
              <c:f>'Comparsion with Budget'!$F$26:$AA$26</c:f>
              <c:numCache>
                <c:formatCode>General</c:formatCode>
                <c:ptCount val="22"/>
                <c:pt idx="0">
                  <c:v>0</c:v>
                </c:pt>
                <c:pt idx="1">
                  <c:v>0</c:v>
                </c:pt>
                <c:pt idx="2">
                  <c:v>0</c:v>
                </c:pt>
                <c:pt idx="3" formatCode="0.00">
                  <c:v>0</c:v>
                </c:pt>
                <c:pt idx="4" formatCode="0.00">
                  <c:v>0</c:v>
                </c:pt>
                <c:pt idx="5" formatCode="0.00">
                  <c:v>-6.5068539999999994E-2</c:v>
                </c:pt>
                <c:pt idx="6" formatCode="0.00">
                  <c:v>-0.39776099999999998</c:v>
                </c:pt>
                <c:pt idx="7" formatCode="0.00">
                  <c:v>-0.68937000000000004</c:v>
                </c:pt>
                <c:pt idx="8" formatCode="0.00">
                  <c:v>-0.72131699999999999</c:v>
                </c:pt>
                <c:pt idx="9" formatCode="0.00">
                  <c:v>-0.68066300000000002</c:v>
                </c:pt>
                <c:pt idx="10" formatCode="0.00">
                  <c:v>-0.58940599999999999</c:v>
                </c:pt>
                <c:pt idx="11" formatCode="0.00">
                  <c:v>-0.48816900000000002</c:v>
                </c:pt>
                <c:pt idx="12" formatCode="0.00">
                  <c:v>-0.37114999999999998</c:v>
                </c:pt>
                <c:pt idx="13" formatCode="0.00">
                  <c:v>-0.31000699999999998</c:v>
                </c:pt>
                <c:pt idx="14" formatCode="0.00">
                  <c:v>-0.30969200000000002</c:v>
                </c:pt>
                <c:pt idx="15" formatCode="0.00">
                  <c:v>-0.31938499999999997</c:v>
                </c:pt>
                <c:pt idx="16" formatCode="0.00">
                  <c:v>-0.30981799999999998</c:v>
                </c:pt>
                <c:pt idx="17" formatCode="0.00">
                  <c:v>-0.29558400000000001</c:v>
                </c:pt>
                <c:pt idx="18" formatCode="0.00">
                  <c:v>-0.28500700000000001</c:v>
                </c:pt>
              </c:numCache>
            </c:numRef>
          </c:val>
          <c:smooth val="0"/>
          <c:extLst>
            <c:ext xmlns:c16="http://schemas.microsoft.com/office/drawing/2014/chart" uri="{C3380CC4-5D6E-409C-BE32-E72D297353CC}">
              <c16:uniqueId val="{00000002-915F-425C-9DB3-A21508B5DB8A}"/>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44986"/>
        </c:scaling>
        <c:delete val="0"/>
        <c:axPos val="b"/>
        <c:numFmt formatCode="yyyy" sourceLinked="0"/>
        <c:majorTickMark val="out"/>
        <c:minorTickMark val="none"/>
        <c:tickLblPos val="high"/>
        <c:spPr>
          <a:noFill/>
          <a:ln w="9525" cap="flat" cmpd="sng" algn="ctr">
            <a:solidFill>
              <a:sysClr val="window" lastClr="FFFFFF">
                <a:lumMod val="50000"/>
              </a:sysClr>
            </a:solidFill>
            <a:round/>
          </a:ln>
          <a:effectLst/>
        </c:spPr>
        <c:txPr>
          <a:bodyPr rot="-60000000" vert="horz"/>
          <a:lstStyle/>
          <a:p>
            <a:pPr>
              <a:defRPr>
                <a:solidFill>
                  <a:schemeClr val="tx1">
                    <a:lumMod val="65000"/>
                    <a:lumOff val="35000"/>
                  </a:schemeClr>
                </a:solidFill>
              </a:defRPr>
            </a:pPr>
            <a:endParaRPr lang="en-US"/>
          </a:p>
        </c:txPr>
        <c:crossAx val="1032677424"/>
        <c:crosses val="autoZero"/>
        <c:auto val="0"/>
        <c:lblOffset val="100"/>
        <c:baseTimeUnit val="months"/>
        <c:majorUnit val="12"/>
        <c:majorTimeUnit val="months"/>
        <c:minorUnit val="1"/>
      </c:dateAx>
      <c:valAx>
        <c:axId val="1032677424"/>
        <c:scaling>
          <c:orientation val="minMax"/>
          <c:max val="0"/>
          <c:min val="-1.2"/>
        </c:scaling>
        <c:delete val="0"/>
        <c:axPos val="l"/>
        <c:majorGridlines>
          <c:spPr>
            <a:ln w="9525">
              <a:solidFill>
                <a:sysClr val="window" lastClr="FFFFFF">
                  <a:lumMod val="75000"/>
                </a:sysClr>
              </a:solidFill>
              <a:prstDash val="dash"/>
            </a:ln>
          </c:spPr>
        </c:majorGridlines>
        <c:title>
          <c:tx>
            <c:rich>
              <a:bodyPr/>
              <a:lstStyle/>
              <a:p>
                <a:pPr>
                  <a:defRPr b="0" i="1">
                    <a:solidFill>
                      <a:schemeClr val="tx1">
                        <a:lumMod val="65000"/>
                        <a:lumOff val="35000"/>
                      </a:schemeClr>
                    </a:solidFill>
                  </a:defRPr>
                </a:pPr>
                <a:r>
                  <a:rPr lang="en-AU" b="0" i="1">
                    <a:solidFill>
                      <a:schemeClr val="tx1">
                        <a:lumMod val="65000"/>
                        <a:lumOff val="35000"/>
                      </a:schemeClr>
                    </a:solidFill>
                  </a:rPr>
                  <a:t>Percentage deviation from baseline</a:t>
                </a:r>
              </a:p>
            </c:rich>
          </c:tx>
          <c:layout>
            <c:manualLayout>
              <c:xMode val="edge"/>
              <c:yMode val="edge"/>
              <c:x val="2.5132314303015321E-3"/>
              <c:y val="0.13578207200082523"/>
            </c:manualLayout>
          </c:layout>
          <c:overlay val="0"/>
        </c:title>
        <c:numFmt formatCode="#,##0.0" sourceLinked="0"/>
        <c:majorTickMark val="out"/>
        <c:minorTickMark val="none"/>
        <c:tickLblPos val="nextTo"/>
        <c:spPr>
          <a:noFill/>
          <a:ln>
            <a:solidFill>
              <a:sysClr val="window" lastClr="FFFFFF">
                <a:lumMod val="50000"/>
              </a:sysClr>
            </a:solidFill>
          </a:ln>
          <a:effectLst/>
        </c:spPr>
        <c:txPr>
          <a:bodyPr rot="-60000000" vert="horz"/>
          <a:lstStyle/>
          <a:p>
            <a:pPr>
              <a:defRPr>
                <a:solidFill>
                  <a:schemeClr val="tx1">
                    <a:lumMod val="65000"/>
                    <a:lumOff val="35000"/>
                  </a:schemeClr>
                </a:solidFill>
              </a:defRPr>
            </a:pPr>
            <a:endParaRPr lang="en-US"/>
          </a:p>
        </c:txPr>
        <c:crossAx val="1032676440"/>
        <c:crossesAt val="1"/>
        <c:crossBetween val="between"/>
      </c:valAx>
      <c:spPr>
        <a:noFill/>
        <a:ln>
          <a:noFill/>
        </a:ln>
        <a:effectLst/>
      </c:spPr>
    </c:plotArea>
    <c:legend>
      <c:legendPos val="r"/>
      <c:layout>
        <c:manualLayout>
          <c:xMode val="edge"/>
          <c:yMode val="edge"/>
          <c:x val="0.1017950549271873"/>
          <c:y val="0.93071885870153392"/>
          <c:w val="0.85451351209209092"/>
          <c:h val="4.9558975265558268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c:chart>
  <c:spPr>
    <a:solidFill>
      <a:sysClr val="window" lastClr="FFFFFF"/>
    </a:solidFill>
    <a:ln w="9525" cap="flat" cmpd="sng" algn="ctr">
      <a:noFill/>
      <a:round/>
    </a:ln>
    <a:effectLst/>
  </c:spPr>
  <c:txPr>
    <a:bodyPr/>
    <a:lstStyle/>
    <a:p>
      <a:pPr>
        <a:defRPr sz="900"/>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657976326447496E-2"/>
          <c:y val="3.524609423822022E-2"/>
          <c:w val="0.84563846960217615"/>
          <c:h val="0.75880307237171429"/>
        </c:manualLayout>
      </c:layout>
      <c:lineChart>
        <c:grouping val="standard"/>
        <c:varyColors val="0"/>
        <c:ser>
          <c:idx val="0"/>
          <c:order val="0"/>
          <c:tx>
            <c:strRef>
              <c:f>Original!$I$1</c:f>
              <c:strCache>
                <c:ptCount val="1"/>
                <c:pt idx="0">
                  <c:v>Less than 4 weeks</c:v>
                </c:pt>
              </c:strCache>
            </c:strRef>
          </c:tx>
          <c:spPr>
            <a:ln w="19050" cap="rnd">
              <a:solidFill>
                <a:sysClr val="window" lastClr="FFFFFF">
                  <a:lumMod val="75000"/>
                </a:sysClr>
              </a:solidFill>
              <a:round/>
            </a:ln>
            <a:effectLst/>
          </c:spPr>
          <c:marker>
            <c:symbol val="none"/>
          </c:marker>
          <c:cat>
            <c:numRef>
              <c:f>Original!$A$2:$A$410</c:f>
              <c:numCache>
                <c:formatCode>mmm\-yy</c:formatCode>
                <c:ptCount val="409"/>
                <c:pt idx="0">
                  <c:v>33239</c:v>
                </c:pt>
                <c:pt idx="1">
                  <c:v>33270</c:v>
                </c:pt>
                <c:pt idx="2">
                  <c:v>33298</c:v>
                </c:pt>
                <c:pt idx="3">
                  <c:v>33329</c:v>
                </c:pt>
                <c:pt idx="4">
                  <c:v>33359</c:v>
                </c:pt>
                <c:pt idx="5">
                  <c:v>33390</c:v>
                </c:pt>
                <c:pt idx="6">
                  <c:v>33420</c:v>
                </c:pt>
                <c:pt idx="7">
                  <c:v>33451</c:v>
                </c:pt>
                <c:pt idx="8">
                  <c:v>33482</c:v>
                </c:pt>
                <c:pt idx="9">
                  <c:v>33512</c:v>
                </c:pt>
                <c:pt idx="10">
                  <c:v>33543</c:v>
                </c:pt>
                <c:pt idx="11">
                  <c:v>33573</c:v>
                </c:pt>
                <c:pt idx="12">
                  <c:v>33604</c:v>
                </c:pt>
                <c:pt idx="13">
                  <c:v>33635</c:v>
                </c:pt>
                <c:pt idx="14">
                  <c:v>33664</c:v>
                </c:pt>
                <c:pt idx="15">
                  <c:v>33695</c:v>
                </c:pt>
                <c:pt idx="16">
                  <c:v>33725</c:v>
                </c:pt>
                <c:pt idx="17">
                  <c:v>33756</c:v>
                </c:pt>
                <c:pt idx="18">
                  <c:v>33786</c:v>
                </c:pt>
                <c:pt idx="19">
                  <c:v>33817</c:v>
                </c:pt>
                <c:pt idx="20">
                  <c:v>33848</c:v>
                </c:pt>
                <c:pt idx="21">
                  <c:v>33878</c:v>
                </c:pt>
                <c:pt idx="22">
                  <c:v>33909</c:v>
                </c:pt>
                <c:pt idx="23">
                  <c:v>33939</c:v>
                </c:pt>
                <c:pt idx="24">
                  <c:v>33970</c:v>
                </c:pt>
                <c:pt idx="25">
                  <c:v>34001</c:v>
                </c:pt>
                <c:pt idx="26">
                  <c:v>34029</c:v>
                </c:pt>
                <c:pt idx="27">
                  <c:v>34060</c:v>
                </c:pt>
                <c:pt idx="28">
                  <c:v>34090</c:v>
                </c:pt>
                <c:pt idx="29">
                  <c:v>34121</c:v>
                </c:pt>
                <c:pt idx="30">
                  <c:v>34151</c:v>
                </c:pt>
                <c:pt idx="31">
                  <c:v>34182</c:v>
                </c:pt>
                <c:pt idx="32">
                  <c:v>34213</c:v>
                </c:pt>
                <c:pt idx="33">
                  <c:v>34243</c:v>
                </c:pt>
                <c:pt idx="34">
                  <c:v>34274</c:v>
                </c:pt>
                <c:pt idx="35">
                  <c:v>34304</c:v>
                </c:pt>
                <c:pt idx="36">
                  <c:v>34335</c:v>
                </c:pt>
                <c:pt idx="37">
                  <c:v>34366</c:v>
                </c:pt>
                <c:pt idx="38">
                  <c:v>34394</c:v>
                </c:pt>
                <c:pt idx="39">
                  <c:v>34425</c:v>
                </c:pt>
                <c:pt idx="40">
                  <c:v>34455</c:v>
                </c:pt>
                <c:pt idx="41">
                  <c:v>34486</c:v>
                </c:pt>
                <c:pt idx="42">
                  <c:v>34516</c:v>
                </c:pt>
                <c:pt idx="43">
                  <c:v>34547</c:v>
                </c:pt>
                <c:pt idx="44">
                  <c:v>34578</c:v>
                </c:pt>
                <c:pt idx="45">
                  <c:v>34608</c:v>
                </c:pt>
                <c:pt idx="46">
                  <c:v>34639</c:v>
                </c:pt>
                <c:pt idx="47">
                  <c:v>34669</c:v>
                </c:pt>
                <c:pt idx="48">
                  <c:v>34700</c:v>
                </c:pt>
                <c:pt idx="49">
                  <c:v>34731</c:v>
                </c:pt>
                <c:pt idx="50">
                  <c:v>34759</c:v>
                </c:pt>
                <c:pt idx="51">
                  <c:v>34790</c:v>
                </c:pt>
                <c:pt idx="52">
                  <c:v>34820</c:v>
                </c:pt>
                <c:pt idx="53">
                  <c:v>34851</c:v>
                </c:pt>
                <c:pt idx="54">
                  <c:v>34881</c:v>
                </c:pt>
                <c:pt idx="55">
                  <c:v>34912</c:v>
                </c:pt>
                <c:pt idx="56">
                  <c:v>34943</c:v>
                </c:pt>
                <c:pt idx="57">
                  <c:v>34973</c:v>
                </c:pt>
                <c:pt idx="58">
                  <c:v>35004</c:v>
                </c:pt>
                <c:pt idx="59">
                  <c:v>35034</c:v>
                </c:pt>
                <c:pt idx="60">
                  <c:v>35065</c:v>
                </c:pt>
                <c:pt idx="61">
                  <c:v>35096</c:v>
                </c:pt>
                <c:pt idx="62">
                  <c:v>35125</c:v>
                </c:pt>
                <c:pt idx="63">
                  <c:v>35156</c:v>
                </c:pt>
                <c:pt idx="64">
                  <c:v>35186</c:v>
                </c:pt>
                <c:pt idx="65">
                  <c:v>35217</c:v>
                </c:pt>
                <c:pt idx="66">
                  <c:v>35247</c:v>
                </c:pt>
                <c:pt idx="67">
                  <c:v>35278</c:v>
                </c:pt>
                <c:pt idx="68">
                  <c:v>35309</c:v>
                </c:pt>
                <c:pt idx="69">
                  <c:v>35339</c:v>
                </c:pt>
                <c:pt idx="70">
                  <c:v>35370</c:v>
                </c:pt>
                <c:pt idx="71">
                  <c:v>35400</c:v>
                </c:pt>
                <c:pt idx="72">
                  <c:v>35431</c:v>
                </c:pt>
                <c:pt idx="73">
                  <c:v>35462</c:v>
                </c:pt>
                <c:pt idx="74">
                  <c:v>35490</c:v>
                </c:pt>
                <c:pt idx="75">
                  <c:v>35521</c:v>
                </c:pt>
                <c:pt idx="76">
                  <c:v>35551</c:v>
                </c:pt>
                <c:pt idx="77">
                  <c:v>35582</c:v>
                </c:pt>
                <c:pt idx="78">
                  <c:v>35612</c:v>
                </c:pt>
                <c:pt idx="79">
                  <c:v>35643</c:v>
                </c:pt>
                <c:pt idx="80">
                  <c:v>35674</c:v>
                </c:pt>
                <c:pt idx="81">
                  <c:v>35704</c:v>
                </c:pt>
                <c:pt idx="82">
                  <c:v>35735</c:v>
                </c:pt>
                <c:pt idx="83">
                  <c:v>35765</c:v>
                </c:pt>
                <c:pt idx="84">
                  <c:v>35796</c:v>
                </c:pt>
                <c:pt idx="85">
                  <c:v>35827</c:v>
                </c:pt>
                <c:pt idx="86">
                  <c:v>35855</c:v>
                </c:pt>
                <c:pt idx="87">
                  <c:v>35886</c:v>
                </c:pt>
                <c:pt idx="88">
                  <c:v>35916</c:v>
                </c:pt>
                <c:pt idx="89">
                  <c:v>35947</c:v>
                </c:pt>
                <c:pt idx="90">
                  <c:v>35977</c:v>
                </c:pt>
                <c:pt idx="91">
                  <c:v>36008</c:v>
                </c:pt>
                <c:pt idx="92">
                  <c:v>36039</c:v>
                </c:pt>
                <c:pt idx="93">
                  <c:v>36069</c:v>
                </c:pt>
                <c:pt idx="94">
                  <c:v>36100</c:v>
                </c:pt>
                <c:pt idx="95">
                  <c:v>36130</c:v>
                </c:pt>
                <c:pt idx="96">
                  <c:v>36161</c:v>
                </c:pt>
                <c:pt idx="97">
                  <c:v>36192</c:v>
                </c:pt>
                <c:pt idx="98">
                  <c:v>36220</c:v>
                </c:pt>
                <c:pt idx="99">
                  <c:v>36251</c:v>
                </c:pt>
                <c:pt idx="100">
                  <c:v>36281</c:v>
                </c:pt>
                <c:pt idx="101">
                  <c:v>36312</c:v>
                </c:pt>
                <c:pt idx="102">
                  <c:v>36342</c:v>
                </c:pt>
                <c:pt idx="103">
                  <c:v>36373</c:v>
                </c:pt>
                <c:pt idx="104">
                  <c:v>36404</c:v>
                </c:pt>
                <c:pt idx="105">
                  <c:v>36434</c:v>
                </c:pt>
                <c:pt idx="106">
                  <c:v>36465</c:v>
                </c:pt>
                <c:pt idx="107">
                  <c:v>36495</c:v>
                </c:pt>
                <c:pt idx="108">
                  <c:v>36526</c:v>
                </c:pt>
                <c:pt idx="109">
                  <c:v>36557</c:v>
                </c:pt>
                <c:pt idx="110">
                  <c:v>36586</c:v>
                </c:pt>
                <c:pt idx="111">
                  <c:v>36617</c:v>
                </c:pt>
                <c:pt idx="112">
                  <c:v>36647</c:v>
                </c:pt>
                <c:pt idx="113">
                  <c:v>36678</c:v>
                </c:pt>
                <c:pt idx="114">
                  <c:v>36708</c:v>
                </c:pt>
                <c:pt idx="115">
                  <c:v>36739</c:v>
                </c:pt>
                <c:pt idx="116">
                  <c:v>36770</c:v>
                </c:pt>
                <c:pt idx="117">
                  <c:v>36800</c:v>
                </c:pt>
                <c:pt idx="118">
                  <c:v>36831</c:v>
                </c:pt>
                <c:pt idx="119">
                  <c:v>36861</c:v>
                </c:pt>
                <c:pt idx="120">
                  <c:v>36892</c:v>
                </c:pt>
                <c:pt idx="121">
                  <c:v>36923</c:v>
                </c:pt>
                <c:pt idx="122">
                  <c:v>36951</c:v>
                </c:pt>
                <c:pt idx="123">
                  <c:v>36982</c:v>
                </c:pt>
                <c:pt idx="124">
                  <c:v>37012</c:v>
                </c:pt>
                <c:pt idx="125">
                  <c:v>37043</c:v>
                </c:pt>
                <c:pt idx="126">
                  <c:v>37073</c:v>
                </c:pt>
                <c:pt idx="127">
                  <c:v>37104</c:v>
                </c:pt>
                <c:pt idx="128">
                  <c:v>37135</c:v>
                </c:pt>
                <c:pt idx="129">
                  <c:v>37165</c:v>
                </c:pt>
                <c:pt idx="130">
                  <c:v>37196</c:v>
                </c:pt>
                <c:pt idx="131">
                  <c:v>37226</c:v>
                </c:pt>
                <c:pt idx="132">
                  <c:v>37257</c:v>
                </c:pt>
                <c:pt idx="133">
                  <c:v>37288</c:v>
                </c:pt>
                <c:pt idx="134">
                  <c:v>37316</c:v>
                </c:pt>
                <c:pt idx="135">
                  <c:v>37347</c:v>
                </c:pt>
                <c:pt idx="136">
                  <c:v>37377</c:v>
                </c:pt>
                <c:pt idx="137">
                  <c:v>37408</c:v>
                </c:pt>
                <c:pt idx="138">
                  <c:v>37438</c:v>
                </c:pt>
                <c:pt idx="139">
                  <c:v>37469</c:v>
                </c:pt>
                <c:pt idx="140">
                  <c:v>37500</c:v>
                </c:pt>
                <c:pt idx="141">
                  <c:v>37530</c:v>
                </c:pt>
                <c:pt idx="142">
                  <c:v>37561</c:v>
                </c:pt>
                <c:pt idx="143">
                  <c:v>37591</c:v>
                </c:pt>
                <c:pt idx="144">
                  <c:v>37622</c:v>
                </c:pt>
                <c:pt idx="145">
                  <c:v>37653</c:v>
                </c:pt>
                <c:pt idx="146">
                  <c:v>37681</c:v>
                </c:pt>
                <c:pt idx="147">
                  <c:v>37712</c:v>
                </c:pt>
                <c:pt idx="148">
                  <c:v>37742</c:v>
                </c:pt>
                <c:pt idx="149">
                  <c:v>37773</c:v>
                </c:pt>
                <c:pt idx="150">
                  <c:v>37803</c:v>
                </c:pt>
                <c:pt idx="151">
                  <c:v>37834</c:v>
                </c:pt>
                <c:pt idx="152">
                  <c:v>37865</c:v>
                </c:pt>
                <c:pt idx="153">
                  <c:v>37895</c:v>
                </c:pt>
                <c:pt idx="154">
                  <c:v>37926</c:v>
                </c:pt>
                <c:pt idx="155">
                  <c:v>37956</c:v>
                </c:pt>
                <c:pt idx="156">
                  <c:v>37987</c:v>
                </c:pt>
                <c:pt idx="157">
                  <c:v>38018</c:v>
                </c:pt>
                <c:pt idx="158">
                  <c:v>38047</c:v>
                </c:pt>
                <c:pt idx="159">
                  <c:v>38078</c:v>
                </c:pt>
                <c:pt idx="160">
                  <c:v>38108</c:v>
                </c:pt>
                <c:pt idx="161">
                  <c:v>38139</c:v>
                </c:pt>
                <c:pt idx="162">
                  <c:v>38169</c:v>
                </c:pt>
                <c:pt idx="163">
                  <c:v>38200</c:v>
                </c:pt>
                <c:pt idx="164">
                  <c:v>38231</c:v>
                </c:pt>
                <c:pt idx="165">
                  <c:v>38261</c:v>
                </c:pt>
                <c:pt idx="166">
                  <c:v>38292</c:v>
                </c:pt>
                <c:pt idx="167">
                  <c:v>38322</c:v>
                </c:pt>
                <c:pt idx="168">
                  <c:v>38353</c:v>
                </c:pt>
                <c:pt idx="169">
                  <c:v>38384</c:v>
                </c:pt>
                <c:pt idx="170">
                  <c:v>38412</c:v>
                </c:pt>
                <c:pt idx="171">
                  <c:v>38443</c:v>
                </c:pt>
                <c:pt idx="172">
                  <c:v>38473</c:v>
                </c:pt>
                <c:pt idx="173">
                  <c:v>38504</c:v>
                </c:pt>
                <c:pt idx="174">
                  <c:v>38534</c:v>
                </c:pt>
                <c:pt idx="175">
                  <c:v>38565</c:v>
                </c:pt>
                <c:pt idx="176">
                  <c:v>38596</c:v>
                </c:pt>
                <c:pt idx="177">
                  <c:v>38626</c:v>
                </c:pt>
                <c:pt idx="178">
                  <c:v>38657</c:v>
                </c:pt>
                <c:pt idx="179">
                  <c:v>38687</c:v>
                </c:pt>
                <c:pt idx="180">
                  <c:v>38718</c:v>
                </c:pt>
                <c:pt idx="181">
                  <c:v>38749</c:v>
                </c:pt>
                <c:pt idx="182">
                  <c:v>38777</c:v>
                </c:pt>
                <c:pt idx="183">
                  <c:v>38808</c:v>
                </c:pt>
                <c:pt idx="184">
                  <c:v>38838</c:v>
                </c:pt>
                <c:pt idx="185">
                  <c:v>38869</c:v>
                </c:pt>
                <c:pt idx="186">
                  <c:v>38899</c:v>
                </c:pt>
                <c:pt idx="187">
                  <c:v>38930</c:v>
                </c:pt>
                <c:pt idx="188">
                  <c:v>38961</c:v>
                </c:pt>
                <c:pt idx="189">
                  <c:v>38991</c:v>
                </c:pt>
                <c:pt idx="190">
                  <c:v>39022</c:v>
                </c:pt>
                <c:pt idx="191">
                  <c:v>39052</c:v>
                </c:pt>
                <c:pt idx="192">
                  <c:v>39083</c:v>
                </c:pt>
                <c:pt idx="193">
                  <c:v>39114</c:v>
                </c:pt>
                <c:pt idx="194">
                  <c:v>39142</c:v>
                </c:pt>
                <c:pt idx="195">
                  <c:v>39173</c:v>
                </c:pt>
                <c:pt idx="196">
                  <c:v>39203</c:v>
                </c:pt>
                <c:pt idx="197">
                  <c:v>39234</c:v>
                </c:pt>
                <c:pt idx="198">
                  <c:v>39264</c:v>
                </c:pt>
                <c:pt idx="199">
                  <c:v>39295</c:v>
                </c:pt>
                <c:pt idx="200">
                  <c:v>39326</c:v>
                </c:pt>
                <c:pt idx="201">
                  <c:v>39356</c:v>
                </c:pt>
                <c:pt idx="202">
                  <c:v>39387</c:v>
                </c:pt>
                <c:pt idx="203">
                  <c:v>39417</c:v>
                </c:pt>
                <c:pt idx="204">
                  <c:v>39448</c:v>
                </c:pt>
                <c:pt idx="205">
                  <c:v>39479</c:v>
                </c:pt>
                <c:pt idx="206">
                  <c:v>39508</c:v>
                </c:pt>
                <c:pt idx="207">
                  <c:v>39539</c:v>
                </c:pt>
                <c:pt idx="208">
                  <c:v>39569</c:v>
                </c:pt>
                <c:pt idx="209">
                  <c:v>39600</c:v>
                </c:pt>
                <c:pt idx="210">
                  <c:v>39630</c:v>
                </c:pt>
                <c:pt idx="211">
                  <c:v>39661</c:v>
                </c:pt>
                <c:pt idx="212">
                  <c:v>39692</c:v>
                </c:pt>
                <c:pt idx="213">
                  <c:v>39722</c:v>
                </c:pt>
                <c:pt idx="214">
                  <c:v>39753</c:v>
                </c:pt>
                <c:pt idx="215">
                  <c:v>39783</c:v>
                </c:pt>
                <c:pt idx="216">
                  <c:v>39814</c:v>
                </c:pt>
                <c:pt idx="217">
                  <c:v>39845</c:v>
                </c:pt>
                <c:pt idx="218">
                  <c:v>39873</c:v>
                </c:pt>
                <c:pt idx="219">
                  <c:v>39904</c:v>
                </c:pt>
                <c:pt idx="220">
                  <c:v>39934</c:v>
                </c:pt>
                <c:pt idx="221">
                  <c:v>39965</c:v>
                </c:pt>
                <c:pt idx="222">
                  <c:v>39995</c:v>
                </c:pt>
                <c:pt idx="223">
                  <c:v>40026</c:v>
                </c:pt>
                <c:pt idx="224">
                  <c:v>40057</c:v>
                </c:pt>
                <c:pt idx="225">
                  <c:v>40087</c:v>
                </c:pt>
                <c:pt idx="226">
                  <c:v>40118</c:v>
                </c:pt>
                <c:pt idx="227">
                  <c:v>40148</c:v>
                </c:pt>
                <c:pt idx="228">
                  <c:v>40179</c:v>
                </c:pt>
                <c:pt idx="229">
                  <c:v>40210</c:v>
                </c:pt>
                <c:pt idx="230">
                  <c:v>40238</c:v>
                </c:pt>
                <c:pt idx="231">
                  <c:v>40269</c:v>
                </c:pt>
                <c:pt idx="232">
                  <c:v>40299</c:v>
                </c:pt>
                <c:pt idx="233">
                  <c:v>40330</c:v>
                </c:pt>
                <c:pt idx="234">
                  <c:v>40360</c:v>
                </c:pt>
                <c:pt idx="235">
                  <c:v>40391</c:v>
                </c:pt>
                <c:pt idx="236">
                  <c:v>40422</c:v>
                </c:pt>
                <c:pt idx="237">
                  <c:v>40452</c:v>
                </c:pt>
                <c:pt idx="238">
                  <c:v>40483</c:v>
                </c:pt>
                <c:pt idx="239">
                  <c:v>40513</c:v>
                </c:pt>
                <c:pt idx="240">
                  <c:v>40544</c:v>
                </c:pt>
                <c:pt idx="241">
                  <c:v>40575</c:v>
                </c:pt>
                <c:pt idx="242">
                  <c:v>40603</c:v>
                </c:pt>
                <c:pt idx="243">
                  <c:v>40634</c:v>
                </c:pt>
                <c:pt idx="244">
                  <c:v>40664</c:v>
                </c:pt>
                <c:pt idx="245">
                  <c:v>40695</c:v>
                </c:pt>
                <c:pt idx="246">
                  <c:v>40725</c:v>
                </c:pt>
                <c:pt idx="247">
                  <c:v>40756</c:v>
                </c:pt>
                <c:pt idx="248">
                  <c:v>40787</c:v>
                </c:pt>
                <c:pt idx="249">
                  <c:v>40817</c:v>
                </c:pt>
                <c:pt idx="250">
                  <c:v>40848</c:v>
                </c:pt>
                <c:pt idx="251">
                  <c:v>40878</c:v>
                </c:pt>
                <c:pt idx="252">
                  <c:v>40909</c:v>
                </c:pt>
                <c:pt idx="253">
                  <c:v>40940</c:v>
                </c:pt>
                <c:pt idx="254">
                  <c:v>40969</c:v>
                </c:pt>
                <c:pt idx="255">
                  <c:v>41000</c:v>
                </c:pt>
                <c:pt idx="256">
                  <c:v>41030</c:v>
                </c:pt>
                <c:pt idx="257">
                  <c:v>41061</c:v>
                </c:pt>
                <c:pt idx="258">
                  <c:v>41091</c:v>
                </c:pt>
                <c:pt idx="259">
                  <c:v>41122</c:v>
                </c:pt>
                <c:pt idx="260">
                  <c:v>41153</c:v>
                </c:pt>
                <c:pt idx="261">
                  <c:v>41183</c:v>
                </c:pt>
                <c:pt idx="262">
                  <c:v>41214</c:v>
                </c:pt>
                <c:pt idx="263">
                  <c:v>41244</c:v>
                </c:pt>
                <c:pt idx="264">
                  <c:v>41275</c:v>
                </c:pt>
                <c:pt idx="265">
                  <c:v>41306</c:v>
                </c:pt>
                <c:pt idx="266">
                  <c:v>41334</c:v>
                </c:pt>
                <c:pt idx="267">
                  <c:v>41365</c:v>
                </c:pt>
                <c:pt idx="268">
                  <c:v>41395</c:v>
                </c:pt>
                <c:pt idx="269">
                  <c:v>41426</c:v>
                </c:pt>
                <c:pt idx="270">
                  <c:v>41456</c:v>
                </c:pt>
                <c:pt idx="271">
                  <c:v>41487</c:v>
                </c:pt>
                <c:pt idx="272">
                  <c:v>41518</c:v>
                </c:pt>
                <c:pt idx="273">
                  <c:v>41548</c:v>
                </c:pt>
                <c:pt idx="274">
                  <c:v>41579</c:v>
                </c:pt>
                <c:pt idx="275">
                  <c:v>41609</c:v>
                </c:pt>
                <c:pt idx="276">
                  <c:v>41640</c:v>
                </c:pt>
                <c:pt idx="277">
                  <c:v>41671</c:v>
                </c:pt>
                <c:pt idx="278">
                  <c:v>41699</c:v>
                </c:pt>
                <c:pt idx="279">
                  <c:v>41730</c:v>
                </c:pt>
                <c:pt idx="280">
                  <c:v>41760</c:v>
                </c:pt>
                <c:pt idx="281">
                  <c:v>41791</c:v>
                </c:pt>
                <c:pt idx="282">
                  <c:v>41821</c:v>
                </c:pt>
                <c:pt idx="283">
                  <c:v>41852</c:v>
                </c:pt>
                <c:pt idx="284">
                  <c:v>41883</c:v>
                </c:pt>
                <c:pt idx="285">
                  <c:v>41913</c:v>
                </c:pt>
                <c:pt idx="286">
                  <c:v>41944</c:v>
                </c:pt>
                <c:pt idx="287">
                  <c:v>41974</c:v>
                </c:pt>
                <c:pt idx="288">
                  <c:v>42005</c:v>
                </c:pt>
                <c:pt idx="289">
                  <c:v>42036</c:v>
                </c:pt>
                <c:pt idx="290">
                  <c:v>42064</c:v>
                </c:pt>
                <c:pt idx="291">
                  <c:v>42095</c:v>
                </c:pt>
                <c:pt idx="292">
                  <c:v>42125</c:v>
                </c:pt>
                <c:pt idx="293">
                  <c:v>42156</c:v>
                </c:pt>
                <c:pt idx="294">
                  <c:v>42186</c:v>
                </c:pt>
                <c:pt idx="295">
                  <c:v>42217</c:v>
                </c:pt>
                <c:pt idx="296">
                  <c:v>42248</c:v>
                </c:pt>
                <c:pt idx="297">
                  <c:v>42278</c:v>
                </c:pt>
                <c:pt idx="298">
                  <c:v>42309</c:v>
                </c:pt>
                <c:pt idx="299">
                  <c:v>42339</c:v>
                </c:pt>
                <c:pt idx="300">
                  <c:v>42370</c:v>
                </c:pt>
                <c:pt idx="301">
                  <c:v>42401</c:v>
                </c:pt>
                <c:pt idx="302">
                  <c:v>42430</c:v>
                </c:pt>
                <c:pt idx="303">
                  <c:v>42461</c:v>
                </c:pt>
                <c:pt idx="304">
                  <c:v>42491</c:v>
                </c:pt>
                <c:pt idx="305">
                  <c:v>42522</c:v>
                </c:pt>
                <c:pt idx="306">
                  <c:v>42552</c:v>
                </c:pt>
                <c:pt idx="307">
                  <c:v>42583</c:v>
                </c:pt>
                <c:pt idx="308">
                  <c:v>42614</c:v>
                </c:pt>
                <c:pt idx="309">
                  <c:v>42644</c:v>
                </c:pt>
                <c:pt idx="310">
                  <c:v>42675</c:v>
                </c:pt>
                <c:pt idx="311">
                  <c:v>42705</c:v>
                </c:pt>
                <c:pt idx="312">
                  <c:v>42736</c:v>
                </c:pt>
                <c:pt idx="313">
                  <c:v>42767</c:v>
                </c:pt>
                <c:pt idx="314">
                  <c:v>42795</c:v>
                </c:pt>
                <c:pt idx="315">
                  <c:v>42826</c:v>
                </c:pt>
                <c:pt idx="316">
                  <c:v>42856</c:v>
                </c:pt>
                <c:pt idx="317">
                  <c:v>42887</c:v>
                </c:pt>
                <c:pt idx="318">
                  <c:v>42917</c:v>
                </c:pt>
                <c:pt idx="319">
                  <c:v>42948</c:v>
                </c:pt>
                <c:pt idx="320">
                  <c:v>42979</c:v>
                </c:pt>
                <c:pt idx="321">
                  <c:v>43009</c:v>
                </c:pt>
                <c:pt idx="322">
                  <c:v>43040</c:v>
                </c:pt>
                <c:pt idx="323">
                  <c:v>43070</c:v>
                </c:pt>
                <c:pt idx="324">
                  <c:v>43101</c:v>
                </c:pt>
                <c:pt idx="325">
                  <c:v>43132</c:v>
                </c:pt>
                <c:pt idx="326">
                  <c:v>43160</c:v>
                </c:pt>
                <c:pt idx="327">
                  <c:v>43191</c:v>
                </c:pt>
                <c:pt idx="328">
                  <c:v>43221</c:v>
                </c:pt>
                <c:pt idx="329">
                  <c:v>43252</c:v>
                </c:pt>
                <c:pt idx="330">
                  <c:v>43282</c:v>
                </c:pt>
                <c:pt idx="331">
                  <c:v>43313</c:v>
                </c:pt>
                <c:pt idx="332">
                  <c:v>43344</c:v>
                </c:pt>
                <c:pt idx="333">
                  <c:v>43374</c:v>
                </c:pt>
                <c:pt idx="334">
                  <c:v>43405</c:v>
                </c:pt>
                <c:pt idx="335">
                  <c:v>43435</c:v>
                </c:pt>
                <c:pt idx="336">
                  <c:v>43466</c:v>
                </c:pt>
                <c:pt idx="337">
                  <c:v>43497</c:v>
                </c:pt>
                <c:pt idx="338">
                  <c:v>43525</c:v>
                </c:pt>
                <c:pt idx="339">
                  <c:v>43556</c:v>
                </c:pt>
                <c:pt idx="340">
                  <c:v>43586</c:v>
                </c:pt>
                <c:pt idx="341">
                  <c:v>43617</c:v>
                </c:pt>
                <c:pt idx="342">
                  <c:v>43647</c:v>
                </c:pt>
                <c:pt idx="343">
                  <c:v>43678</c:v>
                </c:pt>
                <c:pt idx="344">
                  <c:v>43709</c:v>
                </c:pt>
                <c:pt idx="345">
                  <c:v>43739</c:v>
                </c:pt>
                <c:pt idx="346">
                  <c:v>43770</c:v>
                </c:pt>
                <c:pt idx="347">
                  <c:v>43800</c:v>
                </c:pt>
                <c:pt idx="348">
                  <c:v>43831</c:v>
                </c:pt>
                <c:pt idx="349">
                  <c:v>43862</c:v>
                </c:pt>
                <c:pt idx="350">
                  <c:v>43891</c:v>
                </c:pt>
                <c:pt idx="351">
                  <c:v>43922</c:v>
                </c:pt>
                <c:pt idx="352">
                  <c:v>43952</c:v>
                </c:pt>
                <c:pt idx="353">
                  <c:v>43983</c:v>
                </c:pt>
                <c:pt idx="354">
                  <c:v>44013</c:v>
                </c:pt>
                <c:pt idx="355">
                  <c:v>44044</c:v>
                </c:pt>
                <c:pt idx="356">
                  <c:v>44075</c:v>
                </c:pt>
                <c:pt idx="357">
                  <c:v>44105</c:v>
                </c:pt>
                <c:pt idx="358">
                  <c:v>44136</c:v>
                </c:pt>
                <c:pt idx="359">
                  <c:v>44166</c:v>
                </c:pt>
                <c:pt idx="360">
                  <c:v>44197</c:v>
                </c:pt>
                <c:pt idx="361">
                  <c:v>44228</c:v>
                </c:pt>
                <c:pt idx="362">
                  <c:v>44256</c:v>
                </c:pt>
                <c:pt idx="363">
                  <c:v>44287</c:v>
                </c:pt>
                <c:pt idx="364">
                  <c:v>44317</c:v>
                </c:pt>
                <c:pt idx="365">
                  <c:v>44348</c:v>
                </c:pt>
                <c:pt idx="366">
                  <c:v>44378</c:v>
                </c:pt>
                <c:pt idx="367">
                  <c:v>44409</c:v>
                </c:pt>
                <c:pt idx="368">
                  <c:v>44440</c:v>
                </c:pt>
                <c:pt idx="369">
                  <c:v>44470</c:v>
                </c:pt>
                <c:pt idx="370">
                  <c:v>44501</c:v>
                </c:pt>
                <c:pt idx="371">
                  <c:v>44531</c:v>
                </c:pt>
                <c:pt idx="372">
                  <c:v>44562</c:v>
                </c:pt>
                <c:pt idx="373">
                  <c:v>44593</c:v>
                </c:pt>
                <c:pt idx="374">
                  <c:v>44621</c:v>
                </c:pt>
                <c:pt idx="375">
                  <c:v>44652</c:v>
                </c:pt>
                <c:pt idx="376">
                  <c:v>44682</c:v>
                </c:pt>
                <c:pt idx="377">
                  <c:v>44713</c:v>
                </c:pt>
                <c:pt idx="378">
                  <c:v>44743</c:v>
                </c:pt>
                <c:pt idx="379">
                  <c:v>44774</c:v>
                </c:pt>
                <c:pt idx="380">
                  <c:v>44805</c:v>
                </c:pt>
                <c:pt idx="381">
                  <c:v>44835</c:v>
                </c:pt>
                <c:pt idx="382">
                  <c:v>44866</c:v>
                </c:pt>
                <c:pt idx="383">
                  <c:v>44896</c:v>
                </c:pt>
                <c:pt idx="384">
                  <c:v>44927</c:v>
                </c:pt>
                <c:pt idx="385">
                  <c:v>44958</c:v>
                </c:pt>
                <c:pt idx="386">
                  <c:v>44986</c:v>
                </c:pt>
                <c:pt idx="387">
                  <c:v>45017</c:v>
                </c:pt>
                <c:pt idx="388">
                  <c:v>45047</c:v>
                </c:pt>
                <c:pt idx="389">
                  <c:v>45078</c:v>
                </c:pt>
                <c:pt idx="390">
                  <c:v>45108</c:v>
                </c:pt>
                <c:pt idx="391">
                  <c:v>45139</c:v>
                </c:pt>
                <c:pt idx="392">
                  <c:v>45170</c:v>
                </c:pt>
                <c:pt idx="393">
                  <c:v>45200</c:v>
                </c:pt>
                <c:pt idx="394">
                  <c:v>45231</c:v>
                </c:pt>
                <c:pt idx="395">
                  <c:v>45261</c:v>
                </c:pt>
                <c:pt idx="396">
                  <c:v>45292</c:v>
                </c:pt>
                <c:pt idx="397">
                  <c:v>45323</c:v>
                </c:pt>
                <c:pt idx="398">
                  <c:v>45352</c:v>
                </c:pt>
                <c:pt idx="399">
                  <c:v>45383</c:v>
                </c:pt>
                <c:pt idx="400">
                  <c:v>45413</c:v>
                </c:pt>
                <c:pt idx="401">
                  <c:v>45444</c:v>
                </c:pt>
                <c:pt idx="402">
                  <c:v>45474</c:v>
                </c:pt>
                <c:pt idx="403">
                  <c:v>45505</c:v>
                </c:pt>
                <c:pt idx="404">
                  <c:v>45536</c:v>
                </c:pt>
                <c:pt idx="405">
                  <c:v>45566</c:v>
                </c:pt>
              </c:numCache>
            </c:numRef>
          </c:cat>
          <c:val>
            <c:numRef>
              <c:f>Original!$I$2:$I$411</c:f>
              <c:numCache>
                <c:formatCode>General</c:formatCode>
                <c:ptCount val="410"/>
                <c:pt idx="17" formatCode="0.0">
                  <c:v>1.4500792538752139</c:v>
                </c:pt>
                <c:pt idx="18" formatCode="0.0">
                  <c:v>1.4250241232943424</c:v>
                </c:pt>
                <c:pt idx="19" formatCode="0.0">
                  <c:v>1.4179566284340657</c:v>
                </c:pt>
                <c:pt idx="20" formatCode="0.0">
                  <c:v>1.383545631900551</c:v>
                </c:pt>
                <c:pt idx="21" formatCode="0.0">
                  <c:v>1.3873475000399165</c:v>
                </c:pt>
                <c:pt idx="22" formatCode="0.0">
                  <c:v>1.366917872339575</c:v>
                </c:pt>
                <c:pt idx="23" formatCode="0.0">
                  <c:v>1.3508426503160151</c:v>
                </c:pt>
                <c:pt idx="24" formatCode="0.0">
                  <c:v>1.3536723144580651</c:v>
                </c:pt>
                <c:pt idx="25" formatCode="0.0">
                  <c:v>1.38460123749928</c:v>
                </c:pt>
                <c:pt idx="26" formatCode="0.0">
                  <c:v>1.3786204464951526</c:v>
                </c:pt>
                <c:pt idx="27" formatCode="0.0">
                  <c:v>1.3848264021056285</c:v>
                </c:pt>
                <c:pt idx="28" formatCode="0.0">
                  <c:v>1.3975605927587367</c:v>
                </c:pt>
                <c:pt idx="29" formatCode="0.0">
                  <c:v>1.4120942333231232</c:v>
                </c:pt>
                <c:pt idx="30" formatCode="0.0">
                  <c:v>1.4325570620951567</c:v>
                </c:pt>
                <c:pt idx="31" formatCode="0.0">
                  <c:v>1.4419028430447707</c:v>
                </c:pt>
                <c:pt idx="32" formatCode="0.0">
                  <c:v>1.4434529640855427</c:v>
                </c:pt>
                <c:pt idx="33" formatCode="0.0">
                  <c:v>1.4494778457942668</c:v>
                </c:pt>
                <c:pt idx="34" formatCode="0.0">
                  <c:v>1.4738639445183017</c:v>
                </c:pt>
                <c:pt idx="35" formatCode="0.0">
                  <c:v>1.4637692660108925</c:v>
                </c:pt>
                <c:pt idx="36" formatCode="0.0">
                  <c:v>1.4805977031672575</c:v>
                </c:pt>
                <c:pt idx="37" formatCode="0.0">
                  <c:v>1.4948122048130452</c:v>
                </c:pt>
                <c:pt idx="38" formatCode="0.0">
                  <c:v>1.5160172071696019</c:v>
                </c:pt>
                <c:pt idx="39" formatCode="0.0">
                  <c:v>1.5244402487742785</c:v>
                </c:pt>
                <c:pt idx="40" formatCode="0.0">
                  <c:v>1.5273801235073698</c:v>
                </c:pt>
                <c:pt idx="41" formatCode="0.0">
                  <c:v>1.5652039460989933</c:v>
                </c:pt>
                <c:pt idx="42" formatCode="0.0">
                  <c:v>1.5685962612171107</c:v>
                </c:pt>
                <c:pt idx="43" formatCode="0.0">
                  <c:v>1.5771921039300241</c:v>
                </c:pt>
                <c:pt idx="44" formatCode="0.0">
                  <c:v>1.5920321519606651</c:v>
                </c:pt>
                <c:pt idx="45" formatCode="0.0">
                  <c:v>1.5906750309399109</c:v>
                </c:pt>
                <c:pt idx="46" formatCode="0.0">
                  <c:v>1.5795577666742018</c:v>
                </c:pt>
                <c:pt idx="47" formatCode="0.0">
                  <c:v>1.5645823526903369</c:v>
                </c:pt>
                <c:pt idx="48" formatCode="0.0">
                  <c:v>1.5817418133927783</c:v>
                </c:pt>
                <c:pt idx="49" formatCode="0.0">
                  <c:v>1.5559282787316542</c:v>
                </c:pt>
                <c:pt idx="50" formatCode="0.0">
                  <c:v>1.5245541590661313</c:v>
                </c:pt>
                <c:pt idx="51" formatCode="0.0">
                  <c:v>1.5046075942140316</c:v>
                </c:pt>
                <c:pt idx="52" formatCode="0.0">
                  <c:v>1.483045346562105</c:v>
                </c:pt>
                <c:pt idx="53" formatCode="0.0">
                  <c:v>1.4339660624807034</c:v>
                </c:pt>
                <c:pt idx="54" formatCode="0.0">
                  <c:v>1.4177599770196876</c:v>
                </c:pt>
                <c:pt idx="55" formatCode="0.0">
                  <c:v>1.4051991742429581</c:v>
                </c:pt>
                <c:pt idx="56" formatCode="0.0">
                  <c:v>1.3983060752780867</c:v>
                </c:pt>
                <c:pt idx="57" formatCode="0.0">
                  <c:v>1.4075768436763942</c:v>
                </c:pt>
                <c:pt idx="58" formatCode="0.0">
                  <c:v>1.3925236637949678</c:v>
                </c:pt>
                <c:pt idx="59" formatCode="0.0">
                  <c:v>1.3921168494785086</c:v>
                </c:pt>
                <c:pt idx="60" formatCode="0.0">
                  <c:v>1.3653754126879891</c:v>
                </c:pt>
                <c:pt idx="61" formatCode="0.0">
                  <c:v>1.3724402114905219</c:v>
                </c:pt>
                <c:pt idx="62" formatCode="0.0">
                  <c:v>1.3857216417549452</c:v>
                </c:pt>
                <c:pt idx="63" formatCode="0.0">
                  <c:v>1.4237924145742398</c:v>
                </c:pt>
                <c:pt idx="64" formatCode="0.0">
                  <c:v>1.4378210745515767</c:v>
                </c:pt>
                <c:pt idx="65" formatCode="0.0">
                  <c:v>1.4377275345884908</c:v>
                </c:pt>
                <c:pt idx="66" formatCode="0.0">
                  <c:v>1.4451351749260857</c:v>
                </c:pt>
                <c:pt idx="67" formatCode="0.0">
                  <c:v>1.4623182317654668</c:v>
                </c:pt>
                <c:pt idx="68" formatCode="0.0">
                  <c:v>1.4601159176659984</c:v>
                </c:pt>
                <c:pt idx="69" formatCode="0.0">
                  <c:v>1.4531250670830274</c:v>
                </c:pt>
                <c:pt idx="70" formatCode="0.0">
                  <c:v>1.4935877604530099</c:v>
                </c:pt>
                <c:pt idx="71" formatCode="0.0">
                  <c:v>1.5238452732339651</c:v>
                </c:pt>
                <c:pt idx="72" formatCode="0.0">
                  <c:v>1.5182355443260533</c:v>
                </c:pt>
                <c:pt idx="73" formatCode="0.0">
                  <c:v>1.5009861835962732</c:v>
                </c:pt>
                <c:pt idx="74" formatCode="0.0">
                  <c:v>1.5135059452228485</c:v>
                </c:pt>
                <c:pt idx="75" formatCode="0.0">
                  <c:v>1.4896793265961616</c:v>
                </c:pt>
                <c:pt idx="76" formatCode="0.0">
                  <c:v>1.4972618069368615</c:v>
                </c:pt>
                <c:pt idx="77" formatCode="0.0">
                  <c:v>1.5072281027542207</c:v>
                </c:pt>
                <c:pt idx="78" formatCode="0.0">
                  <c:v>1.5113358387094866</c:v>
                </c:pt>
                <c:pt idx="79" formatCode="0.0">
                  <c:v>1.5161942988254935</c:v>
                </c:pt>
                <c:pt idx="80" formatCode="0.0">
                  <c:v>1.4915056904581807</c:v>
                </c:pt>
                <c:pt idx="81" formatCode="0.0">
                  <c:v>1.4547525728683712</c:v>
                </c:pt>
                <c:pt idx="82" formatCode="0.0">
                  <c:v>1.4019256268479428</c:v>
                </c:pt>
                <c:pt idx="83" formatCode="0.0">
                  <c:v>1.3802468503513488</c:v>
                </c:pt>
                <c:pt idx="84" formatCode="0.0">
                  <c:v>1.3723072327426589</c:v>
                </c:pt>
                <c:pt idx="85" formatCode="0.0">
                  <c:v>1.3548405434053714</c:v>
                </c:pt>
                <c:pt idx="86" formatCode="0.0">
                  <c:v>1.3253617060024294</c:v>
                </c:pt>
                <c:pt idx="87" formatCode="0.0">
                  <c:v>1.306785020075216</c:v>
                </c:pt>
                <c:pt idx="88" formatCode="0.0">
                  <c:v>1.2670688378179105</c:v>
                </c:pt>
                <c:pt idx="89" formatCode="0.0">
                  <c:v>1.2575179480829621</c:v>
                </c:pt>
                <c:pt idx="90" formatCode="0.0">
                  <c:v>1.2277556036226771</c:v>
                </c:pt>
                <c:pt idx="91" formatCode="0.0">
                  <c:v>1.1952105266407362</c:v>
                </c:pt>
                <c:pt idx="92" formatCode="0.0">
                  <c:v>1.1993471878250122</c:v>
                </c:pt>
                <c:pt idx="93" formatCode="0.0">
                  <c:v>1.2223797101709917</c:v>
                </c:pt>
                <c:pt idx="94" formatCode="0.0">
                  <c:v>1.2407006251533816</c:v>
                </c:pt>
                <c:pt idx="95" formatCode="0.0">
                  <c:v>1.2029739015585907</c:v>
                </c:pt>
                <c:pt idx="96" formatCode="0.0">
                  <c:v>1.2086935906552485</c:v>
                </c:pt>
                <c:pt idx="97" formatCode="0.0">
                  <c:v>1.2361070648102299</c:v>
                </c:pt>
                <c:pt idx="98" formatCode="0.0">
                  <c:v>1.2170852275539852</c:v>
                </c:pt>
                <c:pt idx="99" formatCode="0.0">
                  <c:v>1.2212982075132635</c:v>
                </c:pt>
                <c:pt idx="100" formatCode="0.0">
                  <c:v>1.2213483388058868</c:v>
                </c:pt>
                <c:pt idx="101" formatCode="0.0">
                  <c:v>1.2100559355408491</c:v>
                </c:pt>
                <c:pt idx="102" formatCode="0.0">
                  <c:v>1.2266514249102141</c:v>
                </c:pt>
                <c:pt idx="103" formatCode="0.0">
                  <c:v>1.2344490644637043</c:v>
                </c:pt>
                <c:pt idx="104" formatCode="0.0">
                  <c:v>1.2341794510317767</c:v>
                </c:pt>
                <c:pt idx="105" formatCode="0.0">
                  <c:v>1.221565524515595</c:v>
                </c:pt>
                <c:pt idx="106" formatCode="0.0">
                  <c:v>1.2088507096978434</c:v>
                </c:pt>
                <c:pt idx="107" formatCode="0.0">
                  <c:v>1.2104751584981392</c:v>
                </c:pt>
                <c:pt idx="108" formatCode="0.0">
                  <c:v>1.2253709100038723</c:v>
                </c:pt>
                <c:pt idx="109" formatCode="0.0">
                  <c:v>1.2515827523154499</c:v>
                </c:pt>
                <c:pt idx="110" formatCode="0.0">
                  <c:v>1.2604323106006192</c:v>
                </c:pt>
                <c:pt idx="111" formatCode="0.0">
                  <c:v>1.2501738538997509</c:v>
                </c:pt>
                <c:pt idx="112" formatCode="0.0">
                  <c:v>1.2581371557410974</c:v>
                </c:pt>
                <c:pt idx="113" formatCode="0.0">
                  <c:v>1.2402331399747155</c:v>
                </c:pt>
                <c:pt idx="114" formatCode="0.0">
                  <c:v>1.2255107777597425</c:v>
                </c:pt>
                <c:pt idx="115" formatCode="0.0">
                  <c:v>1.2022732208007387</c:v>
                </c:pt>
                <c:pt idx="116" formatCode="0.0">
                  <c:v>1.2012310038073912</c:v>
                </c:pt>
                <c:pt idx="117" formatCode="0.0">
                  <c:v>1.2028791847556113</c:v>
                </c:pt>
                <c:pt idx="118" formatCode="0.0">
                  <c:v>1.1984966310907845</c:v>
                </c:pt>
                <c:pt idx="119" formatCode="0.0">
                  <c:v>1.2055628272949013</c:v>
                </c:pt>
                <c:pt idx="120" formatCode="0.0">
                  <c:v>1.174798538910178</c:v>
                </c:pt>
                <c:pt idx="121" formatCode="0.0">
                  <c:v>1.1368263206978437</c:v>
                </c:pt>
                <c:pt idx="122" formatCode="0.0">
                  <c:v>1.144412165503528</c:v>
                </c:pt>
                <c:pt idx="123" formatCode="0.0">
                  <c:v>1.163599477157909</c:v>
                </c:pt>
                <c:pt idx="124" formatCode="0.0">
                  <c:v>1.1745942185494653</c:v>
                </c:pt>
                <c:pt idx="125" formatCode="0.0">
                  <c:v>1.2036880513966497</c:v>
                </c:pt>
                <c:pt idx="126" formatCode="0.0">
                  <c:v>1.2171467187929432</c:v>
                </c:pt>
                <c:pt idx="127" formatCode="0.0">
                  <c:v>1.2584251422725659</c:v>
                </c:pt>
                <c:pt idx="128" formatCode="0.0">
                  <c:v>1.2818069987157152</c:v>
                </c:pt>
                <c:pt idx="129" formatCode="0.0">
                  <c:v>1.3166835793221343</c:v>
                </c:pt>
                <c:pt idx="130" formatCode="0.0">
                  <c:v>1.3455246901752151</c:v>
                </c:pt>
                <c:pt idx="131" formatCode="0.0">
                  <c:v>1.3692111864122243</c:v>
                </c:pt>
                <c:pt idx="132" formatCode="0.0">
                  <c:v>1.3870031792945621</c:v>
                </c:pt>
                <c:pt idx="133" formatCode="0.0">
                  <c:v>1.4255792941885268</c:v>
                </c:pt>
                <c:pt idx="134" formatCode="0.0">
                  <c:v>1.4208024953921934</c:v>
                </c:pt>
                <c:pt idx="135" formatCode="0.0">
                  <c:v>1.4003206848906917</c:v>
                </c:pt>
                <c:pt idx="136" formatCode="0.0">
                  <c:v>1.3872012486938339</c:v>
                </c:pt>
                <c:pt idx="137" formatCode="0.0">
                  <c:v>1.4049103862694692</c:v>
                </c:pt>
                <c:pt idx="138" formatCode="0.0">
                  <c:v>1.4080373046175978</c:v>
                </c:pt>
                <c:pt idx="139" formatCode="0.0">
                  <c:v>1.42569232717961</c:v>
                </c:pt>
                <c:pt idx="140" formatCode="0.0">
                  <c:v>1.4198133512710014</c:v>
                </c:pt>
                <c:pt idx="141" formatCode="0.0">
                  <c:v>1.3956451804052865</c:v>
                </c:pt>
                <c:pt idx="142" formatCode="0.0">
                  <c:v>1.3950377122094701</c:v>
                </c:pt>
                <c:pt idx="143" formatCode="0.0">
                  <c:v>1.3803441011474433</c:v>
                </c:pt>
                <c:pt idx="144" formatCode="0.0">
                  <c:v>1.3623113797709065</c:v>
                </c:pt>
                <c:pt idx="145" formatCode="0.0">
                  <c:v>1.3250932458320341</c:v>
                </c:pt>
                <c:pt idx="146" formatCode="0.0">
                  <c:v>1.3577826556684416</c:v>
                </c:pt>
                <c:pt idx="147" formatCode="0.0">
                  <c:v>1.3536602416520875</c:v>
                </c:pt>
                <c:pt idx="148" formatCode="0.0">
                  <c:v>1.375909716187816</c:v>
                </c:pt>
                <c:pt idx="149" formatCode="0.0">
                  <c:v>1.3696663893685761</c:v>
                </c:pt>
                <c:pt idx="150" formatCode="0.0">
                  <c:v>1.3507820656808753</c:v>
                </c:pt>
                <c:pt idx="151" formatCode="0.0">
                  <c:v>1.3082865778697541</c:v>
                </c:pt>
                <c:pt idx="152" formatCode="0.0">
                  <c:v>1.2862543061290792</c:v>
                </c:pt>
                <c:pt idx="153" formatCode="0.0">
                  <c:v>1.2880091510568208</c:v>
                </c:pt>
                <c:pt idx="154" formatCode="0.0">
                  <c:v>1.2900107726138768</c:v>
                </c:pt>
                <c:pt idx="155" formatCode="0.0">
                  <c:v>1.3085479638267543</c:v>
                </c:pt>
                <c:pt idx="156" formatCode="0.0">
                  <c:v>1.34092821456819</c:v>
                </c:pt>
                <c:pt idx="157" formatCode="0.0">
                  <c:v>1.3732128732724833</c:v>
                </c:pt>
                <c:pt idx="158" formatCode="0.0">
                  <c:v>1.3696031131507607</c:v>
                </c:pt>
                <c:pt idx="159" formatCode="0.0">
                  <c:v>1.4048260752001189</c:v>
                </c:pt>
                <c:pt idx="160" formatCode="0.0">
                  <c:v>1.3693678662579751</c:v>
                </c:pt>
                <c:pt idx="161" formatCode="0.0">
                  <c:v>1.3556838495734782</c:v>
                </c:pt>
                <c:pt idx="162" formatCode="0.0">
                  <c:v>1.3691952956640649</c:v>
                </c:pt>
                <c:pt idx="163" formatCode="0.0">
                  <c:v>1.3995210281459167</c:v>
                </c:pt>
                <c:pt idx="164" formatCode="0.0">
                  <c:v>1.4381216742605691</c:v>
                </c:pt>
                <c:pt idx="165" formatCode="0.0">
                  <c:v>1.4501088029946241</c:v>
                </c:pt>
                <c:pt idx="166" formatCode="0.0">
                  <c:v>1.4461985780004982</c:v>
                </c:pt>
                <c:pt idx="167" formatCode="0.0">
                  <c:v>1.4428830916042026</c:v>
                </c:pt>
                <c:pt idx="168" formatCode="0.0">
                  <c:v>1.4381142760900909</c:v>
                </c:pt>
                <c:pt idx="169" formatCode="0.0">
                  <c:v>1.4306580476496731</c:v>
                </c:pt>
                <c:pt idx="170" formatCode="0.0">
                  <c:v>1.4371878815448376</c:v>
                </c:pt>
                <c:pt idx="171" formatCode="0.0">
                  <c:v>1.4458066920688097</c:v>
                </c:pt>
                <c:pt idx="172" formatCode="0.0">
                  <c:v>1.4766690030692688</c:v>
                </c:pt>
                <c:pt idx="173" formatCode="0.0">
                  <c:v>1.4869857310919319</c:v>
                </c:pt>
                <c:pt idx="174" formatCode="0.0">
                  <c:v>1.4829027755926909</c:v>
                </c:pt>
                <c:pt idx="175" formatCode="0.0">
                  <c:v>1.4642474450020615</c:v>
                </c:pt>
                <c:pt idx="176" formatCode="0.0">
                  <c:v>1.4543772139774285</c:v>
                </c:pt>
                <c:pt idx="177" formatCode="0.0">
                  <c:v>1.444822681087695</c:v>
                </c:pt>
                <c:pt idx="178" formatCode="0.0">
                  <c:v>1.4232980202733392</c:v>
                </c:pt>
                <c:pt idx="179" formatCode="0.0">
                  <c:v>1.3987303630730665</c:v>
                </c:pt>
                <c:pt idx="180" formatCode="0.0">
                  <c:v>1.4028634325300027</c:v>
                </c:pt>
                <c:pt idx="181" formatCode="0.0">
                  <c:v>1.4097479616655875</c:v>
                </c:pt>
                <c:pt idx="182" formatCode="0.0">
                  <c:v>1.3977955483626994</c:v>
                </c:pt>
                <c:pt idx="183" formatCode="0.0">
                  <c:v>1.3819791665748082</c:v>
                </c:pt>
                <c:pt idx="184" formatCode="0.0">
                  <c:v>1.3816428002575936</c:v>
                </c:pt>
                <c:pt idx="185" formatCode="0.0">
                  <c:v>1.3827002744573018</c:v>
                </c:pt>
                <c:pt idx="186" formatCode="0.0">
                  <c:v>1.3801803586699306</c:v>
                </c:pt>
                <c:pt idx="187" formatCode="0.0">
                  <c:v>1.3605223375591671</c:v>
                </c:pt>
                <c:pt idx="188" formatCode="0.0">
                  <c:v>1.3462514193900874</c:v>
                </c:pt>
                <c:pt idx="189" formatCode="0.0">
                  <c:v>1.3559564792786478</c:v>
                </c:pt>
                <c:pt idx="190" formatCode="0.0">
                  <c:v>1.3879696287214678</c:v>
                </c:pt>
                <c:pt idx="191" formatCode="0.0">
                  <c:v>1.4093867128756712</c:v>
                </c:pt>
                <c:pt idx="192" formatCode="0.0">
                  <c:v>1.413927851851678</c:v>
                </c:pt>
                <c:pt idx="193" formatCode="0.0">
                  <c:v>1.3831430152386002</c:v>
                </c:pt>
                <c:pt idx="194" formatCode="0.0">
                  <c:v>1.3847265352498077</c:v>
                </c:pt>
                <c:pt idx="195" formatCode="0.0">
                  <c:v>1.3815687932215654</c:v>
                </c:pt>
                <c:pt idx="196" formatCode="0.0">
                  <c:v>1.3526063510075679</c:v>
                </c:pt>
                <c:pt idx="197" formatCode="0.0">
                  <c:v>1.3309426416141286</c:v>
                </c:pt>
                <c:pt idx="198" formatCode="0.0">
                  <c:v>1.3335719694916828</c:v>
                </c:pt>
                <c:pt idx="199" formatCode="0.0">
                  <c:v>1.3610255561701532</c:v>
                </c:pt>
                <c:pt idx="200" formatCode="0.0">
                  <c:v>1.3437822990050732</c:v>
                </c:pt>
                <c:pt idx="201" formatCode="0.0">
                  <c:v>1.3381874037900499</c:v>
                </c:pt>
                <c:pt idx="202" formatCode="0.0">
                  <c:v>1.3318522907355257</c:v>
                </c:pt>
                <c:pt idx="203" formatCode="0.0">
                  <c:v>1.3289501565489126</c:v>
                </c:pt>
                <c:pt idx="204" formatCode="0.0">
                  <c:v>1.29621913613545</c:v>
                </c:pt>
                <c:pt idx="205" formatCode="0.0">
                  <c:v>1.3079172878193799</c:v>
                </c:pt>
                <c:pt idx="206" formatCode="0.0">
                  <c:v>1.2969145160788009</c:v>
                </c:pt>
                <c:pt idx="207" formatCode="0.0">
                  <c:v>1.2919175384943875</c:v>
                </c:pt>
                <c:pt idx="208" formatCode="0.0">
                  <c:v>1.305163837902819</c:v>
                </c:pt>
                <c:pt idx="209" formatCode="0.0">
                  <c:v>1.3177226407135973</c:v>
                </c:pt>
                <c:pt idx="210" formatCode="0.0">
                  <c:v>1.3476241354658842</c:v>
                </c:pt>
                <c:pt idx="211" formatCode="0.0">
                  <c:v>1.3315664455939848</c:v>
                </c:pt>
                <c:pt idx="212" formatCode="0.0">
                  <c:v>1.3605481404448614</c:v>
                </c:pt>
                <c:pt idx="213" formatCode="0.0">
                  <c:v>1.3341639368948714</c:v>
                </c:pt>
                <c:pt idx="214" formatCode="0.0">
                  <c:v>1.3103946791898515</c:v>
                </c:pt>
                <c:pt idx="215" formatCode="0.0">
                  <c:v>1.3066895806415639</c:v>
                </c:pt>
                <c:pt idx="216" formatCode="0.0">
                  <c:v>1.3290030838477866</c:v>
                </c:pt>
                <c:pt idx="217" formatCode="0.0">
                  <c:v>1.3501928580101865</c:v>
                </c:pt>
                <c:pt idx="218" formatCode="0.0">
                  <c:v>1.3882953840563335</c:v>
                </c:pt>
                <c:pt idx="219" formatCode="0.0">
                  <c:v>1.3741627477426042</c:v>
                </c:pt>
                <c:pt idx="220" formatCode="0.0">
                  <c:v>1.3849887140488935</c:v>
                </c:pt>
                <c:pt idx="221" formatCode="0.0">
                  <c:v>1.3968948059492734</c:v>
                </c:pt>
                <c:pt idx="222" formatCode="0.0">
                  <c:v>1.3989294077440444</c:v>
                </c:pt>
                <c:pt idx="223" formatCode="0.0">
                  <c:v>1.4125735982706142</c:v>
                </c:pt>
                <c:pt idx="224" formatCode="0.0">
                  <c:v>1.408060956199191</c:v>
                </c:pt>
                <c:pt idx="225" formatCode="0.0">
                  <c:v>1.4339650058884841</c:v>
                </c:pt>
                <c:pt idx="226" formatCode="0.0">
                  <c:v>1.4196323091760725</c:v>
                </c:pt>
                <c:pt idx="227" formatCode="0.0">
                  <c:v>1.4111420447578513</c:v>
                </c:pt>
                <c:pt idx="228" formatCode="0.0">
                  <c:v>1.4017155499522287</c:v>
                </c:pt>
                <c:pt idx="229" formatCode="0.0">
                  <c:v>1.3799375415277186</c:v>
                </c:pt>
                <c:pt idx="230" formatCode="0.0">
                  <c:v>1.3545784915697794</c:v>
                </c:pt>
                <c:pt idx="231" formatCode="0.0">
                  <c:v>1.367394846015392</c:v>
                </c:pt>
                <c:pt idx="232" formatCode="0.0">
                  <c:v>1.3719447273173337</c:v>
                </c:pt>
                <c:pt idx="233" formatCode="0.0">
                  <c:v>1.3610292706186371</c:v>
                </c:pt>
                <c:pt idx="234" formatCode="0.0">
                  <c:v>1.3564437441944361</c:v>
                </c:pt>
                <c:pt idx="235" formatCode="0.0">
                  <c:v>1.3649490168635106</c:v>
                </c:pt>
                <c:pt idx="236" formatCode="0.0">
                  <c:v>1.3433402415831592</c:v>
                </c:pt>
                <c:pt idx="237" formatCode="0.0">
                  <c:v>1.3463240198052642</c:v>
                </c:pt>
                <c:pt idx="238" formatCode="0.0">
                  <c:v>1.3714317861011602</c:v>
                </c:pt>
                <c:pt idx="239" formatCode="0.0">
                  <c:v>1.3644165933059231</c:v>
                </c:pt>
                <c:pt idx="240" formatCode="0.0">
                  <c:v>1.3665910301909168</c:v>
                </c:pt>
                <c:pt idx="241" formatCode="0.0">
                  <c:v>1.3685117670227418</c:v>
                </c:pt>
                <c:pt idx="242" formatCode="0.0">
                  <c:v>1.3432442250073624</c:v>
                </c:pt>
                <c:pt idx="243" formatCode="0.0">
                  <c:v>1.3456718320779393</c:v>
                </c:pt>
                <c:pt idx="244" formatCode="0.0">
                  <c:v>1.3394529130791522</c:v>
                </c:pt>
                <c:pt idx="245" formatCode="0.0">
                  <c:v>1.3123653378315892</c:v>
                </c:pt>
                <c:pt idx="246" formatCode="0.0">
                  <c:v>1.2948636832859226</c:v>
                </c:pt>
                <c:pt idx="247" formatCode="0.0">
                  <c:v>1.2808177065769344</c:v>
                </c:pt>
                <c:pt idx="248" formatCode="0.0">
                  <c:v>1.3201412622617725</c:v>
                </c:pt>
                <c:pt idx="249" formatCode="0.0">
                  <c:v>1.3089670499354609</c:v>
                </c:pt>
                <c:pt idx="250" formatCode="0.0">
                  <c:v>1.3029755482432144</c:v>
                </c:pt>
                <c:pt idx="251" formatCode="0.0">
                  <c:v>1.2959271141178643</c:v>
                </c:pt>
                <c:pt idx="252" formatCode="0.0">
                  <c:v>1.298462851066436</c:v>
                </c:pt>
                <c:pt idx="253" formatCode="0.0">
                  <c:v>1.3114775275623685</c:v>
                </c:pt>
                <c:pt idx="254" formatCode="0.0">
                  <c:v>1.359300875252792</c:v>
                </c:pt>
                <c:pt idx="255" formatCode="0.0">
                  <c:v>1.348192259712981</c:v>
                </c:pt>
                <c:pt idx="256" formatCode="0.0">
                  <c:v>1.3356100369720567</c:v>
                </c:pt>
                <c:pt idx="257" formatCode="0.0">
                  <c:v>1.3824225342503358</c:v>
                </c:pt>
                <c:pt idx="258" formatCode="0.0">
                  <c:v>1.3962945427433857</c:v>
                </c:pt>
                <c:pt idx="259" formatCode="0.0">
                  <c:v>1.3955847625455136</c:v>
                </c:pt>
                <c:pt idx="260" formatCode="0.0">
                  <c:v>1.376276788742109</c:v>
                </c:pt>
                <c:pt idx="261" formatCode="0.0">
                  <c:v>1.377509811077255</c:v>
                </c:pt>
                <c:pt idx="262" formatCode="0.0">
                  <c:v>1.3696064060128401</c:v>
                </c:pt>
                <c:pt idx="263" formatCode="0.0">
                  <c:v>1.3813079291223243</c:v>
                </c:pt>
                <c:pt idx="264" formatCode="0.0">
                  <c:v>1.3670562863089863</c:v>
                </c:pt>
                <c:pt idx="265" formatCode="0.0">
                  <c:v>1.365583119703272</c:v>
                </c:pt>
                <c:pt idx="266" formatCode="0.0">
                  <c:v>1.3491660050261451</c:v>
                </c:pt>
                <c:pt idx="267" formatCode="0.0">
                  <c:v>1.354354855332395</c:v>
                </c:pt>
                <c:pt idx="268" formatCode="0.0">
                  <c:v>1.3521815154169035</c:v>
                </c:pt>
                <c:pt idx="269" formatCode="0.0">
                  <c:v>1.3395128781856984</c:v>
                </c:pt>
                <c:pt idx="270" formatCode="0.0">
                  <c:v>1.3218380776252368</c:v>
                </c:pt>
                <c:pt idx="271" formatCode="0.0">
                  <c:v>1.3201632066593658</c:v>
                </c:pt>
                <c:pt idx="272" formatCode="0.0">
                  <c:v>1.3093555804348818</c:v>
                </c:pt>
                <c:pt idx="273" formatCode="0.0">
                  <c:v>1.3194862629078075</c:v>
                </c:pt>
                <c:pt idx="274" formatCode="0.0">
                  <c:v>1.3255760264940748</c:v>
                </c:pt>
                <c:pt idx="275" formatCode="0.0">
                  <c:v>1.3053603370738625</c:v>
                </c:pt>
                <c:pt idx="276" formatCode="0.0">
                  <c:v>1.3493655884474347</c:v>
                </c:pt>
                <c:pt idx="277" formatCode="0.0">
                  <c:v>1.3636327270753805</c:v>
                </c:pt>
                <c:pt idx="278" formatCode="0.0">
                  <c:v>1.3653939999820566</c:v>
                </c:pt>
                <c:pt idx="279" formatCode="0.0">
                  <c:v>1.3612702155048286</c:v>
                </c:pt>
                <c:pt idx="280" formatCode="0.0">
                  <c:v>1.3737151996515469</c:v>
                </c:pt>
                <c:pt idx="281" formatCode="0.0">
                  <c:v>1.3685760790566717</c:v>
                </c:pt>
                <c:pt idx="282" formatCode="0.0">
                  <c:v>1.3735200712604101</c:v>
                </c:pt>
                <c:pt idx="283" formatCode="0.0">
                  <c:v>1.3705941780072202</c:v>
                </c:pt>
                <c:pt idx="284" formatCode="0.0">
                  <c:v>1.4104735481414956</c:v>
                </c:pt>
                <c:pt idx="285" formatCode="0.0">
                  <c:v>1.4256521326909948</c:v>
                </c:pt>
                <c:pt idx="286" formatCode="0.0">
                  <c:v>1.4351407016713367</c:v>
                </c:pt>
                <c:pt idx="287" formatCode="0.0">
                  <c:v>1.4579752230724192</c:v>
                </c:pt>
                <c:pt idx="288" formatCode="0.0">
                  <c:v>1.4492112379664475</c:v>
                </c:pt>
                <c:pt idx="289" formatCode="0.0">
                  <c:v>1.4033519246968142</c:v>
                </c:pt>
                <c:pt idx="290" formatCode="0.0">
                  <c:v>1.3873589225686727</c:v>
                </c:pt>
                <c:pt idx="291" formatCode="0.0">
                  <c:v>1.3806507184728016</c:v>
                </c:pt>
                <c:pt idx="292" formatCode="0.0">
                  <c:v>1.375351477587774</c:v>
                </c:pt>
                <c:pt idx="293" formatCode="0.0">
                  <c:v>1.3657666196827734</c:v>
                </c:pt>
                <c:pt idx="294" formatCode="0.0">
                  <c:v>1.3691077763504564</c:v>
                </c:pt>
                <c:pt idx="295" formatCode="0.0">
                  <c:v>1.368156972326424</c:v>
                </c:pt>
                <c:pt idx="296" formatCode="0.0">
                  <c:v>1.3231922774050842</c:v>
                </c:pt>
                <c:pt idx="297" formatCode="0.0">
                  <c:v>1.2943627844871544</c:v>
                </c:pt>
                <c:pt idx="298" formatCode="0.0">
                  <c:v>1.2999364297881677</c:v>
                </c:pt>
                <c:pt idx="299" formatCode="0.0">
                  <c:v>1.2865213192093712</c:v>
                </c:pt>
                <c:pt idx="300" formatCode="0.0">
                  <c:v>1.2786122580594537</c:v>
                </c:pt>
                <c:pt idx="301" formatCode="0.0">
                  <c:v>1.2684615925581826</c:v>
                </c:pt>
                <c:pt idx="302" formatCode="0.0">
                  <c:v>1.258661939546472</c:v>
                </c:pt>
                <c:pt idx="303" formatCode="0.0">
                  <c:v>1.2570365331678319</c:v>
                </c:pt>
                <c:pt idx="304" formatCode="0.0">
                  <c:v>1.2381686056145862</c:v>
                </c:pt>
                <c:pt idx="305" formatCode="0.0">
                  <c:v>1.2216381850140043</c:v>
                </c:pt>
                <c:pt idx="306" formatCode="0.0">
                  <c:v>1.2137040306696518</c:v>
                </c:pt>
                <c:pt idx="307" formatCode="0.0">
                  <c:v>1.1997755340564913</c:v>
                </c:pt>
                <c:pt idx="308" formatCode="0.0">
                  <c:v>1.1972275581974587</c:v>
                </c:pt>
                <c:pt idx="309" formatCode="0.0">
                  <c:v>1.1944996823453886</c:v>
                </c:pt>
                <c:pt idx="310" formatCode="0.0">
                  <c:v>1.1871404159367172</c:v>
                </c:pt>
                <c:pt idx="311" formatCode="0.0">
                  <c:v>1.1951052394977888</c:v>
                </c:pt>
                <c:pt idx="312" formatCode="0.0">
                  <c:v>1.1757484873904949</c:v>
                </c:pt>
                <c:pt idx="313" formatCode="0.0">
                  <c:v>1.1991370123353065</c:v>
                </c:pt>
                <c:pt idx="314" formatCode="0.0">
                  <c:v>1.2025152902371492</c:v>
                </c:pt>
                <c:pt idx="315" formatCode="0.0">
                  <c:v>1.2273935229906623</c:v>
                </c:pt>
                <c:pt idx="316" formatCode="0.0">
                  <c:v>1.2430269054035858</c:v>
                </c:pt>
                <c:pt idx="317" formatCode="0.0">
                  <c:v>1.2836654096753364</c:v>
                </c:pt>
                <c:pt idx="318" formatCode="0.0">
                  <c:v>1.2925785226828972</c:v>
                </c:pt>
                <c:pt idx="319" formatCode="0.0">
                  <c:v>1.314210211532129</c:v>
                </c:pt>
                <c:pt idx="320" formatCode="0.0">
                  <c:v>1.3350111851476816</c:v>
                </c:pt>
                <c:pt idx="321" formatCode="0.0">
                  <c:v>1.3572730005500884</c:v>
                </c:pt>
                <c:pt idx="322" formatCode="0.0">
                  <c:v>1.3353768294344899</c:v>
                </c:pt>
                <c:pt idx="323" formatCode="0.0">
                  <c:v>1.330334286794433</c:v>
                </c:pt>
                <c:pt idx="324" formatCode="0.0">
                  <c:v>1.3437458319201214</c:v>
                </c:pt>
                <c:pt idx="325" formatCode="0.0">
                  <c:v>1.3295034973116364</c:v>
                </c:pt>
                <c:pt idx="326" formatCode="0.0">
                  <c:v>1.3204217115514347</c:v>
                </c:pt>
                <c:pt idx="327" formatCode="0.0">
                  <c:v>1.2954016549496121</c:v>
                </c:pt>
                <c:pt idx="328" formatCode="0.0">
                  <c:v>1.2830401275008649</c:v>
                </c:pt>
                <c:pt idx="329" formatCode="0.0">
                  <c:v>1.2684147747304966</c:v>
                </c:pt>
                <c:pt idx="330" formatCode="0.0">
                  <c:v>1.2487968030149508</c:v>
                </c:pt>
                <c:pt idx="331" formatCode="0.0">
                  <c:v>1.2156566120226746</c:v>
                </c:pt>
                <c:pt idx="332" formatCode="0.0">
                  <c:v>1.1741686304426264</c:v>
                </c:pt>
                <c:pt idx="333" formatCode="0.0">
                  <c:v>1.1398572967343841</c:v>
                </c:pt>
                <c:pt idx="334" formatCode="0.0">
                  <c:v>1.1464421772736109</c:v>
                </c:pt>
                <c:pt idx="335" formatCode="0.0">
                  <c:v>1.1214801316603893</c:v>
                </c:pt>
                <c:pt idx="336" formatCode="0.0">
                  <c:v>1.1160947787556026</c:v>
                </c:pt>
                <c:pt idx="337" formatCode="0.0">
                  <c:v>1.1082010675754794</c:v>
                </c:pt>
                <c:pt idx="338" formatCode="0.0">
                  <c:v>1.0929809147637843</c:v>
                </c:pt>
                <c:pt idx="339" formatCode="0.0">
                  <c:v>1.0894804314142934</c:v>
                </c:pt>
                <c:pt idx="340" formatCode="0.0">
                  <c:v>1.0828954565794058</c:v>
                </c:pt>
                <c:pt idx="341" formatCode="0.0">
                  <c:v>1.0725803304805466</c:v>
                </c:pt>
                <c:pt idx="342" formatCode="0.0">
                  <c:v>1.0867919536837092</c:v>
                </c:pt>
                <c:pt idx="343" formatCode="0.0">
                  <c:v>1.1029381569475969</c:v>
                </c:pt>
                <c:pt idx="344" formatCode="0.0">
                  <c:v>1.1088601758824623</c:v>
                </c:pt>
                <c:pt idx="345" formatCode="0.0">
                  <c:v>1.0934009786879271</c:v>
                </c:pt>
                <c:pt idx="346" formatCode="0.0">
                  <c:v>1.0647662650774177</c:v>
                </c:pt>
                <c:pt idx="347" formatCode="0.0">
                  <c:v>1.0718299359822219</c:v>
                </c:pt>
                <c:pt idx="348" formatCode="0.0">
                  <c:v>1.0682374324659327</c:v>
                </c:pt>
                <c:pt idx="349" formatCode="0.0">
                  <c:v>1.0848488613706568</c:v>
                </c:pt>
                <c:pt idx="350" formatCode="0.0">
                  <c:v>1.1164814836173234</c:v>
                </c:pt>
                <c:pt idx="351" formatCode="0.0">
                  <c:v>1.1864696716861076</c:v>
                </c:pt>
                <c:pt idx="352" formatCode="0.0">
                  <c:v>1.21418695105976</c:v>
                </c:pt>
                <c:pt idx="353" formatCode="0.0">
                  <c:v>1.2247894143619735</c:v>
                </c:pt>
                <c:pt idx="354" formatCode="0.0">
                  <c:v>1.2154477415358929</c:v>
                </c:pt>
                <c:pt idx="355" formatCode="0.0">
                  <c:v>1.1976196851875451</c:v>
                </c:pt>
                <c:pt idx="356" formatCode="0.0">
                  <c:v>1.1812738051423515</c:v>
                </c:pt>
                <c:pt idx="357" formatCode="0.0">
                  <c:v>1.2271532421429376</c:v>
                </c:pt>
                <c:pt idx="358" formatCode="0.0">
                  <c:v>1.278310335298207</c:v>
                </c:pt>
                <c:pt idx="359" formatCode="0.0">
                  <c:v>1.2917679424310318</c:v>
                </c:pt>
                <c:pt idx="360" formatCode="0.0">
                  <c:v>1.2873044640524893</c:v>
                </c:pt>
                <c:pt idx="361" formatCode="0.0">
                  <c:v>1.2648682745148088</c:v>
                </c:pt>
                <c:pt idx="362" formatCode="0.0">
                  <c:v>1.2444611006600677</c:v>
                </c:pt>
                <c:pt idx="363" formatCode="0.0">
                  <c:v>1.1751521329454053</c:v>
                </c:pt>
                <c:pt idx="364" formatCode="0.0">
                  <c:v>1.1470924382043302</c:v>
                </c:pt>
                <c:pt idx="365" formatCode="0.0">
                  <c:v>1.122407900258181</c:v>
                </c:pt>
                <c:pt idx="366" formatCode="0.0">
                  <c:v>1.1170781321049945</c:v>
                </c:pt>
                <c:pt idx="367" formatCode="0.0">
                  <c:v>1.1149203683826499</c:v>
                </c:pt>
                <c:pt idx="368" formatCode="0.0">
                  <c:v>1.1444745387313302</c:v>
                </c:pt>
                <c:pt idx="369" formatCode="0.0">
                  <c:v>1.1417972275434369</c:v>
                </c:pt>
                <c:pt idx="370" formatCode="0.0">
                  <c:v>1.1368336503139844</c:v>
                </c:pt>
                <c:pt idx="371" formatCode="0.0">
                  <c:v>1.1212002165233377</c:v>
                </c:pt>
                <c:pt idx="372" formatCode="0.0">
                  <c:v>1.1077238278574519</c:v>
                </c:pt>
                <c:pt idx="373" formatCode="0.0">
                  <c:v>1.1113485100879592</c:v>
                </c:pt>
                <c:pt idx="374" formatCode="0.0">
                  <c:v>1.0956236052854573</c:v>
                </c:pt>
                <c:pt idx="375" formatCode="0.0">
                  <c:v>1.1063551804372729</c:v>
                </c:pt>
                <c:pt idx="376" formatCode="0.0">
                  <c:v>1.1068241137118695</c:v>
                </c:pt>
                <c:pt idx="377" formatCode="0.0">
                  <c:v>1.089708140865252</c:v>
                </c:pt>
                <c:pt idx="378" formatCode="0.0">
                  <c:v>1.0711616781952995</c:v>
                </c:pt>
                <c:pt idx="379" formatCode="0.0">
                  <c:v>1.0705147376201349</c:v>
                </c:pt>
                <c:pt idx="380" formatCode="0.0">
                  <c:v>1.061798769738266</c:v>
                </c:pt>
                <c:pt idx="381" formatCode="0.0">
                  <c:v>1.0449483632690386</c:v>
                </c:pt>
                <c:pt idx="382" formatCode="0.0">
                  <c:v>1.0324813647050843</c:v>
                </c:pt>
                <c:pt idx="383" formatCode="0.0">
                  <c:v>1.0291146645676852</c:v>
                </c:pt>
                <c:pt idx="384" formatCode="0.0">
                  <c:v>1.0407665536440227</c:v>
                </c:pt>
                <c:pt idx="385" formatCode="0.0">
                  <c:v>1.0361013479042893</c:v>
                </c:pt>
                <c:pt idx="386" formatCode="0.0">
                  <c:v>1.0267433575305811</c:v>
                </c:pt>
                <c:pt idx="387" formatCode="0.0">
                  <c:v>1.01470205747096</c:v>
                </c:pt>
                <c:pt idx="388" formatCode="0.0">
                  <c:v>1.0073754031599849</c:v>
                </c:pt>
                <c:pt idx="389" formatCode="0.0">
                  <c:v>1.0042762250734494</c:v>
                </c:pt>
                <c:pt idx="390" formatCode="0.0">
                  <c:v>1.0062378200860962</c:v>
                </c:pt>
                <c:pt idx="391" formatCode="0.0">
                  <c:v>1.0034732663820243</c:v>
                </c:pt>
                <c:pt idx="392" formatCode="0.0">
                  <c:v>1.0029871985963714</c:v>
                </c:pt>
                <c:pt idx="393" formatCode="0.0">
                  <c:v>0.98152506262335815</c:v>
                </c:pt>
                <c:pt idx="394" formatCode="0.0">
                  <c:v>0.96269294685149187</c:v>
                </c:pt>
                <c:pt idx="395" formatCode="0.0">
                  <c:v>0.98925224181282523</c:v>
                </c:pt>
                <c:pt idx="396" formatCode="0.0">
                  <c:v>0.96566359906204946</c:v>
                </c:pt>
                <c:pt idx="397" formatCode="0.0">
                  <c:v>0.96990795074532521</c:v>
                </c:pt>
                <c:pt idx="398" formatCode="0.0">
                  <c:v>0.97921310387721405</c:v>
                </c:pt>
                <c:pt idx="399" formatCode="0.0">
                  <c:v>0.96790646357760624</c:v>
                </c:pt>
                <c:pt idx="400" formatCode="0.0">
                  <c:v>0.9697633350298176</c:v>
                </c:pt>
                <c:pt idx="401" formatCode="0.0">
                  <c:v>0.98760044813587389</c:v>
                </c:pt>
                <c:pt idx="402" formatCode="0.0">
                  <c:v>0.99781967537488458</c:v>
                </c:pt>
                <c:pt idx="403" formatCode="0.0">
                  <c:v>1.0452896988106606</c:v>
                </c:pt>
                <c:pt idx="404" formatCode="0.0">
                  <c:v>1.0400313075013969</c:v>
                </c:pt>
                <c:pt idx="405" formatCode="0.0">
                  <c:v>1.0417004752925303</c:v>
                </c:pt>
              </c:numCache>
            </c:numRef>
          </c:val>
          <c:smooth val="0"/>
          <c:extLst>
            <c:ext xmlns:c16="http://schemas.microsoft.com/office/drawing/2014/chart" uri="{C3380CC4-5D6E-409C-BE32-E72D297353CC}">
              <c16:uniqueId val="{00000000-17BE-478D-BC94-191D3F8DFF72}"/>
            </c:ext>
          </c:extLst>
        </c:ser>
        <c:ser>
          <c:idx val="3"/>
          <c:order val="1"/>
          <c:tx>
            <c:strRef>
              <c:f>Original!$J$1</c:f>
              <c:strCache>
                <c:ptCount val="1"/>
                <c:pt idx="0">
                  <c:v>4 weeks to 1 year</c:v>
                </c:pt>
              </c:strCache>
            </c:strRef>
          </c:tx>
          <c:spPr>
            <a:ln w="19050" cap="rnd">
              <a:solidFill>
                <a:sysClr val="window" lastClr="FFFFFF">
                  <a:lumMod val="50000"/>
                </a:sysClr>
              </a:solidFill>
              <a:round/>
            </a:ln>
            <a:effectLst/>
          </c:spPr>
          <c:marker>
            <c:symbol val="none"/>
          </c:marker>
          <c:cat>
            <c:numRef>
              <c:f>Original!$A$2:$A$410</c:f>
              <c:numCache>
                <c:formatCode>mmm\-yy</c:formatCode>
                <c:ptCount val="409"/>
                <c:pt idx="0">
                  <c:v>33239</c:v>
                </c:pt>
                <c:pt idx="1">
                  <c:v>33270</c:v>
                </c:pt>
                <c:pt idx="2">
                  <c:v>33298</c:v>
                </c:pt>
                <c:pt idx="3">
                  <c:v>33329</c:v>
                </c:pt>
                <c:pt idx="4">
                  <c:v>33359</c:v>
                </c:pt>
                <c:pt idx="5">
                  <c:v>33390</c:v>
                </c:pt>
                <c:pt idx="6">
                  <c:v>33420</c:v>
                </c:pt>
                <c:pt idx="7">
                  <c:v>33451</c:v>
                </c:pt>
                <c:pt idx="8">
                  <c:v>33482</c:v>
                </c:pt>
                <c:pt idx="9">
                  <c:v>33512</c:v>
                </c:pt>
                <c:pt idx="10">
                  <c:v>33543</c:v>
                </c:pt>
                <c:pt idx="11">
                  <c:v>33573</c:v>
                </c:pt>
                <c:pt idx="12">
                  <c:v>33604</c:v>
                </c:pt>
                <c:pt idx="13">
                  <c:v>33635</c:v>
                </c:pt>
                <c:pt idx="14">
                  <c:v>33664</c:v>
                </c:pt>
                <c:pt idx="15">
                  <c:v>33695</c:v>
                </c:pt>
                <c:pt idx="16">
                  <c:v>33725</c:v>
                </c:pt>
                <c:pt idx="17">
                  <c:v>33756</c:v>
                </c:pt>
                <c:pt idx="18">
                  <c:v>33786</c:v>
                </c:pt>
                <c:pt idx="19">
                  <c:v>33817</c:v>
                </c:pt>
                <c:pt idx="20">
                  <c:v>33848</c:v>
                </c:pt>
                <c:pt idx="21">
                  <c:v>33878</c:v>
                </c:pt>
                <c:pt idx="22">
                  <c:v>33909</c:v>
                </c:pt>
                <c:pt idx="23">
                  <c:v>33939</c:v>
                </c:pt>
                <c:pt idx="24">
                  <c:v>33970</c:v>
                </c:pt>
                <c:pt idx="25">
                  <c:v>34001</c:v>
                </c:pt>
                <c:pt idx="26">
                  <c:v>34029</c:v>
                </c:pt>
                <c:pt idx="27">
                  <c:v>34060</c:v>
                </c:pt>
                <c:pt idx="28">
                  <c:v>34090</c:v>
                </c:pt>
                <c:pt idx="29">
                  <c:v>34121</c:v>
                </c:pt>
                <c:pt idx="30">
                  <c:v>34151</c:v>
                </c:pt>
                <c:pt idx="31">
                  <c:v>34182</c:v>
                </c:pt>
                <c:pt idx="32">
                  <c:v>34213</c:v>
                </c:pt>
                <c:pt idx="33">
                  <c:v>34243</c:v>
                </c:pt>
                <c:pt idx="34">
                  <c:v>34274</c:v>
                </c:pt>
                <c:pt idx="35">
                  <c:v>34304</c:v>
                </c:pt>
                <c:pt idx="36">
                  <c:v>34335</c:v>
                </c:pt>
                <c:pt idx="37">
                  <c:v>34366</c:v>
                </c:pt>
                <c:pt idx="38">
                  <c:v>34394</c:v>
                </c:pt>
                <c:pt idx="39">
                  <c:v>34425</c:v>
                </c:pt>
                <c:pt idx="40">
                  <c:v>34455</c:v>
                </c:pt>
                <c:pt idx="41">
                  <c:v>34486</c:v>
                </c:pt>
                <c:pt idx="42">
                  <c:v>34516</c:v>
                </c:pt>
                <c:pt idx="43">
                  <c:v>34547</c:v>
                </c:pt>
                <c:pt idx="44">
                  <c:v>34578</c:v>
                </c:pt>
                <c:pt idx="45">
                  <c:v>34608</c:v>
                </c:pt>
                <c:pt idx="46">
                  <c:v>34639</c:v>
                </c:pt>
                <c:pt idx="47">
                  <c:v>34669</c:v>
                </c:pt>
                <c:pt idx="48">
                  <c:v>34700</c:v>
                </c:pt>
                <c:pt idx="49">
                  <c:v>34731</c:v>
                </c:pt>
                <c:pt idx="50">
                  <c:v>34759</c:v>
                </c:pt>
                <c:pt idx="51">
                  <c:v>34790</c:v>
                </c:pt>
                <c:pt idx="52">
                  <c:v>34820</c:v>
                </c:pt>
                <c:pt idx="53">
                  <c:v>34851</c:v>
                </c:pt>
                <c:pt idx="54">
                  <c:v>34881</c:v>
                </c:pt>
                <c:pt idx="55">
                  <c:v>34912</c:v>
                </c:pt>
                <c:pt idx="56">
                  <c:v>34943</c:v>
                </c:pt>
                <c:pt idx="57">
                  <c:v>34973</c:v>
                </c:pt>
                <c:pt idx="58">
                  <c:v>35004</c:v>
                </c:pt>
                <c:pt idx="59">
                  <c:v>35034</c:v>
                </c:pt>
                <c:pt idx="60">
                  <c:v>35065</c:v>
                </c:pt>
                <c:pt idx="61">
                  <c:v>35096</c:v>
                </c:pt>
                <c:pt idx="62">
                  <c:v>35125</c:v>
                </c:pt>
                <c:pt idx="63">
                  <c:v>35156</c:v>
                </c:pt>
                <c:pt idx="64">
                  <c:v>35186</c:v>
                </c:pt>
                <c:pt idx="65">
                  <c:v>35217</c:v>
                </c:pt>
                <c:pt idx="66">
                  <c:v>35247</c:v>
                </c:pt>
                <c:pt idx="67">
                  <c:v>35278</c:v>
                </c:pt>
                <c:pt idx="68">
                  <c:v>35309</c:v>
                </c:pt>
                <c:pt idx="69">
                  <c:v>35339</c:v>
                </c:pt>
                <c:pt idx="70">
                  <c:v>35370</c:v>
                </c:pt>
                <c:pt idx="71">
                  <c:v>35400</c:v>
                </c:pt>
                <c:pt idx="72">
                  <c:v>35431</c:v>
                </c:pt>
                <c:pt idx="73">
                  <c:v>35462</c:v>
                </c:pt>
                <c:pt idx="74">
                  <c:v>35490</c:v>
                </c:pt>
                <c:pt idx="75">
                  <c:v>35521</c:v>
                </c:pt>
                <c:pt idx="76">
                  <c:v>35551</c:v>
                </c:pt>
                <c:pt idx="77">
                  <c:v>35582</c:v>
                </c:pt>
                <c:pt idx="78">
                  <c:v>35612</c:v>
                </c:pt>
                <c:pt idx="79">
                  <c:v>35643</c:v>
                </c:pt>
                <c:pt idx="80">
                  <c:v>35674</c:v>
                </c:pt>
                <c:pt idx="81">
                  <c:v>35704</c:v>
                </c:pt>
                <c:pt idx="82">
                  <c:v>35735</c:v>
                </c:pt>
                <c:pt idx="83">
                  <c:v>35765</c:v>
                </c:pt>
                <c:pt idx="84">
                  <c:v>35796</c:v>
                </c:pt>
                <c:pt idx="85">
                  <c:v>35827</c:v>
                </c:pt>
                <c:pt idx="86">
                  <c:v>35855</c:v>
                </c:pt>
                <c:pt idx="87">
                  <c:v>35886</c:v>
                </c:pt>
                <c:pt idx="88">
                  <c:v>35916</c:v>
                </c:pt>
                <c:pt idx="89">
                  <c:v>35947</c:v>
                </c:pt>
                <c:pt idx="90">
                  <c:v>35977</c:v>
                </c:pt>
                <c:pt idx="91">
                  <c:v>36008</c:v>
                </c:pt>
                <c:pt idx="92">
                  <c:v>36039</c:v>
                </c:pt>
                <c:pt idx="93">
                  <c:v>36069</c:v>
                </c:pt>
                <c:pt idx="94">
                  <c:v>36100</c:v>
                </c:pt>
                <c:pt idx="95">
                  <c:v>36130</c:v>
                </c:pt>
                <c:pt idx="96">
                  <c:v>36161</c:v>
                </c:pt>
                <c:pt idx="97">
                  <c:v>36192</c:v>
                </c:pt>
                <c:pt idx="98">
                  <c:v>36220</c:v>
                </c:pt>
                <c:pt idx="99">
                  <c:v>36251</c:v>
                </c:pt>
                <c:pt idx="100">
                  <c:v>36281</c:v>
                </c:pt>
                <c:pt idx="101">
                  <c:v>36312</c:v>
                </c:pt>
                <c:pt idx="102">
                  <c:v>36342</c:v>
                </c:pt>
                <c:pt idx="103">
                  <c:v>36373</c:v>
                </c:pt>
                <c:pt idx="104">
                  <c:v>36404</c:v>
                </c:pt>
                <c:pt idx="105">
                  <c:v>36434</c:v>
                </c:pt>
                <c:pt idx="106">
                  <c:v>36465</c:v>
                </c:pt>
                <c:pt idx="107">
                  <c:v>36495</c:v>
                </c:pt>
                <c:pt idx="108">
                  <c:v>36526</c:v>
                </c:pt>
                <c:pt idx="109">
                  <c:v>36557</c:v>
                </c:pt>
                <c:pt idx="110">
                  <c:v>36586</c:v>
                </c:pt>
                <c:pt idx="111">
                  <c:v>36617</c:v>
                </c:pt>
                <c:pt idx="112">
                  <c:v>36647</c:v>
                </c:pt>
                <c:pt idx="113">
                  <c:v>36678</c:v>
                </c:pt>
                <c:pt idx="114">
                  <c:v>36708</c:v>
                </c:pt>
                <c:pt idx="115">
                  <c:v>36739</c:v>
                </c:pt>
                <c:pt idx="116">
                  <c:v>36770</c:v>
                </c:pt>
                <c:pt idx="117">
                  <c:v>36800</c:v>
                </c:pt>
                <c:pt idx="118">
                  <c:v>36831</c:v>
                </c:pt>
                <c:pt idx="119">
                  <c:v>36861</c:v>
                </c:pt>
                <c:pt idx="120">
                  <c:v>36892</c:v>
                </c:pt>
                <c:pt idx="121">
                  <c:v>36923</c:v>
                </c:pt>
                <c:pt idx="122">
                  <c:v>36951</c:v>
                </c:pt>
                <c:pt idx="123">
                  <c:v>36982</c:v>
                </c:pt>
                <c:pt idx="124">
                  <c:v>37012</c:v>
                </c:pt>
                <c:pt idx="125">
                  <c:v>37043</c:v>
                </c:pt>
                <c:pt idx="126">
                  <c:v>37073</c:v>
                </c:pt>
                <c:pt idx="127">
                  <c:v>37104</c:v>
                </c:pt>
                <c:pt idx="128">
                  <c:v>37135</c:v>
                </c:pt>
                <c:pt idx="129">
                  <c:v>37165</c:v>
                </c:pt>
                <c:pt idx="130">
                  <c:v>37196</c:v>
                </c:pt>
                <c:pt idx="131">
                  <c:v>37226</c:v>
                </c:pt>
                <c:pt idx="132">
                  <c:v>37257</c:v>
                </c:pt>
                <c:pt idx="133">
                  <c:v>37288</c:v>
                </c:pt>
                <c:pt idx="134">
                  <c:v>37316</c:v>
                </c:pt>
                <c:pt idx="135">
                  <c:v>37347</c:v>
                </c:pt>
                <c:pt idx="136">
                  <c:v>37377</c:v>
                </c:pt>
                <c:pt idx="137">
                  <c:v>37408</c:v>
                </c:pt>
                <c:pt idx="138">
                  <c:v>37438</c:v>
                </c:pt>
                <c:pt idx="139">
                  <c:v>37469</c:v>
                </c:pt>
                <c:pt idx="140">
                  <c:v>37500</c:v>
                </c:pt>
                <c:pt idx="141">
                  <c:v>37530</c:v>
                </c:pt>
                <c:pt idx="142">
                  <c:v>37561</c:v>
                </c:pt>
                <c:pt idx="143">
                  <c:v>37591</c:v>
                </c:pt>
                <c:pt idx="144">
                  <c:v>37622</c:v>
                </c:pt>
                <c:pt idx="145">
                  <c:v>37653</c:v>
                </c:pt>
                <c:pt idx="146">
                  <c:v>37681</c:v>
                </c:pt>
                <c:pt idx="147">
                  <c:v>37712</c:v>
                </c:pt>
                <c:pt idx="148">
                  <c:v>37742</c:v>
                </c:pt>
                <c:pt idx="149">
                  <c:v>37773</c:v>
                </c:pt>
                <c:pt idx="150">
                  <c:v>37803</c:v>
                </c:pt>
                <c:pt idx="151">
                  <c:v>37834</c:v>
                </c:pt>
                <c:pt idx="152">
                  <c:v>37865</c:v>
                </c:pt>
                <c:pt idx="153">
                  <c:v>37895</c:v>
                </c:pt>
                <c:pt idx="154">
                  <c:v>37926</c:v>
                </c:pt>
                <c:pt idx="155">
                  <c:v>37956</c:v>
                </c:pt>
                <c:pt idx="156">
                  <c:v>37987</c:v>
                </c:pt>
                <c:pt idx="157">
                  <c:v>38018</c:v>
                </c:pt>
                <c:pt idx="158">
                  <c:v>38047</c:v>
                </c:pt>
                <c:pt idx="159">
                  <c:v>38078</c:v>
                </c:pt>
                <c:pt idx="160">
                  <c:v>38108</c:v>
                </c:pt>
                <c:pt idx="161">
                  <c:v>38139</c:v>
                </c:pt>
                <c:pt idx="162">
                  <c:v>38169</c:v>
                </c:pt>
                <c:pt idx="163">
                  <c:v>38200</c:v>
                </c:pt>
                <c:pt idx="164">
                  <c:v>38231</c:v>
                </c:pt>
                <c:pt idx="165">
                  <c:v>38261</c:v>
                </c:pt>
                <c:pt idx="166">
                  <c:v>38292</c:v>
                </c:pt>
                <c:pt idx="167">
                  <c:v>38322</c:v>
                </c:pt>
                <c:pt idx="168">
                  <c:v>38353</c:v>
                </c:pt>
                <c:pt idx="169">
                  <c:v>38384</c:v>
                </c:pt>
                <c:pt idx="170">
                  <c:v>38412</c:v>
                </c:pt>
                <c:pt idx="171">
                  <c:v>38443</c:v>
                </c:pt>
                <c:pt idx="172">
                  <c:v>38473</c:v>
                </c:pt>
                <c:pt idx="173">
                  <c:v>38504</c:v>
                </c:pt>
                <c:pt idx="174">
                  <c:v>38534</c:v>
                </c:pt>
                <c:pt idx="175">
                  <c:v>38565</c:v>
                </c:pt>
                <c:pt idx="176">
                  <c:v>38596</c:v>
                </c:pt>
                <c:pt idx="177">
                  <c:v>38626</c:v>
                </c:pt>
                <c:pt idx="178">
                  <c:v>38657</c:v>
                </c:pt>
                <c:pt idx="179">
                  <c:v>38687</c:v>
                </c:pt>
                <c:pt idx="180">
                  <c:v>38718</c:v>
                </c:pt>
                <c:pt idx="181">
                  <c:v>38749</c:v>
                </c:pt>
                <c:pt idx="182">
                  <c:v>38777</c:v>
                </c:pt>
                <c:pt idx="183">
                  <c:v>38808</c:v>
                </c:pt>
                <c:pt idx="184">
                  <c:v>38838</c:v>
                </c:pt>
                <c:pt idx="185">
                  <c:v>38869</c:v>
                </c:pt>
                <c:pt idx="186">
                  <c:v>38899</c:v>
                </c:pt>
                <c:pt idx="187">
                  <c:v>38930</c:v>
                </c:pt>
                <c:pt idx="188">
                  <c:v>38961</c:v>
                </c:pt>
                <c:pt idx="189">
                  <c:v>38991</c:v>
                </c:pt>
                <c:pt idx="190">
                  <c:v>39022</c:v>
                </c:pt>
                <c:pt idx="191">
                  <c:v>39052</c:v>
                </c:pt>
                <c:pt idx="192">
                  <c:v>39083</c:v>
                </c:pt>
                <c:pt idx="193">
                  <c:v>39114</c:v>
                </c:pt>
                <c:pt idx="194">
                  <c:v>39142</c:v>
                </c:pt>
                <c:pt idx="195">
                  <c:v>39173</c:v>
                </c:pt>
                <c:pt idx="196">
                  <c:v>39203</c:v>
                </c:pt>
                <c:pt idx="197">
                  <c:v>39234</c:v>
                </c:pt>
                <c:pt idx="198">
                  <c:v>39264</c:v>
                </c:pt>
                <c:pt idx="199">
                  <c:v>39295</c:v>
                </c:pt>
                <c:pt idx="200">
                  <c:v>39326</c:v>
                </c:pt>
                <c:pt idx="201">
                  <c:v>39356</c:v>
                </c:pt>
                <c:pt idx="202">
                  <c:v>39387</c:v>
                </c:pt>
                <c:pt idx="203">
                  <c:v>39417</c:v>
                </c:pt>
                <c:pt idx="204">
                  <c:v>39448</c:v>
                </c:pt>
                <c:pt idx="205">
                  <c:v>39479</c:v>
                </c:pt>
                <c:pt idx="206">
                  <c:v>39508</c:v>
                </c:pt>
                <c:pt idx="207">
                  <c:v>39539</c:v>
                </c:pt>
                <c:pt idx="208">
                  <c:v>39569</c:v>
                </c:pt>
                <c:pt idx="209">
                  <c:v>39600</c:v>
                </c:pt>
                <c:pt idx="210">
                  <c:v>39630</c:v>
                </c:pt>
                <c:pt idx="211">
                  <c:v>39661</c:v>
                </c:pt>
                <c:pt idx="212">
                  <c:v>39692</c:v>
                </c:pt>
                <c:pt idx="213">
                  <c:v>39722</c:v>
                </c:pt>
                <c:pt idx="214">
                  <c:v>39753</c:v>
                </c:pt>
                <c:pt idx="215">
                  <c:v>39783</c:v>
                </c:pt>
                <c:pt idx="216">
                  <c:v>39814</c:v>
                </c:pt>
                <c:pt idx="217">
                  <c:v>39845</c:v>
                </c:pt>
                <c:pt idx="218">
                  <c:v>39873</c:v>
                </c:pt>
                <c:pt idx="219">
                  <c:v>39904</c:v>
                </c:pt>
                <c:pt idx="220">
                  <c:v>39934</c:v>
                </c:pt>
                <c:pt idx="221">
                  <c:v>39965</c:v>
                </c:pt>
                <c:pt idx="222">
                  <c:v>39995</c:v>
                </c:pt>
                <c:pt idx="223">
                  <c:v>40026</c:v>
                </c:pt>
                <c:pt idx="224">
                  <c:v>40057</c:v>
                </c:pt>
                <c:pt idx="225">
                  <c:v>40087</c:v>
                </c:pt>
                <c:pt idx="226">
                  <c:v>40118</c:v>
                </c:pt>
                <c:pt idx="227">
                  <c:v>40148</c:v>
                </c:pt>
                <c:pt idx="228">
                  <c:v>40179</c:v>
                </c:pt>
                <c:pt idx="229">
                  <c:v>40210</c:v>
                </c:pt>
                <c:pt idx="230">
                  <c:v>40238</c:v>
                </c:pt>
                <c:pt idx="231">
                  <c:v>40269</c:v>
                </c:pt>
                <c:pt idx="232">
                  <c:v>40299</c:v>
                </c:pt>
                <c:pt idx="233">
                  <c:v>40330</c:v>
                </c:pt>
                <c:pt idx="234">
                  <c:v>40360</c:v>
                </c:pt>
                <c:pt idx="235">
                  <c:v>40391</c:v>
                </c:pt>
                <c:pt idx="236">
                  <c:v>40422</c:v>
                </c:pt>
                <c:pt idx="237">
                  <c:v>40452</c:v>
                </c:pt>
                <c:pt idx="238">
                  <c:v>40483</c:v>
                </c:pt>
                <c:pt idx="239">
                  <c:v>40513</c:v>
                </c:pt>
                <c:pt idx="240">
                  <c:v>40544</c:v>
                </c:pt>
                <c:pt idx="241">
                  <c:v>40575</c:v>
                </c:pt>
                <c:pt idx="242">
                  <c:v>40603</c:v>
                </c:pt>
                <c:pt idx="243">
                  <c:v>40634</c:v>
                </c:pt>
                <c:pt idx="244">
                  <c:v>40664</c:v>
                </c:pt>
                <c:pt idx="245">
                  <c:v>40695</c:v>
                </c:pt>
                <c:pt idx="246">
                  <c:v>40725</c:v>
                </c:pt>
                <c:pt idx="247">
                  <c:v>40756</c:v>
                </c:pt>
                <c:pt idx="248">
                  <c:v>40787</c:v>
                </c:pt>
                <c:pt idx="249">
                  <c:v>40817</c:v>
                </c:pt>
                <c:pt idx="250">
                  <c:v>40848</c:v>
                </c:pt>
                <c:pt idx="251">
                  <c:v>40878</c:v>
                </c:pt>
                <c:pt idx="252">
                  <c:v>40909</c:v>
                </c:pt>
                <c:pt idx="253">
                  <c:v>40940</c:v>
                </c:pt>
                <c:pt idx="254">
                  <c:v>40969</c:v>
                </c:pt>
                <c:pt idx="255">
                  <c:v>41000</c:v>
                </c:pt>
                <c:pt idx="256">
                  <c:v>41030</c:v>
                </c:pt>
                <c:pt idx="257">
                  <c:v>41061</c:v>
                </c:pt>
                <c:pt idx="258">
                  <c:v>41091</c:v>
                </c:pt>
                <c:pt idx="259">
                  <c:v>41122</c:v>
                </c:pt>
                <c:pt idx="260">
                  <c:v>41153</c:v>
                </c:pt>
                <c:pt idx="261">
                  <c:v>41183</c:v>
                </c:pt>
                <c:pt idx="262">
                  <c:v>41214</c:v>
                </c:pt>
                <c:pt idx="263">
                  <c:v>41244</c:v>
                </c:pt>
                <c:pt idx="264">
                  <c:v>41275</c:v>
                </c:pt>
                <c:pt idx="265">
                  <c:v>41306</c:v>
                </c:pt>
                <c:pt idx="266">
                  <c:v>41334</c:v>
                </c:pt>
                <c:pt idx="267">
                  <c:v>41365</c:v>
                </c:pt>
                <c:pt idx="268">
                  <c:v>41395</c:v>
                </c:pt>
                <c:pt idx="269">
                  <c:v>41426</c:v>
                </c:pt>
                <c:pt idx="270">
                  <c:v>41456</c:v>
                </c:pt>
                <c:pt idx="271">
                  <c:v>41487</c:v>
                </c:pt>
                <c:pt idx="272">
                  <c:v>41518</c:v>
                </c:pt>
                <c:pt idx="273">
                  <c:v>41548</c:v>
                </c:pt>
                <c:pt idx="274">
                  <c:v>41579</c:v>
                </c:pt>
                <c:pt idx="275">
                  <c:v>41609</c:v>
                </c:pt>
                <c:pt idx="276">
                  <c:v>41640</c:v>
                </c:pt>
                <c:pt idx="277">
                  <c:v>41671</c:v>
                </c:pt>
                <c:pt idx="278">
                  <c:v>41699</c:v>
                </c:pt>
                <c:pt idx="279">
                  <c:v>41730</c:v>
                </c:pt>
                <c:pt idx="280">
                  <c:v>41760</c:v>
                </c:pt>
                <c:pt idx="281">
                  <c:v>41791</c:v>
                </c:pt>
                <c:pt idx="282">
                  <c:v>41821</c:v>
                </c:pt>
                <c:pt idx="283">
                  <c:v>41852</c:v>
                </c:pt>
                <c:pt idx="284">
                  <c:v>41883</c:v>
                </c:pt>
                <c:pt idx="285">
                  <c:v>41913</c:v>
                </c:pt>
                <c:pt idx="286">
                  <c:v>41944</c:v>
                </c:pt>
                <c:pt idx="287">
                  <c:v>41974</c:v>
                </c:pt>
                <c:pt idx="288">
                  <c:v>42005</c:v>
                </c:pt>
                <c:pt idx="289">
                  <c:v>42036</c:v>
                </c:pt>
                <c:pt idx="290">
                  <c:v>42064</c:v>
                </c:pt>
                <c:pt idx="291">
                  <c:v>42095</c:v>
                </c:pt>
                <c:pt idx="292">
                  <c:v>42125</c:v>
                </c:pt>
                <c:pt idx="293">
                  <c:v>42156</c:v>
                </c:pt>
                <c:pt idx="294">
                  <c:v>42186</c:v>
                </c:pt>
                <c:pt idx="295">
                  <c:v>42217</c:v>
                </c:pt>
                <c:pt idx="296">
                  <c:v>42248</c:v>
                </c:pt>
                <c:pt idx="297">
                  <c:v>42278</c:v>
                </c:pt>
                <c:pt idx="298">
                  <c:v>42309</c:v>
                </c:pt>
                <c:pt idx="299">
                  <c:v>42339</c:v>
                </c:pt>
                <c:pt idx="300">
                  <c:v>42370</c:v>
                </c:pt>
                <c:pt idx="301">
                  <c:v>42401</c:v>
                </c:pt>
                <c:pt idx="302">
                  <c:v>42430</c:v>
                </c:pt>
                <c:pt idx="303">
                  <c:v>42461</c:v>
                </c:pt>
                <c:pt idx="304">
                  <c:v>42491</c:v>
                </c:pt>
                <c:pt idx="305">
                  <c:v>42522</c:v>
                </c:pt>
                <c:pt idx="306">
                  <c:v>42552</c:v>
                </c:pt>
                <c:pt idx="307">
                  <c:v>42583</c:v>
                </c:pt>
                <c:pt idx="308">
                  <c:v>42614</c:v>
                </c:pt>
                <c:pt idx="309">
                  <c:v>42644</c:v>
                </c:pt>
                <c:pt idx="310">
                  <c:v>42675</c:v>
                </c:pt>
                <c:pt idx="311">
                  <c:v>42705</c:v>
                </c:pt>
                <c:pt idx="312">
                  <c:v>42736</c:v>
                </c:pt>
                <c:pt idx="313">
                  <c:v>42767</c:v>
                </c:pt>
                <c:pt idx="314">
                  <c:v>42795</c:v>
                </c:pt>
                <c:pt idx="315">
                  <c:v>42826</c:v>
                </c:pt>
                <c:pt idx="316">
                  <c:v>42856</c:v>
                </c:pt>
                <c:pt idx="317">
                  <c:v>42887</c:v>
                </c:pt>
                <c:pt idx="318">
                  <c:v>42917</c:v>
                </c:pt>
                <c:pt idx="319">
                  <c:v>42948</c:v>
                </c:pt>
                <c:pt idx="320">
                  <c:v>42979</c:v>
                </c:pt>
                <c:pt idx="321">
                  <c:v>43009</c:v>
                </c:pt>
                <c:pt idx="322">
                  <c:v>43040</c:v>
                </c:pt>
                <c:pt idx="323">
                  <c:v>43070</c:v>
                </c:pt>
                <c:pt idx="324">
                  <c:v>43101</c:v>
                </c:pt>
                <c:pt idx="325">
                  <c:v>43132</c:v>
                </c:pt>
                <c:pt idx="326">
                  <c:v>43160</c:v>
                </c:pt>
                <c:pt idx="327">
                  <c:v>43191</c:v>
                </c:pt>
                <c:pt idx="328">
                  <c:v>43221</c:v>
                </c:pt>
                <c:pt idx="329">
                  <c:v>43252</c:v>
                </c:pt>
                <c:pt idx="330">
                  <c:v>43282</c:v>
                </c:pt>
                <c:pt idx="331">
                  <c:v>43313</c:v>
                </c:pt>
                <c:pt idx="332">
                  <c:v>43344</c:v>
                </c:pt>
                <c:pt idx="333">
                  <c:v>43374</c:v>
                </c:pt>
                <c:pt idx="334">
                  <c:v>43405</c:v>
                </c:pt>
                <c:pt idx="335">
                  <c:v>43435</c:v>
                </c:pt>
                <c:pt idx="336">
                  <c:v>43466</c:v>
                </c:pt>
                <c:pt idx="337">
                  <c:v>43497</c:v>
                </c:pt>
                <c:pt idx="338">
                  <c:v>43525</c:v>
                </c:pt>
                <c:pt idx="339">
                  <c:v>43556</c:v>
                </c:pt>
                <c:pt idx="340">
                  <c:v>43586</c:v>
                </c:pt>
                <c:pt idx="341">
                  <c:v>43617</c:v>
                </c:pt>
                <c:pt idx="342">
                  <c:v>43647</c:v>
                </c:pt>
                <c:pt idx="343">
                  <c:v>43678</c:v>
                </c:pt>
                <c:pt idx="344">
                  <c:v>43709</c:v>
                </c:pt>
                <c:pt idx="345">
                  <c:v>43739</c:v>
                </c:pt>
                <c:pt idx="346">
                  <c:v>43770</c:v>
                </c:pt>
                <c:pt idx="347">
                  <c:v>43800</c:v>
                </c:pt>
                <c:pt idx="348">
                  <c:v>43831</c:v>
                </c:pt>
                <c:pt idx="349">
                  <c:v>43862</c:v>
                </c:pt>
                <c:pt idx="350">
                  <c:v>43891</c:v>
                </c:pt>
                <c:pt idx="351">
                  <c:v>43922</c:v>
                </c:pt>
                <c:pt idx="352">
                  <c:v>43952</c:v>
                </c:pt>
                <c:pt idx="353">
                  <c:v>43983</c:v>
                </c:pt>
                <c:pt idx="354">
                  <c:v>44013</c:v>
                </c:pt>
                <c:pt idx="355">
                  <c:v>44044</c:v>
                </c:pt>
                <c:pt idx="356">
                  <c:v>44075</c:v>
                </c:pt>
                <c:pt idx="357">
                  <c:v>44105</c:v>
                </c:pt>
                <c:pt idx="358">
                  <c:v>44136</c:v>
                </c:pt>
                <c:pt idx="359">
                  <c:v>44166</c:v>
                </c:pt>
                <c:pt idx="360">
                  <c:v>44197</c:v>
                </c:pt>
                <c:pt idx="361">
                  <c:v>44228</c:v>
                </c:pt>
                <c:pt idx="362">
                  <c:v>44256</c:v>
                </c:pt>
                <c:pt idx="363">
                  <c:v>44287</c:v>
                </c:pt>
                <c:pt idx="364">
                  <c:v>44317</c:v>
                </c:pt>
                <c:pt idx="365">
                  <c:v>44348</c:v>
                </c:pt>
                <c:pt idx="366">
                  <c:v>44378</c:v>
                </c:pt>
                <c:pt idx="367">
                  <c:v>44409</c:v>
                </c:pt>
                <c:pt idx="368">
                  <c:v>44440</c:v>
                </c:pt>
                <c:pt idx="369">
                  <c:v>44470</c:v>
                </c:pt>
                <c:pt idx="370">
                  <c:v>44501</c:v>
                </c:pt>
                <c:pt idx="371">
                  <c:v>44531</c:v>
                </c:pt>
                <c:pt idx="372">
                  <c:v>44562</c:v>
                </c:pt>
                <c:pt idx="373">
                  <c:v>44593</c:v>
                </c:pt>
                <c:pt idx="374">
                  <c:v>44621</c:v>
                </c:pt>
                <c:pt idx="375">
                  <c:v>44652</c:v>
                </c:pt>
                <c:pt idx="376">
                  <c:v>44682</c:v>
                </c:pt>
                <c:pt idx="377">
                  <c:v>44713</c:v>
                </c:pt>
                <c:pt idx="378">
                  <c:v>44743</c:v>
                </c:pt>
                <c:pt idx="379">
                  <c:v>44774</c:v>
                </c:pt>
                <c:pt idx="380">
                  <c:v>44805</c:v>
                </c:pt>
                <c:pt idx="381">
                  <c:v>44835</c:v>
                </c:pt>
                <c:pt idx="382">
                  <c:v>44866</c:v>
                </c:pt>
                <c:pt idx="383">
                  <c:v>44896</c:v>
                </c:pt>
                <c:pt idx="384">
                  <c:v>44927</c:v>
                </c:pt>
                <c:pt idx="385">
                  <c:v>44958</c:v>
                </c:pt>
                <c:pt idx="386">
                  <c:v>44986</c:v>
                </c:pt>
                <c:pt idx="387">
                  <c:v>45017</c:v>
                </c:pt>
                <c:pt idx="388">
                  <c:v>45047</c:v>
                </c:pt>
                <c:pt idx="389">
                  <c:v>45078</c:v>
                </c:pt>
                <c:pt idx="390">
                  <c:v>45108</c:v>
                </c:pt>
                <c:pt idx="391">
                  <c:v>45139</c:v>
                </c:pt>
                <c:pt idx="392">
                  <c:v>45170</c:v>
                </c:pt>
                <c:pt idx="393">
                  <c:v>45200</c:v>
                </c:pt>
                <c:pt idx="394">
                  <c:v>45231</c:v>
                </c:pt>
                <c:pt idx="395">
                  <c:v>45261</c:v>
                </c:pt>
                <c:pt idx="396">
                  <c:v>45292</c:v>
                </c:pt>
                <c:pt idx="397">
                  <c:v>45323</c:v>
                </c:pt>
                <c:pt idx="398">
                  <c:v>45352</c:v>
                </c:pt>
                <c:pt idx="399">
                  <c:v>45383</c:v>
                </c:pt>
                <c:pt idx="400">
                  <c:v>45413</c:v>
                </c:pt>
                <c:pt idx="401">
                  <c:v>45444</c:v>
                </c:pt>
                <c:pt idx="402">
                  <c:v>45474</c:v>
                </c:pt>
                <c:pt idx="403">
                  <c:v>45505</c:v>
                </c:pt>
                <c:pt idx="404">
                  <c:v>45536</c:v>
                </c:pt>
                <c:pt idx="405">
                  <c:v>45566</c:v>
                </c:pt>
              </c:numCache>
            </c:numRef>
          </c:cat>
          <c:val>
            <c:numRef>
              <c:f>Original!$J$2:$J$410</c:f>
              <c:numCache>
                <c:formatCode>General</c:formatCode>
                <c:ptCount val="409"/>
                <c:pt idx="17" formatCode="0.0">
                  <c:v>6.4223409748951887</c:v>
                </c:pt>
                <c:pt idx="18" formatCode="0.0">
                  <c:v>6.4249483465977564</c:v>
                </c:pt>
                <c:pt idx="19" formatCode="0.0">
                  <c:v>6.4160620883938178</c:v>
                </c:pt>
                <c:pt idx="20" formatCode="0.0">
                  <c:v>6.340516875579298</c:v>
                </c:pt>
                <c:pt idx="21" formatCode="0.0">
                  <c:v>6.3137452333861548</c:v>
                </c:pt>
                <c:pt idx="22" formatCode="0.0">
                  <c:v>6.2882216004252429</c:v>
                </c:pt>
                <c:pt idx="23" formatCode="0.0">
                  <c:v>6.2284804306954742</c:v>
                </c:pt>
                <c:pt idx="24" formatCode="0.0">
                  <c:v>6.1793964127768666</c:v>
                </c:pt>
                <c:pt idx="25" formatCode="0.0">
                  <c:v>6.1217383560179153</c:v>
                </c:pt>
                <c:pt idx="26" formatCode="0.0">
                  <c:v>6.0464669912935696</c:v>
                </c:pt>
                <c:pt idx="27" formatCode="0.0">
                  <c:v>5.998570546715345</c:v>
                </c:pt>
                <c:pt idx="28" formatCode="0.0">
                  <c:v>5.9470856918135313</c:v>
                </c:pt>
                <c:pt idx="29" formatCode="0.0">
                  <c:v>5.8836133599660174</c:v>
                </c:pt>
                <c:pt idx="30" formatCode="0.0">
                  <c:v>5.8297078660274826</c:v>
                </c:pt>
                <c:pt idx="31" formatCode="0.0">
                  <c:v>5.8241567570905106</c:v>
                </c:pt>
                <c:pt idx="32" formatCode="0.0">
                  <c:v>5.8523479226963291</c:v>
                </c:pt>
                <c:pt idx="33" formatCode="0.0">
                  <c:v>5.8613662764518919</c:v>
                </c:pt>
                <c:pt idx="34" formatCode="0.0">
                  <c:v>5.8622002885299382</c:v>
                </c:pt>
                <c:pt idx="35" formatCode="0.0">
                  <c:v>5.88608938273702</c:v>
                </c:pt>
                <c:pt idx="36" formatCode="0.0">
                  <c:v>5.9024930710227217</c:v>
                </c:pt>
                <c:pt idx="37" formatCode="0.0">
                  <c:v>5.9099269023677294</c:v>
                </c:pt>
                <c:pt idx="38" formatCode="0.0">
                  <c:v>5.938893652277609</c:v>
                </c:pt>
                <c:pt idx="39" formatCode="0.0">
                  <c:v>5.9464954187821855</c:v>
                </c:pt>
                <c:pt idx="40" formatCode="0.0">
                  <c:v>5.8778773703833584</c:v>
                </c:pt>
                <c:pt idx="41" formatCode="0.0">
                  <c:v>5.7818912518752272</c:v>
                </c:pt>
                <c:pt idx="42" formatCode="0.0">
                  <c:v>5.7070903737729877</c:v>
                </c:pt>
                <c:pt idx="43" formatCode="0.0">
                  <c:v>5.6173807119114683</c:v>
                </c:pt>
                <c:pt idx="44" formatCode="0.0">
                  <c:v>5.5487736906289085</c:v>
                </c:pt>
                <c:pt idx="45" formatCode="0.0">
                  <c:v>5.4018957151951321</c:v>
                </c:pt>
                <c:pt idx="46" formatCode="0.0">
                  <c:v>5.2984506528255633</c:v>
                </c:pt>
                <c:pt idx="47" formatCode="0.0">
                  <c:v>5.19913588249248</c:v>
                </c:pt>
                <c:pt idx="48" formatCode="0.0">
                  <c:v>5.0935633561272082</c:v>
                </c:pt>
                <c:pt idx="49" formatCode="0.0">
                  <c:v>4.9833090123672497</c:v>
                </c:pt>
                <c:pt idx="50" formatCode="0.0">
                  <c:v>4.8835577220178967</c:v>
                </c:pt>
                <c:pt idx="51" formatCode="0.0">
                  <c:v>4.7622672206810073</c:v>
                </c:pt>
                <c:pt idx="52" formatCode="0.0">
                  <c:v>4.6900216616032706</c:v>
                </c:pt>
                <c:pt idx="53" formatCode="0.0">
                  <c:v>4.6433739532676848</c:v>
                </c:pt>
                <c:pt idx="54" formatCode="0.0">
                  <c:v>4.6081066249333995</c:v>
                </c:pt>
                <c:pt idx="55" formatCode="0.0">
                  <c:v>4.5696294974225564</c:v>
                </c:pt>
                <c:pt idx="56" formatCode="0.0">
                  <c:v>4.546264961053474</c:v>
                </c:pt>
                <c:pt idx="57" formatCode="0.0">
                  <c:v>4.5976487623892988</c:v>
                </c:pt>
                <c:pt idx="58" formatCode="0.0">
                  <c:v>4.6056688792806915</c:v>
                </c:pt>
                <c:pt idx="59" formatCode="0.0">
                  <c:v>4.5537974941769699</c:v>
                </c:pt>
                <c:pt idx="60" formatCode="0.0">
                  <c:v>4.5270317305323502</c:v>
                </c:pt>
                <c:pt idx="61" formatCode="0.0">
                  <c:v>4.5604624656821589</c:v>
                </c:pt>
                <c:pt idx="62" formatCode="0.0">
                  <c:v>4.566874810864447</c:v>
                </c:pt>
                <c:pt idx="63" formatCode="0.0">
                  <c:v>4.593236867149348</c:v>
                </c:pt>
                <c:pt idx="64" formatCode="0.0">
                  <c:v>4.6236747661993673</c:v>
                </c:pt>
                <c:pt idx="65" formatCode="0.0">
                  <c:v>4.6340618707672672</c:v>
                </c:pt>
                <c:pt idx="66" formatCode="0.0">
                  <c:v>4.6441154685029362</c:v>
                </c:pt>
                <c:pt idx="67" formatCode="0.0">
                  <c:v>4.6618500137605672</c:v>
                </c:pt>
                <c:pt idx="68" formatCode="0.0">
                  <c:v>4.670802449346473</c:v>
                </c:pt>
                <c:pt idx="69" formatCode="0.0">
                  <c:v>4.6679910209594304</c:v>
                </c:pt>
                <c:pt idx="70" formatCode="0.0">
                  <c:v>4.6588739416066636</c:v>
                </c:pt>
                <c:pt idx="71" formatCode="0.0">
                  <c:v>4.6865091753375596</c:v>
                </c:pt>
                <c:pt idx="72" formatCode="0.0">
                  <c:v>4.7208962604010454</c:v>
                </c:pt>
                <c:pt idx="73" formatCode="0.0">
                  <c:v>4.7232869873294723</c:v>
                </c:pt>
                <c:pt idx="74" formatCode="0.0">
                  <c:v>4.7155059032157354</c:v>
                </c:pt>
                <c:pt idx="75" formatCode="0.0">
                  <c:v>4.7381689166446685</c:v>
                </c:pt>
                <c:pt idx="76" formatCode="0.0">
                  <c:v>4.7474469056556261</c:v>
                </c:pt>
                <c:pt idx="77" formatCode="0.0">
                  <c:v>4.7761409971459114</c:v>
                </c:pt>
                <c:pt idx="78" formatCode="0.0">
                  <c:v>4.7832818547891849</c:v>
                </c:pt>
                <c:pt idx="79" formatCode="0.0">
                  <c:v>4.7824421606270215</c:v>
                </c:pt>
                <c:pt idx="80" formatCode="0.0">
                  <c:v>4.7512428293069782</c:v>
                </c:pt>
                <c:pt idx="81" formatCode="0.0">
                  <c:v>4.6953691311864842</c:v>
                </c:pt>
                <c:pt idx="82" formatCode="0.0">
                  <c:v>4.652312709923609</c:v>
                </c:pt>
                <c:pt idx="83" formatCode="0.0">
                  <c:v>4.6024896684526793</c:v>
                </c:pt>
                <c:pt idx="84" formatCode="0.0">
                  <c:v>4.5657943225688564</c:v>
                </c:pt>
                <c:pt idx="85" formatCode="0.0">
                  <c:v>4.5057443844361993</c:v>
                </c:pt>
                <c:pt idx="86" formatCode="0.0">
                  <c:v>4.5104292182978556</c:v>
                </c:pt>
                <c:pt idx="87" formatCode="0.0">
                  <c:v>4.4702733862879453</c:v>
                </c:pt>
                <c:pt idx="88" formatCode="0.0">
                  <c:v>4.4559249159320116</c:v>
                </c:pt>
                <c:pt idx="89" formatCode="0.0">
                  <c:v>4.420792623761983</c:v>
                </c:pt>
                <c:pt idx="90" formatCode="0.0">
                  <c:v>4.3785035092647133</c:v>
                </c:pt>
                <c:pt idx="91" formatCode="0.0">
                  <c:v>4.3324717571325335</c:v>
                </c:pt>
                <c:pt idx="92" formatCode="0.0">
                  <c:v>4.3152213096464687</c:v>
                </c:pt>
                <c:pt idx="93" formatCode="0.0">
                  <c:v>4.2880408655652786</c:v>
                </c:pt>
                <c:pt idx="94" formatCode="0.0">
                  <c:v>4.2602808083601369</c:v>
                </c:pt>
                <c:pt idx="95" formatCode="0.0">
                  <c:v>4.2262750188525526</c:v>
                </c:pt>
                <c:pt idx="96" formatCode="0.0">
                  <c:v>4.1539920119921199</c:v>
                </c:pt>
                <c:pt idx="97" formatCode="0.0">
                  <c:v>4.1033469799802136</c:v>
                </c:pt>
                <c:pt idx="98" formatCode="0.0">
                  <c:v>4.0330690799816971</c:v>
                </c:pt>
                <c:pt idx="99" formatCode="0.0">
                  <c:v>3.9930233014961414</c:v>
                </c:pt>
                <c:pt idx="100" formatCode="0.0">
                  <c:v>3.9285526993757505</c:v>
                </c:pt>
                <c:pt idx="101" formatCode="0.0">
                  <c:v>3.8926249158279553</c:v>
                </c:pt>
                <c:pt idx="102" formatCode="0.0">
                  <c:v>3.8446190417682526</c:v>
                </c:pt>
                <c:pt idx="103" formatCode="0.0">
                  <c:v>3.8008089386992014</c:v>
                </c:pt>
                <c:pt idx="104" formatCode="0.0">
                  <c:v>3.7535646863815764</c:v>
                </c:pt>
                <c:pt idx="105" formatCode="0.0">
                  <c:v>3.7064990963468758</c:v>
                </c:pt>
                <c:pt idx="106" formatCode="0.0">
                  <c:v>3.6572779715117067</c:v>
                </c:pt>
                <c:pt idx="107" formatCode="0.0">
                  <c:v>3.6362310024176669</c:v>
                </c:pt>
                <c:pt idx="108" formatCode="0.0">
                  <c:v>3.5986330775977198</c:v>
                </c:pt>
                <c:pt idx="109" formatCode="0.0">
                  <c:v>3.534539344662798</c:v>
                </c:pt>
                <c:pt idx="110" formatCode="0.0">
                  <c:v>3.4998049850406545</c:v>
                </c:pt>
                <c:pt idx="111" formatCode="0.0">
                  <c:v>3.4591665404475691</c:v>
                </c:pt>
                <c:pt idx="112" formatCode="0.0">
                  <c:v>3.4390332640219587</c:v>
                </c:pt>
                <c:pt idx="113" formatCode="0.0">
                  <c:v>3.3934172101971014</c:v>
                </c:pt>
                <c:pt idx="114" formatCode="0.0">
                  <c:v>3.338006899851214</c:v>
                </c:pt>
                <c:pt idx="115" formatCode="0.0">
                  <c:v>3.3069598095829238</c:v>
                </c:pt>
                <c:pt idx="116" formatCode="0.0">
                  <c:v>3.2870362327532123</c:v>
                </c:pt>
                <c:pt idx="117" formatCode="0.0">
                  <c:v>3.2728469387568375</c:v>
                </c:pt>
                <c:pt idx="118" formatCode="0.0">
                  <c:v>3.2635244076414085</c:v>
                </c:pt>
                <c:pt idx="119" formatCode="0.0">
                  <c:v>3.2455680897280419</c:v>
                </c:pt>
                <c:pt idx="120" formatCode="0.0">
                  <c:v>3.2490020391212178</c:v>
                </c:pt>
                <c:pt idx="121" formatCode="0.0">
                  <c:v>3.2962744266684383</c:v>
                </c:pt>
                <c:pt idx="122" formatCode="0.0">
                  <c:v>3.3084855152043864</c:v>
                </c:pt>
                <c:pt idx="123" formatCode="0.0">
                  <c:v>3.3182947910723932</c:v>
                </c:pt>
                <c:pt idx="124" formatCode="0.0">
                  <c:v>3.3322403785207744</c:v>
                </c:pt>
                <c:pt idx="125" formatCode="0.0">
                  <c:v>3.3506402138648923</c:v>
                </c:pt>
                <c:pt idx="126" formatCode="0.0">
                  <c:v>3.4147991271368348</c:v>
                </c:pt>
                <c:pt idx="127" formatCode="0.0">
                  <c:v>3.4487555850439482</c:v>
                </c:pt>
                <c:pt idx="128" formatCode="0.0">
                  <c:v>3.4805700388336409</c:v>
                </c:pt>
                <c:pt idx="129" formatCode="0.0">
                  <c:v>3.5624874302988321</c:v>
                </c:pt>
                <c:pt idx="130" formatCode="0.0">
                  <c:v>3.6150789626114572</c:v>
                </c:pt>
                <c:pt idx="131" formatCode="0.0">
                  <c:v>3.6662907839854646</c:v>
                </c:pt>
                <c:pt idx="132" formatCode="0.0">
                  <c:v>3.7218901090608991</c:v>
                </c:pt>
                <c:pt idx="133" formatCode="0.0">
                  <c:v>3.6960747291063698</c:v>
                </c:pt>
                <c:pt idx="134" formatCode="0.0">
                  <c:v>3.67904363125712</c:v>
                </c:pt>
                <c:pt idx="135" formatCode="0.0">
                  <c:v>3.6638399943647908</c:v>
                </c:pt>
                <c:pt idx="136" formatCode="0.0">
                  <c:v>3.6363800118042007</c:v>
                </c:pt>
                <c:pt idx="137" formatCode="0.0">
                  <c:v>3.6210656317965921</c:v>
                </c:pt>
                <c:pt idx="138" formatCode="0.0">
                  <c:v>3.5568057996540987</c:v>
                </c:pt>
                <c:pt idx="139" formatCode="0.0">
                  <c:v>3.5308065001329876</c:v>
                </c:pt>
                <c:pt idx="140" formatCode="0.0">
                  <c:v>3.4944016045121908</c:v>
                </c:pt>
                <c:pt idx="141" formatCode="0.0">
                  <c:v>3.4399063333467481</c:v>
                </c:pt>
                <c:pt idx="142" formatCode="0.0">
                  <c:v>3.3697045828394376</c:v>
                </c:pt>
                <c:pt idx="143" formatCode="0.0">
                  <c:v>3.3110330543809057</c:v>
                </c:pt>
                <c:pt idx="144" formatCode="0.0">
                  <c:v>3.2563706545497033</c:v>
                </c:pt>
                <c:pt idx="145" formatCode="0.0">
                  <c:v>3.2183449435327507</c:v>
                </c:pt>
                <c:pt idx="146" formatCode="0.0">
                  <c:v>3.2013137328507906</c:v>
                </c:pt>
                <c:pt idx="147" formatCode="0.0">
                  <c:v>3.2333393384476707</c:v>
                </c:pt>
                <c:pt idx="148" formatCode="0.0">
                  <c:v>3.2319098025637025</c:v>
                </c:pt>
                <c:pt idx="149" formatCode="0.0">
                  <c:v>3.2290730130853511</c:v>
                </c:pt>
                <c:pt idx="150" formatCode="0.0">
                  <c:v>3.2648879544719787</c:v>
                </c:pt>
                <c:pt idx="151" formatCode="0.0">
                  <c:v>3.2443144788380747</c:v>
                </c:pt>
                <c:pt idx="152" formatCode="0.0">
                  <c:v>3.220994824696167</c:v>
                </c:pt>
                <c:pt idx="153" formatCode="0.0">
                  <c:v>3.1880506505080355</c:v>
                </c:pt>
                <c:pt idx="154" formatCode="0.0">
                  <c:v>3.160840110365251</c:v>
                </c:pt>
                <c:pt idx="155" formatCode="0.0">
                  <c:v>3.1583923011247124</c:v>
                </c:pt>
                <c:pt idx="156" formatCode="0.0">
                  <c:v>3.1119080591700903</c:v>
                </c:pt>
                <c:pt idx="157" formatCode="0.0">
                  <c:v>3.1117185088284569</c:v>
                </c:pt>
                <c:pt idx="158" formatCode="0.0">
                  <c:v>3.0712037580392639</c:v>
                </c:pt>
                <c:pt idx="159" formatCode="0.0">
                  <c:v>3.0051327467468827</c:v>
                </c:pt>
                <c:pt idx="160" formatCode="0.0">
                  <c:v>2.9701378315878544</c:v>
                </c:pt>
                <c:pt idx="161" formatCode="0.0">
                  <c:v>2.9416003319298114</c:v>
                </c:pt>
                <c:pt idx="162" formatCode="0.0">
                  <c:v>2.8999089257532566</c:v>
                </c:pt>
                <c:pt idx="163" formatCode="0.0">
                  <c:v>2.886068576923726</c:v>
                </c:pt>
                <c:pt idx="164" formatCode="0.0">
                  <c:v>2.8796434805889866</c:v>
                </c:pt>
                <c:pt idx="165" formatCode="0.0">
                  <c:v>2.8577787391943552</c:v>
                </c:pt>
                <c:pt idx="166" formatCode="0.0">
                  <c:v>2.8741821489135386</c:v>
                </c:pt>
                <c:pt idx="167" formatCode="0.0">
                  <c:v>2.8652507180991571</c:v>
                </c:pt>
                <c:pt idx="168" formatCode="0.0">
                  <c:v>2.8559349336934745</c:v>
                </c:pt>
                <c:pt idx="169" formatCode="0.0">
                  <c:v>2.8634125921787308</c:v>
                </c:pt>
                <c:pt idx="170" formatCode="0.0">
                  <c:v>2.8829931895447714</c:v>
                </c:pt>
                <c:pt idx="171" formatCode="0.0">
                  <c:v>2.8748456158017714</c:v>
                </c:pt>
                <c:pt idx="172" formatCode="0.0">
                  <c:v>2.8804006362289223</c:v>
                </c:pt>
                <c:pt idx="173" formatCode="0.0">
                  <c:v>2.8744883441848201</c:v>
                </c:pt>
                <c:pt idx="174" formatCode="0.0">
                  <c:v>2.8905729940405411</c:v>
                </c:pt>
                <c:pt idx="175" formatCode="0.0">
                  <c:v>2.8727638217456626</c:v>
                </c:pt>
                <c:pt idx="176" formatCode="0.0">
                  <c:v>2.8827344555834347</c:v>
                </c:pt>
                <c:pt idx="177" formatCode="0.0">
                  <c:v>2.8967842576379872</c:v>
                </c:pt>
                <c:pt idx="178" formatCode="0.0">
                  <c:v>2.9013448763195431</c:v>
                </c:pt>
                <c:pt idx="179" formatCode="0.0">
                  <c:v>2.9184626531586169</c:v>
                </c:pt>
                <c:pt idx="180" formatCode="0.0">
                  <c:v>2.910751498546837</c:v>
                </c:pt>
                <c:pt idx="181" formatCode="0.0">
                  <c:v>2.897816304296013</c:v>
                </c:pt>
                <c:pt idx="182" formatCode="0.0">
                  <c:v>2.8909199401259893</c:v>
                </c:pt>
                <c:pt idx="183" formatCode="0.0">
                  <c:v>2.8947969145334298</c:v>
                </c:pt>
                <c:pt idx="184" formatCode="0.0">
                  <c:v>2.8609444548247058</c:v>
                </c:pt>
                <c:pt idx="185" formatCode="0.0">
                  <c:v>2.8473167023766064</c:v>
                </c:pt>
                <c:pt idx="186" formatCode="0.0">
                  <c:v>2.8373645964397709</c:v>
                </c:pt>
                <c:pt idx="187" formatCode="0.0">
                  <c:v>2.8268250939721677</c:v>
                </c:pt>
                <c:pt idx="188" formatCode="0.0">
                  <c:v>2.7754718857015441</c:v>
                </c:pt>
                <c:pt idx="189" formatCode="0.0">
                  <c:v>2.7553357450141256</c:v>
                </c:pt>
                <c:pt idx="190" formatCode="0.0">
                  <c:v>2.7177385340482907</c:v>
                </c:pt>
                <c:pt idx="191" formatCode="0.0">
                  <c:v>2.6817980457444661</c:v>
                </c:pt>
                <c:pt idx="192" formatCode="0.0">
                  <c:v>2.6806930796828934</c:v>
                </c:pt>
                <c:pt idx="193" formatCode="0.0">
                  <c:v>2.6880903807605048</c:v>
                </c:pt>
                <c:pt idx="194" formatCode="0.0">
                  <c:v>2.6980418295137389</c:v>
                </c:pt>
                <c:pt idx="195" formatCode="0.0">
                  <c:v>2.6882530283469794</c:v>
                </c:pt>
                <c:pt idx="196" formatCode="0.0">
                  <c:v>2.7115779102111266</c:v>
                </c:pt>
                <c:pt idx="197" formatCode="0.0">
                  <c:v>2.7181030601655074</c:v>
                </c:pt>
                <c:pt idx="198" formatCode="0.0">
                  <c:v>2.6727150772922244</c:v>
                </c:pt>
                <c:pt idx="199" formatCode="0.0">
                  <c:v>2.6650394401419693</c:v>
                </c:pt>
                <c:pt idx="200" formatCode="0.0">
                  <c:v>2.6645585558188607</c:v>
                </c:pt>
                <c:pt idx="201" formatCode="0.0">
                  <c:v>2.6380942197475199</c:v>
                </c:pt>
                <c:pt idx="202" formatCode="0.0">
                  <c:v>2.6584956211651236</c:v>
                </c:pt>
                <c:pt idx="203" formatCode="0.0">
                  <c:v>2.6610086884417039</c:v>
                </c:pt>
                <c:pt idx="204" formatCode="0.0">
                  <c:v>2.6604199561957338</c:v>
                </c:pt>
                <c:pt idx="205" formatCode="0.0">
                  <c:v>2.5962859763709352</c:v>
                </c:pt>
                <c:pt idx="206" formatCode="0.0">
                  <c:v>2.5486924912741196</c:v>
                </c:pt>
                <c:pt idx="207" formatCode="0.0">
                  <c:v>2.5612833083397977</c:v>
                </c:pt>
                <c:pt idx="208" formatCode="0.0">
                  <c:v>2.5304572686700388</c:v>
                </c:pt>
                <c:pt idx="209" formatCode="0.0">
                  <c:v>2.5353819613912454</c:v>
                </c:pt>
                <c:pt idx="210" formatCode="0.0">
                  <c:v>2.5389074772693516</c:v>
                </c:pt>
                <c:pt idx="211" formatCode="0.0">
                  <c:v>2.5287022809698727</c:v>
                </c:pt>
                <c:pt idx="212" formatCode="0.0">
                  <c:v>2.5232308936393806</c:v>
                </c:pt>
                <c:pt idx="213" formatCode="0.0">
                  <c:v>2.5470179842605218</c:v>
                </c:pt>
                <c:pt idx="214" formatCode="0.0">
                  <c:v>2.5371050100798826</c:v>
                </c:pt>
                <c:pt idx="215" formatCode="0.0">
                  <c:v>2.5298057781700609</c:v>
                </c:pt>
                <c:pt idx="216" formatCode="0.0">
                  <c:v>2.5420833555735558</c:v>
                </c:pt>
                <c:pt idx="217" formatCode="0.0">
                  <c:v>2.6492639707543013</c:v>
                </c:pt>
                <c:pt idx="218" formatCode="0.0">
                  <c:v>2.7297376904755928</c:v>
                </c:pt>
                <c:pt idx="219" formatCode="0.0">
                  <c:v>2.8331343518727672</c:v>
                </c:pt>
                <c:pt idx="220" formatCode="0.0">
                  <c:v>2.9449619458041063</c:v>
                </c:pt>
                <c:pt idx="221" formatCode="0.0">
                  <c:v>3.0116444180668389</c:v>
                </c:pt>
                <c:pt idx="222" formatCode="0.0">
                  <c:v>3.0833211603858799</c:v>
                </c:pt>
                <c:pt idx="223" formatCode="0.0">
                  <c:v>3.1896185973774123</c:v>
                </c:pt>
                <c:pt idx="224" formatCode="0.0">
                  <c:v>3.2557365149004567</c:v>
                </c:pt>
                <c:pt idx="225" formatCode="0.0">
                  <c:v>3.2960950308712356</c:v>
                </c:pt>
                <c:pt idx="226" formatCode="0.0">
                  <c:v>3.3429259539751204</c:v>
                </c:pt>
                <c:pt idx="227" formatCode="0.0">
                  <c:v>3.3758829368032828</c:v>
                </c:pt>
                <c:pt idx="228" formatCode="0.0">
                  <c:v>3.3984605238196068</c:v>
                </c:pt>
                <c:pt idx="229" formatCode="0.0">
                  <c:v>3.3687067503036432</c:v>
                </c:pt>
                <c:pt idx="230" formatCode="0.0">
                  <c:v>3.3531676421889922</c:v>
                </c:pt>
                <c:pt idx="231" formatCode="0.0">
                  <c:v>3.2763120320260897</c:v>
                </c:pt>
                <c:pt idx="232" formatCode="0.0">
                  <c:v>3.2101126743332293</c:v>
                </c:pt>
                <c:pt idx="233" formatCode="0.0">
                  <c:v>3.1548115803169257</c:v>
                </c:pt>
                <c:pt idx="234" formatCode="0.0">
                  <c:v>3.1135698372658656</c:v>
                </c:pt>
                <c:pt idx="235" formatCode="0.0">
                  <c:v>3.0521710860779483</c:v>
                </c:pt>
                <c:pt idx="236" formatCode="0.0">
                  <c:v>3.0393856067044447</c:v>
                </c:pt>
                <c:pt idx="237" formatCode="0.0">
                  <c:v>3.0232329456471483</c:v>
                </c:pt>
                <c:pt idx="238" formatCode="0.0">
                  <c:v>2.9983834728497363</c:v>
                </c:pt>
                <c:pt idx="239" formatCode="0.0">
                  <c:v>2.9711475915078278</c:v>
                </c:pt>
                <c:pt idx="240" formatCode="0.0">
                  <c:v>2.9508408586440527</c:v>
                </c:pt>
                <c:pt idx="241" formatCode="0.0">
                  <c:v>2.9217571125053072</c:v>
                </c:pt>
                <c:pt idx="242" formatCode="0.0">
                  <c:v>2.8714517841090061</c:v>
                </c:pt>
                <c:pt idx="243" formatCode="0.0">
                  <c:v>2.8186323315121604</c:v>
                </c:pt>
                <c:pt idx="244" formatCode="0.0">
                  <c:v>2.7988172113059377</c:v>
                </c:pt>
                <c:pt idx="245" formatCode="0.0">
                  <c:v>2.7832380777012591</c:v>
                </c:pt>
                <c:pt idx="246" formatCode="0.0">
                  <c:v>2.7886769317511386</c:v>
                </c:pt>
                <c:pt idx="247" formatCode="0.0">
                  <c:v>2.7664477340461424</c:v>
                </c:pt>
                <c:pt idx="248" formatCode="0.0">
                  <c:v>2.7477090801805493</c:v>
                </c:pt>
                <c:pt idx="249" formatCode="0.0">
                  <c:v>2.7623409847233305</c:v>
                </c:pt>
                <c:pt idx="250" formatCode="0.0">
                  <c:v>2.7865725784961142</c:v>
                </c:pt>
                <c:pt idx="251" formatCode="0.0">
                  <c:v>2.8061637052755493</c:v>
                </c:pt>
                <c:pt idx="252" formatCode="0.0">
                  <c:v>2.8049926513000738</c:v>
                </c:pt>
                <c:pt idx="253" formatCode="0.0">
                  <c:v>2.8391457163600022</c:v>
                </c:pt>
                <c:pt idx="254" formatCode="0.0">
                  <c:v>2.9123625035868961</c:v>
                </c:pt>
                <c:pt idx="255" formatCode="0.0">
                  <c:v>2.9640195998510461</c:v>
                </c:pt>
                <c:pt idx="256" formatCode="0.0">
                  <c:v>3.0068785280578312</c:v>
                </c:pt>
                <c:pt idx="257" formatCode="0.0">
                  <c:v>3.0164387650088571</c:v>
                </c:pt>
                <c:pt idx="258" formatCode="0.0">
                  <c:v>3.0319125667713247</c:v>
                </c:pt>
                <c:pt idx="259" formatCode="0.0">
                  <c:v>3.0894928591594657</c:v>
                </c:pt>
                <c:pt idx="260" formatCode="0.0">
                  <c:v>3.1309680689438633</c:v>
                </c:pt>
                <c:pt idx="261" formatCode="0.0">
                  <c:v>3.149111924887718</c:v>
                </c:pt>
                <c:pt idx="262" formatCode="0.0">
                  <c:v>3.1377550419032922</c:v>
                </c:pt>
                <c:pt idx="263" formatCode="0.0">
                  <c:v>3.1688109873379791</c:v>
                </c:pt>
                <c:pt idx="264" formatCode="0.0">
                  <c:v>3.2642241508338761</c:v>
                </c:pt>
                <c:pt idx="265" formatCode="0.0">
                  <c:v>3.2778115811898973</c:v>
                </c:pt>
                <c:pt idx="266" formatCode="0.0">
                  <c:v>3.278740598207206</c:v>
                </c:pt>
                <c:pt idx="267" formatCode="0.0">
                  <c:v>3.3423470284577257</c:v>
                </c:pt>
                <c:pt idx="268" formatCode="0.0">
                  <c:v>3.348181215163573</c:v>
                </c:pt>
                <c:pt idx="269" formatCode="0.0">
                  <c:v>3.3886114187949481</c:v>
                </c:pt>
                <c:pt idx="270" formatCode="0.0">
                  <c:v>3.4096457798833986</c:v>
                </c:pt>
                <c:pt idx="271" formatCode="0.0">
                  <c:v>3.4189462094964398</c:v>
                </c:pt>
                <c:pt idx="272" formatCode="0.0">
                  <c:v>3.4277595688817648</c:v>
                </c:pt>
                <c:pt idx="273" formatCode="0.0">
                  <c:v>3.4461463719711216</c:v>
                </c:pt>
                <c:pt idx="274" formatCode="0.0">
                  <c:v>3.5136775178671846</c:v>
                </c:pt>
                <c:pt idx="275" formatCode="0.0">
                  <c:v>3.5646807646779712</c:v>
                </c:pt>
                <c:pt idx="276" formatCode="0.0">
                  <c:v>3.5486726699734898</c:v>
                </c:pt>
                <c:pt idx="277" formatCode="0.0">
                  <c:v>3.5815727121352201</c:v>
                </c:pt>
                <c:pt idx="278" formatCode="0.0">
                  <c:v>3.6182732484040501</c:v>
                </c:pt>
                <c:pt idx="279" formatCode="0.0">
                  <c:v>3.6220835114799228</c:v>
                </c:pt>
                <c:pt idx="280" formatCode="0.0">
                  <c:v>3.6108397814453137</c:v>
                </c:pt>
                <c:pt idx="281" formatCode="0.0">
                  <c:v>3.6378373416413425</c:v>
                </c:pt>
                <c:pt idx="282" formatCode="0.0">
                  <c:v>3.7092195278207174</c:v>
                </c:pt>
                <c:pt idx="283" formatCode="0.0">
                  <c:v>3.7731824078798062</c:v>
                </c:pt>
                <c:pt idx="284" formatCode="0.0">
                  <c:v>3.8162229794106728</c:v>
                </c:pt>
                <c:pt idx="285" formatCode="0.0">
                  <c:v>3.8632801561704535</c:v>
                </c:pt>
                <c:pt idx="286" formatCode="0.0">
                  <c:v>3.8906163374575811</c:v>
                </c:pt>
                <c:pt idx="287" formatCode="0.0">
                  <c:v>3.8719232694010306</c:v>
                </c:pt>
                <c:pt idx="288" formatCode="0.0">
                  <c:v>3.879891624873173</c:v>
                </c:pt>
                <c:pt idx="289" formatCode="0.0">
                  <c:v>3.8421316205328373</c:v>
                </c:pt>
                <c:pt idx="290" formatCode="0.0">
                  <c:v>3.8210200987230363</c:v>
                </c:pt>
                <c:pt idx="291" formatCode="0.0">
                  <c:v>3.7971155529801313</c:v>
                </c:pt>
                <c:pt idx="292" formatCode="0.0">
                  <c:v>3.8023131992456896</c:v>
                </c:pt>
                <c:pt idx="293" formatCode="0.0">
                  <c:v>3.7725280971285939</c:v>
                </c:pt>
                <c:pt idx="294" formatCode="0.0">
                  <c:v>3.752740000896047</c:v>
                </c:pt>
                <c:pt idx="295" formatCode="0.0">
                  <c:v>3.6978853746615656</c:v>
                </c:pt>
                <c:pt idx="296" formatCode="0.0">
                  <c:v>3.6830631510879499</c:v>
                </c:pt>
                <c:pt idx="297" formatCode="0.0">
                  <c:v>3.6174580399217304</c:v>
                </c:pt>
                <c:pt idx="298" formatCode="0.0">
                  <c:v>3.5830550040684677</c:v>
                </c:pt>
                <c:pt idx="299" formatCode="0.0">
                  <c:v>3.5729342724018074</c:v>
                </c:pt>
                <c:pt idx="300" formatCode="0.0">
                  <c:v>3.5660541627322062</c:v>
                </c:pt>
                <c:pt idx="301" formatCode="0.0">
                  <c:v>3.5739100602340539</c:v>
                </c:pt>
                <c:pt idx="302" formatCode="0.0">
                  <c:v>3.5537161911089203</c:v>
                </c:pt>
                <c:pt idx="303" formatCode="0.0">
                  <c:v>3.520500883306815</c:v>
                </c:pt>
                <c:pt idx="304" formatCode="0.0">
                  <c:v>3.5325892224653335</c:v>
                </c:pt>
                <c:pt idx="305" formatCode="0.0">
                  <c:v>3.5429630315523628</c:v>
                </c:pt>
                <c:pt idx="306" formatCode="0.0">
                  <c:v>3.5155920079513643</c:v>
                </c:pt>
                <c:pt idx="307" formatCode="0.0">
                  <c:v>3.4995928432152383</c:v>
                </c:pt>
                <c:pt idx="308" formatCode="0.0">
                  <c:v>3.4729622350356446</c:v>
                </c:pt>
                <c:pt idx="309" formatCode="0.0">
                  <c:v>3.4705306959197748</c:v>
                </c:pt>
                <c:pt idx="310" formatCode="0.0">
                  <c:v>3.4609342876639886</c:v>
                </c:pt>
                <c:pt idx="311" formatCode="0.0">
                  <c:v>3.4611769609082539</c:v>
                </c:pt>
                <c:pt idx="312" formatCode="0.0">
                  <c:v>3.4270565980816028</c:v>
                </c:pt>
                <c:pt idx="313" formatCode="0.0">
                  <c:v>3.4149099350503889</c:v>
                </c:pt>
                <c:pt idx="314" formatCode="0.0">
                  <c:v>3.449082709280578</c:v>
                </c:pt>
                <c:pt idx="315" formatCode="0.0">
                  <c:v>3.4605172911212954</c:v>
                </c:pt>
                <c:pt idx="316" formatCode="0.0">
                  <c:v>3.451226372130487</c:v>
                </c:pt>
                <c:pt idx="317" formatCode="0.0">
                  <c:v>3.4305955323461998</c:v>
                </c:pt>
                <c:pt idx="318" formatCode="0.0">
                  <c:v>3.4320218865539336</c:v>
                </c:pt>
                <c:pt idx="319" formatCode="0.0">
                  <c:v>3.4334139802400618</c:v>
                </c:pt>
                <c:pt idx="320" formatCode="0.0">
                  <c:v>3.4222597018088377</c:v>
                </c:pt>
                <c:pt idx="321" formatCode="0.0">
                  <c:v>3.4033250830345185</c:v>
                </c:pt>
                <c:pt idx="322" formatCode="0.0">
                  <c:v>3.3919908558495329</c:v>
                </c:pt>
                <c:pt idx="323" formatCode="0.0">
                  <c:v>3.3877623726415016</c:v>
                </c:pt>
                <c:pt idx="324" formatCode="0.0">
                  <c:v>3.3581913872937581</c:v>
                </c:pt>
                <c:pt idx="325" formatCode="0.0">
                  <c:v>3.3464607834635252</c:v>
                </c:pt>
                <c:pt idx="326" formatCode="0.0">
                  <c:v>3.287983393760205</c:v>
                </c:pt>
                <c:pt idx="327" formatCode="0.0">
                  <c:v>3.2430745599113009</c:v>
                </c:pt>
                <c:pt idx="328" formatCode="0.0">
                  <c:v>3.1879432470388012</c:v>
                </c:pt>
                <c:pt idx="329" formatCode="0.0">
                  <c:v>3.172301518422421</c:v>
                </c:pt>
                <c:pt idx="330" formatCode="0.0">
                  <c:v>3.1126133896129367</c:v>
                </c:pt>
                <c:pt idx="331" formatCode="0.0">
                  <c:v>3.0780779873367821</c:v>
                </c:pt>
                <c:pt idx="332" formatCode="0.0">
                  <c:v>3.0338703581982132</c:v>
                </c:pt>
                <c:pt idx="333" formatCode="0.0">
                  <c:v>2.9840776437114394</c:v>
                </c:pt>
                <c:pt idx="334" formatCode="0.0">
                  <c:v>2.9154335530624516</c:v>
                </c:pt>
                <c:pt idx="335" formatCode="0.0">
                  <c:v>2.8167741465757619</c:v>
                </c:pt>
                <c:pt idx="336" formatCode="0.0">
                  <c:v>2.7644511587253824</c:v>
                </c:pt>
                <c:pt idx="337" formatCode="0.0">
                  <c:v>2.7302110738042131</c:v>
                </c:pt>
                <c:pt idx="338" formatCode="0.0">
                  <c:v>2.7137276500402217</c:v>
                </c:pt>
                <c:pt idx="339" formatCode="0.0">
                  <c:v>2.7189976153541209</c:v>
                </c:pt>
                <c:pt idx="340" formatCode="0.0">
                  <c:v>2.697598537855217</c:v>
                </c:pt>
                <c:pt idx="341" formatCode="0.0">
                  <c:v>2.6513893119249592</c:v>
                </c:pt>
                <c:pt idx="342" formatCode="0.0">
                  <c:v>2.6357908891488919</c:v>
                </c:pt>
                <c:pt idx="343" formatCode="0.0">
                  <c:v>2.6230348882404826</c:v>
                </c:pt>
                <c:pt idx="344" formatCode="0.0">
                  <c:v>2.6285863519512258</c:v>
                </c:pt>
                <c:pt idx="345" formatCode="0.0">
                  <c:v>2.6749545846057274</c:v>
                </c:pt>
                <c:pt idx="346" formatCode="0.0">
                  <c:v>2.6969628642436572</c:v>
                </c:pt>
                <c:pt idx="347" formatCode="0.0">
                  <c:v>2.7358098510222035</c:v>
                </c:pt>
                <c:pt idx="348" formatCode="0.0">
                  <c:v>2.7906190037510714</c:v>
                </c:pt>
                <c:pt idx="349" formatCode="0.0">
                  <c:v>2.7986214695521716</c:v>
                </c:pt>
                <c:pt idx="350" formatCode="0.0">
                  <c:v>2.789757450264394</c:v>
                </c:pt>
                <c:pt idx="351" formatCode="0.0">
                  <c:v>2.8122692112233882</c:v>
                </c:pt>
                <c:pt idx="352" formatCode="0.0">
                  <c:v>2.9813446215498502</c:v>
                </c:pt>
                <c:pt idx="353" formatCode="0.0">
                  <c:v>3.1819425790556566</c:v>
                </c:pt>
                <c:pt idx="354" formatCode="0.0">
                  <c:v>3.3566014094175571</c:v>
                </c:pt>
                <c:pt idx="355" formatCode="0.0">
                  <c:v>3.5468267708973635</c:v>
                </c:pt>
                <c:pt idx="356" formatCode="0.0">
                  <c:v>3.7279936392832709</c:v>
                </c:pt>
                <c:pt idx="357" formatCode="0.0">
                  <c:v>3.8694566031154634</c:v>
                </c:pt>
                <c:pt idx="358" formatCode="0.0">
                  <c:v>4.0176871168784682</c:v>
                </c:pt>
                <c:pt idx="359" formatCode="0.0">
                  <c:v>4.1321103807119686</c:v>
                </c:pt>
                <c:pt idx="360" formatCode="0.0">
                  <c:v>4.2106289881190442</c:v>
                </c:pt>
                <c:pt idx="361" formatCode="0.0">
                  <c:v>4.2650619040277471</c:v>
                </c:pt>
                <c:pt idx="362" formatCode="0.0">
                  <c:v>4.3183894677051686</c:v>
                </c:pt>
                <c:pt idx="363" formatCode="0.0">
                  <c:v>4.2904625622138086</c:v>
                </c:pt>
                <c:pt idx="364" formatCode="0.0">
                  <c:v>4.1188950748162432</c:v>
                </c:pt>
                <c:pt idx="365" formatCode="0.0">
                  <c:v>3.8916331582774997</c:v>
                </c:pt>
                <c:pt idx="366" formatCode="0.0">
                  <c:v>3.6844634447105631</c:v>
                </c:pt>
                <c:pt idx="367" formatCode="0.0">
                  <c:v>3.4420726592074651</c:v>
                </c:pt>
                <c:pt idx="368" formatCode="0.0">
                  <c:v>3.2242211752146446</c:v>
                </c:pt>
                <c:pt idx="369" formatCode="0.0">
                  <c:v>3.0716960047057587</c:v>
                </c:pt>
                <c:pt idx="370" formatCode="0.0">
                  <c:v>2.8678175899685496</c:v>
                </c:pt>
                <c:pt idx="371" formatCode="0.0">
                  <c:v>2.7044552671023365</c:v>
                </c:pt>
                <c:pt idx="372" formatCode="0.0">
                  <c:v>2.5452861255674604</c:v>
                </c:pt>
                <c:pt idx="373" formatCode="0.0">
                  <c:v>2.4229506558083274</c:v>
                </c:pt>
                <c:pt idx="374" formatCode="0.0">
                  <c:v>2.3235760146299591</c:v>
                </c:pt>
                <c:pt idx="375" formatCode="0.0">
                  <c:v>2.2631059023878737</c:v>
                </c:pt>
                <c:pt idx="376" formatCode="0.0">
                  <c:v>2.2329306639873043</c:v>
                </c:pt>
                <c:pt idx="377" formatCode="0.0">
                  <c:v>2.1903658346245298</c:v>
                </c:pt>
                <c:pt idx="378" formatCode="0.0">
                  <c:v>2.1467655180985257</c:v>
                </c:pt>
                <c:pt idx="379" formatCode="0.0">
                  <c:v>2.1476549321296576</c:v>
                </c:pt>
                <c:pt idx="380" formatCode="0.0">
                  <c:v>2.0868813161901234</c:v>
                </c:pt>
                <c:pt idx="381" formatCode="0.0">
                  <c:v>2.0010156116435067</c:v>
                </c:pt>
                <c:pt idx="382" formatCode="0.0">
                  <c:v>1.9691951292793675</c:v>
                </c:pt>
                <c:pt idx="383" formatCode="0.0">
                  <c:v>1.9367171023453997</c:v>
                </c:pt>
                <c:pt idx="384" formatCode="0.0">
                  <c:v>1.9485303397722482</c:v>
                </c:pt>
                <c:pt idx="385" formatCode="0.0">
                  <c:v>1.9577566654146372</c:v>
                </c:pt>
                <c:pt idx="386" formatCode="0.0">
                  <c:v>1.9501230268077092</c:v>
                </c:pt>
                <c:pt idx="387" formatCode="0.0">
                  <c:v>1.9668284625049484</c:v>
                </c:pt>
                <c:pt idx="388" formatCode="0.0">
                  <c:v>1.9895924757321934</c:v>
                </c:pt>
                <c:pt idx="389" formatCode="0.0">
                  <c:v>2.0324676208809929</c:v>
                </c:pt>
                <c:pt idx="390" formatCode="0.0">
                  <c:v>2.0553677011967721</c:v>
                </c:pt>
                <c:pt idx="391" formatCode="0.0">
                  <c:v>2.0438980790948817</c:v>
                </c:pt>
                <c:pt idx="392" formatCode="0.0">
                  <c:v>2.0410503457748086</c:v>
                </c:pt>
                <c:pt idx="393" formatCode="0.0">
                  <c:v>2.0717134941689404</c:v>
                </c:pt>
                <c:pt idx="394" formatCode="0.0">
                  <c:v>2.1169993959892417</c:v>
                </c:pt>
                <c:pt idx="395" formatCode="0.0">
                  <c:v>2.1342882953912006</c:v>
                </c:pt>
                <c:pt idx="396" formatCode="0.0">
                  <c:v>2.1452437253734513</c:v>
                </c:pt>
                <c:pt idx="397" formatCode="0.0">
                  <c:v>2.1436322010085949</c:v>
                </c:pt>
                <c:pt idx="398" formatCode="0.0">
                  <c:v>2.1741800816043138</c:v>
                </c:pt>
                <c:pt idx="399" formatCode="0.0">
                  <c:v>2.189439715037683</c:v>
                </c:pt>
                <c:pt idx="400" formatCode="0.0">
                  <c:v>2.2151041343978899</c:v>
                </c:pt>
                <c:pt idx="401" formatCode="0.0">
                  <c:v>2.2562779514676889</c:v>
                </c:pt>
                <c:pt idx="402" formatCode="0.0">
                  <c:v>2.3038405215474786</c:v>
                </c:pt>
                <c:pt idx="403" formatCode="0.0">
                  <c:v>2.3062320681938808</c:v>
                </c:pt>
                <c:pt idx="404" formatCode="0.0">
                  <c:v>2.3805532939677883</c:v>
                </c:pt>
                <c:pt idx="405" formatCode="0.0">
                  <c:v>2.4152243772248068</c:v>
                </c:pt>
              </c:numCache>
            </c:numRef>
          </c:val>
          <c:smooth val="0"/>
          <c:extLst>
            <c:ext xmlns:c16="http://schemas.microsoft.com/office/drawing/2014/chart" uri="{C3380CC4-5D6E-409C-BE32-E72D297353CC}">
              <c16:uniqueId val="{00000001-17BE-478D-BC94-191D3F8DFF72}"/>
            </c:ext>
          </c:extLst>
        </c:ser>
        <c:ser>
          <c:idx val="1"/>
          <c:order val="2"/>
          <c:tx>
            <c:strRef>
              <c:f>Original!$K$1</c:f>
              <c:strCache>
                <c:ptCount val="1"/>
                <c:pt idx="0">
                  <c:v>Longer than 1 year</c:v>
                </c:pt>
              </c:strCache>
            </c:strRef>
          </c:tx>
          <c:spPr>
            <a:ln w="19050">
              <a:solidFill>
                <a:sysClr val="windowText" lastClr="000000"/>
              </a:solidFill>
            </a:ln>
          </c:spPr>
          <c:marker>
            <c:symbol val="none"/>
          </c:marker>
          <c:cat>
            <c:numRef>
              <c:f>Original!$A$2:$A$410</c:f>
              <c:numCache>
                <c:formatCode>mmm\-yy</c:formatCode>
                <c:ptCount val="409"/>
                <c:pt idx="0">
                  <c:v>33239</c:v>
                </c:pt>
                <c:pt idx="1">
                  <c:v>33270</c:v>
                </c:pt>
                <c:pt idx="2">
                  <c:v>33298</c:v>
                </c:pt>
                <c:pt idx="3">
                  <c:v>33329</c:v>
                </c:pt>
                <c:pt idx="4">
                  <c:v>33359</c:v>
                </c:pt>
                <c:pt idx="5">
                  <c:v>33390</c:v>
                </c:pt>
                <c:pt idx="6">
                  <c:v>33420</c:v>
                </c:pt>
                <c:pt idx="7">
                  <c:v>33451</c:v>
                </c:pt>
                <c:pt idx="8">
                  <c:v>33482</c:v>
                </c:pt>
                <c:pt idx="9">
                  <c:v>33512</c:v>
                </c:pt>
                <c:pt idx="10">
                  <c:v>33543</c:v>
                </c:pt>
                <c:pt idx="11">
                  <c:v>33573</c:v>
                </c:pt>
                <c:pt idx="12">
                  <c:v>33604</c:v>
                </c:pt>
                <c:pt idx="13">
                  <c:v>33635</c:v>
                </c:pt>
                <c:pt idx="14">
                  <c:v>33664</c:v>
                </c:pt>
                <c:pt idx="15">
                  <c:v>33695</c:v>
                </c:pt>
                <c:pt idx="16">
                  <c:v>33725</c:v>
                </c:pt>
                <c:pt idx="17">
                  <c:v>33756</c:v>
                </c:pt>
                <c:pt idx="18">
                  <c:v>33786</c:v>
                </c:pt>
                <c:pt idx="19">
                  <c:v>33817</c:v>
                </c:pt>
                <c:pt idx="20">
                  <c:v>33848</c:v>
                </c:pt>
                <c:pt idx="21">
                  <c:v>33878</c:v>
                </c:pt>
                <c:pt idx="22">
                  <c:v>33909</c:v>
                </c:pt>
                <c:pt idx="23">
                  <c:v>33939</c:v>
                </c:pt>
                <c:pt idx="24">
                  <c:v>33970</c:v>
                </c:pt>
                <c:pt idx="25">
                  <c:v>34001</c:v>
                </c:pt>
                <c:pt idx="26">
                  <c:v>34029</c:v>
                </c:pt>
                <c:pt idx="27">
                  <c:v>34060</c:v>
                </c:pt>
                <c:pt idx="28">
                  <c:v>34090</c:v>
                </c:pt>
                <c:pt idx="29">
                  <c:v>34121</c:v>
                </c:pt>
                <c:pt idx="30">
                  <c:v>34151</c:v>
                </c:pt>
                <c:pt idx="31">
                  <c:v>34182</c:v>
                </c:pt>
                <c:pt idx="32">
                  <c:v>34213</c:v>
                </c:pt>
                <c:pt idx="33">
                  <c:v>34243</c:v>
                </c:pt>
                <c:pt idx="34">
                  <c:v>34274</c:v>
                </c:pt>
                <c:pt idx="35">
                  <c:v>34304</c:v>
                </c:pt>
                <c:pt idx="36">
                  <c:v>34335</c:v>
                </c:pt>
                <c:pt idx="37">
                  <c:v>34366</c:v>
                </c:pt>
                <c:pt idx="38">
                  <c:v>34394</c:v>
                </c:pt>
                <c:pt idx="39">
                  <c:v>34425</c:v>
                </c:pt>
                <c:pt idx="40">
                  <c:v>34455</c:v>
                </c:pt>
                <c:pt idx="41">
                  <c:v>34486</c:v>
                </c:pt>
                <c:pt idx="42">
                  <c:v>34516</c:v>
                </c:pt>
                <c:pt idx="43">
                  <c:v>34547</c:v>
                </c:pt>
                <c:pt idx="44">
                  <c:v>34578</c:v>
                </c:pt>
                <c:pt idx="45">
                  <c:v>34608</c:v>
                </c:pt>
                <c:pt idx="46">
                  <c:v>34639</c:v>
                </c:pt>
                <c:pt idx="47">
                  <c:v>34669</c:v>
                </c:pt>
                <c:pt idx="48">
                  <c:v>34700</c:v>
                </c:pt>
                <c:pt idx="49">
                  <c:v>34731</c:v>
                </c:pt>
                <c:pt idx="50">
                  <c:v>34759</c:v>
                </c:pt>
                <c:pt idx="51">
                  <c:v>34790</c:v>
                </c:pt>
                <c:pt idx="52">
                  <c:v>34820</c:v>
                </c:pt>
                <c:pt idx="53">
                  <c:v>34851</c:v>
                </c:pt>
                <c:pt idx="54">
                  <c:v>34881</c:v>
                </c:pt>
                <c:pt idx="55">
                  <c:v>34912</c:v>
                </c:pt>
                <c:pt idx="56">
                  <c:v>34943</c:v>
                </c:pt>
                <c:pt idx="57">
                  <c:v>34973</c:v>
                </c:pt>
                <c:pt idx="58">
                  <c:v>35004</c:v>
                </c:pt>
                <c:pt idx="59">
                  <c:v>35034</c:v>
                </c:pt>
                <c:pt idx="60">
                  <c:v>35065</c:v>
                </c:pt>
                <c:pt idx="61">
                  <c:v>35096</c:v>
                </c:pt>
                <c:pt idx="62">
                  <c:v>35125</c:v>
                </c:pt>
                <c:pt idx="63">
                  <c:v>35156</c:v>
                </c:pt>
                <c:pt idx="64">
                  <c:v>35186</c:v>
                </c:pt>
                <c:pt idx="65">
                  <c:v>35217</c:v>
                </c:pt>
                <c:pt idx="66">
                  <c:v>35247</c:v>
                </c:pt>
                <c:pt idx="67">
                  <c:v>35278</c:v>
                </c:pt>
                <c:pt idx="68">
                  <c:v>35309</c:v>
                </c:pt>
                <c:pt idx="69">
                  <c:v>35339</c:v>
                </c:pt>
                <c:pt idx="70">
                  <c:v>35370</c:v>
                </c:pt>
                <c:pt idx="71">
                  <c:v>35400</c:v>
                </c:pt>
                <c:pt idx="72">
                  <c:v>35431</c:v>
                </c:pt>
                <c:pt idx="73">
                  <c:v>35462</c:v>
                </c:pt>
                <c:pt idx="74">
                  <c:v>35490</c:v>
                </c:pt>
                <c:pt idx="75">
                  <c:v>35521</c:v>
                </c:pt>
                <c:pt idx="76">
                  <c:v>35551</c:v>
                </c:pt>
                <c:pt idx="77">
                  <c:v>35582</c:v>
                </c:pt>
                <c:pt idx="78">
                  <c:v>35612</c:v>
                </c:pt>
                <c:pt idx="79">
                  <c:v>35643</c:v>
                </c:pt>
                <c:pt idx="80">
                  <c:v>35674</c:v>
                </c:pt>
                <c:pt idx="81">
                  <c:v>35704</c:v>
                </c:pt>
                <c:pt idx="82">
                  <c:v>35735</c:v>
                </c:pt>
                <c:pt idx="83">
                  <c:v>35765</c:v>
                </c:pt>
                <c:pt idx="84">
                  <c:v>35796</c:v>
                </c:pt>
                <c:pt idx="85">
                  <c:v>35827</c:v>
                </c:pt>
                <c:pt idx="86">
                  <c:v>35855</c:v>
                </c:pt>
                <c:pt idx="87">
                  <c:v>35886</c:v>
                </c:pt>
                <c:pt idx="88">
                  <c:v>35916</c:v>
                </c:pt>
                <c:pt idx="89">
                  <c:v>35947</c:v>
                </c:pt>
                <c:pt idx="90">
                  <c:v>35977</c:v>
                </c:pt>
                <c:pt idx="91">
                  <c:v>36008</c:v>
                </c:pt>
                <c:pt idx="92">
                  <c:v>36039</c:v>
                </c:pt>
                <c:pt idx="93">
                  <c:v>36069</c:v>
                </c:pt>
                <c:pt idx="94">
                  <c:v>36100</c:v>
                </c:pt>
                <c:pt idx="95">
                  <c:v>36130</c:v>
                </c:pt>
                <c:pt idx="96">
                  <c:v>36161</c:v>
                </c:pt>
                <c:pt idx="97">
                  <c:v>36192</c:v>
                </c:pt>
                <c:pt idx="98">
                  <c:v>36220</c:v>
                </c:pt>
                <c:pt idx="99">
                  <c:v>36251</c:v>
                </c:pt>
                <c:pt idx="100">
                  <c:v>36281</c:v>
                </c:pt>
                <c:pt idx="101">
                  <c:v>36312</c:v>
                </c:pt>
                <c:pt idx="102">
                  <c:v>36342</c:v>
                </c:pt>
                <c:pt idx="103">
                  <c:v>36373</c:v>
                </c:pt>
                <c:pt idx="104">
                  <c:v>36404</c:v>
                </c:pt>
                <c:pt idx="105">
                  <c:v>36434</c:v>
                </c:pt>
                <c:pt idx="106">
                  <c:v>36465</c:v>
                </c:pt>
                <c:pt idx="107">
                  <c:v>36495</c:v>
                </c:pt>
                <c:pt idx="108">
                  <c:v>36526</c:v>
                </c:pt>
                <c:pt idx="109">
                  <c:v>36557</c:v>
                </c:pt>
                <c:pt idx="110">
                  <c:v>36586</c:v>
                </c:pt>
                <c:pt idx="111">
                  <c:v>36617</c:v>
                </c:pt>
                <c:pt idx="112">
                  <c:v>36647</c:v>
                </c:pt>
                <c:pt idx="113">
                  <c:v>36678</c:v>
                </c:pt>
                <c:pt idx="114">
                  <c:v>36708</c:v>
                </c:pt>
                <c:pt idx="115">
                  <c:v>36739</c:v>
                </c:pt>
                <c:pt idx="116">
                  <c:v>36770</c:v>
                </c:pt>
                <c:pt idx="117">
                  <c:v>36800</c:v>
                </c:pt>
                <c:pt idx="118">
                  <c:v>36831</c:v>
                </c:pt>
                <c:pt idx="119">
                  <c:v>36861</c:v>
                </c:pt>
                <c:pt idx="120">
                  <c:v>36892</c:v>
                </c:pt>
                <c:pt idx="121">
                  <c:v>36923</c:v>
                </c:pt>
                <c:pt idx="122">
                  <c:v>36951</c:v>
                </c:pt>
                <c:pt idx="123">
                  <c:v>36982</c:v>
                </c:pt>
                <c:pt idx="124">
                  <c:v>37012</c:v>
                </c:pt>
                <c:pt idx="125">
                  <c:v>37043</c:v>
                </c:pt>
                <c:pt idx="126">
                  <c:v>37073</c:v>
                </c:pt>
                <c:pt idx="127">
                  <c:v>37104</c:v>
                </c:pt>
                <c:pt idx="128">
                  <c:v>37135</c:v>
                </c:pt>
                <c:pt idx="129">
                  <c:v>37165</c:v>
                </c:pt>
                <c:pt idx="130">
                  <c:v>37196</c:v>
                </c:pt>
                <c:pt idx="131">
                  <c:v>37226</c:v>
                </c:pt>
                <c:pt idx="132">
                  <c:v>37257</c:v>
                </c:pt>
                <c:pt idx="133">
                  <c:v>37288</c:v>
                </c:pt>
                <c:pt idx="134">
                  <c:v>37316</c:v>
                </c:pt>
                <c:pt idx="135">
                  <c:v>37347</c:v>
                </c:pt>
                <c:pt idx="136">
                  <c:v>37377</c:v>
                </c:pt>
                <c:pt idx="137">
                  <c:v>37408</c:v>
                </c:pt>
                <c:pt idx="138">
                  <c:v>37438</c:v>
                </c:pt>
                <c:pt idx="139">
                  <c:v>37469</c:v>
                </c:pt>
                <c:pt idx="140">
                  <c:v>37500</c:v>
                </c:pt>
                <c:pt idx="141">
                  <c:v>37530</c:v>
                </c:pt>
                <c:pt idx="142">
                  <c:v>37561</c:v>
                </c:pt>
                <c:pt idx="143">
                  <c:v>37591</c:v>
                </c:pt>
                <c:pt idx="144">
                  <c:v>37622</c:v>
                </c:pt>
                <c:pt idx="145">
                  <c:v>37653</c:v>
                </c:pt>
                <c:pt idx="146">
                  <c:v>37681</c:v>
                </c:pt>
                <c:pt idx="147">
                  <c:v>37712</c:v>
                </c:pt>
                <c:pt idx="148">
                  <c:v>37742</c:v>
                </c:pt>
                <c:pt idx="149">
                  <c:v>37773</c:v>
                </c:pt>
                <c:pt idx="150">
                  <c:v>37803</c:v>
                </c:pt>
                <c:pt idx="151">
                  <c:v>37834</c:v>
                </c:pt>
                <c:pt idx="152">
                  <c:v>37865</c:v>
                </c:pt>
                <c:pt idx="153">
                  <c:v>37895</c:v>
                </c:pt>
                <c:pt idx="154">
                  <c:v>37926</c:v>
                </c:pt>
                <c:pt idx="155">
                  <c:v>37956</c:v>
                </c:pt>
                <c:pt idx="156">
                  <c:v>37987</c:v>
                </c:pt>
                <c:pt idx="157">
                  <c:v>38018</c:v>
                </c:pt>
                <c:pt idx="158">
                  <c:v>38047</c:v>
                </c:pt>
                <c:pt idx="159">
                  <c:v>38078</c:v>
                </c:pt>
                <c:pt idx="160">
                  <c:v>38108</c:v>
                </c:pt>
                <c:pt idx="161">
                  <c:v>38139</c:v>
                </c:pt>
                <c:pt idx="162">
                  <c:v>38169</c:v>
                </c:pt>
                <c:pt idx="163">
                  <c:v>38200</c:v>
                </c:pt>
                <c:pt idx="164">
                  <c:v>38231</c:v>
                </c:pt>
                <c:pt idx="165">
                  <c:v>38261</c:v>
                </c:pt>
                <c:pt idx="166">
                  <c:v>38292</c:v>
                </c:pt>
                <c:pt idx="167">
                  <c:v>38322</c:v>
                </c:pt>
                <c:pt idx="168">
                  <c:v>38353</c:v>
                </c:pt>
                <c:pt idx="169">
                  <c:v>38384</c:v>
                </c:pt>
                <c:pt idx="170">
                  <c:v>38412</c:v>
                </c:pt>
                <c:pt idx="171">
                  <c:v>38443</c:v>
                </c:pt>
                <c:pt idx="172">
                  <c:v>38473</c:v>
                </c:pt>
                <c:pt idx="173">
                  <c:v>38504</c:v>
                </c:pt>
                <c:pt idx="174">
                  <c:v>38534</c:v>
                </c:pt>
                <c:pt idx="175">
                  <c:v>38565</c:v>
                </c:pt>
                <c:pt idx="176">
                  <c:v>38596</c:v>
                </c:pt>
                <c:pt idx="177">
                  <c:v>38626</c:v>
                </c:pt>
                <c:pt idx="178">
                  <c:v>38657</c:v>
                </c:pt>
                <c:pt idx="179">
                  <c:v>38687</c:v>
                </c:pt>
                <c:pt idx="180">
                  <c:v>38718</c:v>
                </c:pt>
                <c:pt idx="181">
                  <c:v>38749</c:v>
                </c:pt>
                <c:pt idx="182">
                  <c:v>38777</c:v>
                </c:pt>
                <c:pt idx="183">
                  <c:v>38808</c:v>
                </c:pt>
                <c:pt idx="184">
                  <c:v>38838</c:v>
                </c:pt>
                <c:pt idx="185">
                  <c:v>38869</c:v>
                </c:pt>
                <c:pt idx="186">
                  <c:v>38899</c:v>
                </c:pt>
                <c:pt idx="187">
                  <c:v>38930</c:v>
                </c:pt>
                <c:pt idx="188">
                  <c:v>38961</c:v>
                </c:pt>
                <c:pt idx="189">
                  <c:v>38991</c:v>
                </c:pt>
                <c:pt idx="190">
                  <c:v>39022</c:v>
                </c:pt>
                <c:pt idx="191">
                  <c:v>39052</c:v>
                </c:pt>
                <c:pt idx="192">
                  <c:v>39083</c:v>
                </c:pt>
                <c:pt idx="193">
                  <c:v>39114</c:v>
                </c:pt>
                <c:pt idx="194">
                  <c:v>39142</c:v>
                </c:pt>
                <c:pt idx="195">
                  <c:v>39173</c:v>
                </c:pt>
                <c:pt idx="196">
                  <c:v>39203</c:v>
                </c:pt>
                <c:pt idx="197">
                  <c:v>39234</c:v>
                </c:pt>
                <c:pt idx="198">
                  <c:v>39264</c:v>
                </c:pt>
                <c:pt idx="199">
                  <c:v>39295</c:v>
                </c:pt>
                <c:pt idx="200">
                  <c:v>39326</c:v>
                </c:pt>
                <c:pt idx="201">
                  <c:v>39356</c:v>
                </c:pt>
                <c:pt idx="202">
                  <c:v>39387</c:v>
                </c:pt>
                <c:pt idx="203">
                  <c:v>39417</c:v>
                </c:pt>
                <c:pt idx="204">
                  <c:v>39448</c:v>
                </c:pt>
                <c:pt idx="205">
                  <c:v>39479</c:v>
                </c:pt>
                <c:pt idx="206">
                  <c:v>39508</c:v>
                </c:pt>
                <c:pt idx="207">
                  <c:v>39539</c:v>
                </c:pt>
                <c:pt idx="208">
                  <c:v>39569</c:v>
                </c:pt>
                <c:pt idx="209">
                  <c:v>39600</c:v>
                </c:pt>
                <c:pt idx="210">
                  <c:v>39630</c:v>
                </c:pt>
                <c:pt idx="211">
                  <c:v>39661</c:v>
                </c:pt>
                <c:pt idx="212">
                  <c:v>39692</c:v>
                </c:pt>
                <c:pt idx="213">
                  <c:v>39722</c:v>
                </c:pt>
                <c:pt idx="214">
                  <c:v>39753</c:v>
                </c:pt>
                <c:pt idx="215">
                  <c:v>39783</c:v>
                </c:pt>
                <c:pt idx="216">
                  <c:v>39814</c:v>
                </c:pt>
                <c:pt idx="217">
                  <c:v>39845</c:v>
                </c:pt>
                <c:pt idx="218">
                  <c:v>39873</c:v>
                </c:pt>
                <c:pt idx="219">
                  <c:v>39904</c:v>
                </c:pt>
                <c:pt idx="220">
                  <c:v>39934</c:v>
                </c:pt>
                <c:pt idx="221">
                  <c:v>39965</c:v>
                </c:pt>
                <c:pt idx="222">
                  <c:v>39995</c:v>
                </c:pt>
                <c:pt idx="223">
                  <c:v>40026</c:v>
                </c:pt>
                <c:pt idx="224">
                  <c:v>40057</c:v>
                </c:pt>
                <c:pt idx="225">
                  <c:v>40087</c:v>
                </c:pt>
                <c:pt idx="226">
                  <c:v>40118</c:v>
                </c:pt>
                <c:pt idx="227">
                  <c:v>40148</c:v>
                </c:pt>
                <c:pt idx="228">
                  <c:v>40179</c:v>
                </c:pt>
                <c:pt idx="229">
                  <c:v>40210</c:v>
                </c:pt>
                <c:pt idx="230">
                  <c:v>40238</c:v>
                </c:pt>
                <c:pt idx="231">
                  <c:v>40269</c:v>
                </c:pt>
                <c:pt idx="232">
                  <c:v>40299</c:v>
                </c:pt>
                <c:pt idx="233">
                  <c:v>40330</c:v>
                </c:pt>
                <c:pt idx="234">
                  <c:v>40360</c:v>
                </c:pt>
                <c:pt idx="235">
                  <c:v>40391</c:v>
                </c:pt>
                <c:pt idx="236">
                  <c:v>40422</c:v>
                </c:pt>
                <c:pt idx="237">
                  <c:v>40452</c:v>
                </c:pt>
                <c:pt idx="238">
                  <c:v>40483</c:v>
                </c:pt>
                <c:pt idx="239">
                  <c:v>40513</c:v>
                </c:pt>
                <c:pt idx="240">
                  <c:v>40544</c:v>
                </c:pt>
                <c:pt idx="241">
                  <c:v>40575</c:v>
                </c:pt>
                <c:pt idx="242">
                  <c:v>40603</c:v>
                </c:pt>
                <c:pt idx="243">
                  <c:v>40634</c:v>
                </c:pt>
                <c:pt idx="244">
                  <c:v>40664</c:v>
                </c:pt>
                <c:pt idx="245">
                  <c:v>40695</c:v>
                </c:pt>
                <c:pt idx="246">
                  <c:v>40725</c:v>
                </c:pt>
                <c:pt idx="247">
                  <c:v>40756</c:v>
                </c:pt>
                <c:pt idx="248">
                  <c:v>40787</c:v>
                </c:pt>
                <c:pt idx="249">
                  <c:v>40817</c:v>
                </c:pt>
                <c:pt idx="250">
                  <c:v>40848</c:v>
                </c:pt>
                <c:pt idx="251">
                  <c:v>40878</c:v>
                </c:pt>
                <c:pt idx="252">
                  <c:v>40909</c:v>
                </c:pt>
                <c:pt idx="253">
                  <c:v>40940</c:v>
                </c:pt>
                <c:pt idx="254">
                  <c:v>40969</c:v>
                </c:pt>
                <c:pt idx="255">
                  <c:v>41000</c:v>
                </c:pt>
                <c:pt idx="256">
                  <c:v>41030</c:v>
                </c:pt>
                <c:pt idx="257">
                  <c:v>41061</c:v>
                </c:pt>
                <c:pt idx="258">
                  <c:v>41091</c:v>
                </c:pt>
                <c:pt idx="259">
                  <c:v>41122</c:v>
                </c:pt>
                <c:pt idx="260">
                  <c:v>41153</c:v>
                </c:pt>
                <c:pt idx="261">
                  <c:v>41183</c:v>
                </c:pt>
                <c:pt idx="262">
                  <c:v>41214</c:v>
                </c:pt>
                <c:pt idx="263">
                  <c:v>41244</c:v>
                </c:pt>
                <c:pt idx="264">
                  <c:v>41275</c:v>
                </c:pt>
                <c:pt idx="265">
                  <c:v>41306</c:v>
                </c:pt>
                <c:pt idx="266">
                  <c:v>41334</c:v>
                </c:pt>
                <c:pt idx="267">
                  <c:v>41365</c:v>
                </c:pt>
                <c:pt idx="268">
                  <c:v>41395</c:v>
                </c:pt>
                <c:pt idx="269">
                  <c:v>41426</c:v>
                </c:pt>
                <c:pt idx="270">
                  <c:v>41456</c:v>
                </c:pt>
                <c:pt idx="271">
                  <c:v>41487</c:v>
                </c:pt>
                <c:pt idx="272">
                  <c:v>41518</c:v>
                </c:pt>
                <c:pt idx="273">
                  <c:v>41548</c:v>
                </c:pt>
                <c:pt idx="274">
                  <c:v>41579</c:v>
                </c:pt>
                <c:pt idx="275">
                  <c:v>41609</c:v>
                </c:pt>
                <c:pt idx="276">
                  <c:v>41640</c:v>
                </c:pt>
                <c:pt idx="277">
                  <c:v>41671</c:v>
                </c:pt>
                <c:pt idx="278">
                  <c:v>41699</c:v>
                </c:pt>
                <c:pt idx="279">
                  <c:v>41730</c:v>
                </c:pt>
                <c:pt idx="280">
                  <c:v>41760</c:v>
                </c:pt>
                <c:pt idx="281">
                  <c:v>41791</c:v>
                </c:pt>
                <c:pt idx="282">
                  <c:v>41821</c:v>
                </c:pt>
                <c:pt idx="283">
                  <c:v>41852</c:v>
                </c:pt>
                <c:pt idx="284">
                  <c:v>41883</c:v>
                </c:pt>
                <c:pt idx="285">
                  <c:v>41913</c:v>
                </c:pt>
                <c:pt idx="286">
                  <c:v>41944</c:v>
                </c:pt>
                <c:pt idx="287">
                  <c:v>41974</c:v>
                </c:pt>
                <c:pt idx="288">
                  <c:v>42005</c:v>
                </c:pt>
                <c:pt idx="289">
                  <c:v>42036</c:v>
                </c:pt>
                <c:pt idx="290">
                  <c:v>42064</c:v>
                </c:pt>
                <c:pt idx="291">
                  <c:v>42095</c:v>
                </c:pt>
                <c:pt idx="292">
                  <c:v>42125</c:v>
                </c:pt>
                <c:pt idx="293">
                  <c:v>42156</c:v>
                </c:pt>
                <c:pt idx="294">
                  <c:v>42186</c:v>
                </c:pt>
                <c:pt idx="295">
                  <c:v>42217</c:v>
                </c:pt>
                <c:pt idx="296">
                  <c:v>42248</c:v>
                </c:pt>
                <c:pt idx="297">
                  <c:v>42278</c:v>
                </c:pt>
                <c:pt idx="298">
                  <c:v>42309</c:v>
                </c:pt>
                <c:pt idx="299">
                  <c:v>42339</c:v>
                </c:pt>
                <c:pt idx="300">
                  <c:v>42370</c:v>
                </c:pt>
                <c:pt idx="301">
                  <c:v>42401</c:v>
                </c:pt>
                <c:pt idx="302">
                  <c:v>42430</c:v>
                </c:pt>
                <c:pt idx="303">
                  <c:v>42461</c:v>
                </c:pt>
                <c:pt idx="304">
                  <c:v>42491</c:v>
                </c:pt>
                <c:pt idx="305">
                  <c:v>42522</c:v>
                </c:pt>
                <c:pt idx="306">
                  <c:v>42552</c:v>
                </c:pt>
                <c:pt idx="307">
                  <c:v>42583</c:v>
                </c:pt>
                <c:pt idx="308">
                  <c:v>42614</c:v>
                </c:pt>
                <c:pt idx="309">
                  <c:v>42644</c:v>
                </c:pt>
                <c:pt idx="310">
                  <c:v>42675</c:v>
                </c:pt>
                <c:pt idx="311">
                  <c:v>42705</c:v>
                </c:pt>
                <c:pt idx="312">
                  <c:v>42736</c:v>
                </c:pt>
                <c:pt idx="313">
                  <c:v>42767</c:v>
                </c:pt>
                <c:pt idx="314">
                  <c:v>42795</c:v>
                </c:pt>
                <c:pt idx="315">
                  <c:v>42826</c:v>
                </c:pt>
                <c:pt idx="316">
                  <c:v>42856</c:v>
                </c:pt>
                <c:pt idx="317">
                  <c:v>42887</c:v>
                </c:pt>
                <c:pt idx="318">
                  <c:v>42917</c:v>
                </c:pt>
                <c:pt idx="319">
                  <c:v>42948</c:v>
                </c:pt>
                <c:pt idx="320">
                  <c:v>42979</c:v>
                </c:pt>
                <c:pt idx="321">
                  <c:v>43009</c:v>
                </c:pt>
                <c:pt idx="322">
                  <c:v>43040</c:v>
                </c:pt>
                <c:pt idx="323">
                  <c:v>43070</c:v>
                </c:pt>
                <c:pt idx="324">
                  <c:v>43101</c:v>
                </c:pt>
                <c:pt idx="325">
                  <c:v>43132</c:v>
                </c:pt>
                <c:pt idx="326">
                  <c:v>43160</c:v>
                </c:pt>
                <c:pt idx="327">
                  <c:v>43191</c:v>
                </c:pt>
                <c:pt idx="328">
                  <c:v>43221</c:v>
                </c:pt>
                <c:pt idx="329">
                  <c:v>43252</c:v>
                </c:pt>
                <c:pt idx="330">
                  <c:v>43282</c:v>
                </c:pt>
                <c:pt idx="331">
                  <c:v>43313</c:v>
                </c:pt>
                <c:pt idx="332">
                  <c:v>43344</c:v>
                </c:pt>
                <c:pt idx="333">
                  <c:v>43374</c:v>
                </c:pt>
                <c:pt idx="334">
                  <c:v>43405</c:v>
                </c:pt>
                <c:pt idx="335">
                  <c:v>43435</c:v>
                </c:pt>
                <c:pt idx="336">
                  <c:v>43466</c:v>
                </c:pt>
                <c:pt idx="337">
                  <c:v>43497</c:v>
                </c:pt>
                <c:pt idx="338">
                  <c:v>43525</c:v>
                </c:pt>
                <c:pt idx="339">
                  <c:v>43556</c:v>
                </c:pt>
                <c:pt idx="340">
                  <c:v>43586</c:v>
                </c:pt>
                <c:pt idx="341">
                  <c:v>43617</c:v>
                </c:pt>
                <c:pt idx="342">
                  <c:v>43647</c:v>
                </c:pt>
                <c:pt idx="343">
                  <c:v>43678</c:v>
                </c:pt>
                <c:pt idx="344">
                  <c:v>43709</c:v>
                </c:pt>
                <c:pt idx="345">
                  <c:v>43739</c:v>
                </c:pt>
                <c:pt idx="346">
                  <c:v>43770</c:v>
                </c:pt>
                <c:pt idx="347">
                  <c:v>43800</c:v>
                </c:pt>
                <c:pt idx="348">
                  <c:v>43831</c:v>
                </c:pt>
                <c:pt idx="349">
                  <c:v>43862</c:v>
                </c:pt>
                <c:pt idx="350">
                  <c:v>43891</c:v>
                </c:pt>
                <c:pt idx="351">
                  <c:v>43922</c:v>
                </c:pt>
                <c:pt idx="352">
                  <c:v>43952</c:v>
                </c:pt>
                <c:pt idx="353">
                  <c:v>43983</c:v>
                </c:pt>
                <c:pt idx="354">
                  <c:v>44013</c:v>
                </c:pt>
                <c:pt idx="355">
                  <c:v>44044</c:v>
                </c:pt>
                <c:pt idx="356">
                  <c:v>44075</c:v>
                </c:pt>
                <c:pt idx="357">
                  <c:v>44105</c:v>
                </c:pt>
                <c:pt idx="358">
                  <c:v>44136</c:v>
                </c:pt>
                <c:pt idx="359">
                  <c:v>44166</c:v>
                </c:pt>
                <c:pt idx="360">
                  <c:v>44197</c:v>
                </c:pt>
                <c:pt idx="361">
                  <c:v>44228</c:v>
                </c:pt>
                <c:pt idx="362">
                  <c:v>44256</c:v>
                </c:pt>
                <c:pt idx="363">
                  <c:v>44287</c:v>
                </c:pt>
                <c:pt idx="364">
                  <c:v>44317</c:v>
                </c:pt>
                <c:pt idx="365">
                  <c:v>44348</c:v>
                </c:pt>
                <c:pt idx="366">
                  <c:v>44378</c:v>
                </c:pt>
                <c:pt idx="367">
                  <c:v>44409</c:v>
                </c:pt>
                <c:pt idx="368">
                  <c:v>44440</c:v>
                </c:pt>
                <c:pt idx="369">
                  <c:v>44470</c:v>
                </c:pt>
                <c:pt idx="370">
                  <c:v>44501</c:v>
                </c:pt>
                <c:pt idx="371">
                  <c:v>44531</c:v>
                </c:pt>
                <c:pt idx="372">
                  <c:v>44562</c:v>
                </c:pt>
                <c:pt idx="373">
                  <c:v>44593</c:v>
                </c:pt>
                <c:pt idx="374">
                  <c:v>44621</c:v>
                </c:pt>
                <c:pt idx="375">
                  <c:v>44652</c:v>
                </c:pt>
                <c:pt idx="376">
                  <c:v>44682</c:v>
                </c:pt>
                <c:pt idx="377">
                  <c:v>44713</c:v>
                </c:pt>
                <c:pt idx="378">
                  <c:v>44743</c:v>
                </c:pt>
                <c:pt idx="379">
                  <c:v>44774</c:v>
                </c:pt>
                <c:pt idx="380">
                  <c:v>44805</c:v>
                </c:pt>
                <c:pt idx="381">
                  <c:v>44835</c:v>
                </c:pt>
                <c:pt idx="382">
                  <c:v>44866</c:v>
                </c:pt>
                <c:pt idx="383">
                  <c:v>44896</c:v>
                </c:pt>
                <c:pt idx="384">
                  <c:v>44927</c:v>
                </c:pt>
                <c:pt idx="385">
                  <c:v>44958</c:v>
                </c:pt>
                <c:pt idx="386">
                  <c:v>44986</c:v>
                </c:pt>
                <c:pt idx="387">
                  <c:v>45017</c:v>
                </c:pt>
                <c:pt idx="388">
                  <c:v>45047</c:v>
                </c:pt>
                <c:pt idx="389">
                  <c:v>45078</c:v>
                </c:pt>
                <c:pt idx="390">
                  <c:v>45108</c:v>
                </c:pt>
                <c:pt idx="391">
                  <c:v>45139</c:v>
                </c:pt>
                <c:pt idx="392">
                  <c:v>45170</c:v>
                </c:pt>
                <c:pt idx="393">
                  <c:v>45200</c:v>
                </c:pt>
                <c:pt idx="394">
                  <c:v>45231</c:v>
                </c:pt>
                <c:pt idx="395">
                  <c:v>45261</c:v>
                </c:pt>
                <c:pt idx="396">
                  <c:v>45292</c:v>
                </c:pt>
                <c:pt idx="397">
                  <c:v>45323</c:v>
                </c:pt>
                <c:pt idx="398">
                  <c:v>45352</c:v>
                </c:pt>
                <c:pt idx="399">
                  <c:v>45383</c:v>
                </c:pt>
                <c:pt idx="400">
                  <c:v>45413</c:v>
                </c:pt>
                <c:pt idx="401">
                  <c:v>45444</c:v>
                </c:pt>
                <c:pt idx="402">
                  <c:v>45474</c:v>
                </c:pt>
                <c:pt idx="403">
                  <c:v>45505</c:v>
                </c:pt>
                <c:pt idx="404">
                  <c:v>45536</c:v>
                </c:pt>
                <c:pt idx="405">
                  <c:v>45566</c:v>
                </c:pt>
              </c:numCache>
            </c:numRef>
          </c:cat>
          <c:val>
            <c:numRef>
              <c:f>Original!$K$2:$K$411</c:f>
              <c:numCache>
                <c:formatCode>General</c:formatCode>
                <c:ptCount val="410"/>
                <c:pt idx="17" formatCode="0.0">
                  <c:v>3.0785563298071597</c:v>
                </c:pt>
                <c:pt idx="18" formatCode="0.0">
                  <c:v>3.2263646133106825</c:v>
                </c:pt>
                <c:pt idx="19" formatCode="0.0">
                  <c:v>3.3446130135779977</c:v>
                </c:pt>
                <c:pt idx="20" formatCode="0.0">
                  <c:v>3.4881986152780988</c:v>
                </c:pt>
                <c:pt idx="21" formatCode="0.0">
                  <c:v>3.6134963326092824</c:v>
                </c:pt>
                <c:pt idx="22" formatCode="0.0">
                  <c:v>3.7542410385201053</c:v>
                </c:pt>
                <c:pt idx="23" formatCode="0.0">
                  <c:v>3.8711397705424222</c:v>
                </c:pt>
                <c:pt idx="24" formatCode="0.0">
                  <c:v>3.9678175779170548</c:v>
                </c:pt>
                <c:pt idx="25" formatCode="0.0">
                  <c:v>4.0495858438653904</c:v>
                </c:pt>
                <c:pt idx="26" formatCode="0.0">
                  <c:v>4.1335881305520488</c:v>
                </c:pt>
                <c:pt idx="27" formatCode="0.0">
                  <c:v>4.1718856613223005</c:v>
                </c:pt>
                <c:pt idx="28" formatCode="0.0">
                  <c:v>4.2648598242449749</c:v>
                </c:pt>
                <c:pt idx="29" formatCode="0.0">
                  <c:v>4.3748734109115697</c:v>
                </c:pt>
                <c:pt idx="30" formatCode="0.0">
                  <c:v>4.4482237276472594</c:v>
                </c:pt>
                <c:pt idx="31" formatCode="0.0">
                  <c:v>4.5421457719352283</c:v>
                </c:pt>
                <c:pt idx="32" formatCode="0.0">
                  <c:v>4.5975437121829748</c:v>
                </c:pt>
                <c:pt idx="33" formatCode="0.0">
                  <c:v>4.640648240585894</c:v>
                </c:pt>
                <c:pt idx="34" formatCode="0.0">
                  <c:v>4.648696313396238</c:v>
                </c:pt>
                <c:pt idx="35" formatCode="0.0">
                  <c:v>4.6800461562738906</c:v>
                </c:pt>
                <c:pt idx="36" formatCode="0.0">
                  <c:v>4.6935842725257624</c:v>
                </c:pt>
                <c:pt idx="37" formatCode="0.0">
                  <c:v>4.7030382647284315</c:v>
                </c:pt>
                <c:pt idx="38" formatCode="0.0">
                  <c:v>4.6860104295121827</c:v>
                </c:pt>
                <c:pt idx="39" formatCode="0.0">
                  <c:v>4.6516207159998606</c:v>
                </c:pt>
                <c:pt idx="40" formatCode="0.0">
                  <c:v>4.5992401903426421</c:v>
                </c:pt>
                <c:pt idx="41" formatCode="0.0">
                  <c:v>4.5172761918930426</c:v>
                </c:pt>
                <c:pt idx="42" formatCode="0.0">
                  <c:v>4.4299687989117915</c:v>
                </c:pt>
                <c:pt idx="43" formatCode="0.0">
                  <c:v>4.3756923412724236</c:v>
                </c:pt>
                <c:pt idx="44" formatCode="0.0">
                  <c:v>4.2699755097177432</c:v>
                </c:pt>
                <c:pt idx="45" formatCode="0.0">
                  <c:v>4.2111292852799878</c:v>
                </c:pt>
                <c:pt idx="46" formatCode="0.0">
                  <c:v>4.1413403968128399</c:v>
                </c:pt>
                <c:pt idx="47" formatCode="0.0">
                  <c:v>4.0444183177786863</c:v>
                </c:pt>
                <c:pt idx="48" formatCode="0.0">
                  <c:v>3.9424994401093567</c:v>
                </c:pt>
                <c:pt idx="49" formatCode="0.0">
                  <c:v>3.8351978499017325</c:v>
                </c:pt>
                <c:pt idx="50" formatCode="0.0">
                  <c:v>3.7130669746452014</c:v>
                </c:pt>
                <c:pt idx="51" formatCode="0.0">
                  <c:v>3.6420774208606552</c:v>
                </c:pt>
                <c:pt idx="52" formatCode="0.0">
                  <c:v>3.5610381290580246</c:v>
                </c:pt>
                <c:pt idx="53" formatCode="0.0">
                  <c:v>3.5014081605248006</c:v>
                </c:pt>
                <c:pt idx="54" formatCode="0.0">
                  <c:v>3.4400610081744696</c:v>
                </c:pt>
                <c:pt idx="55" formatCode="0.0">
                  <c:v>3.3090260960856317</c:v>
                </c:pt>
                <c:pt idx="56" formatCode="0.0">
                  <c:v>3.242201374723706</c:v>
                </c:pt>
                <c:pt idx="57" formatCode="0.0">
                  <c:v>3.155065132505984</c:v>
                </c:pt>
                <c:pt idx="58" formatCode="0.0">
                  <c:v>3.0431182393180927</c:v>
                </c:pt>
                <c:pt idx="59" formatCode="0.0">
                  <c:v>2.9740118039532208</c:v>
                </c:pt>
                <c:pt idx="60" formatCode="0.0">
                  <c:v>2.9138177420562594</c:v>
                </c:pt>
                <c:pt idx="61" formatCode="0.0">
                  <c:v>2.8390547354022591</c:v>
                </c:pt>
                <c:pt idx="62" formatCode="0.0">
                  <c:v>2.7769689573302081</c:v>
                </c:pt>
                <c:pt idx="63" formatCode="0.0">
                  <c:v>2.7331346731126445</c:v>
                </c:pt>
                <c:pt idx="64" formatCode="0.0">
                  <c:v>2.6533929154701337</c:v>
                </c:pt>
                <c:pt idx="65" formatCode="0.0">
                  <c:v>2.5867367614146954</c:v>
                </c:pt>
                <c:pt idx="66" formatCode="0.0">
                  <c:v>2.5351544734684457</c:v>
                </c:pt>
                <c:pt idx="67" formatCode="0.0">
                  <c:v>2.5290767957938027</c:v>
                </c:pt>
                <c:pt idx="68" formatCode="0.0">
                  <c:v>2.5409519978709478</c:v>
                </c:pt>
                <c:pt idx="69" formatCode="0.0">
                  <c:v>2.5492086722594816</c:v>
                </c:pt>
                <c:pt idx="70" formatCode="0.0">
                  <c:v>2.5719401176304193</c:v>
                </c:pt>
                <c:pt idx="71" formatCode="0.0">
                  <c:v>2.5821972430071649</c:v>
                </c:pt>
                <c:pt idx="72" formatCode="0.0">
                  <c:v>2.557000907199757</c:v>
                </c:pt>
                <c:pt idx="73" formatCode="0.0">
                  <c:v>2.5808004908855717</c:v>
                </c:pt>
                <c:pt idx="74" formatCode="0.0">
                  <c:v>2.618703658709856</c:v>
                </c:pt>
                <c:pt idx="75" formatCode="0.0">
                  <c:v>2.6247659726349055</c:v>
                </c:pt>
                <c:pt idx="76" formatCode="0.0">
                  <c:v>2.6524488542284774</c:v>
                </c:pt>
                <c:pt idx="77" formatCode="0.0">
                  <c:v>2.6989503008474798</c:v>
                </c:pt>
                <c:pt idx="78" formatCode="0.0">
                  <c:v>2.7087651251937985</c:v>
                </c:pt>
                <c:pt idx="79" formatCode="0.0">
                  <c:v>2.7179041877510617</c:v>
                </c:pt>
                <c:pt idx="80" formatCode="0.0">
                  <c:v>2.7335871703037213</c:v>
                </c:pt>
                <c:pt idx="81" formatCode="0.0">
                  <c:v>2.7283090719823551</c:v>
                </c:pt>
                <c:pt idx="82" formatCode="0.0">
                  <c:v>2.7186775106223497</c:v>
                </c:pt>
                <c:pt idx="83" formatCode="0.0">
                  <c:v>2.697147623173437</c:v>
                </c:pt>
                <c:pt idx="84" formatCode="0.0">
                  <c:v>2.7050624792447517</c:v>
                </c:pt>
                <c:pt idx="85" formatCode="0.0">
                  <c:v>2.6589594110946768</c:v>
                </c:pt>
                <c:pt idx="86" formatCode="0.0">
                  <c:v>2.6174060600331015</c:v>
                </c:pt>
                <c:pt idx="87" formatCode="0.0">
                  <c:v>2.6002235649867051</c:v>
                </c:pt>
                <c:pt idx="88" formatCode="0.0">
                  <c:v>2.5761262230062063</c:v>
                </c:pt>
                <c:pt idx="89" formatCode="0.0">
                  <c:v>2.5255318549316583</c:v>
                </c:pt>
                <c:pt idx="90" formatCode="0.0">
                  <c:v>2.5217071280718923</c:v>
                </c:pt>
                <c:pt idx="91" formatCode="0.0">
                  <c:v>2.5014371875988806</c:v>
                </c:pt>
                <c:pt idx="92" formatCode="0.0">
                  <c:v>2.4377039727909779</c:v>
                </c:pt>
                <c:pt idx="93" formatCode="0.0">
                  <c:v>2.3950243501739932</c:v>
                </c:pt>
                <c:pt idx="94" formatCode="0.0">
                  <c:v>2.389996968650729</c:v>
                </c:pt>
                <c:pt idx="95" formatCode="0.0">
                  <c:v>2.3827629329937317</c:v>
                </c:pt>
                <c:pt idx="96" formatCode="0.0">
                  <c:v>2.3489240513778609</c:v>
                </c:pt>
                <c:pt idx="97" formatCode="0.0">
                  <c:v>2.3475247436870572</c:v>
                </c:pt>
                <c:pt idx="98" formatCode="0.0">
                  <c:v>2.333659192344308</c:v>
                </c:pt>
                <c:pt idx="99" formatCode="0.0">
                  <c:v>2.3112838237120967</c:v>
                </c:pt>
                <c:pt idx="100" formatCode="0.0">
                  <c:v>2.3318679866668535</c:v>
                </c:pt>
                <c:pt idx="101" formatCode="0.0">
                  <c:v>2.3076528682924238</c:v>
                </c:pt>
                <c:pt idx="102" formatCode="0.0">
                  <c:v>2.2750838182466566</c:v>
                </c:pt>
                <c:pt idx="103" formatCode="0.0">
                  <c:v>2.246748353729592</c:v>
                </c:pt>
                <c:pt idx="104" formatCode="0.0">
                  <c:v>2.2421241454662408</c:v>
                </c:pt>
                <c:pt idx="105" formatCode="0.0">
                  <c:v>2.2257023139592644</c:v>
                </c:pt>
                <c:pt idx="106" formatCode="0.0">
                  <c:v>2.1888680870379686</c:v>
                </c:pt>
                <c:pt idx="107" formatCode="0.0">
                  <c:v>2.1687692454872987</c:v>
                </c:pt>
                <c:pt idx="108" formatCode="0.0">
                  <c:v>2.1579825775448218</c:v>
                </c:pt>
                <c:pt idx="109" formatCode="0.0">
                  <c:v>2.1268378244241526</c:v>
                </c:pt>
                <c:pt idx="110" formatCode="0.0">
                  <c:v>2.1169217420101227</c:v>
                </c:pt>
                <c:pt idx="111" formatCode="0.0">
                  <c:v>2.0857554756106933</c:v>
                </c:pt>
                <c:pt idx="112" formatCode="0.0">
                  <c:v>2.0358189339783537</c:v>
                </c:pt>
                <c:pt idx="113" formatCode="0.0">
                  <c:v>2.0248549475457742</c:v>
                </c:pt>
                <c:pt idx="114" formatCode="0.0">
                  <c:v>2.0003383646691524</c:v>
                </c:pt>
                <c:pt idx="115" formatCode="0.0">
                  <c:v>1.9698671976017958</c:v>
                </c:pt>
                <c:pt idx="116" formatCode="0.0">
                  <c:v>1.9042734279872924</c:v>
                </c:pt>
                <c:pt idx="117" formatCode="0.0">
                  <c:v>1.8587777689303584</c:v>
                </c:pt>
                <c:pt idx="118" formatCode="0.0">
                  <c:v>1.811682057156986</c:v>
                </c:pt>
                <c:pt idx="119" formatCode="0.0">
                  <c:v>1.7506290951968844</c:v>
                </c:pt>
                <c:pt idx="120" formatCode="0.0">
                  <c:v>1.6939602540381251</c:v>
                </c:pt>
                <c:pt idx="121" formatCode="0.0">
                  <c:v>1.6283397242903426</c:v>
                </c:pt>
                <c:pt idx="122" formatCode="0.0">
                  <c:v>1.5654922282483783</c:v>
                </c:pt>
                <c:pt idx="123" formatCode="0.0">
                  <c:v>1.5335489557962581</c:v>
                </c:pt>
                <c:pt idx="124" formatCode="0.0">
                  <c:v>1.48856433384958</c:v>
                </c:pt>
                <c:pt idx="125" formatCode="0.0">
                  <c:v>1.4540048843601172</c:v>
                </c:pt>
                <c:pt idx="126" formatCode="0.0">
                  <c:v>1.4151361923218106</c:v>
                </c:pt>
                <c:pt idx="127" formatCode="0.0">
                  <c:v>1.3898219603805106</c:v>
                </c:pt>
                <c:pt idx="128" formatCode="0.0">
                  <c:v>1.3692023317832451</c:v>
                </c:pt>
                <c:pt idx="129" formatCode="0.0">
                  <c:v>1.3591788282886308</c:v>
                </c:pt>
                <c:pt idx="130" formatCode="0.0">
                  <c:v>1.3380404712280967</c:v>
                </c:pt>
                <c:pt idx="131" formatCode="0.0">
                  <c:v>1.3469776908121007</c:v>
                </c:pt>
                <c:pt idx="132" formatCode="0.0">
                  <c:v>1.350669104121011</c:v>
                </c:pt>
                <c:pt idx="133" formatCode="0.0">
                  <c:v>1.3637147828037641</c:v>
                </c:pt>
                <c:pt idx="134" formatCode="0.0">
                  <c:v>1.3789531894496907</c:v>
                </c:pt>
                <c:pt idx="135" formatCode="0.0">
                  <c:v>1.3629440123710184</c:v>
                </c:pt>
                <c:pt idx="136" formatCode="0.0">
                  <c:v>1.3530439828853993</c:v>
                </c:pt>
                <c:pt idx="137" formatCode="0.0">
                  <c:v>1.3511867434096934</c:v>
                </c:pt>
                <c:pt idx="138" formatCode="0.0">
                  <c:v>1.3415930932413467</c:v>
                </c:pt>
                <c:pt idx="139" formatCode="0.0">
                  <c:v>1.3188375463412465</c:v>
                </c:pt>
                <c:pt idx="140" formatCode="0.0">
                  <c:v>1.3216896496534225</c:v>
                </c:pt>
                <c:pt idx="141" formatCode="0.0">
                  <c:v>1.3058504259011541</c:v>
                </c:pt>
                <c:pt idx="142" formatCode="0.0">
                  <c:v>1.3039086370346009</c:v>
                </c:pt>
                <c:pt idx="143" formatCode="0.0">
                  <c:v>1.283573048086035</c:v>
                </c:pt>
                <c:pt idx="144" formatCode="0.0">
                  <c:v>1.265127956596825</c:v>
                </c:pt>
                <c:pt idx="145" formatCode="0.0">
                  <c:v>1.229677236376395</c:v>
                </c:pt>
                <c:pt idx="146" formatCode="0.0">
                  <c:v>1.1793409239394277</c:v>
                </c:pt>
                <c:pt idx="147" formatCode="0.0">
                  <c:v>1.1623778441409016</c:v>
                </c:pt>
                <c:pt idx="148" formatCode="0.0">
                  <c:v>1.1499048277409274</c:v>
                </c:pt>
                <c:pt idx="149" formatCode="0.0">
                  <c:v>1.1254019527856816</c:v>
                </c:pt>
                <c:pt idx="150" formatCode="0.0">
                  <c:v>1.118714973124554</c:v>
                </c:pt>
                <c:pt idx="151" formatCode="0.0">
                  <c:v>1.1224025495636549</c:v>
                </c:pt>
                <c:pt idx="152" formatCode="0.0">
                  <c:v>1.1141133976338033</c:v>
                </c:pt>
                <c:pt idx="153" formatCode="0.0">
                  <c:v>1.1112087853172168</c:v>
                </c:pt>
                <c:pt idx="154" formatCode="0.0">
                  <c:v>1.0974803184415192</c:v>
                </c:pt>
                <c:pt idx="155" formatCode="0.0">
                  <c:v>1.0788285994499329</c:v>
                </c:pt>
                <c:pt idx="156" formatCode="0.0">
                  <c:v>1.0836157201973378</c:v>
                </c:pt>
                <c:pt idx="157" formatCode="0.0">
                  <c:v>1.102513008833987</c:v>
                </c:pt>
                <c:pt idx="158" formatCode="0.0">
                  <c:v>1.1132687540513169</c:v>
                </c:pt>
                <c:pt idx="159" formatCode="0.0">
                  <c:v>1.1314657650074211</c:v>
                </c:pt>
                <c:pt idx="160" formatCode="0.0">
                  <c:v>1.1322313505055219</c:v>
                </c:pt>
                <c:pt idx="161" formatCode="0.0">
                  <c:v>1.1291535014009912</c:v>
                </c:pt>
                <c:pt idx="162" formatCode="0.0">
                  <c:v>1.1370587493051778</c:v>
                </c:pt>
                <c:pt idx="163" formatCode="0.0">
                  <c:v>1.1458620888396254</c:v>
                </c:pt>
                <c:pt idx="164" formatCode="0.0">
                  <c:v>1.1559606199780303</c:v>
                </c:pt>
                <c:pt idx="165" formatCode="0.0">
                  <c:v>1.1743304318449344</c:v>
                </c:pt>
                <c:pt idx="166" formatCode="0.0">
                  <c:v>1.1928942395867594</c:v>
                </c:pt>
                <c:pt idx="167" formatCode="0.0">
                  <c:v>1.2043308431857758</c:v>
                </c:pt>
                <c:pt idx="168" formatCode="0.0">
                  <c:v>1.2106242314027649</c:v>
                </c:pt>
                <c:pt idx="169" formatCode="0.0">
                  <c:v>1.19745327945573</c:v>
                </c:pt>
                <c:pt idx="170" formatCode="0.0">
                  <c:v>1.1847568013316032</c:v>
                </c:pt>
                <c:pt idx="171" formatCode="0.0">
                  <c:v>1.1737868409480117</c:v>
                </c:pt>
                <c:pt idx="172" formatCode="0.0">
                  <c:v>1.1624189588720497</c:v>
                </c:pt>
                <c:pt idx="173" formatCode="0.0">
                  <c:v>1.1470555590492417</c:v>
                </c:pt>
                <c:pt idx="174" formatCode="0.0">
                  <c:v>1.1233165519291066</c:v>
                </c:pt>
                <c:pt idx="175" formatCode="0.0">
                  <c:v>1.0996793891345147</c:v>
                </c:pt>
                <c:pt idx="176" formatCode="0.0">
                  <c:v>1.0680189075305146</c:v>
                </c:pt>
                <c:pt idx="177" formatCode="0.0">
                  <c:v>1.038749677845143</c:v>
                </c:pt>
                <c:pt idx="178" formatCode="0.0">
                  <c:v>1.0252534314859616</c:v>
                </c:pt>
                <c:pt idx="179" formatCode="0.0">
                  <c:v>1.0116090896331611</c:v>
                </c:pt>
                <c:pt idx="180" formatCode="0.0">
                  <c:v>1.0043297211443905</c:v>
                </c:pt>
                <c:pt idx="181" formatCode="0.0">
                  <c:v>0.99690601236051268</c:v>
                </c:pt>
                <c:pt idx="182" formatCode="0.0">
                  <c:v>0.99436585857177517</c:v>
                </c:pt>
                <c:pt idx="183" formatCode="0.0">
                  <c:v>0.9887856314660487</c:v>
                </c:pt>
                <c:pt idx="184" formatCode="0.0">
                  <c:v>0.99528639994066814</c:v>
                </c:pt>
                <c:pt idx="185" formatCode="0.0">
                  <c:v>0.99416068604969032</c:v>
                </c:pt>
                <c:pt idx="186" formatCode="0.0">
                  <c:v>0.99192451826875849</c:v>
                </c:pt>
                <c:pt idx="187" formatCode="0.0">
                  <c:v>0.97800256513412076</c:v>
                </c:pt>
                <c:pt idx="188" formatCode="0.0">
                  <c:v>0.96635925907542097</c:v>
                </c:pt>
                <c:pt idx="189" formatCode="0.0">
                  <c:v>0.94267865006831919</c:v>
                </c:pt>
                <c:pt idx="190" formatCode="0.0">
                  <c:v>0.90645601698392542</c:v>
                </c:pt>
                <c:pt idx="191" formatCode="0.0">
                  <c:v>0.89710316008701696</c:v>
                </c:pt>
                <c:pt idx="192" formatCode="0.0">
                  <c:v>0.86510673719760722</c:v>
                </c:pt>
                <c:pt idx="193" formatCode="0.0">
                  <c:v>0.84442324967581539</c:v>
                </c:pt>
                <c:pt idx="194" formatCode="0.0">
                  <c:v>0.81128815260400788</c:v>
                </c:pt>
                <c:pt idx="195" formatCode="0.0">
                  <c:v>0.78335021668113336</c:v>
                </c:pt>
                <c:pt idx="196" formatCode="0.0">
                  <c:v>0.76213138322454255</c:v>
                </c:pt>
                <c:pt idx="197" formatCode="0.0">
                  <c:v>0.74676216794443329</c:v>
                </c:pt>
                <c:pt idx="198" formatCode="0.0">
                  <c:v>0.73286565433498918</c:v>
                </c:pt>
                <c:pt idx="199" formatCode="0.0">
                  <c:v>0.72853856609204859</c:v>
                </c:pt>
                <c:pt idx="200" formatCode="0.0">
                  <c:v>0.71837971567849213</c:v>
                </c:pt>
                <c:pt idx="201" formatCode="0.0">
                  <c:v>0.70791517246323643</c:v>
                </c:pt>
                <c:pt idx="202" formatCode="0.0">
                  <c:v>0.70947205650002554</c:v>
                </c:pt>
                <c:pt idx="203" formatCode="0.0">
                  <c:v>0.69364143852056126</c:v>
                </c:pt>
                <c:pt idx="204" formatCode="0.0">
                  <c:v>0.6866784951719539</c:v>
                </c:pt>
                <c:pt idx="205" formatCode="0.0">
                  <c:v>0.67873548960280183</c:v>
                </c:pt>
                <c:pt idx="206" formatCode="0.0">
                  <c:v>0.68875802720480861</c:v>
                </c:pt>
                <c:pt idx="207" formatCode="0.0">
                  <c:v>0.68029718043512144</c:v>
                </c:pt>
                <c:pt idx="208" formatCode="0.0">
                  <c:v>0.66429169528914078</c:v>
                </c:pt>
                <c:pt idx="209" formatCode="0.0">
                  <c:v>0.64760914888326948</c:v>
                </c:pt>
                <c:pt idx="210" formatCode="0.0">
                  <c:v>0.63954630739907747</c:v>
                </c:pt>
                <c:pt idx="211" formatCode="0.0">
                  <c:v>0.62240420584258749</c:v>
                </c:pt>
                <c:pt idx="212" formatCode="0.0">
                  <c:v>0.608212625143702</c:v>
                </c:pt>
                <c:pt idx="213" formatCode="0.0">
                  <c:v>0.60554210595642322</c:v>
                </c:pt>
                <c:pt idx="214" formatCode="0.0">
                  <c:v>0.60652332742414683</c:v>
                </c:pt>
                <c:pt idx="215" formatCode="0.0">
                  <c:v>0.61004762058094408</c:v>
                </c:pt>
                <c:pt idx="216" formatCode="0.0">
                  <c:v>0.61152325217610193</c:v>
                </c:pt>
                <c:pt idx="217" formatCode="0.0">
                  <c:v>0.61934143903101291</c:v>
                </c:pt>
                <c:pt idx="218" formatCode="0.0">
                  <c:v>0.6290357761957549</c:v>
                </c:pt>
                <c:pt idx="219" formatCode="0.0">
                  <c:v>0.63109930183662166</c:v>
                </c:pt>
                <c:pt idx="220" formatCode="0.0">
                  <c:v>0.64865112294888494</c:v>
                </c:pt>
                <c:pt idx="221" formatCode="0.0">
                  <c:v>0.68846825843568371</c:v>
                </c:pt>
                <c:pt idx="222" formatCode="0.0">
                  <c:v>0.7068821047809245</c:v>
                </c:pt>
                <c:pt idx="223" formatCode="0.0">
                  <c:v>0.74448081130855559</c:v>
                </c:pt>
                <c:pt idx="224" formatCode="0.0">
                  <c:v>0.78239881808388667</c:v>
                </c:pt>
                <c:pt idx="225" formatCode="0.0">
                  <c:v>0.81595974941893668</c:v>
                </c:pt>
                <c:pt idx="226" formatCode="0.0">
                  <c:v>0.83784654053130769</c:v>
                </c:pt>
                <c:pt idx="227" formatCode="0.0">
                  <c:v>0.85585435065224991</c:v>
                </c:pt>
                <c:pt idx="228" formatCode="0.0">
                  <c:v>0.87804264372990481</c:v>
                </c:pt>
                <c:pt idx="229" formatCode="0.0">
                  <c:v>0.89478195274625427</c:v>
                </c:pt>
                <c:pt idx="230" formatCode="0.0">
                  <c:v>0.91481887700461806</c:v>
                </c:pt>
                <c:pt idx="231" formatCode="0.0">
                  <c:v>0.94859060255241623</c:v>
                </c:pt>
                <c:pt idx="232" formatCode="0.0">
                  <c:v>0.96645315224057127</c:v>
                </c:pt>
                <c:pt idx="233" formatCode="0.0">
                  <c:v>0.98154621975752121</c:v>
                </c:pt>
                <c:pt idx="234" formatCode="0.0">
                  <c:v>1.0021940467274479</c:v>
                </c:pt>
                <c:pt idx="235" formatCode="0.0">
                  <c:v>1.0020845627142578</c:v>
                </c:pt>
                <c:pt idx="236" formatCode="0.0">
                  <c:v>1.0022321434803074</c:v>
                </c:pt>
                <c:pt idx="237" formatCode="0.0">
                  <c:v>1.0068983957333151</c:v>
                </c:pt>
                <c:pt idx="238" formatCode="0.0">
                  <c:v>1.0107823657338415</c:v>
                </c:pt>
                <c:pt idx="239" formatCode="0.0">
                  <c:v>1.0016371438443052</c:v>
                </c:pt>
                <c:pt idx="240" formatCode="0.0">
                  <c:v>0.99489397099830645</c:v>
                </c:pt>
                <c:pt idx="241" formatCode="0.0">
                  <c:v>0.99320890479867474</c:v>
                </c:pt>
                <c:pt idx="242" formatCode="0.0">
                  <c:v>0.97773448616994552</c:v>
                </c:pt>
                <c:pt idx="243" formatCode="0.0">
                  <c:v>0.96810220676005931</c:v>
                </c:pt>
                <c:pt idx="244" formatCode="0.0">
                  <c:v>0.96645739993320101</c:v>
                </c:pt>
                <c:pt idx="245" formatCode="0.0">
                  <c:v>0.94076333119584754</c:v>
                </c:pt>
                <c:pt idx="246" formatCode="0.0">
                  <c:v>0.93264889601299561</c:v>
                </c:pt>
                <c:pt idx="247" formatCode="0.0">
                  <c:v>0.94813680282467372</c:v>
                </c:pt>
                <c:pt idx="248" formatCode="0.0">
                  <c:v>0.93906873428994386</c:v>
                </c:pt>
                <c:pt idx="249" formatCode="0.0">
                  <c:v>0.92964280440294622</c:v>
                </c:pt>
                <c:pt idx="250" formatCode="0.0">
                  <c:v>0.92780781404308021</c:v>
                </c:pt>
                <c:pt idx="251" formatCode="0.0">
                  <c:v>0.94222334575411326</c:v>
                </c:pt>
                <c:pt idx="252" formatCode="0.0">
                  <c:v>0.94826794654316793</c:v>
                </c:pt>
                <c:pt idx="253" formatCode="0.0">
                  <c:v>0.94575003420412151</c:v>
                </c:pt>
                <c:pt idx="254" formatCode="0.0">
                  <c:v>0.95193369290074481</c:v>
                </c:pt>
                <c:pt idx="255" formatCode="0.0">
                  <c:v>0.95880591713668617</c:v>
                </c:pt>
                <c:pt idx="256" formatCode="0.0">
                  <c:v>0.95653328501399659</c:v>
                </c:pt>
                <c:pt idx="257" formatCode="0.0">
                  <c:v>0.96886347371528425</c:v>
                </c:pt>
                <c:pt idx="258" formatCode="0.0">
                  <c:v>0.95761523271157323</c:v>
                </c:pt>
                <c:pt idx="259" formatCode="0.0">
                  <c:v>0.93878570719000731</c:v>
                </c:pt>
                <c:pt idx="260" formatCode="0.0">
                  <c:v>0.9434747064286455</c:v>
                </c:pt>
                <c:pt idx="261" formatCode="0.0">
                  <c:v>0.93032347470882859</c:v>
                </c:pt>
                <c:pt idx="262" formatCode="0.0">
                  <c:v>0.95205120909688068</c:v>
                </c:pt>
                <c:pt idx="263" formatCode="0.0">
                  <c:v>0.94602531003683799</c:v>
                </c:pt>
                <c:pt idx="264" formatCode="0.0">
                  <c:v>0.95097797898655978</c:v>
                </c:pt>
                <c:pt idx="265" formatCode="0.0">
                  <c:v>0.94844687608534695</c:v>
                </c:pt>
                <c:pt idx="266" formatCode="0.0">
                  <c:v>0.95259212057266485</c:v>
                </c:pt>
                <c:pt idx="267" formatCode="0.0">
                  <c:v>0.93351734118549068</c:v>
                </c:pt>
                <c:pt idx="268" formatCode="0.0">
                  <c:v>0.93196147295070186</c:v>
                </c:pt>
                <c:pt idx="269" formatCode="0.0">
                  <c:v>0.93301001926070282</c:v>
                </c:pt>
                <c:pt idx="270" formatCode="0.0">
                  <c:v>0.95160092333302071</c:v>
                </c:pt>
                <c:pt idx="271" formatCode="0.0">
                  <c:v>0.96136827154641635</c:v>
                </c:pt>
                <c:pt idx="272" formatCode="0.0">
                  <c:v>0.98262441459212457</c:v>
                </c:pt>
                <c:pt idx="273" formatCode="0.0">
                  <c:v>1.007501689627156</c:v>
                </c:pt>
                <c:pt idx="274" formatCode="0.0">
                  <c:v>0.99762159172327192</c:v>
                </c:pt>
                <c:pt idx="275" formatCode="0.0">
                  <c:v>1.0152315159245571</c:v>
                </c:pt>
                <c:pt idx="276" formatCode="0.0">
                  <c:v>1.0231835114129544</c:v>
                </c:pt>
                <c:pt idx="277" formatCode="0.0">
                  <c:v>1.0585132788907925</c:v>
                </c:pt>
                <c:pt idx="278" formatCode="0.0">
                  <c:v>1.0891288041574605</c:v>
                </c:pt>
                <c:pt idx="279" formatCode="0.0">
                  <c:v>1.1362318007155523</c:v>
                </c:pt>
                <c:pt idx="280" formatCode="0.0">
                  <c:v>1.1855336755674941</c:v>
                </c:pt>
                <c:pt idx="281" formatCode="0.0">
                  <c:v>1.2169516160845399</c:v>
                </c:pt>
                <c:pt idx="282" formatCode="0.0">
                  <c:v>1.2477755895478559</c:v>
                </c:pt>
                <c:pt idx="283" formatCode="0.0">
                  <c:v>1.2728200409611861</c:v>
                </c:pt>
                <c:pt idx="284" formatCode="0.0">
                  <c:v>1.2614074476040844</c:v>
                </c:pt>
                <c:pt idx="285" formatCode="0.0">
                  <c:v>1.2638652088983566</c:v>
                </c:pt>
                <c:pt idx="286" formatCode="0.0">
                  <c:v>1.27100400498057</c:v>
                </c:pt>
                <c:pt idx="287" formatCode="0.0">
                  <c:v>1.2821417566360118</c:v>
                </c:pt>
                <c:pt idx="288" formatCode="0.0">
                  <c:v>1.3005740164140134</c:v>
                </c:pt>
                <c:pt idx="289" formatCode="0.0">
                  <c:v>1.3090952514448617</c:v>
                </c:pt>
                <c:pt idx="290" formatCode="0.0">
                  <c:v>1.3210736114667376</c:v>
                </c:pt>
                <c:pt idx="291" formatCode="0.0">
                  <c:v>1.3267115596498591</c:v>
                </c:pt>
                <c:pt idx="292" formatCode="0.0">
                  <c:v>1.3019633057066156</c:v>
                </c:pt>
                <c:pt idx="293" formatCode="0.0">
                  <c:v>1.2963927325423881</c:v>
                </c:pt>
                <c:pt idx="294" formatCode="0.0">
                  <c:v>1.2747518292773459</c:v>
                </c:pt>
                <c:pt idx="295" formatCode="0.0">
                  <c:v>1.2671799641212498</c:v>
                </c:pt>
                <c:pt idx="296" formatCode="0.0">
                  <c:v>1.2820261911867039</c:v>
                </c:pt>
                <c:pt idx="297" formatCode="0.0">
                  <c:v>1.2731510001376731</c:v>
                </c:pt>
                <c:pt idx="298" formatCode="0.0">
                  <c:v>1.2621513975601306</c:v>
                </c:pt>
                <c:pt idx="299" formatCode="0.0">
                  <c:v>1.249959823394035</c:v>
                </c:pt>
                <c:pt idx="300" formatCode="0.0">
                  <c:v>1.2487003622205031</c:v>
                </c:pt>
                <c:pt idx="301" formatCode="0.0">
                  <c:v>1.2420285572181116</c:v>
                </c:pt>
                <c:pt idx="302" formatCode="0.0">
                  <c:v>1.2192076934422784</c:v>
                </c:pt>
                <c:pt idx="303" formatCode="0.0">
                  <c:v>1.2024617367758308</c:v>
                </c:pt>
                <c:pt idx="304" formatCode="0.0">
                  <c:v>1.1975550924132008</c:v>
                </c:pt>
                <c:pt idx="305" formatCode="0.0">
                  <c:v>1.1756703536836868</c:v>
                </c:pt>
                <c:pt idx="306" formatCode="0.0">
                  <c:v>1.1702901776539665</c:v>
                </c:pt>
                <c:pt idx="307" formatCode="0.0">
                  <c:v>1.1672522834421049</c:v>
                </c:pt>
                <c:pt idx="308" formatCode="0.0">
                  <c:v>1.1537404827861539</c:v>
                </c:pt>
                <c:pt idx="309" formatCode="0.0">
                  <c:v>1.1701013007232548</c:v>
                </c:pt>
                <c:pt idx="310" formatCode="0.0">
                  <c:v>1.175946400085629</c:v>
                </c:pt>
                <c:pt idx="311" formatCode="0.0">
                  <c:v>1.1761661055122916</c:v>
                </c:pt>
                <c:pt idx="312" formatCode="0.0">
                  <c:v>1.1812418467469741</c:v>
                </c:pt>
                <c:pt idx="313" formatCode="0.0">
                  <c:v>1.1839023342969808</c:v>
                </c:pt>
                <c:pt idx="314" formatCode="0.0">
                  <c:v>1.1943535994155352</c:v>
                </c:pt>
                <c:pt idx="315" formatCode="0.0">
                  <c:v>1.2057537465690658</c:v>
                </c:pt>
                <c:pt idx="316" formatCode="0.0">
                  <c:v>1.21442526684078</c:v>
                </c:pt>
                <c:pt idx="317" formatCode="0.0">
                  <c:v>1.2145903210057376</c:v>
                </c:pt>
                <c:pt idx="318" formatCode="0.0">
                  <c:v>1.2241807761514401</c:v>
                </c:pt>
                <c:pt idx="319" formatCode="0.0">
                  <c:v>1.2468883343865667</c:v>
                </c:pt>
                <c:pt idx="320" formatCode="0.0">
                  <c:v>1.25378076880803</c:v>
                </c:pt>
                <c:pt idx="321" formatCode="0.0">
                  <c:v>1.2440338783823934</c:v>
                </c:pt>
                <c:pt idx="322" formatCode="0.0">
                  <c:v>1.2324379965021974</c:v>
                </c:pt>
                <c:pt idx="323" formatCode="0.0">
                  <c:v>1.2495047559628825</c:v>
                </c:pt>
                <c:pt idx="324" formatCode="0.0">
                  <c:v>1.2466555448186218</c:v>
                </c:pt>
                <c:pt idx="325" formatCode="0.0">
                  <c:v>1.2446880988127624</c:v>
                </c:pt>
                <c:pt idx="326" formatCode="0.0">
                  <c:v>1.2270905185338095</c:v>
                </c:pt>
                <c:pt idx="327" formatCode="0.0">
                  <c:v>1.2205082196113992</c:v>
                </c:pt>
                <c:pt idx="328" formatCode="0.0">
                  <c:v>1.2099590373631377</c:v>
                </c:pt>
                <c:pt idx="329" formatCode="0.0">
                  <c:v>1.2116207912392793</c:v>
                </c:pt>
                <c:pt idx="330" formatCode="0.0">
                  <c:v>1.1976069007197319</c:v>
                </c:pt>
                <c:pt idx="331" formatCode="0.0">
                  <c:v>1.1524093555569273</c:v>
                </c:pt>
                <c:pt idx="332" formatCode="0.0">
                  <c:v>1.1201023452218002</c:v>
                </c:pt>
                <c:pt idx="333" formatCode="0.0">
                  <c:v>1.1052534259516908</c:v>
                </c:pt>
                <c:pt idx="334" formatCode="0.0">
                  <c:v>1.0984114974357235</c:v>
                </c:pt>
                <c:pt idx="335" formatCode="0.0">
                  <c:v>1.0642523891242364</c:v>
                </c:pt>
                <c:pt idx="336" formatCode="0.0">
                  <c:v>1.0313306996242599</c:v>
                </c:pt>
                <c:pt idx="337" formatCode="0.0">
                  <c:v>0.99917215078722832</c:v>
                </c:pt>
                <c:pt idx="338" formatCode="0.0">
                  <c:v>0.97517551780291034</c:v>
                </c:pt>
                <c:pt idx="339" formatCode="0.0">
                  <c:v>0.94375395618046587</c:v>
                </c:pt>
                <c:pt idx="340" formatCode="0.0">
                  <c:v>0.93262389807015922</c:v>
                </c:pt>
                <c:pt idx="341" formatCode="0.0">
                  <c:v>0.93001954721860491</c:v>
                </c:pt>
                <c:pt idx="342" formatCode="0.0">
                  <c:v>0.92291285948254176</c:v>
                </c:pt>
                <c:pt idx="343" formatCode="0.0">
                  <c:v>0.93109060110949615</c:v>
                </c:pt>
                <c:pt idx="344" formatCode="0.0">
                  <c:v>0.93271033746287768</c:v>
                </c:pt>
                <c:pt idx="345" formatCode="0.0">
                  <c:v>0.92399891945733337</c:v>
                </c:pt>
                <c:pt idx="346" formatCode="0.0">
                  <c:v>0.92686364247505304</c:v>
                </c:pt>
                <c:pt idx="347" formatCode="0.0">
                  <c:v>0.93791057484209295</c:v>
                </c:pt>
                <c:pt idx="348" formatCode="0.0">
                  <c:v>0.95252321242476512</c:v>
                </c:pt>
                <c:pt idx="349" formatCode="0.0">
                  <c:v>0.97688083712606344</c:v>
                </c:pt>
                <c:pt idx="350" formatCode="0.0">
                  <c:v>0.99903223691470455</c:v>
                </c:pt>
                <c:pt idx="351" formatCode="0.0">
                  <c:v>0.99948488295353799</c:v>
                </c:pt>
                <c:pt idx="352" formatCode="0.0">
                  <c:v>0.98062001882431771</c:v>
                </c:pt>
                <c:pt idx="353" formatCode="0.0">
                  <c:v>0.97836738393074196</c:v>
                </c:pt>
                <c:pt idx="354" formatCode="0.0">
                  <c:v>0.97445118754554017</c:v>
                </c:pt>
                <c:pt idx="355" formatCode="0.0">
                  <c:v>0.98128604640354522</c:v>
                </c:pt>
                <c:pt idx="356" formatCode="0.0">
                  <c:v>0.97582557767599221</c:v>
                </c:pt>
                <c:pt idx="357" formatCode="0.0">
                  <c:v>0.98187461358267558</c:v>
                </c:pt>
                <c:pt idx="358" formatCode="0.0">
                  <c:v>0.98224337607470524</c:v>
                </c:pt>
                <c:pt idx="359" formatCode="0.0">
                  <c:v>0.98330010220359865</c:v>
                </c:pt>
                <c:pt idx="360" formatCode="0.0">
                  <c:v>0.9977433468087229</c:v>
                </c:pt>
                <c:pt idx="361" formatCode="0.0">
                  <c:v>1.0012634900421702</c:v>
                </c:pt>
                <c:pt idx="362" formatCode="0.0">
                  <c:v>1.0466510574784018</c:v>
                </c:pt>
                <c:pt idx="363" formatCode="0.0">
                  <c:v>1.0993122463120213</c:v>
                </c:pt>
                <c:pt idx="364" formatCode="0.0">
                  <c:v>1.1378517589128856</c:v>
                </c:pt>
                <c:pt idx="365" formatCode="0.0">
                  <c:v>1.1582430468593163</c:v>
                </c:pt>
                <c:pt idx="366" formatCode="0.0">
                  <c:v>1.1808030740752742</c:v>
                </c:pt>
                <c:pt idx="367" formatCode="0.0">
                  <c:v>1.1716261240535226</c:v>
                </c:pt>
                <c:pt idx="368" formatCode="0.0">
                  <c:v>1.2005813332843478</c:v>
                </c:pt>
                <c:pt idx="369" formatCode="0.0">
                  <c:v>1.2254909153189408</c:v>
                </c:pt>
                <c:pt idx="370" formatCode="0.0">
                  <c:v>1.2440164567961829</c:v>
                </c:pt>
                <c:pt idx="371" formatCode="0.0">
                  <c:v>1.2466115281011894</c:v>
                </c:pt>
                <c:pt idx="372" formatCode="0.0">
                  <c:v>1.2213927369198803</c:v>
                </c:pt>
                <c:pt idx="373" formatCode="0.0">
                  <c:v>1.2042027618577384</c:v>
                </c:pt>
                <c:pt idx="374" formatCode="0.0">
                  <c:v>1.1492776730156387</c:v>
                </c:pt>
                <c:pt idx="375" formatCode="0.0">
                  <c:v>1.0992406756713338</c:v>
                </c:pt>
                <c:pt idx="376" formatCode="0.0">
                  <c:v>1.0497802835282275</c:v>
                </c:pt>
                <c:pt idx="377" formatCode="0.0">
                  <c:v>1.0111223219726868</c:v>
                </c:pt>
                <c:pt idx="378" formatCode="0.0">
                  <c:v>0.96411871448893793</c:v>
                </c:pt>
                <c:pt idx="379" formatCode="0.0">
                  <c:v>0.94184246829769835</c:v>
                </c:pt>
                <c:pt idx="380" formatCode="0.0">
                  <c:v>0.90980188687024677</c:v>
                </c:pt>
                <c:pt idx="381" formatCode="0.0">
                  <c:v>0.86399725299647123</c:v>
                </c:pt>
                <c:pt idx="382" formatCode="0.0">
                  <c:v>0.82807752916558242</c:v>
                </c:pt>
                <c:pt idx="383" formatCode="0.0">
                  <c:v>0.80267749762004881</c:v>
                </c:pt>
                <c:pt idx="384" formatCode="0.0">
                  <c:v>0.77678175057764742</c:v>
                </c:pt>
                <c:pt idx="385" formatCode="0.00">
                  <c:v>0.73535044041547037</c:v>
                </c:pt>
                <c:pt idx="386" formatCode="0.00">
                  <c:v>0.71897127261564886</c:v>
                </c:pt>
                <c:pt idx="387" formatCode="0.00">
                  <c:v>0.6883954414294009</c:v>
                </c:pt>
                <c:pt idx="388" formatCode="0.00">
                  <c:v>0.66922091473682122</c:v>
                </c:pt>
                <c:pt idx="389" formatCode="0.00">
                  <c:v>0.66060784043996279</c:v>
                </c:pt>
                <c:pt idx="390" formatCode="0.00">
                  <c:v>0.66734171149066579</c:v>
                </c:pt>
                <c:pt idx="391" formatCode="0.00">
                  <c:v>0.65909502979539103</c:v>
                </c:pt>
                <c:pt idx="392" formatCode="0.00">
                  <c:v>0.66394161496334247</c:v>
                </c:pt>
                <c:pt idx="393" formatCode="0.00">
                  <c:v>0.66585258012910276</c:v>
                </c:pt>
                <c:pt idx="394" formatCode="0.00">
                  <c:v>0.66830871170810768</c:v>
                </c:pt>
                <c:pt idx="395" formatCode="0.00">
                  <c:v>0.67183220197109206</c:v>
                </c:pt>
                <c:pt idx="396" formatCode="0.00">
                  <c:v>0.67565911606205875</c:v>
                </c:pt>
                <c:pt idx="397" formatCode="0.00">
                  <c:v>0.68298840542292971</c:v>
                </c:pt>
                <c:pt idx="398" formatCode="0.00">
                  <c:v>0.67880860325578907</c:v>
                </c:pt>
                <c:pt idx="399" formatCode="0.00">
                  <c:v>0.71174766457140881</c:v>
                </c:pt>
                <c:pt idx="400" formatCode="0.00">
                  <c:v>0.74100861274874352</c:v>
                </c:pt>
                <c:pt idx="401" formatCode="0.00">
                  <c:v>0.74681157329179648</c:v>
                </c:pt>
                <c:pt idx="402" formatCode="0.00">
                  <c:v>0.75959941130551745</c:v>
                </c:pt>
                <c:pt idx="403" formatCode="0.00">
                  <c:v>0.78313855366572482</c:v>
                </c:pt>
                <c:pt idx="404" formatCode="0.00">
                  <c:v>0.78614016598284098</c:v>
                </c:pt>
                <c:pt idx="405" formatCode="0.00">
                  <c:v>0.80430837594150573</c:v>
                </c:pt>
              </c:numCache>
            </c:numRef>
          </c:val>
          <c:smooth val="0"/>
          <c:extLst>
            <c:ext xmlns:c16="http://schemas.microsoft.com/office/drawing/2014/chart" uri="{C3380CC4-5D6E-409C-BE32-E72D297353CC}">
              <c16:uniqueId val="{00000002-17BE-478D-BC94-191D3F8DFF72}"/>
            </c:ext>
          </c:extLst>
        </c:ser>
        <c:dLbls>
          <c:showLegendKey val="0"/>
          <c:showVal val="0"/>
          <c:showCatName val="0"/>
          <c:showSerName val="0"/>
          <c:showPercent val="0"/>
          <c:showBubbleSize val="0"/>
        </c:dLbls>
        <c:smooth val="0"/>
        <c:axId val="1032676440"/>
        <c:axId val="1032677424"/>
        <c:extLst/>
      </c:lineChart>
      <c:dateAx>
        <c:axId val="1032676440"/>
        <c:scaling>
          <c:orientation val="minMax"/>
          <c:min val="33604"/>
        </c:scaling>
        <c:delete val="0"/>
        <c:axPos val="b"/>
        <c:numFmt formatCode="yyyy" sourceLinked="0"/>
        <c:majorTickMark val="out"/>
        <c:minorTickMark val="none"/>
        <c:tickLblPos val="low"/>
        <c:spPr>
          <a:noFill/>
          <a:ln w="9525" cap="flat" cmpd="sng" algn="ctr">
            <a:solidFill>
              <a:schemeClr val="tx1">
                <a:lumMod val="65000"/>
                <a:lumOff val="35000"/>
              </a:schemeClr>
            </a:solidFill>
            <a:round/>
          </a:ln>
          <a:effectLst/>
        </c:spPr>
        <c:txPr>
          <a:bodyPr rot="-60000000" vert="horz"/>
          <a:lstStyle/>
          <a:p>
            <a:pPr>
              <a:defRPr>
                <a:solidFill>
                  <a:schemeClr val="bg1">
                    <a:lumMod val="50000"/>
                  </a:schemeClr>
                </a:solidFill>
              </a:defRPr>
            </a:pPr>
            <a:endParaRPr lang="en-US"/>
          </a:p>
        </c:txPr>
        <c:crossAx val="1032677424"/>
        <c:crosses val="autoZero"/>
        <c:auto val="0"/>
        <c:lblOffset val="100"/>
        <c:baseTimeUnit val="months"/>
        <c:majorUnit val="48"/>
        <c:majorTimeUnit val="months"/>
        <c:minorUnit val="1"/>
      </c:dateAx>
      <c:valAx>
        <c:axId val="1032677424"/>
        <c:scaling>
          <c:orientation val="minMax"/>
        </c:scaling>
        <c:delete val="0"/>
        <c:axPos val="l"/>
        <c:majorGridlines>
          <c:spPr>
            <a:ln w="9525">
              <a:solidFill>
                <a:sysClr val="window" lastClr="FFFFFF">
                  <a:lumMod val="75000"/>
                </a:sysClr>
              </a:solidFill>
              <a:prstDash val="dash"/>
            </a:ln>
          </c:spPr>
        </c:majorGridlines>
        <c:title>
          <c:tx>
            <c:rich>
              <a:bodyPr/>
              <a:lstStyle/>
              <a:p>
                <a:pPr>
                  <a:defRPr b="0" i="1">
                    <a:solidFill>
                      <a:schemeClr val="tx1">
                        <a:lumMod val="65000"/>
                        <a:lumOff val="35000"/>
                      </a:schemeClr>
                    </a:solidFill>
                  </a:defRPr>
                </a:pPr>
                <a:r>
                  <a:rPr lang="en-AU" b="0" i="1">
                    <a:solidFill>
                      <a:schemeClr val="tx1">
                        <a:lumMod val="65000"/>
                        <a:lumOff val="35000"/>
                      </a:schemeClr>
                    </a:solidFill>
                  </a:rPr>
                  <a:t>per cent</a:t>
                </a:r>
              </a:p>
            </c:rich>
          </c:tx>
          <c:layout>
            <c:manualLayout>
              <c:xMode val="edge"/>
              <c:yMode val="edge"/>
              <c:x val="7.6425814816235959E-3"/>
              <c:y val="0.31772133985803364"/>
            </c:manualLayout>
          </c:layout>
          <c:overlay val="0"/>
        </c:title>
        <c:numFmt formatCode="#,##0" sourceLinked="0"/>
        <c:majorTickMark val="out"/>
        <c:minorTickMark val="none"/>
        <c:tickLblPos val="nextTo"/>
        <c:spPr>
          <a:noFill/>
          <a:ln>
            <a:solidFill>
              <a:schemeClr val="tx1">
                <a:lumMod val="65000"/>
                <a:lumOff val="35000"/>
              </a:schemeClr>
            </a:solidFill>
          </a:ln>
          <a:effectLst/>
        </c:spPr>
        <c:txPr>
          <a:bodyPr rot="-60000000" vert="horz"/>
          <a:lstStyle/>
          <a:p>
            <a:pPr>
              <a:defRPr>
                <a:solidFill>
                  <a:schemeClr val="tx1">
                    <a:lumMod val="65000"/>
                    <a:lumOff val="35000"/>
                  </a:schemeClr>
                </a:solidFill>
              </a:defRPr>
            </a:pPr>
            <a:endParaRPr lang="en-US"/>
          </a:p>
        </c:txPr>
        <c:crossAx val="1032676440"/>
        <c:crossesAt val="1"/>
        <c:crossBetween val="between"/>
      </c:valAx>
      <c:spPr>
        <a:noFill/>
        <a:ln>
          <a:noFill/>
        </a:ln>
        <a:effectLst/>
      </c:spPr>
    </c:plotArea>
    <c:legend>
      <c:legendPos val="r"/>
      <c:layout>
        <c:manualLayout>
          <c:xMode val="edge"/>
          <c:yMode val="edge"/>
          <c:x val="0.1017950549271873"/>
          <c:y val="0.90274937584021508"/>
          <c:w val="0.85451351209209092"/>
          <c:h val="7.7528327251776455E-2"/>
        </c:manualLayout>
      </c:layout>
      <c:overlay val="0"/>
      <c:txPr>
        <a:bodyPr/>
        <a:lstStyle/>
        <a:p>
          <a:pPr>
            <a:defRPr sz="800">
              <a:solidFill>
                <a:schemeClr val="tx1">
                  <a:lumMod val="65000"/>
                  <a:lumOff val="35000"/>
                </a:schemeClr>
              </a:solidFill>
            </a:defRPr>
          </a:pPr>
          <a:endParaRPr lang="en-US"/>
        </a:p>
      </c:txPr>
    </c:legend>
    <c:plotVisOnly val="1"/>
    <c:dispBlanksAs val="gap"/>
    <c:showDLblsOverMax val="0"/>
    <c:extLst/>
  </c:chart>
  <c:spPr>
    <a:solidFill>
      <a:sysClr val="window" lastClr="FFFFFF"/>
    </a:solidFill>
    <a:ln w="9525" cap="flat" cmpd="sng" algn="ctr">
      <a:noFill/>
      <a:round/>
    </a:ln>
    <a:effectLst/>
  </c:spPr>
  <c:txPr>
    <a:bodyPr/>
    <a:lstStyle/>
    <a:p>
      <a:pPr>
        <a:defRPr sz="900"/>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E71402CE03A44B01A26F91DBC9981" ma:contentTypeVersion="15" ma:contentTypeDescription="Create a new document." ma:contentTypeScope="" ma:versionID="b30a87775e547239716e7663ecd6a6bf">
  <xsd:schema xmlns:xsd="http://www.w3.org/2001/XMLSchema" xmlns:xs="http://www.w3.org/2001/XMLSchema" xmlns:p="http://schemas.microsoft.com/office/2006/metadata/properties" xmlns:ns2="0aed0524-ca5f-407b-8346-cce574c970c8" xmlns:ns3="ec6be689-9527-440f-b175-31791d4b7128" targetNamespace="http://schemas.microsoft.com/office/2006/metadata/properties" ma:root="true" ma:fieldsID="d8343fabbd9272895b5dab6ad7ade888" ns2:_="" ns3:_="">
    <xsd:import namespace="0aed0524-ca5f-407b-8346-cce574c970c8"/>
    <xsd:import namespace="ec6be689-9527-440f-b175-31791d4b7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SortOrder" minOccurs="0"/>
                <xsd:element ref="ns3:Ordertoreviewi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bc82194-f5c9-4736-bc86-7bf91edf3e7e}" ma:internalName="TaxCatchAll" ma:showField="CatchAllData" ma:web="0aed0524-ca5f-407b-8346-cce574c970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6be689-9527-440f-b175-31791d4b7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ortOrder" ma:index="13" nillable="true" ma:displayName="SortOrder" ma:decimals="0" ma:description="Integer value to sort folder display non-alphabetically." ma:format="Dropdown" ma:internalName="SortOrder" ma:percentage="FALSE">
      <xsd:simpleType>
        <xsd:restriction base="dms:Number"/>
      </xsd:simpleType>
    </xsd:element>
    <xsd:element name="Ordertoreviewin" ma:index="14" nillable="true" ma:displayName="Order to review in" ma:format="Dropdown" ma:internalName="Ordertoreviewin"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ed0524-ca5f-407b-8346-cce574c970c8" xsi:nil="true"/>
    <SharedWithUsers xmlns="0aed0524-ca5f-407b-8346-cce574c970c8">
      <UserInfo>
        <DisplayName>Rick Harrison (DTF)</DisplayName>
        <AccountId>56</AccountId>
        <AccountType/>
      </UserInfo>
      <UserInfo>
        <DisplayName>Helen E Ratcliffe (DTF)</DisplayName>
        <AccountId>432</AccountId>
        <AccountType/>
      </UserInfo>
      <UserInfo>
        <DisplayName>Michael P Hutson (DTF)</DisplayName>
        <AccountId>41</AccountId>
        <AccountType/>
      </UserInfo>
      <UserInfo>
        <DisplayName>Sarah Colgan (DTF)</DisplayName>
        <AccountId>131</AccountId>
        <AccountType/>
      </UserInfo>
      <UserInfo>
        <DisplayName>Grace Cox (DTF)</DisplayName>
        <AccountId>160</AccountId>
        <AccountType/>
      </UserInfo>
    </SharedWithUsers>
    <SortOrder xmlns="ec6be689-9527-440f-b175-31791d4b7128" xsi:nil="true"/>
    <lcf76f155ced4ddcb4097134ff3c332f xmlns="ec6be689-9527-440f-b175-31791d4b7128">
      <Terms xmlns="http://schemas.microsoft.com/office/infopath/2007/PartnerControls"/>
    </lcf76f155ced4ddcb4097134ff3c332f>
    <Ordertoreviewin xmlns="ec6be689-9527-440f-b175-31791d4b712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0E77-AAC2-4AC9-BDFF-3BB92DEDE670}">
  <ds:schemaRefs>
    <ds:schemaRef ds:uri="http://www.w3.org/2001/XMLSchema"/>
  </ds:schemaRefs>
</ds:datastoreItem>
</file>

<file path=customXml/itemProps2.xml><?xml version="1.0" encoding="utf-8"?>
<ds:datastoreItem xmlns:ds="http://schemas.openxmlformats.org/officeDocument/2006/customXml" ds:itemID="{27695F57-A9D4-4146-BA95-24B201022014}">
  <ds:schemaRefs>
    <ds:schemaRef ds:uri="http://schemas.microsoft.com/sharepoint/v3/contenttype/forms"/>
  </ds:schemaRefs>
</ds:datastoreItem>
</file>

<file path=customXml/itemProps3.xml><?xml version="1.0" encoding="utf-8"?>
<ds:datastoreItem xmlns:ds="http://schemas.openxmlformats.org/officeDocument/2006/customXml" ds:itemID="{2A3EE557-F75F-440E-9572-7C99382C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d0524-ca5f-407b-8346-cce574c970c8"/>
    <ds:schemaRef ds:uri="ec6be689-9527-440f-b175-31791d4b7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67C85-5BC6-4288-ADFB-202D2E09C5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ed0524-ca5f-407b-8346-cce574c970c8"/>
    <ds:schemaRef ds:uri="http://purl.org/dc/terms/"/>
    <ds:schemaRef ds:uri="http://schemas.openxmlformats.org/package/2006/metadata/core-properties"/>
    <ds:schemaRef ds:uri="ec6be689-9527-440f-b175-31791d4b7128"/>
    <ds:schemaRef ds:uri="http://www.w3.org/XML/1998/namespace"/>
    <ds:schemaRef ds:uri="http://purl.org/dc/dcmitype/"/>
  </ds:schemaRefs>
</ds:datastoreItem>
</file>

<file path=customXml/itemProps5.xml><?xml version="1.0" encoding="utf-8"?>
<ds:datastoreItem xmlns:ds="http://schemas.openxmlformats.org/officeDocument/2006/customXml" ds:itemID="{F03A46BC-9BB5-4A55-805D-D2175A4F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45004</Words>
  <Characters>256525</Characters>
  <Application>Microsoft Office Word</Application>
  <DocSecurity>4</DocSecurity>
  <Lines>2137</Lines>
  <Paragraphs>601</Paragraphs>
  <ScaleCrop>false</ScaleCrop>
  <HeadingPairs>
    <vt:vector size="2" baseType="variant">
      <vt:variant>
        <vt:lpstr>Title</vt:lpstr>
      </vt:variant>
      <vt:variant>
        <vt:i4>1</vt:i4>
      </vt:variant>
    </vt:vector>
  </HeadingPairs>
  <TitlesOfParts>
    <vt:vector size="1" baseType="lpstr">
      <vt:lpstr>2024-25 Budget Update</vt:lpstr>
    </vt:vector>
  </TitlesOfParts>
  <Company/>
  <LinksUpToDate>false</LinksUpToDate>
  <CharactersWithSpaces>300928</CharactersWithSpaces>
  <SharedDoc>false</SharedDoc>
  <HLinks>
    <vt:vector size="366" baseType="variant">
      <vt:variant>
        <vt:i4>1048638</vt:i4>
      </vt:variant>
      <vt:variant>
        <vt:i4>377</vt:i4>
      </vt:variant>
      <vt:variant>
        <vt:i4>0</vt:i4>
      </vt:variant>
      <vt:variant>
        <vt:i4>5</vt:i4>
      </vt:variant>
      <vt:variant>
        <vt:lpwstr/>
      </vt:variant>
      <vt:variant>
        <vt:lpwstr>_Toc184299244</vt:lpwstr>
      </vt:variant>
      <vt:variant>
        <vt:i4>1048638</vt:i4>
      </vt:variant>
      <vt:variant>
        <vt:i4>371</vt:i4>
      </vt:variant>
      <vt:variant>
        <vt:i4>0</vt:i4>
      </vt:variant>
      <vt:variant>
        <vt:i4>5</vt:i4>
      </vt:variant>
      <vt:variant>
        <vt:lpwstr/>
      </vt:variant>
      <vt:variant>
        <vt:lpwstr>_Toc184299243</vt:lpwstr>
      </vt:variant>
      <vt:variant>
        <vt:i4>1048638</vt:i4>
      </vt:variant>
      <vt:variant>
        <vt:i4>365</vt:i4>
      </vt:variant>
      <vt:variant>
        <vt:i4>0</vt:i4>
      </vt:variant>
      <vt:variant>
        <vt:i4>5</vt:i4>
      </vt:variant>
      <vt:variant>
        <vt:lpwstr/>
      </vt:variant>
      <vt:variant>
        <vt:lpwstr>_Toc184299242</vt:lpwstr>
      </vt:variant>
      <vt:variant>
        <vt:i4>1048638</vt:i4>
      </vt:variant>
      <vt:variant>
        <vt:i4>359</vt:i4>
      </vt:variant>
      <vt:variant>
        <vt:i4>0</vt:i4>
      </vt:variant>
      <vt:variant>
        <vt:i4>5</vt:i4>
      </vt:variant>
      <vt:variant>
        <vt:lpwstr/>
      </vt:variant>
      <vt:variant>
        <vt:lpwstr>_Toc184299241</vt:lpwstr>
      </vt:variant>
      <vt:variant>
        <vt:i4>1376318</vt:i4>
      </vt:variant>
      <vt:variant>
        <vt:i4>350</vt:i4>
      </vt:variant>
      <vt:variant>
        <vt:i4>0</vt:i4>
      </vt:variant>
      <vt:variant>
        <vt:i4>5</vt:i4>
      </vt:variant>
      <vt:variant>
        <vt:lpwstr/>
      </vt:variant>
      <vt:variant>
        <vt:lpwstr>_Toc184299211</vt:lpwstr>
      </vt:variant>
      <vt:variant>
        <vt:i4>1376318</vt:i4>
      </vt:variant>
      <vt:variant>
        <vt:i4>344</vt:i4>
      </vt:variant>
      <vt:variant>
        <vt:i4>0</vt:i4>
      </vt:variant>
      <vt:variant>
        <vt:i4>5</vt:i4>
      </vt:variant>
      <vt:variant>
        <vt:lpwstr/>
      </vt:variant>
      <vt:variant>
        <vt:lpwstr>_Toc184299210</vt:lpwstr>
      </vt:variant>
      <vt:variant>
        <vt:i4>1310782</vt:i4>
      </vt:variant>
      <vt:variant>
        <vt:i4>338</vt:i4>
      </vt:variant>
      <vt:variant>
        <vt:i4>0</vt:i4>
      </vt:variant>
      <vt:variant>
        <vt:i4>5</vt:i4>
      </vt:variant>
      <vt:variant>
        <vt:lpwstr/>
      </vt:variant>
      <vt:variant>
        <vt:lpwstr>_Toc184299209</vt:lpwstr>
      </vt:variant>
      <vt:variant>
        <vt:i4>1114173</vt:i4>
      </vt:variant>
      <vt:variant>
        <vt:i4>329</vt:i4>
      </vt:variant>
      <vt:variant>
        <vt:i4>0</vt:i4>
      </vt:variant>
      <vt:variant>
        <vt:i4>5</vt:i4>
      </vt:variant>
      <vt:variant>
        <vt:lpwstr/>
      </vt:variant>
      <vt:variant>
        <vt:lpwstr>_Toc184299157</vt:lpwstr>
      </vt:variant>
      <vt:variant>
        <vt:i4>1114173</vt:i4>
      </vt:variant>
      <vt:variant>
        <vt:i4>323</vt:i4>
      </vt:variant>
      <vt:variant>
        <vt:i4>0</vt:i4>
      </vt:variant>
      <vt:variant>
        <vt:i4>5</vt:i4>
      </vt:variant>
      <vt:variant>
        <vt:lpwstr/>
      </vt:variant>
      <vt:variant>
        <vt:lpwstr>_Toc184299156</vt:lpwstr>
      </vt:variant>
      <vt:variant>
        <vt:i4>1114173</vt:i4>
      </vt:variant>
      <vt:variant>
        <vt:i4>317</vt:i4>
      </vt:variant>
      <vt:variant>
        <vt:i4>0</vt:i4>
      </vt:variant>
      <vt:variant>
        <vt:i4>5</vt:i4>
      </vt:variant>
      <vt:variant>
        <vt:lpwstr/>
      </vt:variant>
      <vt:variant>
        <vt:lpwstr>_Toc184299155</vt:lpwstr>
      </vt:variant>
      <vt:variant>
        <vt:i4>1114173</vt:i4>
      </vt:variant>
      <vt:variant>
        <vt:i4>311</vt:i4>
      </vt:variant>
      <vt:variant>
        <vt:i4>0</vt:i4>
      </vt:variant>
      <vt:variant>
        <vt:i4>5</vt:i4>
      </vt:variant>
      <vt:variant>
        <vt:lpwstr/>
      </vt:variant>
      <vt:variant>
        <vt:lpwstr>_Toc184299154</vt:lpwstr>
      </vt:variant>
      <vt:variant>
        <vt:i4>1114173</vt:i4>
      </vt:variant>
      <vt:variant>
        <vt:i4>305</vt:i4>
      </vt:variant>
      <vt:variant>
        <vt:i4>0</vt:i4>
      </vt:variant>
      <vt:variant>
        <vt:i4>5</vt:i4>
      </vt:variant>
      <vt:variant>
        <vt:lpwstr/>
      </vt:variant>
      <vt:variant>
        <vt:lpwstr>_Toc184299153</vt:lpwstr>
      </vt:variant>
      <vt:variant>
        <vt:i4>1114173</vt:i4>
      </vt:variant>
      <vt:variant>
        <vt:i4>299</vt:i4>
      </vt:variant>
      <vt:variant>
        <vt:i4>0</vt:i4>
      </vt:variant>
      <vt:variant>
        <vt:i4>5</vt:i4>
      </vt:variant>
      <vt:variant>
        <vt:lpwstr/>
      </vt:variant>
      <vt:variant>
        <vt:lpwstr>_Toc184299152</vt:lpwstr>
      </vt:variant>
      <vt:variant>
        <vt:i4>1310781</vt:i4>
      </vt:variant>
      <vt:variant>
        <vt:i4>290</vt:i4>
      </vt:variant>
      <vt:variant>
        <vt:i4>0</vt:i4>
      </vt:variant>
      <vt:variant>
        <vt:i4>5</vt:i4>
      </vt:variant>
      <vt:variant>
        <vt:lpwstr/>
      </vt:variant>
      <vt:variant>
        <vt:lpwstr>_Toc184299101</vt:lpwstr>
      </vt:variant>
      <vt:variant>
        <vt:i4>1310781</vt:i4>
      </vt:variant>
      <vt:variant>
        <vt:i4>284</vt:i4>
      </vt:variant>
      <vt:variant>
        <vt:i4>0</vt:i4>
      </vt:variant>
      <vt:variant>
        <vt:i4>5</vt:i4>
      </vt:variant>
      <vt:variant>
        <vt:lpwstr/>
      </vt:variant>
      <vt:variant>
        <vt:lpwstr>_Toc184299100</vt:lpwstr>
      </vt:variant>
      <vt:variant>
        <vt:i4>1900604</vt:i4>
      </vt:variant>
      <vt:variant>
        <vt:i4>278</vt:i4>
      </vt:variant>
      <vt:variant>
        <vt:i4>0</vt:i4>
      </vt:variant>
      <vt:variant>
        <vt:i4>5</vt:i4>
      </vt:variant>
      <vt:variant>
        <vt:lpwstr/>
      </vt:variant>
      <vt:variant>
        <vt:lpwstr>_Toc184299099</vt:lpwstr>
      </vt:variant>
      <vt:variant>
        <vt:i4>1900604</vt:i4>
      </vt:variant>
      <vt:variant>
        <vt:i4>272</vt:i4>
      </vt:variant>
      <vt:variant>
        <vt:i4>0</vt:i4>
      </vt:variant>
      <vt:variant>
        <vt:i4>5</vt:i4>
      </vt:variant>
      <vt:variant>
        <vt:lpwstr/>
      </vt:variant>
      <vt:variant>
        <vt:lpwstr>_Toc184299098</vt:lpwstr>
      </vt:variant>
      <vt:variant>
        <vt:i4>1900604</vt:i4>
      </vt:variant>
      <vt:variant>
        <vt:i4>266</vt:i4>
      </vt:variant>
      <vt:variant>
        <vt:i4>0</vt:i4>
      </vt:variant>
      <vt:variant>
        <vt:i4>5</vt:i4>
      </vt:variant>
      <vt:variant>
        <vt:lpwstr/>
      </vt:variant>
      <vt:variant>
        <vt:lpwstr>_Toc184299097</vt:lpwstr>
      </vt:variant>
      <vt:variant>
        <vt:i4>1900604</vt:i4>
      </vt:variant>
      <vt:variant>
        <vt:i4>260</vt:i4>
      </vt:variant>
      <vt:variant>
        <vt:i4>0</vt:i4>
      </vt:variant>
      <vt:variant>
        <vt:i4>5</vt:i4>
      </vt:variant>
      <vt:variant>
        <vt:lpwstr/>
      </vt:variant>
      <vt:variant>
        <vt:lpwstr>_Toc184299096</vt:lpwstr>
      </vt:variant>
      <vt:variant>
        <vt:i4>1900604</vt:i4>
      </vt:variant>
      <vt:variant>
        <vt:i4>254</vt:i4>
      </vt:variant>
      <vt:variant>
        <vt:i4>0</vt:i4>
      </vt:variant>
      <vt:variant>
        <vt:i4>5</vt:i4>
      </vt:variant>
      <vt:variant>
        <vt:lpwstr/>
      </vt:variant>
      <vt:variant>
        <vt:lpwstr>_Toc184299095</vt:lpwstr>
      </vt:variant>
      <vt:variant>
        <vt:i4>1900604</vt:i4>
      </vt:variant>
      <vt:variant>
        <vt:i4>248</vt:i4>
      </vt:variant>
      <vt:variant>
        <vt:i4>0</vt:i4>
      </vt:variant>
      <vt:variant>
        <vt:i4>5</vt:i4>
      </vt:variant>
      <vt:variant>
        <vt:lpwstr/>
      </vt:variant>
      <vt:variant>
        <vt:lpwstr>_Toc184299094</vt:lpwstr>
      </vt:variant>
      <vt:variant>
        <vt:i4>1900604</vt:i4>
      </vt:variant>
      <vt:variant>
        <vt:i4>242</vt:i4>
      </vt:variant>
      <vt:variant>
        <vt:i4>0</vt:i4>
      </vt:variant>
      <vt:variant>
        <vt:i4>5</vt:i4>
      </vt:variant>
      <vt:variant>
        <vt:lpwstr/>
      </vt:variant>
      <vt:variant>
        <vt:lpwstr>_Toc184299093</vt:lpwstr>
      </vt:variant>
      <vt:variant>
        <vt:i4>1114171</vt:i4>
      </vt:variant>
      <vt:variant>
        <vt:i4>233</vt:i4>
      </vt:variant>
      <vt:variant>
        <vt:i4>0</vt:i4>
      </vt:variant>
      <vt:variant>
        <vt:i4>5</vt:i4>
      </vt:variant>
      <vt:variant>
        <vt:lpwstr/>
      </vt:variant>
      <vt:variant>
        <vt:lpwstr>_Toc184299754</vt:lpwstr>
      </vt:variant>
      <vt:variant>
        <vt:i4>1114171</vt:i4>
      </vt:variant>
      <vt:variant>
        <vt:i4>227</vt:i4>
      </vt:variant>
      <vt:variant>
        <vt:i4>0</vt:i4>
      </vt:variant>
      <vt:variant>
        <vt:i4>5</vt:i4>
      </vt:variant>
      <vt:variant>
        <vt:lpwstr/>
      </vt:variant>
      <vt:variant>
        <vt:lpwstr>_Toc184299753</vt:lpwstr>
      </vt:variant>
      <vt:variant>
        <vt:i4>1114171</vt:i4>
      </vt:variant>
      <vt:variant>
        <vt:i4>221</vt:i4>
      </vt:variant>
      <vt:variant>
        <vt:i4>0</vt:i4>
      </vt:variant>
      <vt:variant>
        <vt:i4>5</vt:i4>
      </vt:variant>
      <vt:variant>
        <vt:lpwstr/>
      </vt:variant>
      <vt:variant>
        <vt:lpwstr>_Toc184299752</vt:lpwstr>
      </vt:variant>
      <vt:variant>
        <vt:i4>1114171</vt:i4>
      </vt:variant>
      <vt:variant>
        <vt:i4>215</vt:i4>
      </vt:variant>
      <vt:variant>
        <vt:i4>0</vt:i4>
      </vt:variant>
      <vt:variant>
        <vt:i4>5</vt:i4>
      </vt:variant>
      <vt:variant>
        <vt:lpwstr/>
      </vt:variant>
      <vt:variant>
        <vt:lpwstr>_Toc184299751</vt:lpwstr>
      </vt:variant>
      <vt:variant>
        <vt:i4>1114171</vt:i4>
      </vt:variant>
      <vt:variant>
        <vt:i4>209</vt:i4>
      </vt:variant>
      <vt:variant>
        <vt:i4>0</vt:i4>
      </vt:variant>
      <vt:variant>
        <vt:i4>5</vt:i4>
      </vt:variant>
      <vt:variant>
        <vt:lpwstr/>
      </vt:variant>
      <vt:variant>
        <vt:lpwstr>_Toc184299750</vt:lpwstr>
      </vt:variant>
      <vt:variant>
        <vt:i4>1048635</vt:i4>
      </vt:variant>
      <vt:variant>
        <vt:i4>203</vt:i4>
      </vt:variant>
      <vt:variant>
        <vt:i4>0</vt:i4>
      </vt:variant>
      <vt:variant>
        <vt:i4>5</vt:i4>
      </vt:variant>
      <vt:variant>
        <vt:lpwstr/>
      </vt:variant>
      <vt:variant>
        <vt:lpwstr>_Toc184299749</vt:lpwstr>
      </vt:variant>
      <vt:variant>
        <vt:i4>1048635</vt:i4>
      </vt:variant>
      <vt:variant>
        <vt:i4>197</vt:i4>
      </vt:variant>
      <vt:variant>
        <vt:i4>0</vt:i4>
      </vt:variant>
      <vt:variant>
        <vt:i4>5</vt:i4>
      </vt:variant>
      <vt:variant>
        <vt:lpwstr/>
      </vt:variant>
      <vt:variant>
        <vt:lpwstr>_Toc184299748</vt:lpwstr>
      </vt:variant>
      <vt:variant>
        <vt:i4>1245240</vt:i4>
      </vt:variant>
      <vt:variant>
        <vt:i4>188</vt:i4>
      </vt:variant>
      <vt:variant>
        <vt:i4>0</vt:i4>
      </vt:variant>
      <vt:variant>
        <vt:i4>5</vt:i4>
      </vt:variant>
      <vt:variant>
        <vt:lpwstr/>
      </vt:variant>
      <vt:variant>
        <vt:lpwstr>_Toc184299474</vt:lpwstr>
      </vt:variant>
      <vt:variant>
        <vt:i4>1245240</vt:i4>
      </vt:variant>
      <vt:variant>
        <vt:i4>182</vt:i4>
      </vt:variant>
      <vt:variant>
        <vt:i4>0</vt:i4>
      </vt:variant>
      <vt:variant>
        <vt:i4>5</vt:i4>
      </vt:variant>
      <vt:variant>
        <vt:lpwstr/>
      </vt:variant>
      <vt:variant>
        <vt:lpwstr>_Toc184299473</vt:lpwstr>
      </vt:variant>
      <vt:variant>
        <vt:i4>1245240</vt:i4>
      </vt:variant>
      <vt:variant>
        <vt:i4>176</vt:i4>
      </vt:variant>
      <vt:variant>
        <vt:i4>0</vt:i4>
      </vt:variant>
      <vt:variant>
        <vt:i4>5</vt:i4>
      </vt:variant>
      <vt:variant>
        <vt:lpwstr/>
      </vt:variant>
      <vt:variant>
        <vt:lpwstr>_Toc184299470</vt:lpwstr>
      </vt:variant>
      <vt:variant>
        <vt:i4>1179704</vt:i4>
      </vt:variant>
      <vt:variant>
        <vt:i4>170</vt:i4>
      </vt:variant>
      <vt:variant>
        <vt:i4>0</vt:i4>
      </vt:variant>
      <vt:variant>
        <vt:i4>5</vt:i4>
      </vt:variant>
      <vt:variant>
        <vt:lpwstr/>
      </vt:variant>
      <vt:variant>
        <vt:lpwstr>_Toc184299469</vt:lpwstr>
      </vt:variant>
      <vt:variant>
        <vt:i4>1114168</vt:i4>
      </vt:variant>
      <vt:variant>
        <vt:i4>164</vt:i4>
      </vt:variant>
      <vt:variant>
        <vt:i4>0</vt:i4>
      </vt:variant>
      <vt:variant>
        <vt:i4>5</vt:i4>
      </vt:variant>
      <vt:variant>
        <vt:lpwstr/>
      </vt:variant>
      <vt:variant>
        <vt:lpwstr>_Toc184299458</vt:lpwstr>
      </vt:variant>
      <vt:variant>
        <vt:i4>1114168</vt:i4>
      </vt:variant>
      <vt:variant>
        <vt:i4>158</vt:i4>
      </vt:variant>
      <vt:variant>
        <vt:i4>0</vt:i4>
      </vt:variant>
      <vt:variant>
        <vt:i4>5</vt:i4>
      </vt:variant>
      <vt:variant>
        <vt:lpwstr/>
      </vt:variant>
      <vt:variant>
        <vt:lpwstr>_Toc184299457</vt:lpwstr>
      </vt:variant>
      <vt:variant>
        <vt:i4>1114168</vt:i4>
      </vt:variant>
      <vt:variant>
        <vt:i4>152</vt:i4>
      </vt:variant>
      <vt:variant>
        <vt:i4>0</vt:i4>
      </vt:variant>
      <vt:variant>
        <vt:i4>5</vt:i4>
      </vt:variant>
      <vt:variant>
        <vt:lpwstr/>
      </vt:variant>
      <vt:variant>
        <vt:lpwstr>_Toc184299456</vt:lpwstr>
      </vt:variant>
      <vt:variant>
        <vt:i4>1114168</vt:i4>
      </vt:variant>
      <vt:variant>
        <vt:i4>146</vt:i4>
      </vt:variant>
      <vt:variant>
        <vt:i4>0</vt:i4>
      </vt:variant>
      <vt:variant>
        <vt:i4>5</vt:i4>
      </vt:variant>
      <vt:variant>
        <vt:lpwstr/>
      </vt:variant>
      <vt:variant>
        <vt:lpwstr>_Toc184299455</vt:lpwstr>
      </vt:variant>
      <vt:variant>
        <vt:i4>1114168</vt:i4>
      </vt:variant>
      <vt:variant>
        <vt:i4>140</vt:i4>
      </vt:variant>
      <vt:variant>
        <vt:i4>0</vt:i4>
      </vt:variant>
      <vt:variant>
        <vt:i4>5</vt:i4>
      </vt:variant>
      <vt:variant>
        <vt:lpwstr/>
      </vt:variant>
      <vt:variant>
        <vt:lpwstr>_Toc184299454</vt:lpwstr>
      </vt:variant>
      <vt:variant>
        <vt:i4>1114168</vt:i4>
      </vt:variant>
      <vt:variant>
        <vt:i4>134</vt:i4>
      </vt:variant>
      <vt:variant>
        <vt:i4>0</vt:i4>
      </vt:variant>
      <vt:variant>
        <vt:i4>5</vt:i4>
      </vt:variant>
      <vt:variant>
        <vt:lpwstr/>
      </vt:variant>
      <vt:variant>
        <vt:lpwstr>_Toc184299453</vt:lpwstr>
      </vt:variant>
      <vt:variant>
        <vt:i4>1114168</vt:i4>
      </vt:variant>
      <vt:variant>
        <vt:i4>128</vt:i4>
      </vt:variant>
      <vt:variant>
        <vt:i4>0</vt:i4>
      </vt:variant>
      <vt:variant>
        <vt:i4>5</vt:i4>
      </vt:variant>
      <vt:variant>
        <vt:lpwstr/>
      </vt:variant>
      <vt:variant>
        <vt:lpwstr>_Toc184299452</vt:lpwstr>
      </vt:variant>
      <vt:variant>
        <vt:i4>1114168</vt:i4>
      </vt:variant>
      <vt:variant>
        <vt:i4>122</vt:i4>
      </vt:variant>
      <vt:variant>
        <vt:i4>0</vt:i4>
      </vt:variant>
      <vt:variant>
        <vt:i4>5</vt:i4>
      </vt:variant>
      <vt:variant>
        <vt:lpwstr/>
      </vt:variant>
      <vt:variant>
        <vt:lpwstr>_Toc184299451</vt:lpwstr>
      </vt:variant>
      <vt:variant>
        <vt:i4>1114168</vt:i4>
      </vt:variant>
      <vt:variant>
        <vt:i4>116</vt:i4>
      </vt:variant>
      <vt:variant>
        <vt:i4>0</vt:i4>
      </vt:variant>
      <vt:variant>
        <vt:i4>5</vt:i4>
      </vt:variant>
      <vt:variant>
        <vt:lpwstr/>
      </vt:variant>
      <vt:variant>
        <vt:lpwstr>_Toc184299450</vt:lpwstr>
      </vt:variant>
      <vt:variant>
        <vt:i4>1048632</vt:i4>
      </vt:variant>
      <vt:variant>
        <vt:i4>110</vt:i4>
      </vt:variant>
      <vt:variant>
        <vt:i4>0</vt:i4>
      </vt:variant>
      <vt:variant>
        <vt:i4>5</vt:i4>
      </vt:variant>
      <vt:variant>
        <vt:lpwstr/>
      </vt:variant>
      <vt:variant>
        <vt:lpwstr>_Toc184299449</vt:lpwstr>
      </vt:variant>
      <vt:variant>
        <vt:i4>1048632</vt:i4>
      </vt:variant>
      <vt:variant>
        <vt:i4>104</vt:i4>
      </vt:variant>
      <vt:variant>
        <vt:i4>0</vt:i4>
      </vt:variant>
      <vt:variant>
        <vt:i4>5</vt:i4>
      </vt:variant>
      <vt:variant>
        <vt:lpwstr/>
      </vt:variant>
      <vt:variant>
        <vt:lpwstr>_Toc184299448</vt:lpwstr>
      </vt:variant>
      <vt:variant>
        <vt:i4>1048632</vt:i4>
      </vt:variant>
      <vt:variant>
        <vt:i4>98</vt:i4>
      </vt:variant>
      <vt:variant>
        <vt:i4>0</vt:i4>
      </vt:variant>
      <vt:variant>
        <vt:i4>5</vt:i4>
      </vt:variant>
      <vt:variant>
        <vt:lpwstr/>
      </vt:variant>
      <vt:variant>
        <vt:lpwstr>_Toc184299447</vt:lpwstr>
      </vt:variant>
      <vt:variant>
        <vt:i4>1048632</vt:i4>
      </vt:variant>
      <vt:variant>
        <vt:i4>92</vt:i4>
      </vt:variant>
      <vt:variant>
        <vt:i4>0</vt:i4>
      </vt:variant>
      <vt:variant>
        <vt:i4>5</vt:i4>
      </vt:variant>
      <vt:variant>
        <vt:lpwstr/>
      </vt:variant>
      <vt:variant>
        <vt:lpwstr>_Toc184299446</vt:lpwstr>
      </vt:variant>
      <vt:variant>
        <vt:i4>1048632</vt:i4>
      </vt:variant>
      <vt:variant>
        <vt:i4>86</vt:i4>
      </vt:variant>
      <vt:variant>
        <vt:i4>0</vt:i4>
      </vt:variant>
      <vt:variant>
        <vt:i4>5</vt:i4>
      </vt:variant>
      <vt:variant>
        <vt:lpwstr/>
      </vt:variant>
      <vt:variant>
        <vt:lpwstr>_Toc184299445</vt:lpwstr>
      </vt:variant>
      <vt:variant>
        <vt:i4>1048632</vt:i4>
      </vt:variant>
      <vt:variant>
        <vt:i4>80</vt:i4>
      </vt:variant>
      <vt:variant>
        <vt:i4>0</vt:i4>
      </vt:variant>
      <vt:variant>
        <vt:i4>5</vt:i4>
      </vt:variant>
      <vt:variant>
        <vt:lpwstr/>
      </vt:variant>
      <vt:variant>
        <vt:lpwstr>_Toc184299444</vt:lpwstr>
      </vt:variant>
      <vt:variant>
        <vt:i4>1048632</vt:i4>
      </vt:variant>
      <vt:variant>
        <vt:i4>74</vt:i4>
      </vt:variant>
      <vt:variant>
        <vt:i4>0</vt:i4>
      </vt:variant>
      <vt:variant>
        <vt:i4>5</vt:i4>
      </vt:variant>
      <vt:variant>
        <vt:lpwstr/>
      </vt:variant>
      <vt:variant>
        <vt:lpwstr>_Toc184299443</vt:lpwstr>
      </vt:variant>
      <vt:variant>
        <vt:i4>1048632</vt:i4>
      </vt:variant>
      <vt:variant>
        <vt:i4>68</vt:i4>
      </vt:variant>
      <vt:variant>
        <vt:i4>0</vt:i4>
      </vt:variant>
      <vt:variant>
        <vt:i4>5</vt:i4>
      </vt:variant>
      <vt:variant>
        <vt:lpwstr/>
      </vt:variant>
      <vt:variant>
        <vt:lpwstr>_Toc184299442</vt:lpwstr>
      </vt:variant>
      <vt:variant>
        <vt:i4>1048632</vt:i4>
      </vt:variant>
      <vt:variant>
        <vt:i4>62</vt:i4>
      </vt:variant>
      <vt:variant>
        <vt:i4>0</vt:i4>
      </vt:variant>
      <vt:variant>
        <vt:i4>5</vt:i4>
      </vt:variant>
      <vt:variant>
        <vt:lpwstr/>
      </vt:variant>
      <vt:variant>
        <vt:lpwstr>_Toc184299441</vt:lpwstr>
      </vt:variant>
      <vt:variant>
        <vt:i4>1048632</vt:i4>
      </vt:variant>
      <vt:variant>
        <vt:i4>56</vt:i4>
      </vt:variant>
      <vt:variant>
        <vt:i4>0</vt:i4>
      </vt:variant>
      <vt:variant>
        <vt:i4>5</vt:i4>
      </vt:variant>
      <vt:variant>
        <vt:lpwstr/>
      </vt:variant>
      <vt:variant>
        <vt:lpwstr>_Toc184299440</vt:lpwstr>
      </vt:variant>
      <vt:variant>
        <vt:i4>1507384</vt:i4>
      </vt:variant>
      <vt:variant>
        <vt:i4>50</vt:i4>
      </vt:variant>
      <vt:variant>
        <vt:i4>0</vt:i4>
      </vt:variant>
      <vt:variant>
        <vt:i4>5</vt:i4>
      </vt:variant>
      <vt:variant>
        <vt:lpwstr/>
      </vt:variant>
      <vt:variant>
        <vt:lpwstr>_Toc184299439</vt:lpwstr>
      </vt:variant>
      <vt:variant>
        <vt:i4>1507384</vt:i4>
      </vt:variant>
      <vt:variant>
        <vt:i4>44</vt:i4>
      </vt:variant>
      <vt:variant>
        <vt:i4>0</vt:i4>
      </vt:variant>
      <vt:variant>
        <vt:i4>5</vt:i4>
      </vt:variant>
      <vt:variant>
        <vt:lpwstr/>
      </vt:variant>
      <vt:variant>
        <vt:lpwstr>_Toc184299438</vt:lpwstr>
      </vt:variant>
      <vt:variant>
        <vt:i4>1507384</vt:i4>
      </vt:variant>
      <vt:variant>
        <vt:i4>38</vt:i4>
      </vt:variant>
      <vt:variant>
        <vt:i4>0</vt:i4>
      </vt:variant>
      <vt:variant>
        <vt:i4>5</vt:i4>
      </vt:variant>
      <vt:variant>
        <vt:lpwstr/>
      </vt:variant>
      <vt:variant>
        <vt:lpwstr>_Toc184299437</vt:lpwstr>
      </vt:variant>
      <vt:variant>
        <vt:i4>1507384</vt:i4>
      </vt:variant>
      <vt:variant>
        <vt:i4>32</vt:i4>
      </vt:variant>
      <vt:variant>
        <vt:i4>0</vt:i4>
      </vt:variant>
      <vt:variant>
        <vt:i4>5</vt:i4>
      </vt:variant>
      <vt:variant>
        <vt:lpwstr/>
      </vt:variant>
      <vt:variant>
        <vt:lpwstr>_Toc184299436</vt:lpwstr>
      </vt:variant>
      <vt:variant>
        <vt:i4>1507384</vt:i4>
      </vt:variant>
      <vt:variant>
        <vt:i4>26</vt:i4>
      </vt:variant>
      <vt:variant>
        <vt:i4>0</vt:i4>
      </vt:variant>
      <vt:variant>
        <vt:i4>5</vt:i4>
      </vt:variant>
      <vt:variant>
        <vt:lpwstr/>
      </vt:variant>
      <vt:variant>
        <vt:lpwstr>_Toc184299435</vt:lpwstr>
      </vt:variant>
      <vt:variant>
        <vt:i4>1507384</vt:i4>
      </vt:variant>
      <vt:variant>
        <vt:i4>20</vt:i4>
      </vt:variant>
      <vt:variant>
        <vt:i4>0</vt:i4>
      </vt:variant>
      <vt:variant>
        <vt:i4>5</vt:i4>
      </vt:variant>
      <vt:variant>
        <vt:lpwstr/>
      </vt:variant>
      <vt:variant>
        <vt:lpwstr>_Toc184299434</vt:lpwstr>
      </vt:variant>
      <vt:variant>
        <vt:i4>1507384</vt:i4>
      </vt:variant>
      <vt:variant>
        <vt:i4>14</vt:i4>
      </vt:variant>
      <vt:variant>
        <vt:i4>0</vt:i4>
      </vt:variant>
      <vt:variant>
        <vt:i4>5</vt:i4>
      </vt:variant>
      <vt:variant>
        <vt:lpwstr/>
      </vt:variant>
      <vt:variant>
        <vt:lpwstr>_Toc184299433</vt:lpwstr>
      </vt:variant>
      <vt:variant>
        <vt:i4>1507384</vt:i4>
      </vt:variant>
      <vt:variant>
        <vt:i4>8</vt:i4>
      </vt:variant>
      <vt:variant>
        <vt:i4>0</vt:i4>
      </vt:variant>
      <vt:variant>
        <vt:i4>5</vt:i4>
      </vt:variant>
      <vt:variant>
        <vt:lpwstr/>
      </vt:variant>
      <vt:variant>
        <vt:lpwstr>_Toc184299432</vt:lpwstr>
      </vt:variant>
      <vt:variant>
        <vt:i4>1507384</vt:i4>
      </vt:variant>
      <vt:variant>
        <vt:i4>2</vt:i4>
      </vt:variant>
      <vt:variant>
        <vt:i4>0</vt:i4>
      </vt:variant>
      <vt:variant>
        <vt:i4>5</vt:i4>
      </vt:variant>
      <vt:variant>
        <vt:lpwstr/>
      </vt:variant>
      <vt:variant>
        <vt:lpwstr>_Toc184299431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Update</dc:title>
  <dc:subject/>
  <dc:creator/>
  <cp:keywords/>
  <dc:description/>
  <cp:lastModifiedBy>Geoff Stanton (DTF)</cp:lastModifiedBy>
  <cp:revision>319</cp:revision>
  <cp:lastPrinted>2023-11-24T06:36:00Z</cp:lastPrinted>
  <dcterms:created xsi:type="dcterms:W3CDTF">2024-12-16T02:54:00Z</dcterms:created>
  <dcterms:modified xsi:type="dcterms:W3CDTF">2024-12-12T02:59:00Z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2023-10-25T03:38:54Z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a58b085f-52e9-4118-9194-e789a73f7c01</vt:lpwstr>
  </property>
  <property fmtid="{D5CDD505-2E9C-101B-9397-08002B2CF9AE}" pid="8" name="MSIP_Label_bb4ee517-5ca4-4fff-98d2-ed4f906edd6d_ContentBits">
    <vt:lpwstr>0</vt:lpwstr>
  </property>
  <property fmtid="{D5CDD505-2E9C-101B-9397-08002B2CF9AE}" pid="9" name="ContentTypeId">
    <vt:lpwstr>0x010100E4BE71402CE03A44B01A26F91DBC9981</vt:lpwstr>
  </property>
  <property fmtid="{D5CDD505-2E9C-101B-9397-08002B2CF9AE}" pid="10" name="MediaServiceImageTags">
    <vt:lpwstr/>
  </property>
</Properties>
</file>