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4CFAE4F" w14:textId="463DC2E7" w:rsidR="00045296" w:rsidRPr="008501EF" w:rsidRDefault="00505C07" w:rsidP="008501EF">
      <w:pPr>
        <w:pStyle w:val="Title"/>
      </w:pPr>
      <w:bookmarkStart w:id="0" w:name="_Toc442780672"/>
      <w:r>
        <w:t>Community Support Fund</w:t>
      </w:r>
    </w:p>
    <w:p w14:paraId="5E5EFCF1" w14:textId="33F6D520" w:rsidR="00522F8A" w:rsidRPr="00522F8A" w:rsidRDefault="00505C07" w:rsidP="00072A2A">
      <w:pPr>
        <w:pStyle w:val="Subtitle"/>
      </w:pPr>
      <w:r>
        <w:t xml:space="preserve">Final Outcomes Summary for the Projects Completed </w:t>
      </w:r>
      <w:r w:rsidR="0069607C">
        <w:t>202</w:t>
      </w:r>
      <w:r w:rsidR="00494CF4">
        <w:t>3</w:t>
      </w:r>
      <w:r w:rsidR="0069607C">
        <w:t>-2</w:t>
      </w:r>
      <w:r w:rsidR="00494CF4">
        <w:t>4</w:t>
      </w:r>
    </w:p>
    <w:p w14:paraId="7D1A8748" w14:textId="68F21FA6" w:rsidR="00522F8A" w:rsidRDefault="00522F8A" w:rsidP="007C2AC6">
      <w:pPr>
        <w:pStyle w:val="CM"/>
        <w:spacing w:after="720"/>
      </w:pPr>
      <w:r w:rsidRPr="007F7A76">
        <w:t>CM</w:t>
      </w:r>
      <w:r>
        <w:t xml:space="preserve"> </w:t>
      </w:r>
      <w:r w:rsidRPr="004027B5">
        <w:t>ref</w:t>
      </w:r>
      <w:r w:rsidRPr="007F7A76">
        <w:t>:</w:t>
      </w:r>
      <w:r w:rsidR="00FE24E9">
        <w:t xml:space="preserve"> </w:t>
      </w:r>
      <w:r w:rsidR="004549CE" w:rsidRPr="004549CE">
        <w:t>D24/264607</w:t>
      </w:r>
    </w:p>
    <w:sdt>
      <w:sdtPr>
        <w:rPr>
          <w:rFonts w:asciiTheme="minorHAnsi" w:eastAsiaTheme="minorEastAsia" w:hAnsiTheme="minorHAnsi" w:cstheme="minorBidi"/>
          <w:b w:val="0"/>
          <w:bCs w:val="0"/>
          <w:color w:val="232B39" w:themeColor="text1"/>
          <w:spacing w:val="0"/>
          <w:sz w:val="20"/>
          <w:szCs w:val="20"/>
        </w:rPr>
        <w:id w:val="840279610"/>
        <w:docPartObj>
          <w:docPartGallery w:val="Table of Contents"/>
          <w:docPartUnique/>
        </w:docPartObj>
      </w:sdtPr>
      <w:sdtEndPr>
        <w:rPr>
          <w:noProof/>
          <w:sz w:val="24"/>
          <w:szCs w:val="24"/>
        </w:rPr>
      </w:sdtEndPr>
      <w:sdtContent>
        <w:p w14:paraId="3C4F259F" w14:textId="0E41A99F" w:rsidR="009E7FC2" w:rsidRDefault="009E7FC2" w:rsidP="009A732E">
          <w:pPr>
            <w:pStyle w:val="TOCHeading"/>
            <w:spacing w:after="240"/>
          </w:pPr>
          <w:r>
            <w:t>Contents</w:t>
          </w:r>
        </w:p>
        <w:p w14:paraId="09CA71F4" w14:textId="6F9A06F1" w:rsidR="00FF65A6" w:rsidRDefault="009E7FC2">
          <w:pPr>
            <w:pStyle w:val="TOC1"/>
            <w:rPr>
              <w:noProof/>
              <w:color w:val="auto"/>
              <w:kern w:val="2"/>
              <w14:ligatures w14:val="standardContextual"/>
            </w:rPr>
          </w:pPr>
          <w:r>
            <w:fldChar w:fldCharType="begin"/>
          </w:r>
          <w:r>
            <w:instrText xml:space="preserve"> TOC \o "1-3" \h \z \u </w:instrText>
          </w:r>
          <w:r>
            <w:fldChar w:fldCharType="separate"/>
          </w:r>
          <w:hyperlink w:anchor="_Toc184829508" w:history="1">
            <w:r w:rsidR="00FF65A6" w:rsidRPr="00315E8E">
              <w:rPr>
                <w:rStyle w:val="Hyperlink"/>
                <w:noProof/>
              </w:rPr>
              <w:t>Connect Health and Community Pilot Dental Screening Program</w:t>
            </w:r>
            <w:r w:rsidR="00FF65A6">
              <w:rPr>
                <w:noProof/>
                <w:webHidden/>
              </w:rPr>
              <w:tab/>
            </w:r>
            <w:r w:rsidR="00FF65A6">
              <w:rPr>
                <w:noProof/>
                <w:webHidden/>
              </w:rPr>
              <w:fldChar w:fldCharType="begin"/>
            </w:r>
            <w:r w:rsidR="00FF65A6">
              <w:rPr>
                <w:noProof/>
                <w:webHidden/>
              </w:rPr>
              <w:instrText xml:space="preserve"> PAGEREF _Toc184829508 \h </w:instrText>
            </w:r>
            <w:r w:rsidR="00FF65A6">
              <w:rPr>
                <w:noProof/>
                <w:webHidden/>
              </w:rPr>
            </w:r>
            <w:r w:rsidR="00FF65A6">
              <w:rPr>
                <w:noProof/>
                <w:webHidden/>
              </w:rPr>
              <w:fldChar w:fldCharType="separate"/>
            </w:r>
            <w:r w:rsidR="00FF65A6">
              <w:rPr>
                <w:noProof/>
                <w:webHidden/>
              </w:rPr>
              <w:t>2</w:t>
            </w:r>
            <w:r w:rsidR="00FF65A6">
              <w:rPr>
                <w:noProof/>
                <w:webHidden/>
              </w:rPr>
              <w:fldChar w:fldCharType="end"/>
            </w:r>
          </w:hyperlink>
        </w:p>
        <w:p w14:paraId="368241FB" w14:textId="2BCD65E4" w:rsidR="00FF65A6" w:rsidRDefault="00FF65A6">
          <w:pPr>
            <w:pStyle w:val="TOC1"/>
            <w:rPr>
              <w:noProof/>
              <w:color w:val="auto"/>
              <w:kern w:val="2"/>
              <w14:ligatures w14:val="standardContextual"/>
            </w:rPr>
          </w:pPr>
          <w:hyperlink w:anchor="_Toc184829509" w:history="1">
            <w:r w:rsidRPr="00315E8E">
              <w:rPr>
                <w:rStyle w:val="Hyperlink"/>
                <w:noProof/>
              </w:rPr>
              <w:t>The Bendigo Foodshare Community Food Hub</w:t>
            </w:r>
            <w:r>
              <w:rPr>
                <w:noProof/>
                <w:webHidden/>
              </w:rPr>
              <w:tab/>
            </w:r>
            <w:r>
              <w:rPr>
                <w:noProof/>
                <w:webHidden/>
              </w:rPr>
              <w:fldChar w:fldCharType="begin"/>
            </w:r>
            <w:r>
              <w:rPr>
                <w:noProof/>
                <w:webHidden/>
              </w:rPr>
              <w:instrText xml:space="preserve"> PAGEREF _Toc184829509 \h </w:instrText>
            </w:r>
            <w:r>
              <w:rPr>
                <w:noProof/>
                <w:webHidden/>
              </w:rPr>
            </w:r>
            <w:r>
              <w:rPr>
                <w:noProof/>
                <w:webHidden/>
              </w:rPr>
              <w:fldChar w:fldCharType="separate"/>
            </w:r>
            <w:r>
              <w:rPr>
                <w:noProof/>
                <w:webHidden/>
              </w:rPr>
              <w:t>3</w:t>
            </w:r>
            <w:r>
              <w:rPr>
                <w:noProof/>
                <w:webHidden/>
              </w:rPr>
              <w:fldChar w:fldCharType="end"/>
            </w:r>
          </w:hyperlink>
        </w:p>
        <w:p w14:paraId="3E2A17B2" w14:textId="520DAF34" w:rsidR="00FF65A6" w:rsidRDefault="00FF65A6">
          <w:pPr>
            <w:pStyle w:val="TOC1"/>
            <w:rPr>
              <w:noProof/>
              <w:color w:val="auto"/>
              <w:kern w:val="2"/>
              <w14:ligatures w14:val="standardContextual"/>
            </w:rPr>
          </w:pPr>
          <w:hyperlink w:anchor="_Toc184829510" w:history="1">
            <w:r w:rsidRPr="00315E8E">
              <w:rPr>
                <w:rStyle w:val="Hyperlink"/>
                <w:noProof/>
              </w:rPr>
              <w:t>The Lexton Community Hub</w:t>
            </w:r>
            <w:r>
              <w:rPr>
                <w:noProof/>
                <w:webHidden/>
              </w:rPr>
              <w:tab/>
            </w:r>
            <w:r>
              <w:rPr>
                <w:noProof/>
                <w:webHidden/>
              </w:rPr>
              <w:fldChar w:fldCharType="begin"/>
            </w:r>
            <w:r>
              <w:rPr>
                <w:noProof/>
                <w:webHidden/>
              </w:rPr>
              <w:instrText xml:space="preserve"> PAGEREF _Toc184829510 \h </w:instrText>
            </w:r>
            <w:r>
              <w:rPr>
                <w:noProof/>
                <w:webHidden/>
              </w:rPr>
            </w:r>
            <w:r>
              <w:rPr>
                <w:noProof/>
                <w:webHidden/>
              </w:rPr>
              <w:fldChar w:fldCharType="separate"/>
            </w:r>
            <w:r>
              <w:rPr>
                <w:noProof/>
                <w:webHidden/>
              </w:rPr>
              <w:t>3</w:t>
            </w:r>
            <w:r>
              <w:rPr>
                <w:noProof/>
                <w:webHidden/>
              </w:rPr>
              <w:fldChar w:fldCharType="end"/>
            </w:r>
          </w:hyperlink>
        </w:p>
        <w:p w14:paraId="6FDBD583" w14:textId="4140D58D" w:rsidR="00FF65A6" w:rsidRDefault="00FF65A6">
          <w:pPr>
            <w:pStyle w:val="TOC1"/>
            <w:rPr>
              <w:noProof/>
              <w:color w:val="auto"/>
              <w:kern w:val="2"/>
              <w14:ligatures w14:val="standardContextual"/>
            </w:rPr>
          </w:pPr>
          <w:hyperlink w:anchor="_Toc184829511" w:history="1">
            <w:r w:rsidRPr="00315E8E">
              <w:rPr>
                <w:rStyle w:val="Hyperlink"/>
                <w:noProof/>
              </w:rPr>
              <w:t>The Carisbrook Bowls Club</w:t>
            </w:r>
            <w:r>
              <w:rPr>
                <w:noProof/>
                <w:webHidden/>
              </w:rPr>
              <w:tab/>
            </w:r>
            <w:r>
              <w:rPr>
                <w:noProof/>
                <w:webHidden/>
              </w:rPr>
              <w:fldChar w:fldCharType="begin"/>
            </w:r>
            <w:r>
              <w:rPr>
                <w:noProof/>
                <w:webHidden/>
              </w:rPr>
              <w:instrText xml:space="preserve"> PAGEREF _Toc184829511 \h </w:instrText>
            </w:r>
            <w:r>
              <w:rPr>
                <w:noProof/>
                <w:webHidden/>
              </w:rPr>
            </w:r>
            <w:r>
              <w:rPr>
                <w:noProof/>
                <w:webHidden/>
              </w:rPr>
              <w:fldChar w:fldCharType="separate"/>
            </w:r>
            <w:r>
              <w:rPr>
                <w:noProof/>
                <w:webHidden/>
              </w:rPr>
              <w:t>4</w:t>
            </w:r>
            <w:r>
              <w:rPr>
                <w:noProof/>
                <w:webHidden/>
              </w:rPr>
              <w:fldChar w:fldCharType="end"/>
            </w:r>
          </w:hyperlink>
        </w:p>
        <w:p w14:paraId="5F9AF83A" w14:textId="1F65FF1F" w:rsidR="00FF65A6" w:rsidRDefault="00FF65A6">
          <w:pPr>
            <w:pStyle w:val="TOC1"/>
            <w:rPr>
              <w:noProof/>
              <w:color w:val="auto"/>
              <w:kern w:val="2"/>
              <w14:ligatures w14:val="standardContextual"/>
            </w:rPr>
          </w:pPr>
          <w:hyperlink w:anchor="_Toc184829512" w:history="1">
            <w:r w:rsidRPr="00315E8E">
              <w:rPr>
                <w:rStyle w:val="Hyperlink"/>
                <w:noProof/>
              </w:rPr>
              <w:t>Ross Reserve Upgrade</w:t>
            </w:r>
            <w:r>
              <w:rPr>
                <w:noProof/>
                <w:webHidden/>
              </w:rPr>
              <w:tab/>
            </w:r>
            <w:r>
              <w:rPr>
                <w:noProof/>
                <w:webHidden/>
              </w:rPr>
              <w:fldChar w:fldCharType="begin"/>
            </w:r>
            <w:r>
              <w:rPr>
                <w:noProof/>
                <w:webHidden/>
              </w:rPr>
              <w:instrText xml:space="preserve"> PAGEREF _Toc184829512 \h </w:instrText>
            </w:r>
            <w:r>
              <w:rPr>
                <w:noProof/>
                <w:webHidden/>
              </w:rPr>
            </w:r>
            <w:r>
              <w:rPr>
                <w:noProof/>
                <w:webHidden/>
              </w:rPr>
              <w:fldChar w:fldCharType="separate"/>
            </w:r>
            <w:r>
              <w:rPr>
                <w:noProof/>
                <w:webHidden/>
              </w:rPr>
              <w:t>4</w:t>
            </w:r>
            <w:r>
              <w:rPr>
                <w:noProof/>
                <w:webHidden/>
              </w:rPr>
              <w:fldChar w:fldCharType="end"/>
            </w:r>
          </w:hyperlink>
        </w:p>
        <w:p w14:paraId="5731A9CD" w14:textId="0893A01C" w:rsidR="00FF65A6" w:rsidRDefault="00FF65A6">
          <w:pPr>
            <w:pStyle w:val="TOC1"/>
            <w:rPr>
              <w:noProof/>
              <w:color w:val="auto"/>
              <w:kern w:val="2"/>
              <w14:ligatures w14:val="standardContextual"/>
            </w:rPr>
          </w:pPr>
          <w:hyperlink w:anchor="_Toc184829513" w:history="1">
            <w:r w:rsidRPr="00315E8E">
              <w:rPr>
                <w:rStyle w:val="Hyperlink"/>
                <w:noProof/>
              </w:rPr>
              <w:t>Murrumbeena Tennis Club Pavilion Upgrade</w:t>
            </w:r>
            <w:r>
              <w:rPr>
                <w:noProof/>
                <w:webHidden/>
              </w:rPr>
              <w:tab/>
            </w:r>
            <w:r>
              <w:rPr>
                <w:noProof/>
                <w:webHidden/>
              </w:rPr>
              <w:fldChar w:fldCharType="begin"/>
            </w:r>
            <w:r>
              <w:rPr>
                <w:noProof/>
                <w:webHidden/>
              </w:rPr>
              <w:instrText xml:space="preserve"> PAGEREF _Toc184829513 \h </w:instrText>
            </w:r>
            <w:r>
              <w:rPr>
                <w:noProof/>
                <w:webHidden/>
              </w:rPr>
            </w:r>
            <w:r>
              <w:rPr>
                <w:noProof/>
                <w:webHidden/>
              </w:rPr>
              <w:fldChar w:fldCharType="separate"/>
            </w:r>
            <w:r>
              <w:rPr>
                <w:noProof/>
                <w:webHidden/>
              </w:rPr>
              <w:t>5</w:t>
            </w:r>
            <w:r>
              <w:rPr>
                <w:noProof/>
                <w:webHidden/>
              </w:rPr>
              <w:fldChar w:fldCharType="end"/>
            </w:r>
          </w:hyperlink>
        </w:p>
        <w:p w14:paraId="274C0A6C" w14:textId="7C0A4B4F" w:rsidR="00FF65A6" w:rsidRDefault="00FF65A6">
          <w:pPr>
            <w:pStyle w:val="TOC1"/>
            <w:rPr>
              <w:noProof/>
              <w:color w:val="auto"/>
              <w:kern w:val="2"/>
              <w14:ligatures w14:val="standardContextual"/>
            </w:rPr>
          </w:pPr>
          <w:hyperlink w:anchor="_Toc184829514" w:history="1">
            <w:r w:rsidRPr="00315E8E">
              <w:rPr>
                <w:rStyle w:val="Hyperlink"/>
                <w:noProof/>
              </w:rPr>
              <w:t>The Basin Football Club</w:t>
            </w:r>
            <w:r>
              <w:rPr>
                <w:noProof/>
                <w:webHidden/>
              </w:rPr>
              <w:tab/>
            </w:r>
            <w:r>
              <w:rPr>
                <w:noProof/>
                <w:webHidden/>
              </w:rPr>
              <w:fldChar w:fldCharType="begin"/>
            </w:r>
            <w:r>
              <w:rPr>
                <w:noProof/>
                <w:webHidden/>
              </w:rPr>
              <w:instrText xml:space="preserve"> PAGEREF _Toc184829514 \h </w:instrText>
            </w:r>
            <w:r>
              <w:rPr>
                <w:noProof/>
                <w:webHidden/>
              </w:rPr>
            </w:r>
            <w:r>
              <w:rPr>
                <w:noProof/>
                <w:webHidden/>
              </w:rPr>
              <w:fldChar w:fldCharType="separate"/>
            </w:r>
            <w:r>
              <w:rPr>
                <w:noProof/>
                <w:webHidden/>
              </w:rPr>
              <w:t>6</w:t>
            </w:r>
            <w:r>
              <w:rPr>
                <w:noProof/>
                <w:webHidden/>
              </w:rPr>
              <w:fldChar w:fldCharType="end"/>
            </w:r>
          </w:hyperlink>
        </w:p>
        <w:p w14:paraId="2B3888C2" w14:textId="0C2F226A" w:rsidR="00FF65A6" w:rsidRDefault="00FF65A6">
          <w:pPr>
            <w:pStyle w:val="TOC1"/>
            <w:rPr>
              <w:noProof/>
              <w:color w:val="auto"/>
              <w:kern w:val="2"/>
              <w14:ligatures w14:val="standardContextual"/>
            </w:rPr>
          </w:pPr>
          <w:hyperlink w:anchor="_Toc184829515" w:history="1">
            <w:r w:rsidRPr="00315E8E">
              <w:rPr>
                <w:rStyle w:val="Hyperlink"/>
                <w:noProof/>
              </w:rPr>
              <w:t>Public Records Office Victorian Grants Awards Program</w:t>
            </w:r>
            <w:r>
              <w:rPr>
                <w:noProof/>
                <w:webHidden/>
              </w:rPr>
              <w:tab/>
            </w:r>
            <w:r>
              <w:rPr>
                <w:noProof/>
                <w:webHidden/>
              </w:rPr>
              <w:fldChar w:fldCharType="begin"/>
            </w:r>
            <w:r>
              <w:rPr>
                <w:noProof/>
                <w:webHidden/>
              </w:rPr>
              <w:instrText xml:space="preserve"> PAGEREF _Toc184829515 \h </w:instrText>
            </w:r>
            <w:r>
              <w:rPr>
                <w:noProof/>
                <w:webHidden/>
              </w:rPr>
            </w:r>
            <w:r>
              <w:rPr>
                <w:noProof/>
                <w:webHidden/>
              </w:rPr>
              <w:fldChar w:fldCharType="separate"/>
            </w:r>
            <w:r>
              <w:rPr>
                <w:noProof/>
                <w:webHidden/>
              </w:rPr>
              <w:t>7</w:t>
            </w:r>
            <w:r>
              <w:rPr>
                <w:noProof/>
                <w:webHidden/>
              </w:rPr>
              <w:fldChar w:fldCharType="end"/>
            </w:r>
          </w:hyperlink>
        </w:p>
        <w:p w14:paraId="32E344CE" w14:textId="53C0E2D3" w:rsidR="00FF65A6" w:rsidRDefault="00FF65A6">
          <w:pPr>
            <w:pStyle w:val="TOC1"/>
            <w:rPr>
              <w:noProof/>
              <w:color w:val="auto"/>
              <w:kern w:val="2"/>
              <w14:ligatures w14:val="standardContextual"/>
            </w:rPr>
          </w:pPr>
          <w:hyperlink w:anchor="_Toc184829516" w:history="1">
            <w:r w:rsidRPr="00315E8E">
              <w:rPr>
                <w:rStyle w:val="Hyperlink"/>
                <w:noProof/>
              </w:rPr>
              <w:t>Emerging with Stronger Communities - Sikh Volunteer Vans</w:t>
            </w:r>
            <w:r>
              <w:rPr>
                <w:noProof/>
                <w:webHidden/>
              </w:rPr>
              <w:tab/>
            </w:r>
            <w:r>
              <w:rPr>
                <w:noProof/>
                <w:webHidden/>
              </w:rPr>
              <w:fldChar w:fldCharType="begin"/>
            </w:r>
            <w:r>
              <w:rPr>
                <w:noProof/>
                <w:webHidden/>
              </w:rPr>
              <w:instrText xml:space="preserve"> PAGEREF _Toc184829516 \h </w:instrText>
            </w:r>
            <w:r>
              <w:rPr>
                <w:noProof/>
                <w:webHidden/>
              </w:rPr>
            </w:r>
            <w:r>
              <w:rPr>
                <w:noProof/>
                <w:webHidden/>
              </w:rPr>
              <w:fldChar w:fldCharType="separate"/>
            </w:r>
            <w:r>
              <w:rPr>
                <w:noProof/>
                <w:webHidden/>
              </w:rPr>
              <w:t>8</w:t>
            </w:r>
            <w:r>
              <w:rPr>
                <w:noProof/>
                <w:webHidden/>
              </w:rPr>
              <w:fldChar w:fldCharType="end"/>
            </w:r>
          </w:hyperlink>
        </w:p>
        <w:p w14:paraId="53D373DE" w14:textId="22C1FE21" w:rsidR="00FF65A6" w:rsidRDefault="00FF65A6">
          <w:pPr>
            <w:pStyle w:val="TOC1"/>
            <w:rPr>
              <w:noProof/>
              <w:color w:val="auto"/>
              <w:kern w:val="2"/>
              <w14:ligatures w14:val="standardContextual"/>
            </w:rPr>
          </w:pPr>
          <w:hyperlink w:anchor="_Toc184829517" w:history="1">
            <w:r w:rsidRPr="00315E8E">
              <w:rPr>
                <w:rStyle w:val="Hyperlink"/>
                <w:noProof/>
              </w:rPr>
              <w:t>Mount Evelyn Community House and Reading Room</w:t>
            </w:r>
            <w:r>
              <w:rPr>
                <w:noProof/>
                <w:webHidden/>
              </w:rPr>
              <w:tab/>
            </w:r>
            <w:r>
              <w:rPr>
                <w:noProof/>
                <w:webHidden/>
              </w:rPr>
              <w:fldChar w:fldCharType="begin"/>
            </w:r>
            <w:r>
              <w:rPr>
                <w:noProof/>
                <w:webHidden/>
              </w:rPr>
              <w:instrText xml:space="preserve"> PAGEREF _Toc184829517 \h </w:instrText>
            </w:r>
            <w:r>
              <w:rPr>
                <w:noProof/>
                <w:webHidden/>
              </w:rPr>
            </w:r>
            <w:r>
              <w:rPr>
                <w:noProof/>
                <w:webHidden/>
              </w:rPr>
              <w:fldChar w:fldCharType="separate"/>
            </w:r>
            <w:r>
              <w:rPr>
                <w:noProof/>
                <w:webHidden/>
              </w:rPr>
              <w:t>8</w:t>
            </w:r>
            <w:r>
              <w:rPr>
                <w:noProof/>
                <w:webHidden/>
              </w:rPr>
              <w:fldChar w:fldCharType="end"/>
            </w:r>
          </w:hyperlink>
        </w:p>
        <w:p w14:paraId="7210EE1A" w14:textId="7C269AD5" w:rsidR="00FF65A6" w:rsidRDefault="00FF65A6">
          <w:pPr>
            <w:pStyle w:val="TOC1"/>
            <w:rPr>
              <w:noProof/>
              <w:color w:val="auto"/>
              <w:kern w:val="2"/>
              <w14:ligatures w14:val="standardContextual"/>
            </w:rPr>
          </w:pPr>
          <w:hyperlink w:anchor="_Toc184829518" w:history="1">
            <w:r w:rsidRPr="00315E8E">
              <w:rPr>
                <w:rStyle w:val="Hyperlink"/>
                <w:noProof/>
              </w:rPr>
              <w:t>Regional Food Relief Hubs</w:t>
            </w:r>
            <w:r>
              <w:rPr>
                <w:noProof/>
                <w:webHidden/>
              </w:rPr>
              <w:tab/>
            </w:r>
            <w:r>
              <w:rPr>
                <w:noProof/>
                <w:webHidden/>
              </w:rPr>
              <w:fldChar w:fldCharType="begin"/>
            </w:r>
            <w:r>
              <w:rPr>
                <w:noProof/>
                <w:webHidden/>
              </w:rPr>
              <w:instrText xml:space="preserve"> PAGEREF _Toc184829518 \h </w:instrText>
            </w:r>
            <w:r>
              <w:rPr>
                <w:noProof/>
                <w:webHidden/>
              </w:rPr>
            </w:r>
            <w:r>
              <w:rPr>
                <w:noProof/>
                <w:webHidden/>
              </w:rPr>
              <w:fldChar w:fldCharType="separate"/>
            </w:r>
            <w:r>
              <w:rPr>
                <w:noProof/>
                <w:webHidden/>
              </w:rPr>
              <w:t>9</w:t>
            </w:r>
            <w:r>
              <w:rPr>
                <w:noProof/>
                <w:webHidden/>
              </w:rPr>
              <w:fldChar w:fldCharType="end"/>
            </w:r>
          </w:hyperlink>
        </w:p>
        <w:p w14:paraId="0E8B4F36" w14:textId="21A08F58" w:rsidR="00FF65A6" w:rsidRDefault="00FF65A6">
          <w:pPr>
            <w:pStyle w:val="TOC1"/>
            <w:rPr>
              <w:noProof/>
              <w:color w:val="auto"/>
              <w:kern w:val="2"/>
              <w14:ligatures w14:val="standardContextual"/>
            </w:rPr>
          </w:pPr>
          <w:hyperlink w:anchor="_Toc184829519" w:history="1">
            <w:r w:rsidRPr="00315E8E">
              <w:rPr>
                <w:rStyle w:val="Hyperlink"/>
                <w:noProof/>
              </w:rPr>
              <w:t>Helping Hands Mission Inc.</w:t>
            </w:r>
            <w:r>
              <w:rPr>
                <w:noProof/>
                <w:webHidden/>
              </w:rPr>
              <w:tab/>
            </w:r>
            <w:r>
              <w:rPr>
                <w:noProof/>
                <w:webHidden/>
              </w:rPr>
              <w:fldChar w:fldCharType="begin"/>
            </w:r>
            <w:r>
              <w:rPr>
                <w:noProof/>
                <w:webHidden/>
              </w:rPr>
              <w:instrText xml:space="preserve"> PAGEREF _Toc184829519 \h </w:instrText>
            </w:r>
            <w:r>
              <w:rPr>
                <w:noProof/>
                <w:webHidden/>
              </w:rPr>
            </w:r>
            <w:r>
              <w:rPr>
                <w:noProof/>
                <w:webHidden/>
              </w:rPr>
              <w:fldChar w:fldCharType="separate"/>
            </w:r>
            <w:r>
              <w:rPr>
                <w:noProof/>
                <w:webHidden/>
              </w:rPr>
              <w:t>10</w:t>
            </w:r>
            <w:r>
              <w:rPr>
                <w:noProof/>
                <w:webHidden/>
              </w:rPr>
              <w:fldChar w:fldCharType="end"/>
            </w:r>
          </w:hyperlink>
        </w:p>
        <w:p w14:paraId="116A9686" w14:textId="3D9576DA" w:rsidR="00FF65A6" w:rsidRDefault="00FF65A6">
          <w:pPr>
            <w:pStyle w:val="TOC1"/>
            <w:rPr>
              <w:noProof/>
              <w:color w:val="auto"/>
              <w:kern w:val="2"/>
              <w14:ligatures w14:val="standardContextual"/>
            </w:rPr>
          </w:pPr>
          <w:hyperlink w:anchor="_Toc184829520" w:history="1">
            <w:r w:rsidRPr="00315E8E">
              <w:rPr>
                <w:rStyle w:val="Hyperlink"/>
                <w:noProof/>
              </w:rPr>
              <w:t>Dja Dja Wurrung Aboriginal Corporation Community and Corporate Centre</w:t>
            </w:r>
            <w:r>
              <w:rPr>
                <w:noProof/>
                <w:webHidden/>
              </w:rPr>
              <w:tab/>
            </w:r>
            <w:r>
              <w:rPr>
                <w:noProof/>
                <w:webHidden/>
              </w:rPr>
              <w:fldChar w:fldCharType="begin"/>
            </w:r>
            <w:r>
              <w:rPr>
                <w:noProof/>
                <w:webHidden/>
              </w:rPr>
              <w:instrText xml:space="preserve"> PAGEREF _Toc184829520 \h </w:instrText>
            </w:r>
            <w:r>
              <w:rPr>
                <w:noProof/>
                <w:webHidden/>
              </w:rPr>
            </w:r>
            <w:r>
              <w:rPr>
                <w:noProof/>
                <w:webHidden/>
              </w:rPr>
              <w:fldChar w:fldCharType="separate"/>
            </w:r>
            <w:r>
              <w:rPr>
                <w:noProof/>
                <w:webHidden/>
              </w:rPr>
              <w:t>10</w:t>
            </w:r>
            <w:r>
              <w:rPr>
                <w:noProof/>
                <w:webHidden/>
              </w:rPr>
              <w:fldChar w:fldCharType="end"/>
            </w:r>
          </w:hyperlink>
        </w:p>
        <w:p w14:paraId="411D463B" w14:textId="02366CF2" w:rsidR="00FF65A6" w:rsidRDefault="00FF65A6">
          <w:pPr>
            <w:pStyle w:val="TOC1"/>
            <w:rPr>
              <w:noProof/>
              <w:color w:val="auto"/>
              <w:kern w:val="2"/>
              <w14:ligatures w14:val="standardContextual"/>
            </w:rPr>
          </w:pPr>
          <w:hyperlink w:anchor="_Toc184829521" w:history="1">
            <w:r w:rsidRPr="00315E8E">
              <w:rPr>
                <w:rStyle w:val="Hyperlink"/>
                <w:noProof/>
              </w:rPr>
              <w:t>Lake Wendouree and Victoria Park in Ballarat - Light installation</w:t>
            </w:r>
            <w:r>
              <w:rPr>
                <w:noProof/>
                <w:webHidden/>
              </w:rPr>
              <w:tab/>
            </w:r>
            <w:r>
              <w:rPr>
                <w:noProof/>
                <w:webHidden/>
              </w:rPr>
              <w:fldChar w:fldCharType="begin"/>
            </w:r>
            <w:r>
              <w:rPr>
                <w:noProof/>
                <w:webHidden/>
              </w:rPr>
              <w:instrText xml:space="preserve"> PAGEREF _Toc184829521 \h </w:instrText>
            </w:r>
            <w:r>
              <w:rPr>
                <w:noProof/>
                <w:webHidden/>
              </w:rPr>
            </w:r>
            <w:r>
              <w:rPr>
                <w:noProof/>
                <w:webHidden/>
              </w:rPr>
              <w:fldChar w:fldCharType="separate"/>
            </w:r>
            <w:r>
              <w:rPr>
                <w:noProof/>
                <w:webHidden/>
              </w:rPr>
              <w:t>10</w:t>
            </w:r>
            <w:r>
              <w:rPr>
                <w:noProof/>
                <w:webHidden/>
              </w:rPr>
              <w:fldChar w:fldCharType="end"/>
            </w:r>
          </w:hyperlink>
        </w:p>
        <w:p w14:paraId="1B1C1E14" w14:textId="72A07B51" w:rsidR="00FF65A6" w:rsidRDefault="00FF65A6">
          <w:pPr>
            <w:pStyle w:val="TOC1"/>
            <w:rPr>
              <w:noProof/>
              <w:color w:val="auto"/>
              <w:kern w:val="2"/>
              <w14:ligatures w14:val="standardContextual"/>
            </w:rPr>
          </w:pPr>
          <w:hyperlink w:anchor="_Toc184829522" w:history="1">
            <w:r w:rsidRPr="00315E8E">
              <w:rPr>
                <w:rStyle w:val="Hyperlink"/>
                <w:noProof/>
              </w:rPr>
              <w:t>Creative Infrastructure Program</w:t>
            </w:r>
            <w:r>
              <w:rPr>
                <w:noProof/>
                <w:webHidden/>
              </w:rPr>
              <w:tab/>
            </w:r>
            <w:r>
              <w:rPr>
                <w:noProof/>
                <w:webHidden/>
              </w:rPr>
              <w:fldChar w:fldCharType="begin"/>
            </w:r>
            <w:r>
              <w:rPr>
                <w:noProof/>
                <w:webHidden/>
              </w:rPr>
              <w:instrText xml:space="preserve"> PAGEREF _Toc184829522 \h </w:instrText>
            </w:r>
            <w:r>
              <w:rPr>
                <w:noProof/>
                <w:webHidden/>
              </w:rPr>
            </w:r>
            <w:r>
              <w:rPr>
                <w:noProof/>
                <w:webHidden/>
              </w:rPr>
              <w:fldChar w:fldCharType="separate"/>
            </w:r>
            <w:r>
              <w:rPr>
                <w:noProof/>
                <w:webHidden/>
              </w:rPr>
              <w:t>10</w:t>
            </w:r>
            <w:r>
              <w:rPr>
                <w:noProof/>
                <w:webHidden/>
              </w:rPr>
              <w:fldChar w:fldCharType="end"/>
            </w:r>
          </w:hyperlink>
        </w:p>
        <w:p w14:paraId="20BA942C" w14:textId="7E8C993E" w:rsidR="00FF65A6" w:rsidRDefault="00FF65A6">
          <w:pPr>
            <w:pStyle w:val="TOC1"/>
            <w:rPr>
              <w:noProof/>
              <w:color w:val="auto"/>
              <w:kern w:val="2"/>
              <w14:ligatures w14:val="standardContextual"/>
            </w:rPr>
          </w:pPr>
          <w:hyperlink w:anchor="_Toc184829523" w:history="1">
            <w:r w:rsidRPr="00315E8E">
              <w:rPr>
                <w:rStyle w:val="Hyperlink"/>
                <w:noProof/>
              </w:rPr>
              <w:t>Animal Law Institute</w:t>
            </w:r>
            <w:r>
              <w:rPr>
                <w:noProof/>
                <w:webHidden/>
              </w:rPr>
              <w:tab/>
            </w:r>
            <w:r>
              <w:rPr>
                <w:noProof/>
                <w:webHidden/>
              </w:rPr>
              <w:fldChar w:fldCharType="begin"/>
            </w:r>
            <w:r>
              <w:rPr>
                <w:noProof/>
                <w:webHidden/>
              </w:rPr>
              <w:instrText xml:space="preserve"> PAGEREF _Toc184829523 \h </w:instrText>
            </w:r>
            <w:r>
              <w:rPr>
                <w:noProof/>
                <w:webHidden/>
              </w:rPr>
            </w:r>
            <w:r>
              <w:rPr>
                <w:noProof/>
                <w:webHidden/>
              </w:rPr>
              <w:fldChar w:fldCharType="separate"/>
            </w:r>
            <w:r>
              <w:rPr>
                <w:noProof/>
                <w:webHidden/>
              </w:rPr>
              <w:t>10</w:t>
            </w:r>
            <w:r>
              <w:rPr>
                <w:noProof/>
                <w:webHidden/>
              </w:rPr>
              <w:fldChar w:fldCharType="end"/>
            </w:r>
          </w:hyperlink>
        </w:p>
        <w:p w14:paraId="30D32A96" w14:textId="6D823702" w:rsidR="00FF65A6" w:rsidRDefault="00FF65A6">
          <w:pPr>
            <w:pStyle w:val="TOC1"/>
            <w:rPr>
              <w:noProof/>
              <w:color w:val="auto"/>
              <w:kern w:val="2"/>
              <w14:ligatures w14:val="standardContextual"/>
            </w:rPr>
          </w:pPr>
          <w:hyperlink w:anchor="_Toc184829524" w:history="1">
            <w:r w:rsidRPr="00315E8E">
              <w:rPr>
                <w:rStyle w:val="Hyperlink"/>
                <w:noProof/>
              </w:rPr>
              <w:t>Clunes Booktown Festivals</w:t>
            </w:r>
            <w:r>
              <w:rPr>
                <w:noProof/>
                <w:webHidden/>
              </w:rPr>
              <w:tab/>
            </w:r>
            <w:r>
              <w:rPr>
                <w:noProof/>
                <w:webHidden/>
              </w:rPr>
              <w:fldChar w:fldCharType="begin"/>
            </w:r>
            <w:r>
              <w:rPr>
                <w:noProof/>
                <w:webHidden/>
              </w:rPr>
              <w:instrText xml:space="preserve"> PAGEREF _Toc184829524 \h </w:instrText>
            </w:r>
            <w:r>
              <w:rPr>
                <w:noProof/>
                <w:webHidden/>
              </w:rPr>
            </w:r>
            <w:r>
              <w:rPr>
                <w:noProof/>
                <w:webHidden/>
              </w:rPr>
              <w:fldChar w:fldCharType="separate"/>
            </w:r>
            <w:r>
              <w:rPr>
                <w:noProof/>
                <w:webHidden/>
              </w:rPr>
              <w:t>10</w:t>
            </w:r>
            <w:r>
              <w:rPr>
                <w:noProof/>
                <w:webHidden/>
              </w:rPr>
              <w:fldChar w:fldCharType="end"/>
            </w:r>
          </w:hyperlink>
        </w:p>
        <w:p w14:paraId="0B1EF158" w14:textId="301584B9" w:rsidR="000A1F46" w:rsidRPr="00430B38" w:rsidRDefault="009E7FC2" w:rsidP="007C2AC6">
          <w:pPr>
            <w:pStyle w:val="TOC1"/>
          </w:pPr>
          <w:r>
            <w:rPr>
              <w:b/>
              <w:bCs/>
              <w:noProof/>
            </w:rPr>
            <w:fldChar w:fldCharType="end"/>
          </w:r>
        </w:p>
      </w:sdtContent>
    </w:sdt>
    <w:p w14:paraId="013FE712" w14:textId="77777777" w:rsidR="005D0786" w:rsidRDefault="005D0786">
      <w:pPr>
        <w:spacing w:before="0" w:after="200" w:line="276" w:lineRule="auto"/>
        <w:rPr>
          <w:rFonts w:asciiTheme="majorHAnsi" w:eastAsiaTheme="majorEastAsia" w:hAnsiTheme="majorHAnsi" w:cstheme="majorBidi"/>
          <w:b/>
          <w:bCs/>
          <w:color w:val="3A3467" w:themeColor="text2"/>
          <w:sz w:val="36"/>
          <w:szCs w:val="28"/>
        </w:rPr>
      </w:pPr>
      <w:bookmarkStart w:id="1" w:name="_Hlk92195733"/>
      <w:r>
        <w:br w:type="page"/>
      </w:r>
    </w:p>
    <w:p w14:paraId="7DC4DE46" w14:textId="196C8454" w:rsidR="00045296" w:rsidRDefault="00494CF4" w:rsidP="00E9630C">
      <w:pPr>
        <w:pStyle w:val="Heading1"/>
      </w:pPr>
      <w:bookmarkStart w:id="2" w:name="_Toc184829508"/>
      <w:r w:rsidRPr="00494CF4">
        <w:lastRenderedPageBreak/>
        <w:t xml:space="preserve">Connect Health </w:t>
      </w:r>
      <w:r>
        <w:t>and</w:t>
      </w:r>
      <w:r w:rsidRPr="00494CF4">
        <w:t xml:space="preserve"> Community Pilot Dental Screening Program</w:t>
      </w:r>
      <w:bookmarkEnd w:id="2"/>
    </w:p>
    <w:p w14:paraId="2B9E153B" w14:textId="0D8B02B3" w:rsidR="00494CF4" w:rsidRDefault="00494CF4" w:rsidP="00494CF4">
      <w:pPr>
        <w:jc w:val="both"/>
      </w:pPr>
      <w:bookmarkStart w:id="3" w:name="_Hlk67574103"/>
      <w:bookmarkStart w:id="4" w:name="_Toc442780673"/>
      <w:r w:rsidRPr="00494CF4">
        <w:t>Early Learning Centres (ELCs)</w:t>
      </w:r>
      <w:r>
        <w:t xml:space="preserve"> actively participated throughout the project and achieved Smiles 4 Miles certification which is part of Healthy Early Childhood Services framework (Achievement Program). ELCs continue to deliver oral health messages and implement practices to create a healthier environment for the children. Group oral health sessions were provided by the clinical team during site visits and dental packs were distributed for those present on the day.</w:t>
      </w:r>
    </w:p>
    <w:p w14:paraId="41016B93" w14:textId="239FDF5B" w:rsidR="00494CF4" w:rsidRDefault="00494CF4" w:rsidP="00494CF4">
      <w:pPr>
        <w:jc w:val="both"/>
      </w:pPr>
      <w:r>
        <w:t>Overall, the participation rate for dental screening was more favourable than the attendance rate for recall visits. Of the 180 children recruited, 64% did not attend any of their recall appointments and 35% attended at least one recall appointment. Constant ELC staffing issues posed a challenge to deliver the planned activities. Competing priorities and change in circumstances due to the pandemic influence the final outcomes of the project and contributed to the attrition rate. Project Working Group were satisfied with the activities delivered whilst adapting to and managing changes throughout the project lifecycle</w:t>
      </w:r>
    </w:p>
    <w:p w14:paraId="7D2DCFE5" w14:textId="5B317C7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511B8C">
        <w:rPr>
          <w:i w:val="0"/>
          <w:iCs w:val="0"/>
        </w:rPr>
        <w:t>Health</w:t>
      </w:r>
      <w:r>
        <w:rPr>
          <w:i w:val="0"/>
          <w:iCs w:val="0"/>
        </w:rPr>
        <w:t>.</w:t>
      </w:r>
    </w:p>
    <w:p w14:paraId="025A176D" w14:textId="6C2BC999" w:rsidR="00615BA0" w:rsidRDefault="00C10BEA" w:rsidP="009A732E">
      <w:pPr>
        <w:pStyle w:val="Heading1"/>
      </w:pPr>
      <w:bookmarkStart w:id="5" w:name="_Toc184829509"/>
      <w:bookmarkEnd w:id="1"/>
      <w:bookmarkEnd w:id="3"/>
      <w:r>
        <w:t xml:space="preserve">The </w:t>
      </w:r>
      <w:r w:rsidR="00494CF4" w:rsidRPr="00494CF4">
        <w:t>Bendigo Foodshare Community Food Hub</w:t>
      </w:r>
      <w:bookmarkEnd w:id="5"/>
    </w:p>
    <w:p w14:paraId="5B527ED1" w14:textId="48B526C4" w:rsidR="00511B8C" w:rsidRDefault="00511B8C" w:rsidP="00511B8C">
      <w:pPr>
        <w:spacing w:line="240" w:lineRule="auto"/>
        <w:jc w:val="both"/>
      </w:pPr>
      <w:r>
        <w:t>Funding supported Bendigo Foodshare to build a multi-purpose Food Hub to enhance food storage and distribution facilities, social supermarket, community garden, food education hub, and space for the Bendigo Community Farmers Market. The Food Hub will provide a centralised location for the community to come together to address food security, share ideas and access locally grown produce.</w:t>
      </w:r>
    </w:p>
    <w:p w14:paraId="6252CD07" w14:textId="276DF949" w:rsidR="00511B8C" w:rsidRDefault="00511B8C" w:rsidP="00511B8C">
      <w:pPr>
        <w:spacing w:line="240" w:lineRule="auto"/>
        <w:jc w:val="both"/>
      </w:pPr>
      <w:r>
        <w:t>The objectives of the project include building a new, larger and permanent Food Relief Hub in Bendigo; expanding food relief storage and distribution capacity; improving range of healthy food choice and essential supplies for those in need; enabling more large volume produce donations from farmers; appointing a builder to undertake the building works; and laying a concrete slab and installation of roof for the new facility.</w:t>
      </w:r>
    </w:p>
    <w:p w14:paraId="5445FDFE" w14:textId="63EACCEB"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C74DB3" w:rsidRPr="00C74DB3">
        <w:rPr>
          <w:i w:val="0"/>
          <w:iCs w:val="0"/>
        </w:rPr>
        <w:t xml:space="preserve">Department of </w:t>
      </w:r>
      <w:r w:rsidR="00511B8C" w:rsidRPr="00511B8C">
        <w:rPr>
          <w:i w:val="0"/>
          <w:iCs w:val="0"/>
        </w:rPr>
        <w:t>Families, Fairness and Housing.</w:t>
      </w:r>
    </w:p>
    <w:p w14:paraId="37DDB185"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6" w:name="_Toc184829510"/>
      <w:bookmarkEnd w:id="0"/>
      <w:bookmarkEnd w:id="4"/>
      <w:r>
        <w:br w:type="page"/>
      </w:r>
    </w:p>
    <w:p w14:paraId="0F380C5B" w14:textId="6D3C2829" w:rsidR="00C74DB3" w:rsidRDefault="00C10BEA" w:rsidP="00857840">
      <w:pPr>
        <w:pStyle w:val="Heading1"/>
      </w:pPr>
      <w:r>
        <w:lastRenderedPageBreak/>
        <w:t xml:space="preserve">The </w:t>
      </w:r>
      <w:r w:rsidR="00511B8C" w:rsidRPr="00511B8C">
        <w:t>Lexton Community Hub</w:t>
      </w:r>
      <w:bookmarkEnd w:id="6"/>
    </w:p>
    <w:p w14:paraId="7472DE6F" w14:textId="434BB36A" w:rsidR="00BE7E20" w:rsidRDefault="00BE7E20" w:rsidP="00BE7E20">
      <w:pPr>
        <w:jc w:val="both"/>
      </w:pPr>
      <w:r>
        <w:t xml:space="preserve">This project delivered female friendly facilities at Lexton Recreation Reserve including upgraded players and umpires’ changing rooms with amenities, storage rooms, a multi-purpose training and community space, first aid room and a covered </w:t>
      </w:r>
      <w:r w:rsidR="00007BEB">
        <w:t>spectator’s</w:t>
      </w:r>
      <w:r>
        <w:t xml:space="preserve"> area.</w:t>
      </w:r>
    </w:p>
    <w:p w14:paraId="79E638A9" w14:textId="7613E631" w:rsidR="002C267C" w:rsidRDefault="002C267C" w:rsidP="002C267C">
      <w:pPr>
        <w:jc w:val="both"/>
      </w:pPr>
      <w:r>
        <w:t>The completed project provides modern and compliant facilities for women and girls who currently do not have dedicated female change amenities. Lexton Football Netball Club is able to meet the growing needs of the local sporting clubs through the provision of the safer and more welcoming community sport infrastructure. The facilities will also be accessible by the wider community outside of club organised activities.</w:t>
      </w:r>
    </w:p>
    <w:p w14:paraId="0CAF0BD1" w14:textId="0AEBAC2B" w:rsidR="00BE7E20" w:rsidRDefault="00BE7E20" w:rsidP="00C74DB3">
      <w:pPr>
        <w:jc w:val="both"/>
      </w:pPr>
      <w:r w:rsidRPr="00BE7E20">
        <w:rPr>
          <w:noProof/>
        </w:rPr>
        <w:drawing>
          <wp:inline distT="0" distB="0" distL="0" distR="0" wp14:anchorId="0E38993C" wp14:editId="26E9BEAB">
            <wp:extent cx="5151254" cy="3314700"/>
            <wp:effectExtent l="0" t="0" r="0" b="0"/>
            <wp:docPr id="1018950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5084" name=""/>
                    <pic:cNvPicPr/>
                  </pic:nvPicPr>
                  <pic:blipFill>
                    <a:blip r:embed="rId9"/>
                    <a:stretch>
                      <a:fillRect/>
                    </a:stretch>
                  </pic:blipFill>
                  <pic:spPr>
                    <a:xfrm>
                      <a:off x="0" y="0"/>
                      <a:ext cx="5154002" cy="3316468"/>
                    </a:xfrm>
                    <a:prstGeom prst="rect">
                      <a:avLst/>
                    </a:prstGeom>
                  </pic:spPr>
                </pic:pic>
              </a:graphicData>
            </a:graphic>
          </wp:inline>
        </w:drawing>
      </w:r>
    </w:p>
    <w:p w14:paraId="00D37466" w14:textId="250397D7"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C74DB3" w:rsidRPr="00C74DB3">
        <w:rPr>
          <w:i w:val="0"/>
          <w:iCs w:val="0"/>
        </w:rPr>
        <w:t>Jobs, Skills, Industry and Regions.</w:t>
      </w:r>
    </w:p>
    <w:p w14:paraId="7A8FB2B5"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7" w:name="_Toc184829511"/>
      <w:r>
        <w:br w:type="page"/>
      </w:r>
    </w:p>
    <w:p w14:paraId="414AF8B5" w14:textId="501CC3C8" w:rsidR="00857840" w:rsidRDefault="00C10BEA" w:rsidP="009E72F4">
      <w:pPr>
        <w:pStyle w:val="Heading1"/>
      </w:pPr>
      <w:r>
        <w:lastRenderedPageBreak/>
        <w:t xml:space="preserve">The </w:t>
      </w:r>
      <w:r w:rsidR="00BE7E20" w:rsidRPr="00BE7E20">
        <w:t>Carisbrook Bowls Club</w:t>
      </w:r>
      <w:bookmarkEnd w:id="7"/>
    </w:p>
    <w:p w14:paraId="10A067E1" w14:textId="2B184DDE" w:rsidR="00BE7E20" w:rsidRPr="00BE7E20" w:rsidRDefault="00BE7E20" w:rsidP="00BE7E20">
      <w:pPr>
        <w:autoSpaceDE w:val="0"/>
        <w:autoSpaceDN w:val="0"/>
        <w:adjustRightInd w:val="0"/>
        <w:spacing w:before="0" w:after="0" w:line="240" w:lineRule="auto"/>
      </w:pPr>
      <w:r w:rsidRPr="00BE7E20">
        <w:t>This project delivered an upgrade of the synthetic bowling green, installation of a new woven bowls playing surface and installation of 4 new shelters with wheelchair access, new signage and 12 new bench seats to support people with of all abilities.</w:t>
      </w:r>
    </w:p>
    <w:p w14:paraId="669642B8" w14:textId="77777777" w:rsidR="00BE7E20" w:rsidRPr="00BE7E20" w:rsidRDefault="00BE7E20" w:rsidP="00BE7E20">
      <w:pPr>
        <w:autoSpaceDE w:val="0"/>
        <w:autoSpaceDN w:val="0"/>
        <w:adjustRightInd w:val="0"/>
        <w:spacing w:before="0" w:after="0" w:line="240" w:lineRule="auto"/>
      </w:pPr>
    </w:p>
    <w:p w14:paraId="41BDB1E6" w14:textId="608AC09B" w:rsidR="00BE7E20" w:rsidRPr="00BE7E20" w:rsidRDefault="00BE7E20" w:rsidP="00BE7E20">
      <w:pPr>
        <w:autoSpaceDE w:val="0"/>
        <w:autoSpaceDN w:val="0"/>
        <w:adjustRightInd w:val="0"/>
        <w:spacing w:before="0" w:after="0" w:line="240" w:lineRule="auto"/>
      </w:pPr>
      <w:r w:rsidRPr="00BE7E20">
        <w:t xml:space="preserve">The completed project provides developed facilities with greater access to support people of all ages and abilities. Central Goldfields Shire Council and Carisbrook Bowls Club </w:t>
      </w:r>
      <w:r w:rsidR="00EC103A" w:rsidRPr="00BE7E20">
        <w:t>can</w:t>
      </w:r>
      <w:r w:rsidRPr="00BE7E20">
        <w:t xml:space="preserve"> provide increased community sport and active recreation participation opportunities through the upgraded and accessible facilities. The facilities will also be accessible by the wider community outside of club organised activities.</w:t>
      </w:r>
    </w:p>
    <w:p w14:paraId="23C8B1B8" w14:textId="77777777" w:rsidR="00D539F7" w:rsidRDefault="00D539F7" w:rsidP="00D539F7">
      <w:pPr>
        <w:autoSpaceDE w:val="0"/>
        <w:autoSpaceDN w:val="0"/>
        <w:adjustRightInd w:val="0"/>
        <w:spacing w:before="0" w:after="0" w:line="240" w:lineRule="auto"/>
        <w:rPr>
          <w:rFonts w:cstheme="minorHAnsi"/>
          <w:color w:val="000000"/>
        </w:rPr>
      </w:pPr>
    </w:p>
    <w:p w14:paraId="79FA5DD3" w14:textId="6A930175" w:rsidR="00D539F7" w:rsidRDefault="00BE7E20" w:rsidP="00D539F7">
      <w:pPr>
        <w:autoSpaceDE w:val="0"/>
        <w:autoSpaceDN w:val="0"/>
        <w:adjustRightInd w:val="0"/>
        <w:spacing w:before="0" w:after="0" w:line="240" w:lineRule="auto"/>
        <w:rPr>
          <w:rFonts w:cstheme="minorHAnsi"/>
          <w:color w:val="000000"/>
        </w:rPr>
      </w:pPr>
      <w:r w:rsidRPr="00BE7E20">
        <w:rPr>
          <w:rFonts w:cstheme="minorHAnsi"/>
          <w:noProof/>
          <w:color w:val="000000"/>
        </w:rPr>
        <w:drawing>
          <wp:inline distT="0" distB="0" distL="0" distR="0" wp14:anchorId="6F5A62AD" wp14:editId="45CF3E99">
            <wp:extent cx="5731510" cy="3216910"/>
            <wp:effectExtent l="0" t="0" r="2540" b="2540"/>
            <wp:docPr id="1706971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3216910"/>
                    </a:xfrm>
                    <a:prstGeom prst="rect">
                      <a:avLst/>
                    </a:prstGeom>
                    <a:noFill/>
                    <a:ln>
                      <a:noFill/>
                    </a:ln>
                  </pic:spPr>
                </pic:pic>
              </a:graphicData>
            </a:graphic>
          </wp:inline>
        </w:drawing>
      </w:r>
    </w:p>
    <w:p w14:paraId="7FEE5F45" w14:textId="42DFEDB4" w:rsidR="008D5543" w:rsidRPr="00FB4892" w:rsidRDefault="008D5543" w:rsidP="008D5543">
      <w:pPr>
        <w:pStyle w:val="Quote"/>
        <w:tabs>
          <w:tab w:val="clear" w:pos="8162"/>
          <w:tab w:val="right" w:pos="8931"/>
        </w:tabs>
        <w:ind w:left="0" w:right="95"/>
        <w:rPr>
          <w:i w:val="0"/>
          <w:iCs w:val="0"/>
        </w:rPr>
      </w:pPr>
      <w:r w:rsidRPr="00FB4892">
        <w:rPr>
          <w:i w:val="0"/>
          <w:iCs w:val="0"/>
        </w:rPr>
        <w:t xml:space="preserve">Disclaimer: The above information was provided by the </w:t>
      </w:r>
      <w:r w:rsidR="00D539F7" w:rsidRPr="00FB4892">
        <w:rPr>
          <w:i w:val="0"/>
          <w:iCs w:val="0"/>
        </w:rPr>
        <w:t>Department of Jobs, Skills, Industry and Regions</w:t>
      </w:r>
      <w:r w:rsidRPr="00FB4892">
        <w:rPr>
          <w:i w:val="0"/>
          <w:iCs w:val="0"/>
        </w:rPr>
        <w:t>.</w:t>
      </w:r>
    </w:p>
    <w:p w14:paraId="6E22F36D"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8" w:name="_Toc184829512"/>
      <w:r>
        <w:br w:type="page"/>
      </w:r>
    </w:p>
    <w:p w14:paraId="753E5C8C" w14:textId="7B97158E" w:rsidR="00BE7E20" w:rsidRDefault="00BE7E20" w:rsidP="002148A4">
      <w:pPr>
        <w:pStyle w:val="Heading1"/>
      </w:pPr>
      <w:r w:rsidRPr="00BE7E20">
        <w:lastRenderedPageBreak/>
        <w:t>Ross Reserve Upgrade</w:t>
      </w:r>
      <w:bookmarkEnd w:id="8"/>
    </w:p>
    <w:p w14:paraId="28C243F2" w14:textId="070E1145" w:rsidR="00BE7E20" w:rsidRDefault="00BE7E20" w:rsidP="00BE7E20">
      <w:pPr>
        <w:jc w:val="both"/>
        <w:rPr>
          <w:rFonts w:cstheme="minorHAnsi"/>
          <w:lang w:val="en-GB" w:eastAsia="en-US"/>
        </w:rPr>
      </w:pPr>
      <w:r w:rsidRPr="00BE7E20">
        <w:rPr>
          <w:rFonts w:cstheme="minorHAnsi"/>
          <w:lang w:val="en-GB" w:eastAsia="en-US"/>
        </w:rPr>
        <w:t>This project delivered completed upgrades to the basketball court and jogging track, lengthening of the</w:t>
      </w:r>
      <w:r>
        <w:rPr>
          <w:rFonts w:cstheme="minorHAnsi"/>
          <w:lang w:val="en-GB" w:eastAsia="en-US"/>
        </w:rPr>
        <w:t xml:space="preserve"> </w:t>
      </w:r>
      <w:r w:rsidRPr="00BE7E20">
        <w:rPr>
          <w:rFonts w:cstheme="minorHAnsi"/>
          <w:lang w:val="en-GB" w:eastAsia="en-US"/>
        </w:rPr>
        <w:t>junior football oval. Also delivered was a new all-abilities playground supported by upgrades to parking and</w:t>
      </w:r>
      <w:r>
        <w:rPr>
          <w:rFonts w:cstheme="minorHAnsi"/>
          <w:lang w:val="en-GB" w:eastAsia="en-US"/>
        </w:rPr>
        <w:t xml:space="preserve"> </w:t>
      </w:r>
      <w:r w:rsidRPr="00BE7E20">
        <w:rPr>
          <w:rFonts w:cstheme="minorHAnsi"/>
          <w:lang w:val="en-GB" w:eastAsia="en-US"/>
        </w:rPr>
        <w:t>other amenities (in accordance with the Master Plan).</w:t>
      </w:r>
    </w:p>
    <w:p w14:paraId="53BB4076" w14:textId="1187EF42" w:rsidR="00BE7E20" w:rsidRDefault="00BE7E20" w:rsidP="00BE7E20">
      <w:pPr>
        <w:jc w:val="both"/>
        <w:rPr>
          <w:rFonts w:cstheme="minorHAnsi"/>
          <w:lang w:val="en-GB" w:eastAsia="en-US"/>
        </w:rPr>
      </w:pPr>
      <w:r w:rsidRPr="00BE7E20">
        <w:rPr>
          <w:rFonts w:cstheme="minorHAnsi"/>
          <w:lang w:val="en-GB" w:eastAsia="en-US"/>
        </w:rPr>
        <w:t>The completed project provides modern, safe and accessible facilities to encourage greater participation by</w:t>
      </w:r>
      <w:r>
        <w:rPr>
          <w:rFonts w:cstheme="minorHAnsi"/>
          <w:lang w:val="en-GB" w:eastAsia="en-US"/>
        </w:rPr>
        <w:t xml:space="preserve"> </w:t>
      </w:r>
      <w:r w:rsidRPr="00BE7E20">
        <w:rPr>
          <w:rFonts w:cstheme="minorHAnsi"/>
          <w:lang w:val="en-GB" w:eastAsia="en-US"/>
        </w:rPr>
        <w:t>all members of the community including children, young people, people with disabilities, women and girls.</w:t>
      </w:r>
      <w:r>
        <w:rPr>
          <w:rFonts w:cstheme="minorHAnsi"/>
          <w:lang w:val="en-GB" w:eastAsia="en-US"/>
        </w:rPr>
        <w:t xml:space="preserve"> </w:t>
      </w:r>
      <w:r w:rsidRPr="00BE7E20">
        <w:rPr>
          <w:rFonts w:cstheme="minorHAnsi"/>
          <w:lang w:val="en-GB" w:eastAsia="en-US"/>
        </w:rPr>
        <w:t xml:space="preserve">Greater Dandenong City Council </w:t>
      </w:r>
      <w:r w:rsidR="00EC103A" w:rsidRPr="00BE7E20">
        <w:rPr>
          <w:rFonts w:cstheme="minorHAnsi"/>
          <w:lang w:val="en-GB" w:eastAsia="en-US"/>
        </w:rPr>
        <w:t>can</w:t>
      </w:r>
      <w:r w:rsidRPr="00BE7E20">
        <w:rPr>
          <w:rFonts w:cstheme="minorHAnsi"/>
          <w:lang w:val="en-GB" w:eastAsia="en-US"/>
        </w:rPr>
        <w:t xml:space="preserve"> provide a welcoming space for families and community members</w:t>
      </w:r>
      <w:r>
        <w:rPr>
          <w:rFonts w:cstheme="minorHAnsi"/>
          <w:lang w:val="en-GB" w:eastAsia="en-US"/>
        </w:rPr>
        <w:t xml:space="preserve"> </w:t>
      </w:r>
      <w:r w:rsidRPr="00BE7E20">
        <w:rPr>
          <w:rFonts w:cstheme="minorHAnsi"/>
          <w:lang w:val="en-GB" w:eastAsia="en-US"/>
        </w:rPr>
        <w:t>to enjoy accessible active recreation infrastructure and meet the needs of people of all ages and abilities.</w:t>
      </w:r>
    </w:p>
    <w:p w14:paraId="7ADCA847" w14:textId="4DD5E1F8" w:rsidR="000F1569" w:rsidRDefault="00BE7E20" w:rsidP="00577D96">
      <w:pPr>
        <w:jc w:val="both"/>
        <w:rPr>
          <w:rFonts w:cstheme="minorHAnsi"/>
          <w:lang w:val="en-GB" w:eastAsia="en-US"/>
        </w:rPr>
      </w:pPr>
      <w:r w:rsidRPr="00BE7E20">
        <w:rPr>
          <w:rFonts w:cstheme="minorHAnsi"/>
          <w:noProof/>
          <w:lang w:val="en-GB" w:eastAsia="en-US"/>
        </w:rPr>
        <w:drawing>
          <wp:inline distT="0" distB="0" distL="0" distR="0" wp14:anchorId="22DB0250" wp14:editId="05D79512">
            <wp:extent cx="5731510" cy="3818255"/>
            <wp:effectExtent l="0" t="0" r="2540" b="0"/>
            <wp:docPr id="6052955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3818255"/>
                    </a:xfrm>
                    <a:prstGeom prst="rect">
                      <a:avLst/>
                    </a:prstGeom>
                    <a:noFill/>
                    <a:ln>
                      <a:noFill/>
                    </a:ln>
                  </pic:spPr>
                </pic:pic>
              </a:graphicData>
            </a:graphic>
          </wp:inline>
        </w:drawing>
      </w:r>
    </w:p>
    <w:p w14:paraId="4D75A943" w14:textId="2D43E83B"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B4606F" w:rsidRPr="00B4606F">
        <w:rPr>
          <w:i w:val="0"/>
          <w:iCs w:val="0"/>
        </w:rPr>
        <w:t xml:space="preserve">Department of </w:t>
      </w:r>
      <w:r w:rsidR="00BE7E20" w:rsidRPr="00BE7E20">
        <w:rPr>
          <w:i w:val="0"/>
          <w:iCs w:val="0"/>
        </w:rPr>
        <w:t>Jobs, Skills, Industry and Regions.</w:t>
      </w:r>
    </w:p>
    <w:p w14:paraId="46161CBE"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9" w:name="_Toc184829513"/>
      <w:r>
        <w:br w:type="page"/>
      </w:r>
    </w:p>
    <w:p w14:paraId="4D454C96" w14:textId="1FEC44BF" w:rsidR="00BE7E20" w:rsidRDefault="00BE7E20" w:rsidP="00E433C0">
      <w:pPr>
        <w:pStyle w:val="Heading1"/>
      </w:pPr>
      <w:r w:rsidRPr="00BE7E20">
        <w:lastRenderedPageBreak/>
        <w:t>Murrumbeena Tennis Club Pavilion Upgrade</w:t>
      </w:r>
      <w:bookmarkEnd w:id="9"/>
    </w:p>
    <w:p w14:paraId="0D4856BC" w14:textId="2062DC93" w:rsidR="00BE7E20" w:rsidRDefault="00BE7E20" w:rsidP="009A20C6">
      <w:pPr>
        <w:spacing w:before="0" w:after="0"/>
        <w:jc w:val="both"/>
      </w:pPr>
      <w:r w:rsidRPr="00BE7E20">
        <w:t>The project delivered an upgraded pavilion at Murrumbeena Tennis Club including a new kitchen, toilet, shower and community space. The project will allow for future growth in members and participation through provision of a safer, accessible and welcoming facility.</w:t>
      </w:r>
    </w:p>
    <w:p w14:paraId="1C1DDBD3" w14:textId="77777777" w:rsidR="004765D8" w:rsidRDefault="004765D8" w:rsidP="009A20C6">
      <w:pPr>
        <w:spacing w:before="0" w:after="0"/>
        <w:jc w:val="both"/>
      </w:pPr>
    </w:p>
    <w:p w14:paraId="2BBBA793" w14:textId="7F990BC9" w:rsidR="00B4606F" w:rsidRDefault="00BE7E20" w:rsidP="009A20C6">
      <w:pPr>
        <w:spacing w:before="0" w:after="0"/>
        <w:jc w:val="both"/>
      </w:pPr>
      <w:r w:rsidRPr="00BE7E20">
        <w:rPr>
          <w:noProof/>
        </w:rPr>
        <w:drawing>
          <wp:inline distT="0" distB="0" distL="0" distR="0" wp14:anchorId="6CE3C25C" wp14:editId="34D847EE">
            <wp:extent cx="5232786" cy="3924300"/>
            <wp:effectExtent l="0" t="0" r="6350" b="0"/>
            <wp:docPr id="17913900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33559" cy="3924880"/>
                    </a:xfrm>
                    <a:prstGeom prst="rect">
                      <a:avLst/>
                    </a:prstGeom>
                    <a:noFill/>
                    <a:ln>
                      <a:noFill/>
                    </a:ln>
                  </pic:spPr>
                </pic:pic>
              </a:graphicData>
            </a:graphic>
          </wp:inline>
        </w:drawing>
      </w:r>
    </w:p>
    <w:p w14:paraId="0F9438C6" w14:textId="78BF8C30"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Department </w:t>
      </w:r>
      <w:r>
        <w:rPr>
          <w:i w:val="0"/>
          <w:iCs w:val="0"/>
        </w:rPr>
        <w:t xml:space="preserve">of </w:t>
      </w:r>
      <w:r w:rsidR="00BE7E20" w:rsidRPr="00BE7E20">
        <w:rPr>
          <w:i w:val="0"/>
          <w:iCs w:val="0"/>
        </w:rPr>
        <w:t>Jobs, Skills, Industry and Regions.</w:t>
      </w:r>
    </w:p>
    <w:p w14:paraId="2DE63B89"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10" w:name="_Toc184829514"/>
      <w:r>
        <w:br w:type="page"/>
      </w:r>
    </w:p>
    <w:p w14:paraId="22F8D73F" w14:textId="6F8073C5" w:rsidR="00C10BEA" w:rsidRDefault="00C10BEA" w:rsidP="00B5191B">
      <w:pPr>
        <w:pStyle w:val="Heading1"/>
      </w:pPr>
      <w:r w:rsidRPr="00C10BEA">
        <w:lastRenderedPageBreak/>
        <w:t>The Basin Football Club</w:t>
      </w:r>
      <w:bookmarkEnd w:id="10"/>
    </w:p>
    <w:p w14:paraId="2362396E" w14:textId="3547BB5B" w:rsidR="00C10BEA" w:rsidRDefault="00C10BEA" w:rsidP="008D5543">
      <w:pPr>
        <w:jc w:val="both"/>
      </w:pPr>
      <w:r w:rsidRPr="00C10BEA">
        <w:t xml:space="preserve">The project delivered AFL goal netting (on the far end of both ovals) and a standalone scoreboard (to contain siren, time, scores and remote) at </w:t>
      </w:r>
      <w:r w:rsidRPr="003871F1">
        <w:t>Batterham</w:t>
      </w:r>
      <w:r w:rsidRPr="00C10BEA">
        <w:t xml:space="preserve"> Reserve for the Basin Football and Netball Club.</w:t>
      </w:r>
    </w:p>
    <w:p w14:paraId="1A4305D2" w14:textId="7F923F3C" w:rsidR="00C10BEA" w:rsidRDefault="00C10BEA" w:rsidP="008D5543">
      <w:pPr>
        <w:jc w:val="both"/>
      </w:pPr>
      <w:r w:rsidRPr="00C10BEA">
        <w:t>The project has enabled the Basin Football and Netball Club to provide greater participation opportunities and has also allowed for greater safety through the goal netting. Spectator and volunteer experience has also been improved through the electronic scoreboard which includes a siren, time, scores and able to be operated remotely.</w:t>
      </w:r>
    </w:p>
    <w:p w14:paraId="59D16540" w14:textId="63AC9189" w:rsidR="00C10BEA" w:rsidRDefault="00C10BEA" w:rsidP="008D5543">
      <w:pPr>
        <w:jc w:val="both"/>
      </w:pPr>
      <w:r w:rsidRPr="00C10BEA">
        <w:rPr>
          <w:noProof/>
        </w:rPr>
        <w:drawing>
          <wp:inline distT="0" distB="0" distL="0" distR="0" wp14:anchorId="6E581E57" wp14:editId="5589AB8C">
            <wp:extent cx="5731510" cy="3207385"/>
            <wp:effectExtent l="0" t="0" r="2540" b="0"/>
            <wp:docPr id="1323292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92530" name=""/>
                    <pic:cNvPicPr/>
                  </pic:nvPicPr>
                  <pic:blipFill>
                    <a:blip r:embed="rId13"/>
                    <a:stretch>
                      <a:fillRect/>
                    </a:stretch>
                  </pic:blipFill>
                  <pic:spPr>
                    <a:xfrm>
                      <a:off x="0" y="0"/>
                      <a:ext cx="5731510" cy="3207385"/>
                    </a:xfrm>
                    <a:prstGeom prst="rect">
                      <a:avLst/>
                    </a:prstGeom>
                  </pic:spPr>
                </pic:pic>
              </a:graphicData>
            </a:graphic>
          </wp:inline>
        </w:drawing>
      </w:r>
    </w:p>
    <w:p w14:paraId="3AF69F68" w14:textId="249E4919"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2E7F64" w:rsidRPr="002E7F64">
        <w:rPr>
          <w:i w:val="0"/>
          <w:iCs w:val="0"/>
        </w:rPr>
        <w:t xml:space="preserve">Department of </w:t>
      </w:r>
      <w:r w:rsidR="00C10BEA" w:rsidRPr="00C10BEA">
        <w:rPr>
          <w:i w:val="0"/>
          <w:iCs w:val="0"/>
        </w:rPr>
        <w:t>Jobs, Skills, Industry and Regions.</w:t>
      </w:r>
    </w:p>
    <w:p w14:paraId="66B2B9A8"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11" w:name="_Toc184829515"/>
      <w:r>
        <w:br w:type="page"/>
      </w:r>
    </w:p>
    <w:p w14:paraId="69FB1298" w14:textId="6B3B8D90" w:rsidR="00C10BEA" w:rsidRDefault="00C10BEA" w:rsidP="00921838">
      <w:pPr>
        <w:pStyle w:val="Heading1"/>
      </w:pPr>
      <w:r w:rsidRPr="00C10BEA">
        <w:lastRenderedPageBreak/>
        <w:t xml:space="preserve">Public Records Office Victorian </w:t>
      </w:r>
      <w:r>
        <w:t>G</w:t>
      </w:r>
      <w:r w:rsidRPr="00C10BEA">
        <w:t xml:space="preserve">rants </w:t>
      </w:r>
      <w:r>
        <w:t>A</w:t>
      </w:r>
      <w:r w:rsidRPr="00C10BEA">
        <w:t xml:space="preserve">wards </w:t>
      </w:r>
      <w:r>
        <w:t>P</w:t>
      </w:r>
      <w:r w:rsidRPr="00C10BEA">
        <w:t>rogram</w:t>
      </w:r>
      <w:bookmarkEnd w:id="11"/>
    </w:p>
    <w:p w14:paraId="61A03F98" w14:textId="7159DBFA" w:rsidR="00C10BEA" w:rsidRPr="000E3516" w:rsidRDefault="00C10BEA" w:rsidP="00C10BEA">
      <w:pPr>
        <w:jc w:val="both"/>
        <w:rPr>
          <w:u w:val="single"/>
        </w:rPr>
      </w:pPr>
      <w:r w:rsidRPr="000E3516">
        <w:rPr>
          <w:u w:val="single"/>
        </w:rPr>
        <w:t>The Local History Grants Program (LHGP)</w:t>
      </w:r>
    </w:p>
    <w:p w14:paraId="3E91935D" w14:textId="7E7D3689" w:rsidR="00C10BEA" w:rsidRDefault="00C10BEA" w:rsidP="00C10BEA">
      <w:pPr>
        <w:jc w:val="both"/>
      </w:pPr>
      <w:r>
        <w:t>The LHGP is held annually to support the efforts and costs of the many community groups and not-for-profit organisations that collect, preserve, record and share the materials, history and memories from Victoria’s past. It encourages collaboration and partnerships between organisations to undertake projects (e.g. e-publications, digitising, interpretation) as well as developing their skills and resources to enable them to be effective custodians, building community strength, capability and capacity.</w:t>
      </w:r>
    </w:p>
    <w:p w14:paraId="3D268306" w14:textId="2F80BE9F" w:rsidR="00C10BEA" w:rsidRDefault="00C10BEA" w:rsidP="00C10BEA">
      <w:pPr>
        <w:jc w:val="both"/>
      </w:pPr>
      <w:r w:rsidRPr="00C10BEA">
        <w:rPr>
          <w:noProof/>
        </w:rPr>
        <w:drawing>
          <wp:inline distT="0" distB="0" distL="0" distR="0" wp14:anchorId="791DA2D0" wp14:editId="67F7C1E2">
            <wp:extent cx="5731510" cy="1929130"/>
            <wp:effectExtent l="0" t="0" r="2540" b="0"/>
            <wp:docPr id="1646554104" name="Picture 1" descr="A group of people standing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72896" name="Picture 1" descr="A group of people standing in front of a building&#10;&#10;Description automatically generated"/>
                    <pic:cNvPicPr/>
                  </pic:nvPicPr>
                  <pic:blipFill>
                    <a:blip r:embed="rId14"/>
                    <a:stretch>
                      <a:fillRect/>
                    </a:stretch>
                  </pic:blipFill>
                  <pic:spPr>
                    <a:xfrm>
                      <a:off x="0" y="0"/>
                      <a:ext cx="5731510" cy="1929130"/>
                    </a:xfrm>
                    <a:prstGeom prst="rect">
                      <a:avLst/>
                    </a:prstGeom>
                  </pic:spPr>
                </pic:pic>
              </a:graphicData>
            </a:graphic>
          </wp:inline>
        </w:drawing>
      </w:r>
    </w:p>
    <w:p w14:paraId="71CF19B2" w14:textId="74C0D08B" w:rsidR="00C10BEA" w:rsidRPr="000E3516" w:rsidRDefault="00C10BEA" w:rsidP="00C10BEA">
      <w:pPr>
        <w:jc w:val="both"/>
        <w:rPr>
          <w:u w:val="single"/>
        </w:rPr>
      </w:pPr>
      <w:r w:rsidRPr="000E3516">
        <w:rPr>
          <w:u w:val="single"/>
        </w:rPr>
        <w:t>The Victorian Community History Awards (VCHA)</w:t>
      </w:r>
    </w:p>
    <w:p w14:paraId="0DE67F14" w14:textId="5B58F3C7" w:rsidR="00C10BEA" w:rsidRDefault="00C10BEA" w:rsidP="00C10BEA">
      <w:pPr>
        <w:jc w:val="both"/>
      </w:pPr>
      <w:r>
        <w:t>The VCHA are held annually to recognise and celebrate the contributions made by Victorians in the preservation and appreciation of the State’s history and develop awareness of best practice community history.</w:t>
      </w:r>
    </w:p>
    <w:p w14:paraId="0B4940F6" w14:textId="06051CE8" w:rsidR="00E30B1D" w:rsidRDefault="00C10BEA" w:rsidP="002657D1">
      <w:pPr>
        <w:jc w:val="both"/>
      </w:pPr>
      <w:r w:rsidRPr="00C10BEA">
        <w:rPr>
          <w:noProof/>
        </w:rPr>
        <w:drawing>
          <wp:inline distT="0" distB="0" distL="0" distR="0" wp14:anchorId="0D329C45" wp14:editId="4E32CF95">
            <wp:extent cx="5731510" cy="1932940"/>
            <wp:effectExtent l="0" t="0" r="2540" b="0"/>
            <wp:docPr id="937295583" name="Picture 1" descr="A collage of a person sitting i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295583" name="Picture 1" descr="A collage of a person sitting in a chair&#10;&#10;Description automatically generated"/>
                    <pic:cNvPicPr/>
                  </pic:nvPicPr>
                  <pic:blipFill>
                    <a:blip r:embed="rId15"/>
                    <a:stretch>
                      <a:fillRect/>
                    </a:stretch>
                  </pic:blipFill>
                  <pic:spPr>
                    <a:xfrm>
                      <a:off x="0" y="0"/>
                      <a:ext cx="5731510" cy="1932940"/>
                    </a:xfrm>
                    <a:prstGeom prst="rect">
                      <a:avLst/>
                    </a:prstGeom>
                  </pic:spPr>
                </pic:pic>
              </a:graphicData>
            </a:graphic>
          </wp:inline>
        </w:drawing>
      </w:r>
    </w:p>
    <w:p w14:paraId="6E50B98F" w14:textId="5F2F6704"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 xml:space="preserve">Department of </w:t>
      </w:r>
      <w:r w:rsidR="00C10BEA">
        <w:rPr>
          <w:i w:val="0"/>
          <w:iCs w:val="0"/>
        </w:rPr>
        <w:t>Government Services</w:t>
      </w:r>
      <w:r w:rsidR="00E30B1D" w:rsidRPr="00E30B1D">
        <w:rPr>
          <w:i w:val="0"/>
          <w:iCs w:val="0"/>
        </w:rPr>
        <w:t>.</w:t>
      </w:r>
    </w:p>
    <w:p w14:paraId="27E42B70"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12" w:name="_Toc184829516"/>
      <w:r>
        <w:br w:type="page"/>
      </w:r>
    </w:p>
    <w:p w14:paraId="0B01350C" w14:textId="5F284B78" w:rsidR="00C10BEA" w:rsidRDefault="00C10BEA" w:rsidP="00120ADC">
      <w:pPr>
        <w:pStyle w:val="Heading1"/>
      </w:pPr>
      <w:r w:rsidRPr="00C10BEA">
        <w:lastRenderedPageBreak/>
        <w:t xml:space="preserve">Emerging with </w:t>
      </w:r>
      <w:r>
        <w:t>S</w:t>
      </w:r>
      <w:r w:rsidRPr="00C10BEA">
        <w:t xml:space="preserve">tronger </w:t>
      </w:r>
      <w:r>
        <w:t>C</w:t>
      </w:r>
      <w:r w:rsidRPr="00C10BEA">
        <w:t xml:space="preserve">ommunities - Sikh </w:t>
      </w:r>
      <w:r>
        <w:t>V</w:t>
      </w:r>
      <w:r w:rsidRPr="00C10BEA">
        <w:t xml:space="preserve">olunteer </w:t>
      </w:r>
      <w:r>
        <w:t>V</w:t>
      </w:r>
      <w:r w:rsidRPr="00C10BEA">
        <w:t>ans</w:t>
      </w:r>
      <w:bookmarkEnd w:id="12"/>
    </w:p>
    <w:p w14:paraId="036DF7AD" w14:textId="032256CA" w:rsidR="00C10BEA" w:rsidRDefault="00C10BEA" w:rsidP="00C10BEA">
      <w:pPr>
        <w:jc w:val="both"/>
      </w:pPr>
      <w:r>
        <w:t>To purchase two new vans and one food truck to enable the Sikh Volunteers Australia to expand the area they currently service to ensure they can further help those experiencing food insecurity. Sikh Volunteers Australia will use the vehicles to expand their community outreach services and deliver much needed food relief to people experiencing hardship.</w:t>
      </w:r>
    </w:p>
    <w:p w14:paraId="3D82C88F" w14:textId="4CC4DAD2" w:rsidR="000E3516" w:rsidRDefault="000E3516" w:rsidP="00C10BEA">
      <w:pPr>
        <w:jc w:val="both"/>
      </w:pPr>
      <w:r w:rsidRPr="000E3516">
        <w:rPr>
          <w:noProof/>
        </w:rPr>
        <w:drawing>
          <wp:inline distT="0" distB="0" distL="0" distR="0" wp14:anchorId="370B9211" wp14:editId="623FB3AF">
            <wp:extent cx="5731510" cy="2162810"/>
            <wp:effectExtent l="0" t="0" r="2540" b="8890"/>
            <wp:docPr id="1711702053" name="Picture 1" descr="A group of people standing next to a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702053" name="Picture 1" descr="A group of people standing next to a van&#10;&#10;Description automatically generated"/>
                    <pic:cNvPicPr/>
                  </pic:nvPicPr>
                  <pic:blipFill>
                    <a:blip r:embed="rId16"/>
                    <a:stretch>
                      <a:fillRect/>
                    </a:stretch>
                  </pic:blipFill>
                  <pic:spPr>
                    <a:xfrm>
                      <a:off x="0" y="0"/>
                      <a:ext cx="5731510" cy="2162810"/>
                    </a:xfrm>
                    <a:prstGeom prst="rect">
                      <a:avLst/>
                    </a:prstGeom>
                  </pic:spPr>
                </pic:pic>
              </a:graphicData>
            </a:graphic>
          </wp:inline>
        </w:drawing>
      </w:r>
    </w:p>
    <w:p w14:paraId="3AD9B0BE" w14:textId="1A68F75E" w:rsidR="008D5543" w:rsidRPr="009A732E" w:rsidRDefault="008D5543" w:rsidP="008D5543">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E30B1D" w:rsidRPr="00E30B1D">
        <w:rPr>
          <w:i w:val="0"/>
          <w:iCs w:val="0"/>
        </w:rPr>
        <w:t xml:space="preserve">Department of </w:t>
      </w:r>
      <w:r w:rsidR="00C10BEA" w:rsidRPr="00C10BEA">
        <w:rPr>
          <w:i w:val="0"/>
          <w:iCs w:val="0"/>
        </w:rPr>
        <w:t>Families, Fairness and Housing.</w:t>
      </w:r>
    </w:p>
    <w:p w14:paraId="293BF385" w14:textId="00656D32" w:rsidR="00E30B1D" w:rsidRDefault="000E3516" w:rsidP="00836A72">
      <w:pPr>
        <w:pStyle w:val="Heading1"/>
      </w:pPr>
      <w:bookmarkStart w:id="13" w:name="_Toc184829517"/>
      <w:r w:rsidRPr="000E3516">
        <w:t>Mount Evelyn Community House and Reading Room</w:t>
      </w:r>
      <w:bookmarkEnd w:id="13"/>
    </w:p>
    <w:p w14:paraId="33E75551" w14:textId="4D84035C" w:rsidR="000E3516" w:rsidRDefault="000E3516" w:rsidP="000E3516">
      <w:pPr>
        <w:jc w:val="both"/>
      </w:pPr>
      <w:r>
        <w:t>The objective of the program was to refurbish and expand the Art Shed, a building used by the Mount Evelyn Community House to run workshops for community members.</w:t>
      </w:r>
    </w:p>
    <w:p w14:paraId="5DFD839D" w14:textId="0ECD9436" w:rsidR="000E3516" w:rsidRDefault="000E3516" w:rsidP="000E3516">
      <w:pPr>
        <w:jc w:val="both"/>
      </w:pPr>
      <w:r>
        <w:t>The $15,000 provided through the Community Support Fund allowed the Mount Evelyn Community House to refurbish and expand the Art Shed, a building used to run workshops for community members. The Art Shed was previously in a poor state of repair. These works have established the Art Shed as an inclusive, safe, and flexible space for community to interact in a range of different ways and utilise to run beneficial programs for the Mount Evelyn community.</w:t>
      </w:r>
    </w:p>
    <w:p w14:paraId="29B9670A" w14:textId="63C3651F" w:rsidR="009964B3" w:rsidRPr="009A732E" w:rsidRDefault="008D5543" w:rsidP="008D5543">
      <w:pPr>
        <w:pStyle w:val="Quote"/>
        <w:tabs>
          <w:tab w:val="clear" w:pos="8162"/>
          <w:tab w:val="right" w:pos="8931"/>
        </w:tabs>
        <w:ind w:left="0" w:right="95"/>
        <w:rPr>
          <w:i w:val="0"/>
          <w:iCs w:val="0"/>
        </w:rPr>
      </w:pPr>
      <w:r>
        <w:rPr>
          <w:i w:val="0"/>
          <w:iCs w:val="0"/>
        </w:rPr>
        <w:t>D</w:t>
      </w:r>
      <w:r w:rsidR="009964B3" w:rsidRPr="009E7FC2">
        <w:rPr>
          <w:i w:val="0"/>
          <w:iCs w:val="0"/>
        </w:rPr>
        <w:t xml:space="preserve">isclaimer: The above information </w:t>
      </w:r>
      <w:r w:rsidR="009964B3">
        <w:rPr>
          <w:i w:val="0"/>
          <w:iCs w:val="0"/>
        </w:rPr>
        <w:t>was</w:t>
      </w:r>
      <w:r w:rsidR="009964B3" w:rsidRPr="009E7FC2">
        <w:rPr>
          <w:i w:val="0"/>
          <w:iCs w:val="0"/>
        </w:rPr>
        <w:t xml:space="preserve"> provided by the </w:t>
      </w:r>
      <w:r w:rsidR="00E30B1D" w:rsidRPr="00E30B1D">
        <w:rPr>
          <w:i w:val="0"/>
          <w:iCs w:val="0"/>
        </w:rPr>
        <w:t xml:space="preserve">Department of </w:t>
      </w:r>
      <w:r w:rsidR="000E3516" w:rsidRPr="000E3516">
        <w:rPr>
          <w:i w:val="0"/>
          <w:iCs w:val="0"/>
        </w:rPr>
        <w:t>Families, Fairness and Housing.</w:t>
      </w:r>
    </w:p>
    <w:p w14:paraId="09BAA063" w14:textId="77777777" w:rsidR="00007BEB" w:rsidRDefault="00007BEB">
      <w:pPr>
        <w:spacing w:before="0" w:after="200" w:line="276" w:lineRule="auto"/>
        <w:rPr>
          <w:rFonts w:asciiTheme="majorHAnsi" w:eastAsiaTheme="majorEastAsia" w:hAnsiTheme="majorHAnsi" w:cstheme="majorBidi"/>
          <w:b/>
          <w:bCs/>
          <w:color w:val="3A3467" w:themeColor="text2"/>
          <w:sz w:val="36"/>
          <w:szCs w:val="28"/>
        </w:rPr>
      </w:pPr>
      <w:bookmarkStart w:id="14" w:name="_Toc184829518"/>
      <w:r>
        <w:br w:type="page"/>
      </w:r>
    </w:p>
    <w:p w14:paraId="24F2E223" w14:textId="4D712C3B" w:rsidR="000E3516" w:rsidRDefault="000E3516" w:rsidP="009964B3">
      <w:pPr>
        <w:pStyle w:val="Heading1"/>
      </w:pPr>
      <w:r w:rsidRPr="000E3516">
        <w:lastRenderedPageBreak/>
        <w:t>Regional Food Relief Hubs</w:t>
      </w:r>
      <w:bookmarkEnd w:id="14"/>
    </w:p>
    <w:p w14:paraId="2302AE33" w14:textId="4C7D42DA" w:rsidR="000E3516" w:rsidRDefault="000E3516" w:rsidP="000E3516">
      <w:pPr>
        <w:spacing w:before="0" w:after="0"/>
        <w:jc w:val="both"/>
        <w:rPr>
          <w:u w:val="single"/>
        </w:rPr>
      </w:pPr>
      <w:r w:rsidRPr="000E3516">
        <w:rPr>
          <w:u w:val="single"/>
        </w:rPr>
        <w:t xml:space="preserve">Regional </w:t>
      </w:r>
      <w:r>
        <w:rPr>
          <w:u w:val="single"/>
        </w:rPr>
        <w:t>F</w:t>
      </w:r>
      <w:r w:rsidRPr="000E3516">
        <w:rPr>
          <w:u w:val="single"/>
        </w:rPr>
        <w:t xml:space="preserve">oodshare </w:t>
      </w:r>
      <w:r>
        <w:rPr>
          <w:u w:val="single"/>
        </w:rPr>
        <w:t>O</w:t>
      </w:r>
      <w:r w:rsidRPr="000E3516">
        <w:rPr>
          <w:u w:val="single"/>
        </w:rPr>
        <w:t>perations</w:t>
      </w:r>
    </w:p>
    <w:p w14:paraId="33858D75" w14:textId="77777777" w:rsidR="000E3516" w:rsidRPr="000E3516" w:rsidRDefault="000E3516" w:rsidP="000E3516">
      <w:pPr>
        <w:spacing w:before="0" w:after="0"/>
        <w:jc w:val="both"/>
        <w:rPr>
          <w:u w:val="single"/>
        </w:rPr>
      </w:pPr>
    </w:p>
    <w:p w14:paraId="78B6E17D" w14:textId="7F651337" w:rsidR="000E3516" w:rsidRDefault="000E3516" w:rsidP="000E3516">
      <w:pPr>
        <w:spacing w:before="0" w:after="0"/>
        <w:jc w:val="both"/>
      </w:pPr>
      <w:r>
        <w:t xml:space="preserve">Operational funding for the </w:t>
      </w:r>
      <w:r w:rsidRPr="003871F1">
        <w:t>regional foodshare</w:t>
      </w:r>
      <w:r w:rsidR="00EC103A" w:rsidRPr="003871F1">
        <w:t>s</w:t>
      </w:r>
      <w:r w:rsidRPr="003871F1">
        <w:t xml:space="preserve"> supported</w:t>
      </w:r>
      <w:r>
        <w:t xml:space="preserve"> up to 10 full-time equivalent jobs across</w:t>
      </w:r>
      <w:r w:rsidR="00007BEB">
        <w:t xml:space="preserve"> </w:t>
      </w:r>
      <w:r>
        <w:t>the six organisations and contributed to operating costs, including warehouse, fleet maintenance</w:t>
      </w:r>
      <w:r w:rsidR="00007BEB">
        <w:t xml:space="preserve"> </w:t>
      </w:r>
      <w:r>
        <w:t>and waste collection. This funding enabled the foodshares to focus on service capacity and sustainability, while responding to increased demand for food relief. Regional foodshares play a unique role in their communities by providing large-scale capacity to receive, store and distribute rescued and donated food, for distribution to frontline community organisations in their area. In 2023-24, the six foodshares collectively sourced enough food for more than 6 million meals for people living in 35 local government areas across regional Victoria. The foodshares also continued to strengthen partnerships and local community engagement, review operating models and implement programs and service improvements.</w:t>
      </w:r>
    </w:p>
    <w:p w14:paraId="6A5EF2DC" w14:textId="77777777" w:rsidR="000E3516" w:rsidRDefault="000E3516" w:rsidP="000E3516">
      <w:pPr>
        <w:spacing w:before="0" w:after="0"/>
        <w:jc w:val="both"/>
      </w:pPr>
    </w:p>
    <w:p w14:paraId="1AF563C9" w14:textId="77777777" w:rsidR="000E3516" w:rsidRDefault="000E3516" w:rsidP="000E3516">
      <w:pPr>
        <w:spacing w:before="0" w:after="0"/>
        <w:jc w:val="both"/>
        <w:rPr>
          <w:u w:val="single"/>
        </w:rPr>
      </w:pPr>
      <w:r w:rsidRPr="000E3516">
        <w:rPr>
          <w:u w:val="single"/>
        </w:rPr>
        <w:t>Shared Services Pilot</w:t>
      </w:r>
    </w:p>
    <w:p w14:paraId="04065550" w14:textId="77777777" w:rsidR="000E3516" w:rsidRPr="000E3516" w:rsidRDefault="000E3516" w:rsidP="000E3516">
      <w:pPr>
        <w:spacing w:before="0" w:after="0"/>
        <w:jc w:val="both"/>
        <w:rPr>
          <w:u w:val="single"/>
        </w:rPr>
      </w:pPr>
    </w:p>
    <w:p w14:paraId="5301D4BC" w14:textId="64A6918C" w:rsidR="000E3516" w:rsidRDefault="000E3516" w:rsidP="000E3516">
      <w:pPr>
        <w:spacing w:before="0" w:after="0"/>
        <w:jc w:val="both"/>
      </w:pPr>
      <w:r>
        <w:t>The Regional Food Security Alliance (RFSA) continued to successfully facilitate and implement</w:t>
      </w:r>
    </w:p>
    <w:p w14:paraId="58C34AF8" w14:textId="792AA394" w:rsidR="000E3516" w:rsidRDefault="000E3516" w:rsidP="000E3516">
      <w:pPr>
        <w:spacing w:before="0" w:after="0"/>
        <w:jc w:val="both"/>
      </w:pPr>
      <w:r>
        <w:t xml:space="preserve">cooperative approaches to large scale food sourcing, shared activities and resources. In 2023-24, the RFSA sourced 170 tonnes of additional food donations worth $2.48 million, including healthy and nutritious food quality such as dairy and meat. Work continued shared services and collaboration to increase efficiency, including a collective platform for volunteer management and consistent approaches to data collection. The RFSA also led a sector workshop bringing together all major players (statewide providers, regional foodshares, </w:t>
      </w:r>
      <w:r w:rsidR="00EC103A">
        <w:t>VicHealth</w:t>
      </w:r>
      <w:r>
        <w:t>, CISVic and DFFH) to strengthen relationships and consider principles to boost food security in Victoria.</w:t>
      </w:r>
    </w:p>
    <w:p w14:paraId="2E3AFEB4" w14:textId="77777777" w:rsidR="000E3516" w:rsidRDefault="000E3516" w:rsidP="000E3516">
      <w:pPr>
        <w:spacing w:before="0" w:after="0"/>
        <w:jc w:val="both"/>
      </w:pPr>
    </w:p>
    <w:p w14:paraId="571FEEFF" w14:textId="77777777" w:rsidR="000E3516" w:rsidRDefault="000E3516" w:rsidP="000E3516">
      <w:pPr>
        <w:spacing w:before="0" w:after="0"/>
        <w:jc w:val="both"/>
        <w:rPr>
          <w:u w:val="single"/>
        </w:rPr>
      </w:pPr>
      <w:r w:rsidRPr="000E3516">
        <w:rPr>
          <w:u w:val="single"/>
        </w:rPr>
        <w:t>Foodbank Victoria</w:t>
      </w:r>
    </w:p>
    <w:p w14:paraId="02006BB8" w14:textId="77777777" w:rsidR="000E3516" w:rsidRPr="000E3516" w:rsidRDefault="000E3516" w:rsidP="000E3516">
      <w:pPr>
        <w:spacing w:before="0" w:after="0"/>
        <w:jc w:val="both"/>
        <w:rPr>
          <w:u w:val="single"/>
        </w:rPr>
      </w:pPr>
    </w:p>
    <w:p w14:paraId="5E75A398" w14:textId="44C21192" w:rsidR="000E3516" w:rsidRDefault="000E3516" w:rsidP="000E3516">
      <w:pPr>
        <w:spacing w:before="0" w:after="0"/>
        <w:jc w:val="both"/>
      </w:pPr>
      <w:r>
        <w:t>Foodbank Victoria is unable to separate the additional charity freight funding from the base allocation in their funding agreement with DFFH and budget sourced from within Foodbank. In 2023-24, the grant contributed 24% of the total program budget of $1,030,000 with Foodbank’s contribution equating to 19% of the total. In 2023-24, a total of 3.1 million kilograms of food was distributed across 6,100 orders to charities in regional Victoria. Approximately 43% was chilled and fresh food products. This additional grant funding has not been provided in 2024-25, resulting in a service reduction and a decreased ability of Foodbank to meet heightened demand for food in regional Victoria.</w:t>
      </w:r>
    </w:p>
    <w:p w14:paraId="2292C10F" w14:textId="6A5564C2" w:rsidR="006B4955" w:rsidRDefault="00B258AC" w:rsidP="001C205D">
      <w:pPr>
        <w:pStyle w:val="Quote"/>
        <w:tabs>
          <w:tab w:val="clear" w:pos="8162"/>
          <w:tab w:val="right" w:pos="8931"/>
        </w:tabs>
        <w:ind w:left="0" w:right="95"/>
        <w:rPr>
          <w:rFonts w:asciiTheme="majorHAnsi" w:eastAsiaTheme="majorEastAsia" w:hAnsiTheme="majorHAnsi" w:cstheme="majorBidi"/>
          <w:b/>
          <w:bCs/>
          <w:color w:val="3A3467" w:themeColor="text2"/>
          <w:sz w:val="36"/>
          <w:szCs w:val="28"/>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43545" w:rsidRPr="00F43545">
        <w:rPr>
          <w:i w:val="0"/>
          <w:iCs w:val="0"/>
        </w:rPr>
        <w:t xml:space="preserve">Department of </w:t>
      </w:r>
      <w:r w:rsidR="000E3516" w:rsidRPr="000E3516">
        <w:rPr>
          <w:i w:val="0"/>
          <w:iCs w:val="0"/>
        </w:rPr>
        <w:t>Families, Fairness and Housing.</w:t>
      </w:r>
      <w:r w:rsidR="006B4955">
        <w:br w:type="page"/>
      </w:r>
    </w:p>
    <w:p w14:paraId="4E969BD0" w14:textId="6AE2FB8B" w:rsidR="000E3516" w:rsidRDefault="000E3516" w:rsidP="00754159">
      <w:pPr>
        <w:pStyle w:val="Heading1"/>
      </w:pPr>
      <w:bookmarkStart w:id="15" w:name="_Toc184829519"/>
      <w:r w:rsidRPr="000E3516">
        <w:lastRenderedPageBreak/>
        <w:t>Helping Hands Mission Inc.</w:t>
      </w:r>
      <w:bookmarkEnd w:id="15"/>
    </w:p>
    <w:p w14:paraId="4B2932AF" w14:textId="5F712613" w:rsidR="00235845" w:rsidRDefault="00235845" w:rsidP="00235845">
      <w:pPr>
        <w:jc w:val="both"/>
      </w:pPr>
      <w:r>
        <w:t xml:space="preserve">Construction of </w:t>
      </w:r>
      <w:r w:rsidR="00C52A1F">
        <w:t xml:space="preserve">a </w:t>
      </w:r>
      <w:r>
        <w:t xml:space="preserve">building at newly acquired site to be Helping Hands Mission Inc.’s main operating site. The project has allowed Helping Hands Mission to continue to provide aid </w:t>
      </w:r>
      <w:r w:rsidR="00DB690C">
        <w:t>and</w:t>
      </w:r>
      <w:r>
        <w:t xml:space="preserve"> provided room for us to grow their program. They are seeing approximately 30 new applications for aid each week on top of the 10000 clients in their database.</w:t>
      </w:r>
    </w:p>
    <w:p w14:paraId="26DC5AE9" w14:textId="5CE02E61" w:rsidR="00B258AC" w:rsidRPr="009A732E" w:rsidRDefault="00B258AC" w:rsidP="00B258AC">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FB4892" w:rsidRPr="00FB4892">
        <w:rPr>
          <w:i w:val="0"/>
          <w:iCs w:val="0"/>
        </w:rPr>
        <w:t xml:space="preserve">Department of </w:t>
      </w:r>
      <w:r w:rsidR="00235845" w:rsidRPr="00235845">
        <w:rPr>
          <w:i w:val="0"/>
          <w:iCs w:val="0"/>
        </w:rPr>
        <w:t>Families, Fairness and Housing.</w:t>
      </w:r>
    </w:p>
    <w:p w14:paraId="075C49A9" w14:textId="7F66560B" w:rsidR="00FB4892" w:rsidRPr="00FF65A6" w:rsidRDefault="00FF65A6" w:rsidP="00B258AC">
      <w:pPr>
        <w:pStyle w:val="Heading1"/>
        <w:rPr>
          <w:highlight w:val="yellow"/>
        </w:rPr>
      </w:pPr>
      <w:bookmarkStart w:id="16" w:name="_Toc184829520"/>
      <w:r w:rsidRPr="00FF65A6">
        <w:t>Dja Dja Wurrung Aboriginal Corporation Community and Corporate Centre</w:t>
      </w:r>
      <w:bookmarkEnd w:id="16"/>
    </w:p>
    <w:p w14:paraId="71EB9611" w14:textId="77777777" w:rsidR="00B87473" w:rsidRDefault="00B87473" w:rsidP="00B87473">
      <w:pPr>
        <w:spacing w:before="0" w:after="0"/>
        <w:jc w:val="both"/>
      </w:pPr>
      <w:r>
        <w:t xml:space="preserve">To be updated once the project completion information is provided to the CSF. </w:t>
      </w:r>
    </w:p>
    <w:p w14:paraId="6497E910" w14:textId="78B7B638" w:rsidR="00FF65A6" w:rsidRDefault="00FF65A6" w:rsidP="00DA6991">
      <w:pPr>
        <w:pStyle w:val="Heading1"/>
      </w:pPr>
      <w:bookmarkStart w:id="17" w:name="_Toc184829521"/>
      <w:r w:rsidRPr="00FF65A6">
        <w:t>Lake Wendouree and Victoria Park in Ballarat</w:t>
      </w:r>
      <w:r>
        <w:t xml:space="preserve"> - L</w:t>
      </w:r>
      <w:r w:rsidRPr="00FF65A6">
        <w:t>ight installation</w:t>
      </w:r>
      <w:bookmarkEnd w:id="17"/>
    </w:p>
    <w:p w14:paraId="0032E9AF" w14:textId="37F43FFF" w:rsidR="006856ED" w:rsidRDefault="006856ED" w:rsidP="006856ED">
      <w:pPr>
        <w:jc w:val="both"/>
      </w:pPr>
      <w:r>
        <w:t xml:space="preserve">Installation of pedestrian lighting around the Lake </w:t>
      </w:r>
      <w:r w:rsidRPr="003871F1">
        <w:t>Wendouree Moneghetti track</w:t>
      </w:r>
      <w:r>
        <w:t xml:space="preserve"> to increase community safety, enable expanded use and support growth of evening-based events and tourism opportunities around the iconic lake at the centre of Ballarat. </w:t>
      </w:r>
    </w:p>
    <w:p w14:paraId="0CDA922F" w14:textId="127E695C" w:rsidR="00DE0371" w:rsidRDefault="006856ED" w:rsidP="006856ED">
      <w:pPr>
        <w:jc w:val="both"/>
      </w:pPr>
      <w:r>
        <w:t>The lights automatically turn on in the evening and turn off at 10pm, then the lights automatically turn on at 5.30am and turn off via a sensor that measures the natural light level which differs throughout the year. This ensures a period of darkness is preserved in line with the recommendation of the Biodiversity Impact Assessment undertaken for the project.</w:t>
      </w:r>
    </w:p>
    <w:p w14:paraId="618E3092" w14:textId="06C24B10" w:rsidR="00DA6991" w:rsidRPr="009A732E" w:rsidRDefault="00DA6991" w:rsidP="00DA6991">
      <w:pPr>
        <w:pStyle w:val="Quote"/>
        <w:tabs>
          <w:tab w:val="clear" w:pos="8162"/>
          <w:tab w:val="right" w:pos="8931"/>
        </w:tabs>
        <w:ind w:left="0" w:right="95"/>
        <w:rPr>
          <w:i w:val="0"/>
          <w:iCs w:val="0"/>
        </w:rPr>
      </w:pPr>
      <w:r>
        <w:rPr>
          <w:i w:val="0"/>
          <w:iCs w:val="0"/>
        </w:rPr>
        <w:t>D</w:t>
      </w:r>
      <w:r w:rsidRPr="009E7FC2">
        <w:rPr>
          <w:i w:val="0"/>
          <w:iCs w:val="0"/>
        </w:rPr>
        <w:t xml:space="preserve">isclaimer: The above information </w:t>
      </w:r>
      <w:r>
        <w:rPr>
          <w:i w:val="0"/>
          <w:iCs w:val="0"/>
        </w:rPr>
        <w:t>was</w:t>
      </w:r>
      <w:r w:rsidRPr="009E7FC2">
        <w:rPr>
          <w:i w:val="0"/>
          <w:iCs w:val="0"/>
        </w:rPr>
        <w:t xml:space="preserve"> provided by the </w:t>
      </w:r>
      <w:r w:rsidR="00DE0371" w:rsidRPr="00DE0371">
        <w:rPr>
          <w:i w:val="0"/>
          <w:iCs w:val="0"/>
        </w:rPr>
        <w:t>Department of Jobs, Skills, Industry and Regions.</w:t>
      </w:r>
    </w:p>
    <w:p w14:paraId="223A7A63" w14:textId="01C812BA" w:rsidR="00FF65A6" w:rsidRDefault="00FF65A6" w:rsidP="00DF23E9">
      <w:pPr>
        <w:pStyle w:val="Heading1"/>
      </w:pPr>
      <w:bookmarkStart w:id="18" w:name="_Toc184829522"/>
      <w:r w:rsidRPr="00FF65A6">
        <w:t>Creative Infrastructure Program</w:t>
      </w:r>
      <w:bookmarkEnd w:id="18"/>
    </w:p>
    <w:p w14:paraId="3175412D" w14:textId="74208E37" w:rsidR="00DF23E9" w:rsidRDefault="00B87473" w:rsidP="006E0D29">
      <w:pPr>
        <w:spacing w:before="0" w:after="0"/>
        <w:jc w:val="both"/>
      </w:pPr>
      <w:r>
        <w:t xml:space="preserve">To be updated once the project completion information is provided to the CSF. </w:t>
      </w:r>
    </w:p>
    <w:p w14:paraId="48B511B3" w14:textId="5A0C75DE" w:rsidR="00FF65A6" w:rsidRDefault="00FF65A6" w:rsidP="008675B6">
      <w:pPr>
        <w:pStyle w:val="Heading1"/>
      </w:pPr>
      <w:bookmarkStart w:id="19" w:name="_Toc184829523"/>
      <w:r w:rsidRPr="00FF65A6">
        <w:t>Animal Law Institute</w:t>
      </w:r>
      <w:bookmarkEnd w:id="19"/>
    </w:p>
    <w:p w14:paraId="6F496655" w14:textId="77777777" w:rsidR="00B87473" w:rsidRDefault="00B87473" w:rsidP="00B87473">
      <w:pPr>
        <w:spacing w:before="0" w:after="0"/>
        <w:jc w:val="both"/>
      </w:pPr>
      <w:r>
        <w:t xml:space="preserve">To be updated once the project completion information is provided to the CSF. </w:t>
      </w:r>
    </w:p>
    <w:p w14:paraId="7E31870D" w14:textId="50E1A409" w:rsidR="00932686" w:rsidRDefault="00FF65A6" w:rsidP="00932686">
      <w:pPr>
        <w:pStyle w:val="Heading1"/>
      </w:pPr>
      <w:bookmarkStart w:id="20" w:name="_Toc184829524"/>
      <w:r w:rsidRPr="00FF65A6">
        <w:t>Clunes Booktown Festivals</w:t>
      </w:r>
      <w:bookmarkEnd w:id="20"/>
    </w:p>
    <w:p w14:paraId="66FD99AF" w14:textId="2C6FAA6B" w:rsidR="009472D5" w:rsidRDefault="00B87473" w:rsidP="00B87473">
      <w:pPr>
        <w:spacing w:before="0" w:after="0"/>
        <w:jc w:val="both"/>
      </w:pPr>
      <w:r>
        <w:t xml:space="preserve">To be updated once the project completion information is provided to the CSF. </w:t>
      </w:r>
    </w:p>
    <w:sectPr w:rsidR="009472D5" w:rsidSect="000B5CFD">
      <w:headerReference w:type="even" r:id="rId17"/>
      <w:headerReference w:type="default" r:id="rId18"/>
      <w:footerReference w:type="even" r:id="rId19"/>
      <w:footerReference w:type="default" r:id="rId20"/>
      <w:headerReference w:type="first" r:id="rId21"/>
      <w:footerReference w:type="first" r:id="rId22"/>
      <w:pgSz w:w="11906" w:h="16838" w:code="9"/>
      <w:pgMar w:top="2160" w:right="1440" w:bottom="1728" w:left="1440" w:header="706" w:footer="46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6C60950" w14:textId="77777777" w:rsidR="00BB2227" w:rsidRDefault="00BB2227" w:rsidP="002D711A">
      <w:pPr>
        <w:spacing w:after="0" w:line="240" w:lineRule="auto"/>
      </w:pPr>
      <w:r>
        <w:separator/>
      </w:r>
    </w:p>
  </w:endnote>
  <w:endnote w:type="continuationSeparator" w:id="0">
    <w:p w14:paraId="403DBD0A" w14:textId="77777777" w:rsidR="00BB2227" w:rsidRDefault="00BB2227" w:rsidP="002D71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imHei">
    <w:altName w:val="黑体"/>
    <w:panose1 w:val="02010600030101010101"/>
    <w:charset w:val="86"/>
    <w:family w:val="modern"/>
    <w:pitch w:val="fixed"/>
    <w:sig w:usb0="800002BF" w:usb1="38CF7CFA"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8DB684" w14:textId="77777777" w:rsidR="00DF23E9" w:rsidRDefault="00DF23E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067210" w14:textId="68F61C39" w:rsidR="00DF23E9" w:rsidRDefault="00DF23E9" w:rsidP="008E49B3">
    <w:pPr>
      <w:pStyle w:val="Footer"/>
      <w:rPr>
        <w:rStyle w:val="PageNumber"/>
      </w:rPr>
    </w:pPr>
    <w:r w:rsidRPr="008E49B3">
      <w:rPr>
        <w:b/>
        <w:noProof w:val="0"/>
      </w:rPr>
      <w:fldChar w:fldCharType="begin"/>
    </w:r>
    <w:r w:rsidRPr="008E49B3">
      <w:rPr>
        <w:b/>
      </w:rPr>
      <w:instrText xml:space="preserve"> StyleRef “Title” </w:instrText>
    </w:r>
    <w:r w:rsidRPr="008E49B3">
      <w:rPr>
        <w:b/>
        <w:noProof w:val="0"/>
      </w:rPr>
      <w:fldChar w:fldCharType="separate"/>
    </w:r>
    <w:r w:rsidR="006103E1">
      <w:rPr>
        <w:b/>
      </w:rPr>
      <w:t>Community Support Fund</w:t>
    </w:r>
    <w:r w:rsidRPr="008E49B3">
      <w:rPr>
        <w:b/>
      </w:rPr>
      <w:fldChar w:fldCharType="end"/>
    </w:r>
    <w:r w:rsidRPr="008E49B3">
      <w:rPr>
        <w:b/>
      </w:rPr>
      <w:t xml:space="preserve"> </w:t>
    </w:r>
    <w:r w:rsidRPr="008E49B3">
      <w:rPr>
        <w:noProof w:val="0"/>
      </w:rPr>
      <w:fldChar w:fldCharType="begin"/>
    </w:r>
    <w:r w:rsidRPr="008E49B3">
      <w:instrText xml:space="preserve"> StyleRef “Subtitle” </w:instrText>
    </w:r>
    <w:r w:rsidRPr="008E49B3">
      <w:rPr>
        <w:noProof w:val="0"/>
      </w:rPr>
      <w:fldChar w:fldCharType="separate"/>
    </w:r>
    <w:r w:rsidR="006103E1">
      <w:t>Final Outcomes Summary for the Projects Completed 2023-24</w:t>
    </w:r>
    <w:r w:rsidRPr="008E49B3">
      <w:fldChar w:fldCharType="end"/>
    </w:r>
    <w:r w:rsidRPr="00C022F9">
      <w:tab/>
      <w:t xml:space="preserve">Page </w:t>
    </w:r>
    <w:r w:rsidRPr="00DE60CC">
      <w:rPr>
        <w:rStyle w:val="PageNumber"/>
      </w:rPr>
      <w:fldChar w:fldCharType="begin"/>
    </w:r>
    <w:r w:rsidRPr="00DE60CC">
      <w:rPr>
        <w:rStyle w:val="PageNumber"/>
      </w:rPr>
      <w:instrText xml:space="preserve"> Page </w:instrText>
    </w:r>
    <w:r w:rsidRPr="00DE60CC">
      <w:rPr>
        <w:rStyle w:val="PageNumber"/>
      </w:rPr>
      <w:fldChar w:fldCharType="separate"/>
    </w:r>
    <w:r>
      <w:rPr>
        <w:rStyle w:val="PageNumber"/>
      </w:rPr>
      <w:t>1</w:t>
    </w:r>
    <w:r w:rsidRPr="00DE60CC">
      <w:rPr>
        <w:rStyle w:val="PageNumber"/>
      </w:rPr>
      <w:fldChar w:fldCharType="end"/>
    </w:r>
  </w:p>
  <w:p w14:paraId="0252AAC8" w14:textId="77777777" w:rsidR="00DF23E9" w:rsidRPr="00C022F9" w:rsidRDefault="00DF23E9" w:rsidP="008E49B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F521805" w14:textId="77777777" w:rsidR="00DF23E9" w:rsidRDefault="00DF23E9" w:rsidP="00C02CEC">
    <w:pPr>
      <w:pStyle w:val="Footer"/>
      <w:tabs>
        <w:tab w:val="clear" w:pos="9026"/>
      </w:tabs>
      <w:ind w:right="-432"/>
      <w:jc w:val="right"/>
    </w:pPr>
    <w:r>
      <w:drawing>
        <wp:inline distT="0" distB="0" distL="0" distR="0" wp14:anchorId="12AB9666" wp14:editId="5BB57F66">
          <wp:extent cx="1536192" cy="457200"/>
          <wp:effectExtent l="0" t="0" r="6985" b="0"/>
          <wp:docPr id="49"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536192" cy="4572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FDB4471" w14:textId="77777777" w:rsidR="00BB2227" w:rsidRDefault="00BB2227" w:rsidP="002D711A">
      <w:pPr>
        <w:spacing w:after="0" w:line="240" w:lineRule="auto"/>
      </w:pPr>
      <w:r>
        <w:separator/>
      </w:r>
    </w:p>
  </w:footnote>
  <w:footnote w:type="continuationSeparator" w:id="0">
    <w:p w14:paraId="438B2BCA" w14:textId="77777777" w:rsidR="00BB2227" w:rsidRDefault="00BB2227" w:rsidP="002D711A">
      <w:pPr>
        <w:spacing w:after="0" w:line="240" w:lineRule="auto"/>
      </w:pPr>
      <w:r>
        <w:continuationSeparator/>
      </w:r>
    </w:p>
  </w:footnote>
  <w:footnote w:type="continuationNotice" w:id="1">
    <w:p w14:paraId="3D2C5911" w14:textId="77777777" w:rsidR="00BB2227" w:rsidRDefault="00BB2227">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019AFB" w14:textId="77777777" w:rsidR="00DF23E9" w:rsidRDefault="00DF23E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D98433" w14:textId="77777777" w:rsidR="00DF23E9" w:rsidRPr="0041689E" w:rsidRDefault="00DF23E9">
    <w:pPr>
      <w:pStyle w:val="Header"/>
    </w:pPr>
    <w:r>
      <w:rPr>
        <w:noProof/>
      </w:rPr>
      <mc:AlternateContent>
        <mc:Choice Requires="wpg">
          <w:drawing>
            <wp:anchor distT="0" distB="0" distL="114300" distR="114300" simplePos="0" relativeHeight="251674624" behindDoc="0" locked="0" layoutInCell="1" allowOverlap="1" wp14:anchorId="7EF8A9B6" wp14:editId="2493A04F">
              <wp:simplePos x="0" y="0"/>
              <wp:positionH relativeFrom="page">
                <wp:posOffset>0</wp:posOffset>
              </wp:positionH>
              <wp:positionV relativeFrom="page">
                <wp:posOffset>0</wp:posOffset>
              </wp:positionV>
              <wp:extent cx="7598664" cy="978408"/>
              <wp:effectExtent l="0" t="0" r="2540" b="0"/>
              <wp:wrapNone/>
              <wp:docPr id="5"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4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C9A1344" id="Page banner" o:spid="_x0000_s1026" alt="&quot;&quot;" style="position:absolute;margin-left:0;margin-top:0;width:598.3pt;height:77.05pt;z-index:251674624;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xZVFsVYGAADP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CB5405B" w14:textId="77777777" w:rsidR="00DF23E9" w:rsidRDefault="00DF23E9">
    <w:pPr>
      <w:pStyle w:val="Header"/>
    </w:pPr>
    <w:r>
      <w:rPr>
        <w:noProof/>
      </w:rPr>
      <mc:AlternateContent>
        <mc:Choice Requires="wpg">
          <w:drawing>
            <wp:anchor distT="0" distB="0" distL="114300" distR="114300" simplePos="0" relativeHeight="251672576" behindDoc="0" locked="0" layoutInCell="1" allowOverlap="1" wp14:anchorId="4E79AD79" wp14:editId="2D00CC55">
              <wp:simplePos x="0" y="0"/>
              <wp:positionH relativeFrom="page">
                <wp:posOffset>0</wp:posOffset>
              </wp:positionH>
              <wp:positionV relativeFrom="page">
                <wp:posOffset>0</wp:posOffset>
              </wp:positionV>
              <wp:extent cx="7598664" cy="978408"/>
              <wp:effectExtent l="0" t="0" r="2540" b="0"/>
              <wp:wrapNone/>
              <wp:docPr id="1" name="Page banner">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8664" cy="978408"/>
                        <a:chOff x="0" y="1270"/>
                        <a:chExt cx="7598197" cy="978408"/>
                      </a:xfrm>
                    </wpg:grpSpPr>
                    <wps:wsp>
                      <wps:cNvPr id="3" name="Shape 5"/>
                      <wps:cNvSpPr/>
                      <wps:spPr>
                        <a:xfrm>
                          <a:off x="0" y="1270"/>
                          <a:ext cx="7565306" cy="978408"/>
                        </a:xfrm>
                        <a:custGeom>
                          <a:avLst/>
                          <a:gdLst>
                            <a:gd name="connsiteX0" fmla="*/ 0 w 5670042"/>
                            <a:gd name="connsiteY0" fmla="*/ 0 h 733806"/>
                            <a:gd name="connsiteX1" fmla="*/ 5670043 w 5670042"/>
                            <a:gd name="connsiteY1" fmla="*/ 0 h 733806"/>
                            <a:gd name="connsiteX2" fmla="*/ 5670043 w 5670042"/>
                            <a:gd name="connsiteY2" fmla="*/ 733806 h 733806"/>
                            <a:gd name="connsiteX3" fmla="*/ 0 w 5670042"/>
                            <a:gd name="connsiteY3" fmla="*/ 733806 h 733806"/>
                          </a:gdLst>
                          <a:ahLst/>
                          <a:cxnLst>
                            <a:cxn ang="0">
                              <a:pos x="connsiteX0" y="connsiteY0"/>
                            </a:cxn>
                            <a:cxn ang="0">
                              <a:pos x="connsiteX1" y="connsiteY1"/>
                            </a:cxn>
                            <a:cxn ang="0">
                              <a:pos x="connsiteX2" y="connsiteY2"/>
                            </a:cxn>
                            <a:cxn ang="0">
                              <a:pos x="connsiteX3" y="connsiteY3"/>
                            </a:cxn>
                          </a:cxnLst>
                          <a:rect l="l" t="t" r="r" b="b"/>
                          <a:pathLst>
                            <a:path w="5670042" h="733806">
                              <a:moveTo>
                                <a:pt x="0" y="0"/>
                              </a:moveTo>
                              <a:lnTo>
                                <a:pt x="5670043" y="0"/>
                              </a:lnTo>
                              <a:lnTo>
                                <a:pt x="5670043" y="733806"/>
                              </a:lnTo>
                              <a:lnTo>
                                <a:pt x="0" y="733806"/>
                              </a:lnTo>
                              <a:close/>
                            </a:path>
                          </a:pathLst>
                        </a:custGeom>
                        <a:solidFill>
                          <a:schemeClr val="bg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Shape  4"/>
                      <wps:cNvSpPr/>
                      <wps:spPr>
                        <a:xfrm>
                          <a:off x="5972433" y="1270"/>
                          <a:ext cx="1621308" cy="978408"/>
                        </a:xfrm>
                        <a:custGeom>
                          <a:avLst/>
                          <a:gdLst>
                            <a:gd name="connsiteX0" fmla="*/ 1209580 w 1209579"/>
                            <a:gd name="connsiteY0" fmla="*/ 0 h 733806"/>
                            <a:gd name="connsiteX1" fmla="*/ 1209580 w 1209579"/>
                            <a:gd name="connsiteY1" fmla="*/ 733806 h 733806"/>
                            <a:gd name="connsiteX2" fmla="*/ 0 w 1209579"/>
                            <a:gd name="connsiteY2" fmla="*/ 733806 h 733806"/>
                            <a:gd name="connsiteX3" fmla="*/ 346805 w 1209579"/>
                            <a:gd name="connsiteY3" fmla="*/ 0 h 733806"/>
                          </a:gdLst>
                          <a:ahLst/>
                          <a:cxnLst>
                            <a:cxn ang="0">
                              <a:pos x="connsiteX0" y="connsiteY0"/>
                            </a:cxn>
                            <a:cxn ang="0">
                              <a:pos x="connsiteX1" y="connsiteY1"/>
                            </a:cxn>
                            <a:cxn ang="0">
                              <a:pos x="connsiteX2" y="connsiteY2"/>
                            </a:cxn>
                            <a:cxn ang="0">
                              <a:pos x="connsiteX3" y="connsiteY3"/>
                            </a:cxn>
                          </a:cxnLst>
                          <a:rect l="l" t="t" r="r" b="b"/>
                          <a:pathLst>
                            <a:path w="1209579" h="733806">
                              <a:moveTo>
                                <a:pt x="1209580" y="0"/>
                              </a:moveTo>
                              <a:lnTo>
                                <a:pt x="1209580" y="733806"/>
                              </a:lnTo>
                              <a:lnTo>
                                <a:pt x="0" y="733806"/>
                              </a:lnTo>
                              <a:lnTo>
                                <a:pt x="346805" y="0"/>
                              </a:lnTo>
                              <a:close/>
                            </a:path>
                          </a:pathLst>
                        </a:custGeom>
                        <a:solidFill>
                          <a:schemeClr val="accent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 name="Shape 3"/>
                      <wps:cNvSpPr/>
                      <wps:spPr>
                        <a:xfrm>
                          <a:off x="4940490" y="1270"/>
                          <a:ext cx="1503468" cy="978408"/>
                        </a:xfrm>
                        <a:custGeom>
                          <a:avLst/>
                          <a:gdLst>
                            <a:gd name="connsiteX0" fmla="*/ 0 w 1121664"/>
                            <a:gd name="connsiteY0" fmla="*/ 733806 h 733806"/>
                            <a:gd name="connsiteX1" fmla="*/ 774859 w 1121664"/>
                            <a:gd name="connsiteY1" fmla="*/ 733806 h 733806"/>
                            <a:gd name="connsiteX2" fmla="*/ 1121664 w 1121664"/>
                            <a:gd name="connsiteY2" fmla="*/ 0 h 733806"/>
                            <a:gd name="connsiteX3" fmla="*/ 346805 w 1121664"/>
                            <a:gd name="connsiteY3" fmla="*/ 0 h 733806"/>
                          </a:gdLst>
                          <a:ahLst/>
                          <a:cxnLst>
                            <a:cxn ang="0">
                              <a:pos x="connsiteX0" y="connsiteY0"/>
                            </a:cxn>
                            <a:cxn ang="0">
                              <a:pos x="connsiteX1" y="connsiteY1"/>
                            </a:cxn>
                            <a:cxn ang="0">
                              <a:pos x="connsiteX2" y="connsiteY2"/>
                            </a:cxn>
                            <a:cxn ang="0">
                              <a:pos x="connsiteX3" y="connsiteY3"/>
                            </a:cxn>
                          </a:cxnLst>
                          <a:rect l="l" t="t" r="r" b="b"/>
                          <a:pathLst>
                            <a:path w="1121664" h="733806">
                              <a:moveTo>
                                <a:pt x="0" y="733806"/>
                              </a:moveTo>
                              <a:lnTo>
                                <a:pt x="774859" y="733806"/>
                              </a:lnTo>
                              <a:lnTo>
                                <a:pt x="1121664" y="0"/>
                              </a:lnTo>
                              <a:lnTo>
                                <a:pt x="346805" y="0"/>
                              </a:lnTo>
                              <a:close/>
                            </a:path>
                          </a:pathLst>
                        </a:custGeom>
                        <a:solidFill>
                          <a:schemeClr val="accent2"/>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Shape 2"/>
                      <wps:cNvSpPr/>
                      <wps:spPr>
                        <a:xfrm>
                          <a:off x="6441743" y="1270"/>
                          <a:ext cx="1156454" cy="978280"/>
                        </a:xfrm>
                        <a:custGeom>
                          <a:avLst/>
                          <a:gdLst>
                            <a:gd name="connsiteX0" fmla="*/ 0 w 862774"/>
                            <a:gd name="connsiteY0" fmla="*/ 0 h 733710"/>
                            <a:gd name="connsiteX1" fmla="*/ 346805 w 862774"/>
                            <a:gd name="connsiteY1" fmla="*/ 733711 h 733710"/>
                            <a:gd name="connsiteX2" fmla="*/ 862774 w 862774"/>
                            <a:gd name="connsiteY2" fmla="*/ 733711 h 733710"/>
                            <a:gd name="connsiteX3" fmla="*/ 862774 w 862774"/>
                            <a:gd name="connsiteY3" fmla="*/ 0 h 733710"/>
                          </a:gdLst>
                          <a:ahLst/>
                          <a:cxnLst>
                            <a:cxn ang="0">
                              <a:pos x="connsiteX0" y="connsiteY0"/>
                            </a:cxn>
                            <a:cxn ang="0">
                              <a:pos x="connsiteX1" y="connsiteY1"/>
                            </a:cxn>
                            <a:cxn ang="0">
                              <a:pos x="connsiteX2" y="connsiteY2"/>
                            </a:cxn>
                            <a:cxn ang="0">
                              <a:pos x="connsiteX3" y="connsiteY3"/>
                            </a:cxn>
                          </a:cxnLst>
                          <a:rect l="l" t="t" r="r" b="b"/>
                          <a:pathLst>
                            <a:path w="862774" h="733710">
                              <a:moveTo>
                                <a:pt x="0" y="0"/>
                              </a:moveTo>
                              <a:lnTo>
                                <a:pt x="346805" y="733711"/>
                              </a:lnTo>
                              <a:lnTo>
                                <a:pt x="862774" y="733711"/>
                              </a:lnTo>
                              <a:lnTo>
                                <a:pt x="862774" y="0"/>
                              </a:lnTo>
                              <a:close/>
                            </a:path>
                          </a:pathLst>
                        </a:custGeom>
                        <a:solidFill>
                          <a:schemeClr val="tx1"/>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 name="Shape 1"/>
                      <wps:cNvSpPr/>
                      <wps:spPr>
                        <a:xfrm>
                          <a:off x="4701654" y="477672"/>
                          <a:ext cx="1276722" cy="501649"/>
                        </a:xfrm>
                        <a:custGeom>
                          <a:avLst/>
                          <a:gdLst>
                            <a:gd name="connsiteX0" fmla="*/ 0 w 952500"/>
                            <a:gd name="connsiteY0" fmla="*/ 0 h 376237"/>
                            <a:gd name="connsiteX1" fmla="*/ 774573 w 952500"/>
                            <a:gd name="connsiteY1" fmla="*/ 0 h 376237"/>
                            <a:gd name="connsiteX2" fmla="*/ 952500 w 952500"/>
                            <a:gd name="connsiteY2" fmla="*/ 376238 h 376237"/>
                            <a:gd name="connsiteX3" fmla="*/ 177832 w 952500"/>
                            <a:gd name="connsiteY3" fmla="*/ 376238 h 376237"/>
                          </a:gdLst>
                          <a:ahLst/>
                          <a:cxnLst>
                            <a:cxn ang="0">
                              <a:pos x="connsiteX0" y="connsiteY0"/>
                            </a:cxn>
                            <a:cxn ang="0">
                              <a:pos x="connsiteX1" y="connsiteY1"/>
                            </a:cxn>
                            <a:cxn ang="0">
                              <a:pos x="connsiteX2" y="connsiteY2"/>
                            </a:cxn>
                            <a:cxn ang="0">
                              <a:pos x="connsiteX3" y="connsiteY3"/>
                            </a:cxn>
                          </a:cxnLst>
                          <a:rect l="l" t="t" r="r" b="b"/>
                          <a:pathLst>
                            <a:path w="952500" h="376237">
                              <a:moveTo>
                                <a:pt x="0" y="0"/>
                              </a:moveTo>
                              <a:lnTo>
                                <a:pt x="774573" y="0"/>
                              </a:lnTo>
                              <a:lnTo>
                                <a:pt x="952500" y="376238"/>
                              </a:lnTo>
                              <a:lnTo>
                                <a:pt x="177832" y="376238"/>
                              </a:lnTo>
                              <a:close/>
                            </a:path>
                          </a:pathLst>
                        </a:custGeom>
                        <a:solidFill>
                          <a:srgbClr val="FFFFFF">
                            <a:alpha val="50000"/>
                          </a:srgbClr>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460B344" id="Page banner" o:spid="_x0000_s1026" alt="&quot;&quot;" style="position:absolute;margin-left:0;margin-top:0;width:598.3pt;height:77.05pt;z-index:251672576;mso-position-horizontal-relative:page;mso-position-vertical-relative:page;mso-width-relative:margin;mso-height-relative:margin" coordorigin=",12" coordsize="75981,97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">
              <v:shape id="Shape 5" o:spid="_x0000_s1027" style="position:absolute;top:12;width:75653;height:9784;visibility:visible;mso-wrap-style:square;v-text-anchor:middle" coordsize="5670042,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" path="m,l5670043,r,733806l,733806,,xe" fillcolor="#c2ebfa [3214]" stroked="f">
                <v:stroke joinstyle="miter"/>
                <v:path arrowok="t" o:connecttype="custom" o:connectlocs="0,0;7565307,0;7565307,978408;0,978408" o:connectangles="0,0,0,0"/>
              </v:shape>
              <v:shape id="Shape  4" o:spid="_x0000_s1028" style="position:absolute;left:59724;top:12;width:16213;height:9784;visibility:visible;mso-wrap-style:square;v-text-anchor:middle" coordsize="1209579,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" path="m1209580,r,733806l,733806,346805,r862775,xe" fillcolor="#0072ce [3204]" stroked="f">
                <v:stroke joinstyle="miter"/>
                <v:path arrowok="t" o:connecttype="custom" o:connectlocs="1621309,0;1621309,978408;0,978408;464854,0" o:connectangles="0,0,0,0"/>
              </v:shape>
              <v:shape id="Shape 3" o:spid="_x0000_s1029" style="position:absolute;left:49404;top:12;width:15035;height:9784;visibility:visible;mso-wrap-style:square;v-text-anchor:middle" coordsize="1121664,733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" path="m,733806r774859,l1121664,,346805,,,733806xe" fillcolor="#68cef2 [3205]" stroked="f">
                <v:stroke joinstyle="miter"/>
                <v:path arrowok="t" o:connecttype="custom" o:connectlocs="0,978408;1038614,978408;1503468,0;464854,0" o:connectangles="0,0,0,0"/>
              </v:shape>
              <v:shape id="Shape 2" o:spid="_x0000_s1030" style="position:absolute;left:64417;top:12;width:11564;height:9783;visibility:visible;mso-wrap-style:square;v-text-anchor:middle" coordsize="862774,7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" path="m,l346805,733711r515969,l862774,,,xe" fillcolor="#232b39 [3213]" stroked="f">
                <v:stroke joinstyle="miter"/>
                <v:path arrowok="t" o:connecttype="custom" o:connectlocs="0,0;464854,978281;1156454,978281;1156454,0" o:connectangles="0,0,0,0"/>
              </v:shape>
              <v:shape id="Shape 1" o:spid="_x0000_s1031" style="position:absolute;left:47016;top:4776;width:12767;height:5017;visibility:visible;mso-wrap-style:square;v-text-anchor:middle" coordsize="952500,3762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" path="m,l774573,,952500,376238r-774668,l,xe" stroked="f">
                <v:fill opacity="32896f"/>
                <v:stroke joinstyle="miter"/>
                <v:path arrowok="t" o:connecttype="custom" o:connectlocs="0,0;1038230,0;1276722,501650;238364,501650" o:connectangles="0,0,0,0"/>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B9DF6837"/>
    <w:multiLevelType w:val="hybridMultilevel"/>
    <w:tmpl w:val="2CB051C2"/>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E027E2"/>
    <w:multiLevelType w:val="hybridMultilevel"/>
    <w:tmpl w:val="971ED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174E22"/>
    <w:multiLevelType w:val="hybridMultilevel"/>
    <w:tmpl w:val="60FE51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2813560"/>
    <w:multiLevelType w:val="hybridMultilevel"/>
    <w:tmpl w:val="BEE276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4490984"/>
    <w:multiLevelType w:val="hybridMultilevel"/>
    <w:tmpl w:val="70E8D9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01359CB"/>
    <w:multiLevelType w:val="hybridMultilevel"/>
    <w:tmpl w:val="0C30F0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3073972"/>
    <w:multiLevelType w:val="hybridMultilevel"/>
    <w:tmpl w:val="2F5EBA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BC04023"/>
    <w:multiLevelType w:val="hybridMultilevel"/>
    <w:tmpl w:val="843693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5B70749"/>
    <w:multiLevelType w:val="hybridMultilevel"/>
    <w:tmpl w:val="5C86E3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6456FFD"/>
    <w:multiLevelType w:val="multilevel"/>
    <w:tmpl w:val="C0D2F066"/>
    <w:lvl w:ilvl="0">
      <w:start w:val="1"/>
      <w:numFmt w:val="bullet"/>
      <w:pStyle w:val="Tablebullet"/>
      <w:lvlText w:val=""/>
      <w:lvlJc w:val="left"/>
      <w:pPr>
        <w:ind w:left="288" w:hanging="288"/>
      </w:pPr>
      <w:rPr>
        <w:rFonts w:ascii="Symbol" w:hAnsi="Symbol" w:hint="default"/>
        <w:color w:val="auto"/>
      </w:rPr>
    </w:lvl>
    <w:lvl w:ilvl="1">
      <w:start w:val="1"/>
      <w:numFmt w:val="bullet"/>
      <w:pStyle w:val="Tabledash"/>
      <w:lvlText w:val="–"/>
      <w:lvlJc w:val="left"/>
      <w:pPr>
        <w:ind w:left="576" w:hanging="288"/>
      </w:pPr>
      <w:rPr>
        <w:rFonts w:ascii="Calibri" w:hAnsi="Calibri" w:hint="default"/>
        <w:color w:val="auto"/>
      </w:rPr>
    </w:lvl>
    <w:lvl w:ilvl="2">
      <w:start w:val="1"/>
      <w:numFmt w:val="decimal"/>
      <w:pStyle w:val="Tablenum1"/>
      <w:lvlText w:val="%3."/>
      <w:lvlJc w:val="left"/>
      <w:pPr>
        <w:tabs>
          <w:tab w:val="num" w:pos="360"/>
        </w:tabs>
        <w:ind w:left="360" w:hanging="360"/>
      </w:pPr>
      <w:rPr>
        <w:rFonts w:hint="default"/>
      </w:rPr>
    </w:lvl>
    <w:lvl w:ilvl="3">
      <w:start w:val="1"/>
      <w:numFmt w:val="lowerLetter"/>
      <w:pStyle w:val="Tablenum2"/>
      <w:lvlText w:val="(%4)"/>
      <w:lvlJc w:val="left"/>
      <w:pPr>
        <w:tabs>
          <w:tab w:val="num" w:pos="720"/>
        </w:tabs>
        <w:ind w:left="72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7E95315"/>
    <w:multiLevelType w:val="hybridMultilevel"/>
    <w:tmpl w:val="076863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B0F25F7"/>
    <w:multiLevelType w:val="hybridMultilevel"/>
    <w:tmpl w:val="72FCAED4"/>
    <w:lvl w:ilvl="0" w:tplc="5A9692CE">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C990264"/>
    <w:multiLevelType w:val="hybridMultilevel"/>
    <w:tmpl w:val="C57E14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3CB40910"/>
    <w:multiLevelType w:val="hybridMultilevel"/>
    <w:tmpl w:val="CBD2ED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4277230D"/>
    <w:multiLevelType w:val="hybridMultilevel"/>
    <w:tmpl w:val="A80E9D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446D3A6A"/>
    <w:multiLevelType w:val="multilevel"/>
    <w:tmpl w:val="5D9EE514"/>
    <w:lvl w:ilvl="0">
      <w:start w:val="1"/>
      <w:numFmt w:val="bullet"/>
      <w:pStyle w:val="Bullet1"/>
      <w:lvlText w:val=""/>
      <w:lvlJc w:val="left"/>
      <w:pPr>
        <w:tabs>
          <w:tab w:val="num" w:pos="360"/>
        </w:tabs>
        <w:ind w:left="360" w:hanging="360"/>
      </w:pPr>
      <w:rPr>
        <w:rFonts w:ascii="Symbol" w:hAnsi="Symbol" w:hint="default"/>
        <w:b w:val="0"/>
        <w:i w:val="0"/>
        <w:vanish w:val="0"/>
        <w:color w:val="auto"/>
        <w:sz w:val="22"/>
      </w:rPr>
    </w:lvl>
    <w:lvl w:ilvl="1">
      <w:start w:val="1"/>
      <w:numFmt w:val="bullet"/>
      <w:pStyle w:val="Bullet2"/>
      <w:lvlText w:val="–"/>
      <w:lvlJc w:val="left"/>
      <w:pPr>
        <w:tabs>
          <w:tab w:val="num" w:pos="720"/>
        </w:tabs>
        <w:ind w:left="720" w:hanging="360"/>
      </w:pPr>
      <w:rPr>
        <w:rFonts w:ascii="Calibri" w:hAnsi="Calibri" w:hint="default"/>
        <w:b w:val="0"/>
        <w:i w:val="0"/>
        <w:vanish w:val="0"/>
        <w:color w:val="auto"/>
        <w:sz w:val="22"/>
      </w:rPr>
    </w:lvl>
    <w:lvl w:ilvl="2">
      <w:start w:val="1"/>
      <w:numFmt w:val="bullet"/>
      <w:pStyle w:val="Bulletindent"/>
      <w:lvlText w:val=""/>
      <w:lvlJc w:val="left"/>
      <w:pPr>
        <w:tabs>
          <w:tab w:val="num" w:pos="1152"/>
        </w:tabs>
        <w:ind w:left="1152" w:hanging="360"/>
      </w:pPr>
      <w:rPr>
        <w:rFonts w:ascii="Symbol" w:hAnsi="Symbol" w:hint="default"/>
        <w:b w:val="0"/>
        <w:i w:val="0"/>
        <w:vanish w:val="0"/>
        <w:color w:val="auto"/>
        <w:sz w:val="22"/>
      </w:rPr>
    </w:lvl>
    <w:lvl w:ilvl="3">
      <w:start w:val="1"/>
      <w:numFmt w:val="bullet"/>
      <w:pStyle w:val="Bulletindent2"/>
      <w:lvlText w:val="–"/>
      <w:lvlJc w:val="left"/>
      <w:pPr>
        <w:tabs>
          <w:tab w:val="num" w:pos="1512"/>
        </w:tabs>
        <w:ind w:left="1512" w:hanging="360"/>
      </w:pPr>
      <w:rPr>
        <w:rFonts w:ascii="Calibri" w:hAnsi="Calibri" w:hint="default"/>
        <w:b w:val="0"/>
        <w:i w:val="0"/>
        <w:vanish w:val="0"/>
        <w:color w:val="auto"/>
        <w:sz w:val="22"/>
      </w:rPr>
    </w:lvl>
    <w:lvl w:ilvl="4">
      <w:start w:val="1"/>
      <w:numFmt w:val="bullet"/>
      <w:lvlText w:val=""/>
      <w:lvlJc w:val="left"/>
      <w:pPr>
        <w:tabs>
          <w:tab w:val="num" w:pos="2211"/>
        </w:tabs>
        <w:ind w:left="2211" w:hanging="283"/>
      </w:pPr>
      <w:rPr>
        <w:rFonts w:ascii="Symbol" w:hAnsi="Symbol" w:hint="default"/>
        <w:b w:val="0"/>
        <w:i w:val="0"/>
        <w:vanish w:val="0"/>
        <w:color w:val="auto"/>
        <w:sz w:val="22"/>
      </w:rPr>
    </w:lvl>
    <w:lvl w:ilvl="5">
      <w:start w:val="1"/>
      <w:numFmt w:val="bullet"/>
      <w:lvlText w:val=""/>
      <w:lvlJc w:val="left"/>
      <w:pPr>
        <w:tabs>
          <w:tab w:val="num" w:pos="2495"/>
        </w:tabs>
        <w:ind w:left="2495" w:hanging="284"/>
      </w:pPr>
      <w:rPr>
        <w:rFonts w:ascii="Symbol" w:hAnsi="Symbol" w:hint="default"/>
        <w:b w:val="0"/>
        <w:i w:val="0"/>
        <w:vanish w:val="0"/>
        <w:color w:val="auto"/>
        <w:sz w:val="22"/>
      </w:rPr>
    </w:lvl>
    <w:lvl w:ilvl="6">
      <w:start w:val="1"/>
      <w:numFmt w:val="bullet"/>
      <w:lvlText w:val=""/>
      <w:lvlJc w:val="left"/>
      <w:pPr>
        <w:tabs>
          <w:tab w:val="num" w:pos="2778"/>
        </w:tabs>
        <w:ind w:left="2778" w:hanging="283"/>
      </w:pPr>
      <w:rPr>
        <w:rFonts w:ascii="Symbol" w:hAnsi="Symbol" w:hint="default"/>
        <w:b w:val="0"/>
        <w:i w:val="0"/>
        <w:vanish w:val="0"/>
        <w:color w:val="auto"/>
        <w:sz w:val="22"/>
      </w:rPr>
    </w:lvl>
    <w:lvl w:ilvl="7">
      <w:start w:val="1"/>
      <w:numFmt w:val="bullet"/>
      <w:lvlText w:val=""/>
      <w:lvlJc w:val="left"/>
      <w:pPr>
        <w:tabs>
          <w:tab w:val="num" w:pos="3062"/>
        </w:tabs>
        <w:ind w:left="3062" w:hanging="284"/>
      </w:pPr>
      <w:rPr>
        <w:rFonts w:ascii="Symbol" w:hAnsi="Symbol" w:hint="default"/>
        <w:b w:val="0"/>
        <w:i w:val="0"/>
        <w:vanish w:val="0"/>
        <w:color w:val="auto"/>
        <w:sz w:val="22"/>
      </w:rPr>
    </w:lvl>
    <w:lvl w:ilvl="8">
      <w:start w:val="1"/>
      <w:numFmt w:val="bullet"/>
      <w:lvlText w:val=""/>
      <w:lvlJc w:val="left"/>
      <w:pPr>
        <w:tabs>
          <w:tab w:val="num" w:pos="3345"/>
        </w:tabs>
        <w:ind w:left="3345" w:hanging="283"/>
      </w:pPr>
      <w:rPr>
        <w:rFonts w:ascii="Symbol" w:hAnsi="Symbol" w:hint="default"/>
        <w:b w:val="0"/>
        <w:i w:val="0"/>
        <w:vanish w:val="0"/>
        <w:color w:val="auto"/>
        <w:sz w:val="22"/>
      </w:rPr>
    </w:lvl>
  </w:abstractNum>
  <w:abstractNum w:abstractNumId="16" w15:restartNumberingAfterBreak="0">
    <w:nsid w:val="44A074A8"/>
    <w:multiLevelType w:val="hybridMultilevel"/>
    <w:tmpl w:val="5688EF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57DA7E65"/>
    <w:multiLevelType w:val="hybridMultilevel"/>
    <w:tmpl w:val="9A52B9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5BA46970"/>
    <w:multiLevelType w:val="hybridMultilevel"/>
    <w:tmpl w:val="70EECE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5E2D2618"/>
    <w:multiLevelType w:val="hybridMultilevel"/>
    <w:tmpl w:val="1D20CA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2B869F1"/>
    <w:multiLevelType w:val="hybridMultilevel"/>
    <w:tmpl w:val="3B1857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53F6AF1"/>
    <w:multiLevelType w:val="hybridMultilevel"/>
    <w:tmpl w:val="CCE03EC0"/>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667E39CE"/>
    <w:multiLevelType w:val="hybridMultilevel"/>
    <w:tmpl w:val="AD1CAD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679B7C42"/>
    <w:multiLevelType w:val="hybridMultilevel"/>
    <w:tmpl w:val="9D7C1982"/>
    <w:lvl w:ilvl="0" w:tplc="B5BA28AC">
      <w:numFmt w:val="bullet"/>
      <w:lvlText w:val=""/>
      <w:lvlJc w:val="left"/>
      <w:pPr>
        <w:ind w:left="720" w:hanging="360"/>
      </w:pPr>
      <w:rPr>
        <w:rFonts w:ascii="Arial" w:eastAsiaTheme="minorEastAsia"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70D56317"/>
    <w:multiLevelType w:val="hybridMultilevel"/>
    <w:tmpl w:val="710686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76AB4E05"/>
    <w:multiLevelType w:val="hybridMultilevel"/>
    <w:tmpl w:val="A926C1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7A697398"/>
    <w:multiLevelType w:val="hybridMultilevel"/>
    <w:tmpl w:val="9D9E25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7A7E12E5"/>
    <w:multiLevelType w:val="hybridMultilevel"/>
    <w:tmpl w:val="3A5E8A9C"/>
    <w:lvl w:ilvl="0" w:tplc="D52C8DEE">
      <w:start w:val="1"/>
      <w:numFmt w:val="decimal"/>
      <w:pStyle w:val="Numpara"/>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7E962751"/>
    <w:multiLevelType w:val="hybridMultilevel"/>
    <w:tmpl w:val="2550D1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FD44514"/>
    <w:multiLevelType w:val="multilevel"/>
    <w:tmpl w:val="D3A4EDA4"/>
    <w:lvl w:ilvl="0">
      <w:start w:val="1"/>
      <w:numFmt w:val="lowerLetter"/>
      <w:pStyle w:val="Listnum"/>
      <w:lvlText w:val="(%1)"/>
      <w:lvlJc w:val="left"/>
      <w:pPr>
        <w:tabs>
          <w:tab w:val="num" w:pos="360"/>
        </w:tabs>
        <w:ind w:left="360" w:hanging="360"/>
      </w:pPr>
      <w:rPr>
        <w:rFonts w:hint="default"/>
      </w:rPr>
    </w:lvl>
    <w:lvl w:ilvl="1">
      <w:start w:val="1"/>
      <w:numFmt w:val="lowerRoman"/>
      <w:pStyle w:val="Listnum2"/>
      <w:lvlText w:val="(%2)"/>
      <w:lvlJc w:val="left"/>
      <w:pPr>
        <w:tabs>
          <w:tab w:val="num" w:pos="864"/>
        </w:tabs>
        <w:ind w:left="720" w:hanging="360"/>
      </w:pPr>
      <w:rPr>
        <w:rFonts w:hint="default"/>
      </w:rPr>
    </w:lvl>
    <w:lvl w:ilvl="2">
      <w:start w:val="1"/>
      <w:numFmt w:val="decimal"/>
      <w:pStyle w:val="Heading1numbered"/>
      <w:lvlText w:val="%3."/>
      <w:lvlJc w:val="left"/>
      <w:pPr>
        <w:tabs>
          <w:tab w:val="num" w:pos="792"/>
        </w:tabs>
        <w:ind w:left="792" w:hanging="792"/>
      </w:pPr>
      <w:rPr>
        <w:rFonts w:hint="default"/>
      </w:rPr>
    </w:lvl>
    <w:lvl w:ilvl="3">
      <w:start w:val="1"/>
      <w:numFmt w:val="decimal"/>
      <w:pStyle w:val="Heading2numbered"/>
      <w:lvlText w:val="%3.%4"/>
      <w:lvlJc w:val="left"/>
      <w:pPr>
        <w:tabs>
          <w:tab w:val="num" w:pos="792"/>
        </w:tabs>
        <w:ind w:left="792" w:hanging="792"/>
      </w:pPr>
      <w:rPr>
        <w:rFonts w:hint="default"/>
      </w:rPr>
    </w:lvl>
    <w:lvl w:ilvl="4">
      <w:start w:val="1"/>
      <w:numFmt w:val="decimal"/>
      <w:pStyle w:val="Heading3numbered"/>
      <w:lvlText w:val="%3.%4.%5"/>
      <w:lvlJc w:val="left"/>
      <w:pPr>
        <w:tabs>
          <w:tab w:val="num" w:pos="792"/>
        </w:tabs>
        <w:ind w:left="792" w:hanging="792"/>
      </w:pPr>
      <w:rPr>
        <w:rFonts w:hint="default"/>
      </w:rPr>
    </w:lvl>
    <w:lvl w:ilvl="5">
      <w:start w:val="1"/>
      <w:numFmt w:val="decimal"/>
      <w:pStyle w:val="Heading4numbered"/>
      <w:lvlText w:val="%3.%4.%5.%6"/>
      <w:lvlJc w:val="left"/>
      <w:pPr>
        <w:tabs>
          <w:tab w:val="num" w:pos="792"/>
        </w:tabs>
        <w:ind w:left="792" w:hanging="792"/>
      </w:pPr>
      <w:rPr>
        <w:rFonts w:hint="default"/>
      </w:rPr>
    </w:lvl>
    <w:lvl w:ilvl="6">
      <w:start w:val="1"/>
      <w:numFmt w:val="lowerLetter"/>
      <w:pStyle w:val="Listnumindent"/>
      <w:lvlText w:val="(%7)"/>
      <w:lvlJc w:val="left"/>
      <w:pPr>
        <w:tabs>
          <w:tab w:val="num" w:pos="1296"/>
        </w:tabs>
        <w:ind w:left="1296" w:hanging="504"/>
      </w:pPr>
      <w:rPr>
        <w:rFonts w:hint="default"/>
      </w:rPr>
    </w:lvl>
    <w:lvl w:ilvl="7">
      <w:start w:val="1"/>
      <w:numFmt w:val="lowerRoman"/>
      <w:pStyle w:val="Listnumindent2"/>
      <w:lvlText w:val="(%8)"/>
      <w:lvlJc w:val="left"/>
      <w:pPr>
        <w:tabs>
          <w:tab w:val="num" w:pos="1800"/>
        </w:tabs>
        <w:ind w:left="1800" w:hanging="504"/>
      </w:pPr>
      <w:rPr>
        <w:rFonts w:hint="default"/>
      </w:rPr>
    </w:lvl>
    <w:lvl w:ilvl="8">
      <w:start w:val="1"/>
      <w:numFmt w:val="decimal"/>
      <w:pStyle w:val="Numparaindent"/>
      <w:lvlText w:val="%9."/>
      <w:lvlJc w:val="left"/>
      <w:pPr>
        <w:tabs>
          <w:tab w:val="num" w:pos="1296"/>
        </w:tabs>
        <w:ind w:left="1296" w:hanging="504"/>
      </w:pPr>
      <w:rPr>
        <w:rFonts w:hint="default"/>
      </w:rPr>
    </w:lvl>
  </w:abstractNum>
  <w:num w:numId="1" w16cid:durableId="695498189">
    <w:abstractNumId w:val="15"/>
  </w:num>
  <w:num w:numId="2" w16cid:durableId="47918053">
    <w:abstractNumId w:val="27"/>
  </w:num>
  <w:num w:numId="3" w16cid:durableId="1724867461">
    <w:abstractNumId w:val="29"/>
  </w:num>
  <w:num w:numId="4" w16cid:durableId="1862039898">
    <w:abstractNumId w:val="9"/>
  </w:num>
  <w:num w:numId="5" w16cid:durableId="647051944">
    <w:abstractNumId w:val="11"/>
  </w:num>
  <w:num w:numId="6" w16cid:durableId="1075778848">
    <w:abstractNumId w:val="19"/>
  </w:num>
  <w:num w:numId="7" w16cid:durableId="1966570936">
    <w:abstractNumId w:val="14"/>
  </w:num>
  <w:num w:numId="8" w16cid:durableId="92366378">
    <w:abstractNumId w:val="7"/>
  </w:num>
  <w:num w:numId="9" w16cid:durableId="967129420">
    <w:abstractNumId w:val="10"/>
  </w:num>
  <w:num w:numId="10" w16cid:durableId="1682001010">
    <w:abstractNumId w:val="12"/>
  </w:num>
  <w:num w:numId="11" w16cid:durableId="989938725">
    <w:abstractNumId w:val="24"/>
  </w:num>
  <w:num w:numId="12" w16cid:durableId="1865439572">
    <w:abstractNumId w:val="3"/>
  </w:num>
  <w:num w:numId="13" w16cid:durableId="1076123535">
    <w:abstractNumId w:val="6"/>
  </w:num>
  <w:num w:numId="14" w16cid:durableId="772826842">
    <w:abstractNumId w:val="18"/>
  </w:num>
  <w:num w:numId="15" w16cid:durableId="1004282876">
    <w:abstractNumId w:val="25"/>
  </w:num>
  <w:num w:numId="16" w16cid:durableId="1544781197">
    <w:abstractNumId w:val="5"/>
  </w:num>
  <w:num w:numId="17" w16cid:durableId="1515804147">
    <w:abstractNumId w:val="1"/>
  </w:num>
  <w:num w:numId="18" w16cid:durableId="97143730">
    <w:abstractNumId w:val="28"/>
  </w:num>
  <w:num w:numId="19" w16cid:durableId="531575919">
    <w:abstractNumId w:val="0"/>
  </w:num>
  <w:num w:numId="20" w16cid:durableId="1159811812">
    <w:abstractNumId w:val="2"/>
  </w:num>
  <w:num w:numId="21" w16cid:durableId="97482951">
    <w:abstractNumId w:val="16"/>
  </w:num>
  <w:num w:numId="22" w16cid:durableId="1970625238">
    <w:abstractNumId w:val="26"/>
  </w:num>
  <w:num w:numId="23" w16cid:durableId="637338495">
    <w:abstractNumId w:val="21"/>
  </w:num>
  <w:num w:numId="24" w16cid:durableId="689380612">
    <w:abstractNumId w:val="23"/>
  </w:num>
  <w:num w:numId="25" w16cid:durableId="1146507792">
    <w:abstractNumId w:val="22"/>
  </w:num>
  <w:num w:numId="26" w16cid:durableId="1461338517">
    <w:abstractNumId w:val="8"/>
  </w:num>
  <w:num w:numId="27" w16cid:durableId="991258042">
    <w:abstractNumId w:val="20"/>
  </w:num>
  <w:num w:numId="28" w16cid:durableId="886575282">
    <w:abstractNumId w:val="13"/>
  </w:num>
  <w:num w:numId="29" w16cid:durableId="1327593221">
    <w:abstractNumId w:val="17"/>
  </w:num>
  <w:num w:numId="30" w16cid:durableId="1167398589">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doNotDisplayPageBoundaries/>
  <w:defaultTabStop w:val="720"/>
  <w:characterSpacingControl w:val="doNotCompress"/>
  <w:hdrShapeDefaults>
    <o:shapedefaults v:ext="edit" spidmax="2050"/>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7FC2"/>
    <w:rsid w:val="00007BEB"/>
    <w:rsid w:val="00012F6F"/>
    <w:rsid w:val="00014213"/>
    <w:rsid w:val="00014B55"/>
    <w:rsid w:val="00020E3E"/>
    <w:rsid w:val="00023BF3"/>
    <w:rsid w:val="00026811"/>
    <w:rsid w:val="00030708"/>
    <w:rsid w:val="00030A33"/>
    <w:rsid w:val="0003174C"/>
    <w:rsid w:val="00041302"/>
    <w:rsid w:val="00043296"/>
    <w:rsid w:val="0004356D"/>
    <w:rsid w:val="00045296"/>
    <w:rsid w:val="00047F8E"/>
    <w:rsid w:val="00065811"/>
    <w:rsid w:val="00067877"/>
    <w:rsid w:val="00072A2A"/>
    <w:rsid w:val="0007421D"/>
    <w:rsid w:val="00075E6C"/>
    <w:rsid w:val="00081D00"/>
    <w:rsid w:val="00090171"/>
    <w:rsid w:val="00094ED0"/>
    <w:rsid w:val="000A1F46"/>
    <w:rsid w:val="000B1413"/>
    <w:rsid w:val="000B29AD"/>
    <w:rsid w:val="000B5CFD"/>
    <w:rsid w:val="000B5D3B"/>
    <w:rsid w:val="000C5E45"/>
    <w:rsid w:val="000C6372"/>
    <w:rsid w:val="000D593F"/>
    <w:rsid w:val="000D6B7C"/>
    <w:rsid w:val="000E3516"/>
    <w:rsid w:val="000E392D"/>
    <w:rsid w:val="000F1569"/>
    <w:rsid w:val="000F4288"/>
    <w:rsid w:val="000F7165"/>
    <w:rsid w:val="0010032A"/>
    <w:rsid w:val="00102379"/>
    <w:rsid w:val="001065D6"/>
    <w:rsid w:val="00113014"/>
    <w:rsid w:val="00120ADC"/>
    <w:rsid w:val="00121252"/>
    <w:rsid w:val="00121A32"/>
    <w:rsid w:val="00124609"/>
    <w:rsid w:val="001254CE"/>
    <w:rsid w:val="00126AF9"/>
    <w:rsid w:val="00134CEA"/>
    <w:rsid w:val="00140000"/>
    <w:rsid w:val="001422CC"/>
    <w:rsid w:val="00145FDE"/>
    <w:rsid w:val="0014744B"/>
    <w:rsid w:val="001617B6"/>
    <w:rsid w:val="00165E66"/>
    <w:rsid w:val="0017264D"/>
    <w:rsid w:val="001732E6"/>
    <w:rsid w:val="00175DC0"/>
    <w:rsid w:val="001776FA"/>
    <w:rsid w:val="001838FE"/>
    <w:rsid w:val="00196220"/>
    <w:rsid w:val="001A3DD1"/>
    <w:rsid w:val="001A647C"/>
    <w:rsid w:val="001B29BF"/>
    <w:rsid w:val="001C1BA6"/>
    <w:rsid w:val="001C205D"/>
    <w:rsid w:val="001C4C03"/>
    <w:rsid w:val="001C7BAE"/>
    <w:rsid w:val="001D426A"/>
    <w:rsid w:val="001D6170"/>
    <w:rsid w:val="001D717E"/>
    <w:rsid w:val="001E1E7A"/>
    <w:rsid w:val="001E31FA"/>
    <w:rsid w:val="001E64F6"/>
    <w:rsid w:val="00200BB3"/>
    <w:rsid w:val="00202666"/>
    <w:rsid w:val="00202B9F"/>
    <w:rsid w:val="002101A6"/>
    <w:rsid w:val="002118DC"/>
    <w:rsid w:val="002142DC"/>
    <w:rsid w:val="002148A4"/>
    <w:rsid w:val="00222BEB"/>
    <w:rsid w:val="00225E60"/>
    <w:rsid w:val="00227C39"/>
    <w:rsid w:val="00230365"/>
    <w:rsid w:val="0023202C"/>
    <w:rsid w:val="00235845"/>
    <w:rsid w:val="00236203"/>
    <w:rsid w:val="00240051"/>
    <w:rsid w:val="00245043"/>
    <w:rsid w:val="00257760"/>
    <w:rsid w:val="002657D1"/>
    <w:rsid w:val="00292D36"/>
    <w:rsid w:val="00297281"/>
    <w:rsid w:val="00297D31"/>
    <w:rsid w:val="002B08A0"/>
    <w:rsid w:val="002B72D0"/>
    <w:rsid w:val="002C267C"/>
    <w:rsid w:val="002C280C"/>
    <w:rsid w:val="002C54E0"/>
    <w:rsid w:val="002C7887"/>
    <w:rsid w:val="002D711A"/>
    <w:rsid w:val="002D7336"/>
    <w:rsid w:val="002E3396"/>
    <w:rsid w:val="002E3B25"/>
    <w:rsid w:val="002E7F64"/>
    <w:rsid w:val="00301D97"/>
    <w:rsid w:val="0030767F"/>
    <w:rsid w:val="0031149C"/>
    <w:rsid w:val="00311FB7"/>
    <w:rsid w:val="00313BAD"/>
    <w:rsid w:val="00322DC3"/>
    <w:rsid w:val="00323506"/>
    <w:rsid w:val="003252A2"/>
    <w:rsid w:val="00330A9A"/>
    <w:rsid w:val="00333A65"/>
    <w:rsid w:val="0033535A"/>
    <w:rsid w:val="00336799"/>
    <w:rsid w:val="00337FAC"/>
    <w:rsid w:val="00342AF8"/>
    <w:rsid w:val="0035296C"/>
    <w:rsid w:val="003748B2"/>
    <w:rsid w:val="003871F1"/>
    <w:rsid w:val="0038771C"/>
    <w:rsid w:val="00392A8F"/>
    <w:rsid w:val="0039405B"/>
    <w:rsid w:val="00394281"/>
    <w:rsid w:val="003948DF"/>
    <w:rsid w:val="003A1C92"/>
    <w:rsid w:val="003A541A"/>
    <w:rsid w:val="003A6923"/>
    <w:rsid w:val="003C20A1"/>
    <w:rsid w:val="003C2C67"/>
    <w:rsid w:val="003C2EA2"/>
    <w:rsid w:val="003C5BA4"/>
    <w:rsid w:val="003D42D5"/>
    <w:rsid w:val="003E2297"/>
    <w:rsid w:val="003E3E26"/>
    <w:rsid w:val="003F1295"/>
    <w:rsid w:val="003F419D"/>
    <w:rsid w:val="003F593C"/>
    <w:rsid w:val="003F71E5"/>
    <w:rsid w:val="003F76FC"/>
    <w:rsid w:val="004002EB"/>
    <w:rsid w:val="0040156C"/>
    <w:rsid w:val="00405C57"/>
    <w:rsid w:val="0041689E"/>
    <w:rsid w:val="00422F0E"/>
    <w:rsid w:val="004236C8"/>
    <w:rsid w:val="00427681"/>
    <w:rsid w:val="00430B38"/>
    <w:rsid w:val="00432C5E"/>
    <w:rsid w:val="00433DB7"/>
    <w:rsid w:val="00437452"/>
    <w:rsid w:val="00453750"/>
    <w:rsid w:val="004549CE"/>
    <w:rsid w:val="00455FAE"/>
    <w:rsid w:val="00456941"/>
    <w:rsid w:val="004669E3"/>
    <w:rsid w:val="004702EA"/>
    <w:rsid w:val="004765D8"/>
    <w:rsid w:val="00480927"/>
    <w:rsid w:val="00482D02"/>
    <w:rsid w:val="00485681"/>
    <w:rsid w:val="00494CF4"/>
    <w:rsid w:val="004A26D8"/>
    <w:rsid w:val="004A5283"/>
    <w:rsid w:val="004A7519"/>
    <w:rsid w:val="004A7D72"/>
    <w:rsid w:val="004B41CA"/>
    <w:rsid w:val="004C180D"/>
    <w:rsid w:val="004D3518"/>
    <w:rsid w:val="004D62D6"/>
    <w:rsid w:val="004D6380"/>
    <w:rsid w:val="004E26A6"/>
    <w:rsid w:val="004E735B"/>
    <w:rsid w:val="004F4ABD"/>
    <w:rsid w:val="005038A1"/>
    <w:rsid w:val="00503EBE"/>
    <w:rsid w:val="00505A79"/>
    <w:rsid w:val="00505C07"/>
    <w:rsid w:val="00506775"/>
    <w:rsid w:val="00511B8C"/>
    <w:rsid w:val="00512623"/>
    <w:rsid w:val="00522F8A"/>
    <w:rsid w:val="0052765A"/>
    <w:rsid w:val="0053416C"/>
    <w:rsid w:val="00541C2F"/>
    <w:rsid w:val="005507DB"/>
    <w:rsid w:val="00563527"/>
    <w:rsid w:val="00576C40"/>
    <w:rsid w:val="00577D96"/>
    <w:rsid w:val="0058124E"/>
    <w:rsid w:val="00584301"/>
    <w:rsid w:val="005875A3"/>
    <w:rsid w:val="005968BE"/>
    <w:rsid w:val="005A0DA4"/>
    <w:rsid w:val="005A3416"/>
    <w:rsid w:val="005B27FE"/>
    <w:rsid w:val="005B7F55"/>
    <w:rsid w:val="005C0204"/>
    <w:rsid w:val="005C3E6D"/>
    <w:rsid w:val="005D0786"/>
    <w:rsid w:val="005E2DDD"/>
    <w:rsid w:val="005F331D"/>
    <w:rsid w:val="005F4307"/>
    <w:rsid w:val="005F61DF"/>
    <w:rsid w:val="006023F9"/>
    <w:rsid w:val="006061D1"/>
    <w:rsid w:val="006103E1"/>
    <w:rsid w:val="00610559"/>
    <w:rsid w:val="00615BA0"/>
    <w:rsid w:val="0062746E"/>
    <w:rsid w:val="006332F6"/>
    <w:rsid w:val="00633CF5"/>
    <w:rsid w:val="006361E7"/>
    <w:rsid w:val="0063786E"/>
    <w:rsid w:val="00641096"/>
    <w:rsid w:val="00645BA2"/>
    <w:rsid w:val="00646E95"/>
    <w:rsid w:val="00651FC1"/>
    <w:rsid w:val="00652625"/>
    <w:rsid w:val="00652B6D"/>
    <w:rsid w:val="006531DA"/>
    <w:rsid w:val="006534B2"/>
    <w:rsid w:val="0065428E"/>
    <w:rsid w:val="0065615D"/>
    <w:rsid w:val="00657011"/>
    <w:rsid w:val="006650B5"/>
    <w:rsid w:val="006651B1"/>
    <w:rsid w:val="00665778"/>
    <w:rsid w:val="00665E1E"/>
    <w:rsid w:val="006738C4"/>
    <w:rsid w:val="00676F29"/>
    <w:rsid w:val="00684CAB"/>
    <w:rsid w:val="006856ED"/>
    <w:rsid w:val="00691C09"/>
    <w:rsid w:val="0069607C"/>
    <w:rsid w:val="00696420"/>
    <w:rsid w:val="006A5B34"/>
    <w:rsid w:val="006A5F5B"/>
    <w:rsid w:val="006B0FE9"/>
    <w:rsid w:val="006B4955"/>
    <w:rsid w:val="006C77A9"/>
    <w:rsid w:val="006D3DFF"/>
    <w:rsid w:val="006D6703"/>
    <w:rsid w:val="006E0D29"/>
    <w:rsid w:val="006E6520"/>
    <w:rsid w:val="006F258E"/>
    <w:rsid w:val="006F6693"/>
    <w:rsid w:val="0070329E"/>
    <w:rsid w:val="00707FE8"/>
    <w:rsid w:val="00711DDD"/>
    <w:rsid w:val="00724962"/>
    <w:rsid w:val="00724A0F"/>
    <w:rsid w:val="0073072C"/>
    <w:rsid w:val="007320B4"/>
    <w:rsid w:val="00732162"/>
    <w:rsid w:val="00736732"/>
    <w:rsid w:val="00740EF2"/>
    <w:rsid w:val="00741DA6"/>
    <w:rsid w:val="0074221E"/>
    <w:rsid w:val="00746249"/>
    <w:rsid w:val="0075079D"/>
    <w:rsid w:val="00750CBE"/>
    <w:rsid w:val="00754159"/>
    <w:rsid w:val="0076148F"/>
    <w:rsid w:val="00765846"/>
    <w:rsid w:val="00766B5A"/>
    <w:rsid w:val="007675A5"/>
    <w:rsid w:val="0077283A"/>
    <w:rsid w:val="007834F2"/>
    <w:rsid w:val="00791020"/>
    <w:rsid w:val="00792057"/>
    <w:rsid w:val="00792EB0"/>
    <w:rsid w:val="00792F91"/>
    <w:rsid w:val="00794629"/>
    <w:rsid w:val="0079758A"/>
    <w:rsid w:val="007A5F82"/>
    <w:rsid w:val="007B3D99"/>
    <w:rsid w:val="007B75A4"/>
    <w:rsid w:val="007C2AC6"/>
    <w:rsid w:val="007D2C07"/>
    <w:rsid w:val="007D5137"/>
    <w:rsid w:val="007F0E36"/>
    <w:rsid w:val="007F194D"/>
    <w:rsid w:val="007F1A4C"/>
    <w:rsid w:val="007F345F"/>
    <w:rsid w:val="00800637"/>
    <w:rsid w:val="008022C3"/>
    <w:rsid w:val="00802323"/>
    <w:rsid w:val="008041E6"/>
    <w:rsid w:val="008065D2"/>
    <w:rsid w:val="008211B6"/>
    <w:rsid w:val="0082194C"/>
    <w:rsid w:val="008220C4"/>
    <w:rsid w:val="008222FF"/>
    <w:rsid w:val="008241FF"/>
    <w:rsid w:val="008314B7"/>
    <w:rsid w:val="00836A72"/>
    <w:rsid w:val="008411E9"/>
    <w:rsid w:val="0084200F"/>
    <w:rsid w:val="00843B2C"/>
    <w:rsid w:val="008471C4"/>
    <w:rsid w:val="008501EF"/>
    <w:rsid w:val="00855249"/>
    <w:rsid w:val="00857840"/>
    <w:rsid w:val="0086118C"/>
    <w:rsid w:val="008675B6"/>
    <w:rsid w:val="008708F2"/>
    <w:rsid w:val="00885915"/>
    <w:rsid w:val="00890D3B"/>
    <w:rsid w:val="008953CD"/>
    <w:rsid w:val="008A4761"/>
    <w:rsid w:val="008A4900"/>
    <w:rsid w:val="008A4D24"/>
    <w:rsid w:val="008A5884"/>
    <w:rsid w:val="008B679B"/>
    <w:rsid w:val="008B6C53"/>
    <w:rsid w:val="008D0281"/>
    <w:rsid w:val="008D5543"/>
    <w:rsid w:val="008E3C4E"/>
    <w:rsid w:val="008E49B3"/>
    <w:rsid w:val="008E7533"/>
    <w:rsid w:val="008F6D45"/>
    <w:rsid w:val="008F7755"/>
    <w:rsid w:val="00900F9D"/>
    <w:rsid w:val="00906207"/>
    <w:rsid w:val="00917EB7"/>
    <w:rsid w:val="00921838"/>
    <w:rsid w:val="00927B2F"/>
    <w:rsid w:val="00930A72"/>
    <w:rsid w:val="00932686"/>
    <w:rsid w:val="0093610D"/>
    <w:rsid w:val="00940481"/>
    <w:rsid w:val="00941BC1"/>
    <w:rsid w:val="00942268"/>
    <w:rsid w:val="009472D5"/>
    <w:rsid w:val="00947FE4"/>
    <w:rsid w:val="009509A4"/>
    <w:rsid w:val="0096424C"/>
    <w:rsid w:val="009642C1"/>
    <w:rsid w:val="009647E3"/>
    <w:rsid w:val="00971EA7"/>
    <w:rsid w:val="00973844"/>
    <w:rsid w:val="009834C0"/>
    <w:rsid w:val="00984C95"/>
    <w:rsid w:val="00986AAC"/>
    <w:rsid w:val="00987F47"/>
    <w:rsid w:val="009915D7"/>
    <w:rsid w:val="009964B3"/>
    <w:rsid w:val="009A1DA2"/>
    <w:rsid w:val="009A20C6"/>
    <w:rsid w:val="009A3704"/>
    <w:rsid w:val="009A4739"/>
    <w:rsid w:val="009A674F"/>
    <w:rsid w:val="009A732E"/>
    <w:rsid w:val="009B199C"/>
    <w:rsid w:val="009B54C8"/>
    <w:rsid w:val="009B61F1"/>
    <w:rsid w:val="009B62E0"/>
    <w:rsid w:val="009C3D88"/>
    <w:rsid w:val="009C5033"/>
    <w:rsid w:val="009E3858"/>
    <w:rsid w:val="009E70DD"/>
    <w:rsid w:val="009E72F4"/>
    <w:rsid w:val="009E7FC2"/>
    <w:rsid w:val="009F2ED9"/>
    <w:rsid w:val="009F3231"/>
    <w:rsid w:val="009F4740"/>
    <w:rsid w:val="009F5C58"/>
    <w:rsid w:val="00A023A0"/>
    <w:rsid w:val="00A1562B"/>
    <w:rsid w:val="00A170F4"/>
    <w:rsid w:val="00A2559E"/>
    <w:rsid w:val="00A25CFF"/>
    <w:rsid w:val="00A25FD9"/>
    <w:rsid w:val="00A3212B"/>
    <w:rsid w:val="00A356BD"/>
    <w:rsid w:val="00A46BA8"/>
    <w:rsid w:val="00A47634"/>
    <w:rsid w:val="00A612FE"/>
    <w:rsid w:val="00A65F71"/>
    <w:rsid w:val="00A72B16"/>
    <w:rsid w:val="00A8097D"/>
    <w:rsid w:val="00A85AA7"/>
    <w:rsid w:val="00A87F5C"/>
    <w:rsid w:val="00AA26B8"/>
    <w:rsid w:val="00AA6FB5"/>
    <w:rsid w:val="00AB02BF"/>
    <w:rsid w:val="00AB0F82"/>
    <w:rsid w:val="00AB26FD"/>
    <w:rsid w:val="00AB28A0"/>
    <w:rsid w:val="00AB3FE2"/>
    <w:rsid w:val="00AD106D"/>
    <w:rsid w:val="00AD3322"/>
    <w:rsid w:val="00AD7E4E"/>
    <w:rsid w:val="00AE0BEF"/>
    <w:rsid w:val="00AE67F1"/>
    <w:rsid w:val="00AF34DE"/>
    <w:rsid w:val="00AF4D58"/>
    <w:rsid w:val="00AF6666"/>
    <w:rsid w:val="00B003A7"/>
    <w:rsid w:val="00B10154"/>
    <w:rsid w:val="00B108C6"/>
    <w:rsid w:val="00B258AC"/>
    <w:rsid w:val="00B45F49"/>
    <w:rsid w:val="00B4606F"/>
    <w:rsid w:val="00B501DF"/>
    <w:rsid w:val="00B50213"/>
    <w:rsid w:val="00B5191B"/>
    <w:rsid w:val="00B543F9"/>
    <w:rsid w:val="00B549C0"/>
    <w:rsid w:val="00B62A3D"/>
    <w:rsid w:val="00B65D58"/>
    <w:rsid w:val="00B668BF"/>
    <w:rsid w:val="00B66E1B"/>
    <w:rsid w:val="00B7180F"/>
    <w:rsid w:val="00B72ABD"/>
    <w:rsid w:val="00B7571A"/>
    <w:rsid w:val="00B81B44"/>
    <w:rsid w:val="00B868D4"/>
    <w:rsid w:val="00B86E25"/>
    <w:rsid w:val="00B86E8F"/>
    <w:rsid w:val="00B87473"/>
    <w:rsid w:val="00B9053B"/>
    <w:rsid w:val="00B91001"/>
    <w:rsid w:val="00B93F11"/>
    <w:rsid w:val="00BA5C2D"/>
    <w:rsid w:val="00BB2028"/>
    <w:rsid w:val="00BB2227"/>
    <w:rsid w:val="00BB660E"/>
    <w:rsid w:val="00BC27CE"/>
    <w:rsid w:val="00BC3422"/>
    <w:rsid w:val="00BC366A"/>
    <w:rsid w:val="00BD3F6B"/>
    <w:rsid w:val="00BD6C57"/>
    <w:rsid w:val="00BE7E20"/>
    <w:rsid w:val="00BF4CEE"/>
    <w:rsid w:val="00C015B9"/>
    <w:rsid w:val="00C022F9"/>
    <w:rsid w:val="00C02CEC"/>
    <w:rsid w:val="00C032EA"/>
    <w:rsid w:val="00C04789"/>
    <w:rsid w:val="00C06EB5"/>
    <w:rsid w:val="00C10627"/>
    <w:rsid w:val="00C10BEA"/>
    <w:rsid w:val="00C1145F"/>
    <w:rsid w:val="00C124C3"/>
    <w:rsid w:val="00C317F3"/>
    <w:rsid w:val="00C32E72"/>
    <w:rsid w:val="00C43583"/>
    <w:rsid w:val="00C52A1F"/>
    <w:rsid w:val="00C54194"/>
    <w:rsid w:val="00C6331B"/>
    <w:rsid w:val="00C637E1"/>
    <w:rsid w:val="00C70D50"/>
    <w:rsid w:val="00C73647"/>
    <w:rsid w:val="00C74DB3"/>
    <w:rsid w:val="00C8243E"/>
    <w:rsid w:val="00C86263"/>
    <w:rsid w:val="00C907D7"/>
    <w:rsid w:val="00C92338"/>
    <w:rsid w:val="00CA0028"/>
    <w:rsid w:val="00CA18B3"/>
    <w:rsid w:val="00CA24D2"/>
    <w:rsid w:val="00CA4167"/>
    <w:rsid w:val="00CA7C3A"/>
    <w:rsid w:val="00CB1C46"/>
    <w:rsid w:val="00CB56E3"/>
    <w:rsid w:val="00CC2149"/>
    <w:rsid w:val="00CC2DB2"/>
    <w:rsid w:val="00CC67DF"/>
    <w:rsid w:val="00CC6F22"/>
    <w:rsid w:val="00CD0307"/>
    <w:rsid w:val="00CD3D1B"/>
    <w:rsid w:val="00CD53DC"/>
    <w:rsid w:val="00CD5BF4"/>
    <w:rsid w:val="00CE15FF"/>
    <w:rsid w:val="00CE62B3"/>
    <w:rsid w:val="00CF7DCA"/>
    <w:rsid w:val="00D047A2"/>
    <w:rsid w:val="00D211E9"/>
    <w:rsid w:val="00D2312F"/>
    <w:rsid w:val="00D26410"/>
    <w:rsid w:val="00D269C1"/>
    <w:rsid w:val="00D335F8"/>
    <w:rsid w:val="00D44953"/>
    <w:rsid w:val="00D502DB"/>
    <w:rsid w:val="00D506EB"/>
    <w:rsid w:val="00D539F7"/>
    <w:rsid w:val="00D542F3"/>
    <w:rsid w:val="00D543E5"/>
    <w:rsid w:val="00D54DDA"/>
    <w:rsid w:val="00D563E3"/>
    <w:rsid w:val="00D5644B"/>
    <w:rsid w:val="00D56E25"/>
    <w:rsid w:val="00D57ED5"/>
    <w:rsid w:val="00D620D0"/>
    <w:rsid w:val="00D62BCA"/>
    <w:rsid w:val="00D64C44"/>
    <w:rsid w:val="00D67F3F"/>
    <w:rsid w:val="00D71896"/>
    <w:rsid w:val="00D718D7"/>
    <w:rsid w:val="00D73212"/>
    <w:rsid w:val="00D814B7"/>
    <w:rsid w:val="00D85C86"/>
    <w:rsid w:val="00D90688"/>
    <w:rsid w:val="00DA0234"/>
    <w:rsid w:val="00DA3AAD"/>
    <w:rsid w:val="00DA4508"/>
    <w:rsid w:val="00DA6991"/>
    <w:rsid w:val="00DB312B"/>
    <w:rsid w:val="00DB4A3F"/>
    <w:rsid w:val="00DB690C"/>
    <w:rsid w:val="00DC06F0"/>
    <w:rsid w:val="00DC5654"/>
    <w:rsid w:val="00DC6553"/>
    <w:rsid w:val="00DC658F"/>
    <w:rsid w:val="00DD3644"/>
    <w:rsid w:val="00DE0371"/>
    <w:rsid w:val="00DE0390"/>
    <w:rsid w:val="00DE0ECC"/>
    <w:rsid w:val="00DE4082"/>
    <w:rsid w:val="00DE5CED"/>
    <w:rsid w:val="00DE60CC"/>
    <w:rsid w:val="00DE6DC4"/>
    <w:rsid w:val="00DF11AE"/>
    <w:rsid w:val="00DF1449"/>
    <w:rsid w:val="00DF23E9"/>
    <w:rsid w:val="00E11417"/>
    <w:rsid w:val="00E23CC3"/>
    <w:rsid w:val="00E26B32"/>
    <w:rsid w:val="00E30B1D"/>
    <w:rsid w:val="00E31444"/>
    <w:rsid w:val="00E37A18"/>
    <w:rsid w:val="00E407B6"/>
    <w:rsid w:val="00E41EF1"/>
    <w:rsid w:val="00E42942"/>
    <w:rsid w:val="00E433C0"/>
    <w:rsid w:val="00E468A6"/>
    <w:rsid w:val="00E506AE"/>
    <w:rsid w:val="00E57ED2"/>
    <w:rsid w:val="00E65FB6"/>
    <w:rsid w:val="00E71BDF"/>
    <w:rsid w:val="00E75DB5"/>
    <w:rsid w:val="00E83CA7"/>
    <w:rsid w:val="00E865DC"/>
    <w:rsid w:val="00E878C8"/>
    <w:rsid w:val="00E9105B"/>
    <w:rsid w:val="00E912E8"/>
    <w:rsid w:val="00E92CC7"/>
    <w:rsid w:val="00E9630C"/>
    <w:rsid w:val="00E9763E"/>
    <w:rsid w:val="00EB745E"/>
    <w:rsid w:val="00EC103A"/>
    <w:rsid w:val="00EC171D"/>
    <w:rsid w:val="00EC7DD8"/>
    <w:rsid w:val="00ED2CEC"/>
    <w:rsid w:val="00ED487E"/>
    <w:rsid w:val="00EE25FB"/>
    <w:rsid w:val="00EE7A0D"/>
    <w:rsid w:val="00EF0D21"/>
    <w:rsid w:val="00EF3BA1"/>
    <w:rsid w:val="00EF6433"/>
    <w:rsid w:val="00F02EF8"/>
    <w:rsid w:val="00F17CE1"/>
    <w:rsid w:val="00F2115C"/>
    <w:rsid w:val="00F22ABA"/>
    <w:rsid w:val="00F26D1E"/>
    <w:rsid w:val="00F33854"/>
    <w:rsid w:val="00F36B12"/>
    <w:rsid w:val="00F417C3"/>
    <w:rsid w:val="00F43545"/>
    <w:rsid w:val="00F46A50"/>
    <w:rsid w:val="00F5580E"/>
    <w:rsid w:val="00F60F9F"/>
    <w:rsid w:val="00F63AD6"/>
    <w:rsid w:val="00F64560"/>
    <w:rsid w:val="00F64F08"/>
    <w:rsid w:val="00F734F5"/>
    <w:rsid w:val="00F74717"/>
    <w:rsid w:val="00F83257"/>
    <w:rsid w:val="00F855AA"/>
    <w:rsid w:val="00F91A6A"/>
    <w:rsid w:val="00F91AA4"/>
    <w:rsid w:val="00F9242C"/>
    <w:rsid w:val="00F966B1"/>
    <w:rsid w:val="00F97D48"/>
    <w:rsid w:val="00FA0311"/>
    <w:rsid w:val="00FB2AE9"/>
    <w:rsid w:val="00FB4892"/>
    <w:rsid w:val="00FC42E5"/>
    <w:rsid w:val="00FC6843"/>
    <w:rsid w:val="00FD640F"/>
    <w:rsid w:val="00FD6B4C"/>
    <w:rsid w:val="00FD6BE9"/>
    <w:rsid w:val="00FE18A9"/>
    <w:rsid w:val="00FE24E9"/>
    <w:rsid w:val="00FE2908"/>
    <w:rsid w:val="00FE67D6"/>
    <w:rsid w:val="00FF4E99"/>
    <w:rsid w:val="00FF65A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210C8C"/>
  <w15:docId w15:val="{250479F1-185C-4B44-81DF-4F3F5836E8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AU" w:eastAsia="en-A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unhideWhenUsed="1"/>
    <w:lsdException w:name="index 2"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semiHidden="1" w:uiPriority="39"/>
    <w:lsdException w:name="toc 8" w:semiHidden="1" w:uiPriority="39"/>
    <w:lsdException w:name="toc 9" w:semiHidden="1" w:uiPriority="39"/>
    <w:lsdException w:name="Normal Indent" w:uiPriority="9" w:unhideWhenUsed="1" w:qFormat="1"/>
    <w:lsdException w:name="footnote text" w:semiHidden="1" w:unhideWhenUsed="1"/>
    <w:lsdException w:name="annotation text" w:semiHidden="1" w:unhideWhenUsed="1"/>
    <w:lsdException w:name="header" w:unhideWhenUsed="1"/>
    <w:lsdException w:name="footer" w:unhideWhenUsed="1"/>
    <w:lsdException w:name="index heading" w:unhideWhenUsed="1"/>
    <w:lsdException w:name="caption" w:uiPriority="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49" w:unhideWhenUsed="1"/>
    <w:lsdException w:name="endnote reference" w:semiHidden="1" w:unhideWhenUsed="1"/>
    <w:lsdException w:name="endnote text" w:semiHidden="1" w:unhideWhenUsed="1"/>
    <w:lsdException w:name="table of authorities" w:semiHidden="1"/>
    <w:lsdException w:name="macro" w:semiHidden="1" w:unhideWhenUsed="1"/>
    <w:lsdException w:name="toa heading" w:semiHidden="1" w:unhideWhenUsed="1"/>
    <w:lsdException w:name="List" w:semiHidden="1"/>
    <w:lsdException w:name="List Bullet" w:semiHidden="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44" w:qFormat="1"/>
    <w:lsdException w:name="Closing" w:semiHidden="1"/>
    <w:lsdException w:name="Signature" w:semiHidden="1" w:unhideWhenUsed="1"/>
    <w:lsdException w:name="Default Paragraph Font" w:semiHidden="1" w:uiPriority="1" w:unhideWhenUsed="1"/>
    <w:lsdException w:name="Body Text" w:semiHidden="1" w:uiPriority="49" w:unhideWhenUsed="1"/>
    <w:lsdException w:name="Body Text Indent" w:semiHidden="1"/>
    <w:lsdException w:name="List Continue" w:semiHidden="1" w:unhideWhenUsed="1"/>
    <w:lsdException w:name="List Continue 2" w:semiHidden="1"/>
    <w:lsdException w:name="List Continue 3" w:semiHidden="1"/>
    <w:lsdException w:name="List Continue 4" w:semiHidden="1"/>
    <w:lsdException w:name="List Continue 5" w:semiHidden="1"/>
    <w:lsdException w:name="Message Header" w:semiHidden="1" w:unhideWhenUsed="1"/>
    <w:lsdException w:name="Subtitle" w:uiPriority="45"/>
    <w:lsdException w:name="Salutation" w:semiHidden="1" w:unhideWhenUsed="1"/>
    <w:lsdException w:name="Date" w:semiHidden="1" w:unhideWhenUsed="1"/>
    <w:lsdException w:name="Body Text First Indent" w:semiHidden="1"/>
    <w:lsdException w:name="Body Text First Indent 2" w:semiHidden="1"/>
    <w:lsdException w:name="Note Heading" w:semiHidden="1" w:unhideWhenUsed="1"/>
    <w:lsdException w:name="Body Text 2" w:semiHidden="1"/>
    <w:lsdException w:name="Body Text 3" w:semiHidden="1"/>
    <w:lsdException w:name="Body Text Indent 2" w:semiHidden="1"/>
    <w:lsdException w:name="Body Text Indent 3" w:semiHidden="1"/>
    <w:lsdException w:name="Block Text" w:semiHidden="1"/>
    <w:lsdException w:name="Hyperlink" w:unhideWhenUsed="1"/>
    <w:lsdException w:name="FollowedHyperlink" w:semiHidden="1" w:unhideWhenUsed="1"/>
    <w:lsdException w:name="Strong" w:semiHidden="1" w:uiPriority="22" w:qFormat="1"/>
    <w:lsdException w:name="Emphasis" w:semiHidden="1" w:uiPriority="20" w:qFormat="1"/>
    <w:lsdException w:name="Document Map" w:semiHidden="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lsdException w:name="Table Grid" w:uiPriority="5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4"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lsdException w:name="Smart Link" w:semiHidden="1" w:unhideWhenUsed="1"/>
  </w:latentStyles>
  <w:style w:type="paragraph" w:default="1" w:styleId="Normal">
    <w:name w:val="Normal"/>
    <w:qFormat/>
    <w:rsid w:val="00B50213"/>
    <w:pPr>
      <w:spacing w:before="120" w:after="120" w:line="264" w:lineRule="auto"/>
    </w:pPr>
    <w:rPr>
      <w:color w:val="232B39" w:themeColor="text1"/>
    </w:rPr>
  </w:style>
  <w:style w:type="paragraph" w:styleId="Heading1">
    <w:name w:val="heading 1"/>
    <w:next w:val="Normal"/>
    <w:link w:val="Heading1Char"/>
    <w:qFormat/>
    <w:rsid w:val="00E9630C"/>
    <w:pPr>
      <w:keepNext/>
      <w:keepLines/>
      <w:spacing w:before="360" w:after="120" w:line="240" w:lineRule="auto"/>
      <w:outlineLvl w:val="0"/>
    </w:pPr>
    <w:rPr>
      <w:rFonts w:asciiTheme="majorHAnsi" w:eastAsiaTheme="majorEastAsia" w:hAnsiTheme="majorHAnsi" w:cstheme="majorBidi"/>
      <w:b/>
      <w:bCs/>
      <w:color w:val="3A3467" w:themeColor="text2"/>
      <w:sz w:val="36"/>
      <w:szCs w:val="28"/>
    </w:rPr>
  </w:style>
  <w:style w:type="paragraph" w:styleId="Heading2">
    <w:name w:val="heading 2"/>
    <w:basedOn w:val="Normal"/>
    <w:next w:val="Normal"/>
    <w:link w:val="Heading2Char"/>
    <w:qFormat/>
    <w:rsid w:val="00E9630C"/>
    <w:pPr>
      <w:keepNext/>
      <w:keepLines/>
      <w:spacing w:before="280" w:line="240" w:lineRule="auto"/>
      <w:outlineLvl w:val="1"/>
    </w:pPr>
    <w:rPr>
      <w:rFonts w:asciiTheme="majorHAnsi" w:eastAsiaTheme="majorEastAsia" w:hAnsiTheme="majorHAnsi" w:cstheme="majorBidi"/>
      <w:b/>
      <w:bCs/>
      <w:color w:val="3A3467" w:themeColor="text2"/>
      <w:sz w:val="28"/>
      <w:szCs w:val="26"/>
    </w:rPr>
  </w:style>
  <w:style w:type="paragraph" w:styleId="Heading3">
    <w:name w:val="heading 3"/>
    <w:basedOn w:val="Normal"/>
    <w:next w:val="Normal"/>
    <w:link w:val="Heading3Char"/>
    <w:qFormat/>
    <w:rsid w:val="00522F8A"/>
    <w:pPr>
      <w:keepNext/>
      <w:keepLines/>
      <w:spacing w:before="240"/>
      <w:outlineLvl w:val="2"/>
    </w:pPr>
    <w:rPr>
      <w:rFonts w:asciiTheme="majorHAnsi" w:eastAsiaTheme="majorEastAsia" w:hAnsiTheme="majorHAnsi" w:cstheme="majorBidi"/>
      <w:b/>
      <w:bCs/>
      <w:color w:val="3A3467" w:themeColor="text2"/>
      <w:sz w:val="24"/>
      <w:szCs w:val="24"/>
    </w:rPr>
  </w:style>
  <w:style w:type="paragraph" w:styleId="Heading4">
    <w:name w:val="heading 4"/>
    <w:basedOn w:val="Normal"/>
    <w:next w:val="Normal"/>
    <w:link w:val="Heading4Char"/>
    <w:qFormat/>
    <w:rsid w:val="00522F8A"/>
    <w:pPr>
      <w:keepNext/>
      <w:keepLines/>
      <w:spacing w:before="200"/>
      <w:outlineLvl w:val="3"/>
    </w:pPr>
    <w:rPr>
      <w:rFonts w:asciiTheme="majorHAnsi" w:eastAsiaTheme="majorEastAsia" w:hAnsiTheme="majorHAnsi" w:cstheme="majorBidi"/>
      <w:b/>
      <w:bCs/>
      <w:iCs/>
      <w:color w:val="3A3467" w:themeColor="text2"/>
      <w:sz w:val="21"/>
      <w:szCs w:val="21"/>
    </w:rPr>
  </w:style>
  <w:style w:type="paragraph" w:styleId="Heading5">
    <w:name w:val="heading 5"/>
    <w:basedOn w:val="Normal"/>
    <w:next w:val="Normal"/>
    <w:link w:val="Heading5Char"/>
    <w:semiHidden/>
    <w:rsid w:val="00522F8A"/>
    <w:pPr>
      <w:keepNext/>
      <w:keepLines/>
      <w:spacing w:before="60" w:after="60"/>
      <w:outlineLvl w:val="4"/>
    </w:pPr>
    <w:rPr>
      <w:rFonts w:asciiTheme="majorHAnsi" w:eastAsiaTheme="majorEastAsia" w:hAnsiTheme="majorHAnsi" w:cstheme="majorBidi"/>
      <w:color w:val="3A3467" w:themeColor="text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LightShading">
    <w:name w:val="Light Shading"/>
    <w:basedOn w:val="TableNormal"/>
    <w:uiPriority w:val="60"/>
    <w:rsid w:val="00522F8A"/>
    <w:pPr>
      <w:spacing w:after="0" w:line="240" w:lineRule="auto"/>
    </w:pPr>
    <w:rPr>
      <w:color w:val="1A202A" w:themeColor="text1" w:themeShade="BF"/>
    </w:rPr>
    <w:tblPr>
      <w:tblStyleRowBandSize w:val="1"/>
      <w:tblStyleColBandSize w:val="1"/>
      <w:tblBorders>
        <w:top w:val="single" w:sz="8" w:space="0" w:color="232B39" w:themeColor="text1"/>
        <w:bottom w:val="single" w:sz="8" w:space="0" w:color="232B39" w:themeColor="text1"/>
      </w:tblBorders>
    </w:tblPr>
    <w:tblStylePr w:type="fir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lastRow">
      <w:pPr>
        <w:spacing w:before="0" w:after="0" w:line="240" w:lineRule="auto"/>
      </w:pPr>
      <w:rPr>
        <w:b/>
        <w:bCs/>
      </w:rPr>
      <w:tblPr/>
      <w:tcPr>
        <w:tcBorders>
          <w:top w:val="single" w:sz="8" w:space="0" w:color="232B39" w:themeColor="text1"/>
          <w:left w:val="nil"/>
          <w:bottom w:val="single" w:sz="8" w:space="0" w:color="232B39"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FC7D7" w:themeFill="text1" w:themeFillTint="3F"/>
      </w:tcPr>
    </w:tblStylePr>
    <w:tblStylePr w:type="band1Horz">
      <w:tblPr/>
      <w:tcPr>
        <w:tcBorders>
          <w:left w:val="nil"/>
          <w:right w:val="nil"/>
          <w:insideH w:val="nil"/>
          <w:insideV w:val="nil"/>
        </w:tcBorders>
        <w:shd w:val="clear" w:color="auto" w:fill="BFC7D7" w:themeFill="text1" w:themeFillTint="3F"/>
      </w:tcPr>
    </w:tblStylePr>
  </w:style>
  <w:style w:type="table" w:styleId="TableGrid">
    <w:name w:val="Table Grid"/>
    <w:basedOn w:val="TableNormal"/>
    <w:uiPriority w:val="59"/>
    <w:rsid w:val="00313B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4">
    <w:name w:val="Light List Accent 4"/>
    <w:basedOn w:val="TableNormal"/>
    <w:uiPriority w:val="61"/>
    <w:rsid w:val="00522F8A"/>
    <w:pPr>
      <w:spacing w:after="0" w:line="240" w:lineRule="auto"/>
    </w:pPr>
    <w:tblPr>
      <w:tblStyleRowBandSize w:val="1"/>
      <w:tblStyleColBandSize w:val="1"/>
      <w:tblBorders>
        <w:top w:val="single" w:sz="8" w:space="0" w:color="D3D5D7" w:themeColor="accent4"/>
        <w:left w:val="single" w:sz="8" w:space="0" w:color="D3D5D7" w:themeColor="accent4"/>
        <w:bottom w:val="single" w:sz="8" w:space="0" w:color="D3D5D7" w:themeColor="accent4"/>
        <w:right w:val="single" w:sz="8" w:space="0" w:color="D3D5D7" w:themeColor="accent4"/>
      </w:tblBorders>
    </w:tblPr>
    <w:tblStylePr w:type="firstRow">
      <w:pPr>
        <w:spacing w:before="0" w:after="0" w:line="240" w:lineRule="auto"/>
      </w:pPr>
      <w:rPr>
        <w:b/>
        <w:bCs/>
        <w:color w:val="FFFFFF" w:themeColor="background1"/>
      </w:rPr>
      <w:tblPr/>
      <w:tcPr>
        <w:shd w:val="clear" w:color="auto" w:fill="D3D5D7" w:themeFill="accent4"/>
      </w:tcPr>
    </w:tblStylePr>
    <w:tblStylePr w:type="lastRow">
      <w:pPr>
        <w:spacing w:before="0" w:after="0" w:line="240" w:lineRule="auto"/>
      </w:pPr>
      <w:rPr>
        <w:b/>
        <w:bCs/>
      </w:rPr>
      <w:tblPr/>
      <w:tcPr>
        <w:tcBorders>
          <w:top w:val="double" w:sz="6" w:space="0" w:color="D3D5D7" w:themeColor="accent4"/>
          <w:left w:val="single" w:sz="8" w:space="0" w:color="D3D5D7" w:themeColor="accent4"/>
          <w:bottom w:val="single" w:sz="8" w:space="0" w:color="D3D5D7" w:themeColor="accent4"/>
          <w:right w:val="single" w:sz="8" w:space="0" w:color="D3D5D7" w:themeColor="accent4"/>
        </w:tcBorders>
      </w:tcPr>
    </w:tblStylePr>
    <w:tblStylePr w:type="firstCol">
      <w:rPr>
        <w:b/>
        <w:bCs/>
      </w:rPr>
    </w:tblStylePr>
    <w:tblStylePr w:type="lastCol">
      <w:rPr>
        <w:b/>
        <w:bCs/>
      </w:rPr>
    </w:tblStylePr>
    <w:tblStylePr w:type="band1Vert">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tblStylePr w:type="band1Horz">
      <w:tblPr/>
      <w:tcPr>
        <w:tcBorders>
          <w:top w:val="single" w:sz="8" w:space="0" w:color="D3D5D7" w:themeColor="accent4"/>
          <w:left w:val="single" w:sz="8" w:space="0" w:color="D3D5D7" w:themeColor="accent4"/>
          <w:bottom w:val="single" w:sz="8" w:space="0" w:color="D3D5D7" w:themeColor="accent4"/>
          <w:right w:val="single" w:sz="8" w:space="0" w:color="D3D5D7" w:themeColor="accent4"/>
        </w:tcBorders>
      </w:tcPr>
    </w:tblStylePr>
  </w:style>
  <w:style w:type="table" w:styleId="LightList-Accent1">
    <w:name w:val="Light List Accent 1"/>
    <w:basedOn w:val="TableNormal"/>
    <w:uiPriority w:val="61"/>
    <w:rsid w:val="00522F8A"/>
    <w:pPr>
      <w:spacing w:after="0" w:line="240" w:lineRule="auto"/>
    </w:pPr>
    <w:tblPr>
      <w:tblStyleRowBandSize w:val="1"/>
      <w:tblStyleColBandSize w:val="1"/>
      <w:tblBorders>
        <w:top w:val="single" w:sz="8" w:space="0" w:color="0072CE" w:themeColor="accent1"/>
        <w:left w:val="single" w:sz="8" w:space="0" w:color="0072CE" w:themeColor="accent1"/>
        <w:bottom w:val="single" w:sz="8" w:space="0" w:color="0072CE" w:themeColor="accent1"/>
        <w:right w:val="single" w:sz="8" w:space="0" w:color="0072CE" w:themeColor="accent1"/>
      </w:tblBorders>
    </w:tblPr>
    <w:tblStylePr w:type="firstRow">
      <w:pPr>
        <w:spacing w:before="0" w:after="0" w:line="240" w:lineRule="auto"/>
      </w:pPr>
      <w:rPr>
        <w:b/>
        <w:bCs/>
        <w:color w:val="FFFFFF" w:themeColor="background1"/>
      </w:rPr>
      <w:tblPr/>
      <w:tcPr>
        <w:shd w:val="clear" w:color="auto" w:fill="0072CE" w:themeFill="accent1"/>
      </w:tcPr>
    </w:tblStylePr>
    <w:tblStylePr w:type="lastRow">
      <w:pPr>
        <w:spacing w:before="0" w:after="0" w:line="240" w:lineRule="auto"/>
      </w:pPr>
      <w:rPr>
        <w:b/>
        <w:bCs/>
      </w:rPr>
      <w:tblPr/>
      <w:tcPr>
        <w:tcBorders>
          <w:top w:val="double" w:sz="6" w:space="0" w:color="0072CE" w:themeColor="accent1"/>
          <w:left w:val="single" w:sz="8" w:space="0" w:color="0072CE" w:themeColor="accent1"/>
          <w:bottom w:val="single" w:sz="8" w:space="0" w:color="0072CE" w:themeColor="accent1"/>
          <w:right w:val="single" w:sz="8" w:space="0" w:color="0072CE" w:themeColor="accent1"/>
        </w:tcBorders>
      </w:tcPr>
    </w:tblStylePr>
    <w:tblStylePr w:type="firstCol">
      <w:rPr>
        <w:b/>
        <w:bCs/>
      </w:rPr>
    </w:tblStylePr>
    <w:tblStylePr w:type="lastCol">
      <w:rPr>
        <w:b/>
        <w:bCs/>
      </w:rPr>
    </w:tblStylePr>
    <w:tblStylePr w:type="band1Vert">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tblStylePr w:type="band1Horz">
      <w:tblPr/>
      <w:tcPr>
        <w:tcBorders>
          <w:top w:val="single" w:sz="8" w:space="0" w:color="0072CE" w:themeColor="accent1"/>
          <w:left w:val="single" w:sz="8" w:space="0" w:color="0072CE" w:themeColor="accent1"/>
          <w:bottom w:val="single" w:sz="8" w:space="0" w:color="0072CE" w:themeColor="accent1"/>
          <w:right w:val="single" w:sz="8" w:space="0" w:color="0072CE" w:themeColor="accent1"/>
        </w:tcBorders>
      </w:tcPr>
    </w:tblStylePr>
  </w:style>
  <w:style w:type="paragraph" w:styleId="TOC1">
    <w:name w:val="toc 1"/>
    <w:basedOn w:val="Normal"/>
    <w:next w:val="Normal"/>
    <w:uiPriority w:val="39"/>
    <w:rsid w:val="00522F8A"/>
    <w:pPr>
      <w:pBdr>
        <w:bottom w:val="single" w:sz="12" w:space="4" w:color="auto"/>
      </w:pBdr>
      <w:tabs>
        <w:tab w:val="right" w:pos="9000"/>
      </w:tabs>
      <w:ind w:right="26"/>
    </w:pPr>
    <w:rPr>
      <w:sz w:val="24"/>
      <w:szCs w:val="24"/>
    </w:rPr>
  </w:style>
  <w:style w:type="paragraph" w:styleId="TOC2">
    <w:name w:val="toc 2"/>
    <w:next w:val="Normal"/>
    <w:uiPriority w:val="39"/>
    <w:rsid w:val="00522F8A"/>
    <w:pPr>
      <w:tabs>
        <w:tab w:val="right" w:pos="9000"/>
      </w:tabs>
      <w:spacing w:after="100"/>
      <w:ind w:left="446" w:right="432"/>
      <w:contextualSpacing/>
    </w:pPr>
    <w:rPr>
      <w:noProof/>
      <w:spacing w:val="2"/>
    </w:rPr>
  </w:style>
  <w:style w:type="paragraph" w:styleId="TOC3">
    <w:name w:val="toc 3"/>
    <w:basedOn w:val="Normal"/>
    <w:next w:val="Normal"/>
    <w:uiPriority w:val="39"/>
    <w:rsid w:val="00522F8A"/>
    <w:pPr>
      <w:tabs>
        <w:tab w:val="right" w:pos="9000"/>
      </w:tabs>
      <w:spacing w:before="0"/>
      <w:ind w:left="450" w:right="432"/>
      <w:contextualSpacing/>
    </w:pPr>
    <w:rPr>
      <w:noProof/>
      <w:sz w:val="18"/>
      <w:szCs w:val="18"/>
    </w:rPr>
  </w:style>
  <w:style w:type="paragraph" w:styleId="Index1">
    <w:name w:val="index 1"/>
    <w:basedOn w:val="Normal"/>
    <w:next w:val="Normal"/>
    <w:uiPriority w:val="99"/>
    <w:semiHidden/>
    <w:rsid w:val="00522F8A"/>
    <w:pPr>
      <w:spacing w:after="60" w:line="240" w:lineRule="auto"/>
    </w:pPr>
    <w:rPr>
      <w:sz w:val="16"/>
    </w:rPr>
  </w:style>
  <w:style w:type="paragraph" w:styleId="Index2">
    <w:name w:val="index 2"/>
    <w:basedOn w:val="Normal"/>
    <w:next w:val="Normal"/>
    <w:uiPriority w:val="99"/>
    <w:semiHidden/>
    <w:rsid w:val="00522F8A"/>
    <w:pPr>
      <w:spacing w:after="0" w:line="240" w:lineRule="auto"/>
      <w:ind w:left="216"/>
    </w:pPr>
    <w:rPr>
      <w:sz w:val="16"/>
      <w:szCs w:val="16"/>
    </w:rPr>
  </w:style>
  <w:style w:type="character" w:styleId="Hyperlink">
    <w:name w:val="Hyperlink"/>
    <w:basedOn w:val="DefaultParagraphFont"/>
    <w:uiPriority w:val="99"/>
    <w:rsid w:val="00FE24E9"/>
    <w:rPr>
      <w:color w:val="808080" w:themeColor="background1" w:themeShade="80"/>
      <w:u w:val="none"/>
    </w:rPr>
  </w:style>
  <w:style w:type="character" w:customStyle="1" w:styleId="Heading1Char">
    <w:name w:val="Heading 1 Char"/>
    <w:basedOn w:val="DefaultParagraphFont"/>
    <w:link w:val="Heading1"/>
    <w:rsid w:val="00E9630C"/>
    <w:rPr>
      <w:rFonts w:asciiTheme="majorHAnsi" w:eastAsiaTheme="majorEastAsia" w:hAnsiTheme="majorHAnsi" w:cstheme="majorBidi"/>
      <w:b/>
      <w:bCs/>
      <w:color w:val="3A3467" w:themeColor="text2"/>
      <w:sz w:val="36"/>
      <w:szCs w:val="28"/>
    </w:rPr>
  </w:style>
  <w:style w:type="character" w:customStyle="1" w:styleId="Heading2Char">
    <w:name w:val="Heading 2 Char"/>
    <w:basedOn w:val="DefaultParagraphFont"/>
    <w:link w:val="Heading2"/>
    <w:rsid w:val="00E9630C"/>
    <w:rPr>
      <w:rFonts w:asciiTheme="majorHAnsi" w:eastAsiaTheme="majorEastAsia" w:hAnsiTheme="majorHAnsi" w:cstheme="majorBidi"/>
      <w:b/>
      <w:bCs/>
      <w:color w:val="3A3467" w:themeColor="text2"/>
      <w:sz w:val="28"/>
      <w:szCs w:val="26"/>
    </w:rPr>
  </w:style>
  <w:style w:type="paragraph" w:customStyle="1" w:styleId="Bullet1">
    <w:name w:val="Bullet 1"/>
    <w:uiPriority w:val="1"/>
    <w:qFormat/>
    <w:rsid w:val="00BB660E"/>
    <w:pPr>
      <w:numPr>
        <w:numId w:val="1"/>
      </w:numPr>
      <w:spacing w:before="100" w:after="100" w:line="240" w:lineRule="auto"/>
      <w:contextualSpacing/>
    </w:pPr>
    <w:rPr>
      <w:rFonts w:eastAsia="Times New Roman" w:cs="Calibri"/>
      <w:color w:val="232B39" w:themeColor="text1"/>
    </w:rPr>
  </w:style>
  <w:style w:type="paragraph" w:customStyle="1" w:styleId="Bullet2">
    <w:name w:val="Bullet 2"/>
    <w:basedOn w:val="Bullet1"/>
    <w:uiPriority w:val="1"/>
    <w:qFormat/>
    <w:rsid w:val="00522F8A"/>
    <w:pPr>
      <w:numPr>
        <w:ilvl w:val="1"/>
      </w:numPr>
    </w:pPr>
  </w:style>
  <w:style w:type="paragraph" w:customStyle="1" w:styleId="Bulletindent">
    <w:name w:val="Bullet indent"/>
    <w:basedOn w:val="Bullet2"/>
    <w:uiPriority w:val="9"/>
    <w:qFormat/>
    <w:rsid w:val="00BB660E"/>
    <w:pPr>
      <w:numPr>
        <w:ilvl w:val="2"/>
      </w:numPr>
      <w:spacing w:line="264" w:lineRule="auto"/>
    </w:pPr>
  </w:style>
  <w:style w:type="paragraph" w:customStyle="1" w:styleId="Heading1numbered">
    <w:name w:val="Heading 1 numbered"/>
    <w:basedOn w:val="Heading1"/>
    <w:next w:val="NormalIndent"/>
    <w:uiPriority w:val="8"/>
    <w:qFormat/>
    <w:rsid w:val="00522F8A"/>
    <w:pPr>
      <w:numPr>
        <w:ilvl w:val="2"/>
        <w:numId w:val="3"/>
      </w:numPr>
    </w:pPr>
  </w:style>
  <w:style w:type="paragraph" w:customStyle="1" w:styleId="Heading2numbered">
    <w:name w:val="Heading 2 numbered"/>
    <w:basedOn w:val="Heading2"/>
    <w:next w:val="NormalIndent"/>
    <w:uiPriority w:val="8"/>
    <w:qFormat/>
    <w:rsid w:val="00522F8A"/>
    <w:pPr>
      <w:numPr>
        <w:ilvl w:val="3"/>
        <w:numId w:val="3"/>
      </w:numPr>
    </w:pPr>
  </w:style>
  <w:style w:type="paragraph" w:customStyle="1" w:styleId="Heading3numbered">
    <w:name w:val="Heading 3 numbered"/>
    <w:basedOn w:val="Heading3"/>
    <w:next w:val="NormalIndent"/>
    <w:uiPriority w:val="8"/>
    <w:qFormat/>
    <w:rsid w:val="00522F8A"/>
    <w:pPr>
      <w:numPr>
        <w:ilvl w:val="4"/>
        <w:numId w:val="3"/>
      </w:numPr>
    </w:pPr>
  </w:style>
  <w:style w:type="character" w:customStyle="1" w:styleId="Heading3Char">
    <w:name w:val="Heading 3 Char"/>
    <w:basedOn w:val="DefaultParagraphFont"/>
    <w:link w:val="Heading3"/>
    <w:rsid w:val="00522F8A"/>
    <w:rPr>
      <w:rFonts w:asciiTheme="majorHAnsi" w:eastAsiaTheme="majorEastAsia" w:hAnsiTheme="majorHAnsi" w:cstheme="majorBidi"/>
      <w:b/>
      <w:bCs/>
      <w:color w:val="3A3467" w:themeColor="text2"/>
      <w:sz w:val="24"/>
      <w:szCs w:val="24"/>
    </w:rPr>
  </w:style>
  <w:style w:type="paragraph" w:customStyle="1" w:styleId="Heading4numbered">
    <w:name w:val="Heading 4 numbered"/>
    <w:basedOn w:val="Heading4"/>
    <w:next w:val="NormalIndent"/>
    <w:uiPriority w:val="8"/>
    <w:semiHidden/>
    <w:qFormat/>
    <w:rsid w:val="00522F8A"/>
    <w:pPr>
      <w:numPr>
        <w:ilvl w:val="5"/>
        <w:numId w:val="3"/>
      </w:numPr>
    </w:pPr>
  </w:style>
  <w:style w:type="character" w:customStyle="1" w:styleId="Heading4Char">
    <w:name w:val="Heading 4 Char"/>
    <w:basedOn w:val="DefaultParagraphFont"/>
    <w:link w:val="Heading4"/>
    <w:rsid w:val="00522F8A"/>
    <w:rPr>
      <w:rFonts w:asciiTheme="majorHAnsi" w:eastAsiaTheme="majorEastAsia" w:hAnsiTheme="majorHAnsi" w:cstheme="majorBidi"/>
      <w:b/>
      <w:bCs/>
      <w:iCs/>
      <w:color w:val="3A3467" w:themeColor="text2"/>
      <w:sz w:val="21"/>
      <w:szCs w:val="21"/>
    </w:rPr>
  </w:style>
  <w:style w:type="paragraph" w:styleId="NormalIndent">
    <w:name w:val="Normal Indent"/>
    <w:basedOn w:val="Normal"/>
    <w:uiPriority w:val="9"/>
    <w:qFormat/>
    <w:rsid w:val="00BB660E"/>
    <w:pPr>
      <w:ind w:left="792"/>
    </w:pPr>
  </w:style>
  <w:style w:type="paragraph" w:customStyle="1" w:styleId="NoteNormal">
    <w:name w:val="Note Normal"/>
    <w:basedOn w:val="Normal"/>
    <w:rsid w:val="00CD53DC"/>
    <w:pPr>
      <w:keepLines/>
      <w:spacing w:before="80" w:line="240" w:lineRule="auto"/>
    </w:pPr>
    <w:rPr>
      <w:rFonts w:eastAsia="Times New Roman" w:cstheme="minorHAnsi"/>
      <w:color w:val="000000"/>
      <w:spacing w:val="1"/>
      <w:sz w:val="16"/>
      <w:szCs w:val="16"/>
      <w:lang w:eastAsia="en-US"/>
    </w:rPr>
  </w:style>
  <w:style w:type="paragraph" w:customStyle="1" w:styleId="Spacer">
    <w:name w:val="Spacer"/>
    <w:basedOn w:val="Normal"/>
    <w:uiPriority w:val="13"/>
    <w:semiHidden/>
    <w:qFormat/>
    <w:rsid w:val="00522F8A"/>
    <w:pPr>
      <w:spacing w:before="0" w:after="0" w:line="120" w:lineRule="atLeast"/>
    </w:pPr>
    <w:rPr>
      <w:rFonts w:eastAsia="Times New Roman" w:cs="Calibri"/>
      <w:sz w:val="10"/>
      <w:szCs w:val="22"/>
    </w:rPr>
  </w:style>
  <w:style w:type="paragraph" w:styleId="Subtitle">
    <w:name w:val="Subtitle"/>
    <w:next w:val="TertiaryTitle"/>
    <w:link w:val="SubtitleChar"/>
    <w:uiPriority w:val="45"/>
    <w:semiHidden/>
    <w:rsid w:val="00072A2A"/>
    <w:pPr>
      <w:spacing w:before="200" w:after="120" w:line="440" w:lineRule="exact"/>
      <w:ind w:right="1829"/>
    </w:pPr>
    <w:rPr>
      <w:rFonts w:asciiTheme="majorHAnsi" w:eastAsia="Times New Roman" w:hAnsiTheme="majorHAnsi" w:cstheme="majorHAnsi"/>
      <w:sz w:val="32"/>
      <w:szCs w:val="32"/>
    </w:rPr>
  </w:style>
  <w:style w:type="character" w:customStyle="1" w:styleId="SubtitleChar">
    <w:name w:val="Subtitle Char"/>
    <w:basedOn w:val="DefaultParagraphFont"/>
    <w:link w:val="Subtitle"/>
    <w:uiPriority w:val="45"/>
    <w:semiHidden/>
    <w:rsid w:val="00973844"/>
    <w:rPr>
      <w:rFonts w:asciiTheme="majorHAnsi" w:eastAsia="Times New Roman" w:hAnsiTheme="majorHAnsi" w:cstheme="majorHAnsi"/>
      <w:sz w:val="32"/>
      <w:szCs w:val="32"/>
    </w:rPr>
  </w:style>
  <w:style w:type="paragraph" w:customStyle="1" w:styleId="TertiaryTitle">
    <w:name w:val="Tertiary Title"/>
    <w:next w:val="Normal"/>
    <w:uiPriority w:val="99"/>
    <w:semiHidden/>
    <w:rsid w:val="00522F8A"/>
    <w:pPr>
      <w:spacing w:after="0"/>
    </w:pPr>
    <w:rPr>
      <w:rFonts w:asciiTheme="majorHAnsi" w:eastAsia="Times New Roman" w:hAnsiTheme="majorHAnsi" w:cstheme="majorHAnsi"/>
      <w:color w:val="FFFFFF" w:themeColor="background1"/>
      <w:spacing w:val="-2"/>
      <w:szCs w:val="40"/>
      <w:lang w:eastAsia="en-US"/>
    </w:rPr>
  </w:style>
  <w:style w:type="paragraph" w:styleId="Title">
    <w:name w:val="Title"/>
    <w:next w:val="Subtitle"/>
    <w:link w:val="TitleChar"/>
    <w:uiPriority w:val="44"/>
    <w:semiHidden/>
    <w:qFormat/>
    <w:rsid w:val="0093610D"/>
    <w:pPr>
      <w:spacing w:before="200" w:after="0" w:line="216" w:lineRule="auto"/>
      <w:ind w:right="389"/>
    </w:pPr>
    <w:rPr>
      <w:rFonts w:asciiTheme="majorHAnsi" w:eastAsia="Times New Roman" w:hAnsiTheme="majorHAnsi" w:cstheme="majorHAnsi"/>
      <w:b/>
      <w:color w:val="3A3467" w:themeColor="text2"/>
      <w:sz w:val="48"/>
      <w:szCs w:val="48"/>
    </w:rPr>
  </w:style>
  <w:style w:type="character" w:customStyle="1" w:styleId="TitleChar">
    <w:name w:val="Title Char"/>
    <w:basedOn w:val="DefaultParagraphFont"/>
    <w:link w:val="Title"/>
    <w:uiPriority w:val="44"/>
    <w:semiHidden/>
    <w:rsid w:val="00B50213"/>
    <w:rPr>
      <w:rFonts w:asciiTheme="majorHAnsi" w:eastAsia="Times New Roman" w:hAnsiTheme="majorHAnsi" w:cstheme="majorHAnsi"/>
      <w:b/>
      <w:color w:val="3A3467" w:themeColor="text2"/>
      <w:sz w:val="48"/>
      <w:szCs w:val="48"/>
    </w:rPr>
  </w:style>
  <w:style w:type="paragraph" w:styleId="BalloonText">
    <w:name w:val="Balloon Text"/>
    <w:basedOn w:val="Normal"/>
    <w:link w:val="BalloonTextChar"/>
    <w:uiPriority w:val="99"/>
    <w:semiHidden/>
    <w:rsid w:val="0023202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3202C"/>
    <w:rPr>
      <w:rFonts w:ascii="Tahoma" w:hAnsi="Tahoma" w:cs="Tahoma"/>
      <w:spacing w:val="2"/>
      <w:sz w:val="16"/>
      <w:szCs w:val="16"/>
    </w:rPr>
  </w:style>
  <w:style w:type="paragraph" w:customStyle="1" w:styleId="Bulletindent2">
    <w:name w:val="Bullet indent 2"/>
    <w:basedOn w:val="Normal"/>
    <w:uiPriority w:val="9"/>
    <w:qFormat/>
    <w:rsid w:val="00BB660E"/>
    <w:pPr>
      <w:numPr>
        <w:ilvl w:val="3"/>
        <w:numId w:val="1"/>
      </w:numPr>
      <w:contextualSpacing/>
    </w:pPr>
  </w:style>
  <w:style w:type="paragraph" w:styleId="IndexHeading">
    <w:name w:val="index heading"/>
    <w:basedOn w:val="Normal"/>
    <w:next w:val="Index1"/>
    <w:uiPriority w:val="99"/>
    <w:semiHidden/>
    <w:rsid w:val="00522F8A"/>
    <w:rPr>
      <w:rFonts w:asciiTheme="majorHAnsi" w:eastAsiaTheme="majorEastAsia" w:hAnsiTheme="majorHAnsi" w:cstheme="majorBidi"/>
      <w:b/>
      <w:bCs/>
    </w:rPr>
  </w:style>
  <w:style w:type="paragraph" w:styleId="Header">
    <w:name w:val="header"/>
    <w:basedOn w:val="Normal"/>
    <w:link w:val="HeaderChar"/>
    <w:uiPriority w:val="99"/>
    <w:semiHidden/>
    <w:rsid w:val="00522F8A"/>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522F8A"/>
    <w:rPr>
      <w:color w:val="232B39" w:themeColor="text1"/>
    </w:rPr>
  </w:style>
  <w:style w:type="paragraph" w:styleId="Footer">
    <w:name w:val="footer"/>
    <w:basedOn w:val="Normal"/>
    <w:link w:val="FooterChar"/>
    <w:uiPriority w:val="99"/>
    <w:semiHidden/>
    <w:rsid w:val="008E49B3"/>
    <w:pPr>
      <w:tabs>
        <w:tab w:val="right" w:pos="9026"/>
      </w:tabs>
      <w:spacing w:before="0" w:after="0" w:line="240" w:lineRule="auto"/>
    </w:pPr>
    <w:rPr>
      <w:noProof/>
      <w:sz w:val="18"/>
      <w:szCs w:val="18"/>
    </w:rPr>
  </w:style>
  <w:style w:type="character" w:customStyle="1" w:styleId="FooterChar">
    <w:name w:val="Footer Char"/>
    <w:basedOn w:val="DefaultParagraphFont"/>
    <w:link w:val="Footer"/>
    <w:uiPriority w:val="99"/>
    <w:semiHidden/>
    <w:rsid w:val="00B50213"/>
    <w:rPr>
      <w:noProof/>
      <w:color w:val="232B39" w:themeColor="text1"/>
      <w:sz w:val="18"/>
      <w:szCs w:val="18"/>
    </w:rPr>
  </w:style>
  <w:style w:type="character" w:styleId="PageNumber">
    <w:name w:val="page number"/>
    <w:uiPriority w:val="49"/>
    <w:semiHidden/>
    <w:rsid w:val="00522F8A"/>
    <w:rPr>
      <w:rFonts w:asciiTheme="minorHAnsi" w:hAnsiTheme="minorHAnsi"/>
      <w:b w:val="0"/>
      <w:color w:val="232B39" w:themeColor="text1"/>
    </w:rPr>
  </w:style>
  <w:style w:type="paragraph" w:styleId="TOCHeading">
    <w:name w:val="TOC Heading"/>
    <w:basedOn w:val="Heading1"/>
    <w:next w:val="Normal"/>
    <w:uiPriority w:val="39"/>
    <w:qFormat/>
    <w:rsid w:val="00522F8A"/>
    <w:pPr>
      <w:spacing w:before="480" w:after="720"/>
      <w:outlineLvl w:val="9"/>
    </w:pPr>
    <w:rPr>
      <w:spacing w:val="2"/>
    </w:rPr>
  </w:style>
  <w:style w:type="paragraph" w:customStyle="1" w:styleId="NormalTight">
    <w:name w:val="Normal Tight"/>
    <w:uiPriority w:val="99"/>
    <w:semiHidden/>
    <w:rsid w:val="00522F8A"/>
    <w:pPr>
      <w:spacing w:after="0" w:line="240" w:lineRule="auto"/>
      <w:ind w:right="2366"/>
    </w:pPr>
    <w:rPr>
      <w:rFonts w:eastAsia="Times New Roman" w:cs="Calibri"/>
      <w:sz w:val="18"/>
      <w:szCs w:val="19"/>
      <w:lang w:eastAsia="en-US"/>
    </w:rPr>
  </w:style>
  <w:style w:type="paragraph" w:styleId="BodyText">
    <w:name w:val="Body Text"/>
    <w:basedOn w:val="Normal"/>
    <w:link w:val="BodyTextChar"/>
    <w:uiPriority w:val="49"/>
    <w:semiHidden/>
    <w:rsid w:val="00EC171D"/>
    <w:pPr>
      <w:spacing w:before="100" w:line="240" w:lineRule="auto"/>
      <w:ind w:left="794"/>
    </w:pPr>
    <w:rPr>
      <w:rFonts w:ascii="Calibri" w:eastAsia="Times New Roman" w:hAnsi="Calibri" w:cs="Calibri"/>
      <w:sz w:val="22"/>
      <w:szCs w:val="22"/>
    </w:rPr>
  </w:style>
  <w:style w:type="character" w:customStyle="1" w:styleId="BodyTextChar">
    <w:name w:val="Body Text Char"/>
    <w:basedOn w:val="DefaultParagraphFont"/>
    <w:link w:val="BodyText"/>
    <w:uiPriority w:val="49"/>
    <w:semiHidden/>
    <w:rsid w:val="00973844"/>
    <w:rPr>
      <w:rFonts w:ascii="Calibri" w:eastAsia="Times New Roman" w:hAnsi="Calibri" w:cs="Calibri"/>
      <w:color w:val="232B39" w:themeColor="text1"/>
      <w:sz w:val="22"/>
      <w:szCs w:val="22"/>
    </w:rPr>
  </w:style>
  <w:style w:type="paragraph" w:customStyle="1" w:styleId="Insidecoverspacer">
    <w:name w:val="Inside cover spacer"/>
    <w:basedOn w:val="NormalTight"/>
    <w:uiPriority w:val="99"/>
    <w:semiHidden/>
    <w:qFormat/>
    <w:rsid w:val="00522F8A"/>
    <w:pPr>
      <w:spacing w:before="3800"/>
      <w:ind w:right="1382"/>
    </w:pPr>
  </w:style>
  <w:style w:type="paragraph" w:styleId="TOC4">
    <w:name w:val="toc 4"/>
    <w:basedOn w:val="TOC1"/>
    <w:next w:val="Normal"/>
    <w:uiPriority w:val="39"/>
    <w:semiHidden/>
    <w:rsid w:val="00522F8A"/>
    <w:pPr>
      <w:spacing w:before="280"/>
      <w:ind w:left="446" w:right="29" w:hanging="446"/>
    </w:pPr>
    <w:rPr>
      <w:noProof/>
      <w:lang w:eastAsia="en-US"/>
    </w:rPr>
  </w:style>
  <w:style w:type="paragraph" w:styleId="TOC5">
    <w:name w:val="toc 5"/>
    <w:basedOn w:val="TOC2"/>
    <w:next w:val="Normal"/>
    <w:uiPriority w:val="39"/>
    <w:semiHidden/>
    <w:rsid w:val="00522F8A"/>
    <w:pPr>
      <w:ind w:left="1080" w:hanging="634"/>
    </w:pPr>
    <w:rPr>
      <w:lang w:eastAsia="en-US"/>
    </w:rPr>
  </w:style>
  <w:style w:type="paragraph" w:styleId="TOC6">
    <w:name w:val="toc 6"/>
    <w:basedOn w:val="TOC3"/>
    <w:next w:val="Normal"/>
    <w:uiPriority w:val="39"/>
    <w:semiHidden/>
    <w:rsid w:val="00522F8A"/>
    <w:pPr>
      <w:ind w:left="1800" w:hanging="720"/>
    </w:pPr>
    <w:rPr>
      <w:lang w:eastAsia="en-US"/>
    </w:rPr>
  </w:style>
  <w:style w:type="table" w:customStyle="1" w:styleId="DTFtexttable">
    <w:name w:val="DTF text table"/>
    <w:basedOn w:val="TableNormal"/>
    <w:uiPriority w:val="99"/>
    <w:rsid w:val="00030708"/>
    <w:pPr>
      <w:spacing w:before="30" w:after="30" w:line="264" w:lineRule="auto"/>
    </w:pPr>
    <w:rPr>
      <w:rFonts w:eastAsiaTheme="minorHAnsi"/>
      <w:spacing w:val="2"/>
      <w:sz w:val="17"/>
      <w:szCs w:val="21"/>
      <w:lang w:eastAsia="en-US"/>
    </w:rPr>
    <w:tblPr>
      <w:tblStyleRowBandSize w:val="1"/>
      <w:tblStyleColBandSize w:val="1"/>
      <w:tblBorders>
        <w:bottom w:val="single" w:sz="12" w:space="0" w:color="68CEF2" w:themeColor="accent2"/>
        <w:insideH w:val="single" w:sz="6" w:space="0" w:color="A6A6A6" w:themeColor="background1" w:themeShade="A6"/>
      </w:tblBorders>
      <w:tblCellMar>
        <w:left w:w="57" w:type="dxa"/>
        <w:right w:w="57" w:type="dxa"/>
      </w:tblCellMar>
    </w:tblPr>
    <w:trPr>
      <w:cantSplit/>
    </w:tr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68CEF2" w:themeColor="accent2"/>
          <w:left w:val="nil"/>
          <w:bottom w:val="single" w:sz="12" w:space="0" w:color="68CEF2" w:themeColor="accent2"/>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table" w:customStyle="1" w:styleId="DTFfinancialtable">
    <w:name w:val="DTF financial table"/>
    <w:basedOn w:val="TableNormal"/>
    <w:uiPriority w:val="99"/>
    <w:rsid w:val="00030708"/>
    <w:pPr>
      <w:spacing w:before="30" w:after="30" w:line="264" w:lineRule="auto"/>
      <w:jc w:val="right"/>
    </w:pPr>
    <w:rPr>
      <w:rFonts w:eastAsiaTheme="minorHAnsi"/>
      <w:spacing w:val="2"/>
      <w:sz w:val="17"/>
      <w:szCs w:val="21"/>
      <w:lang w:eastAsia="en-US"/>
    </w:rPr>
    <w:tblPr>
      <w:tblStyleRowBandSize w:val="1"/>
      <w:tblStyleColBandSize w:val="1"/>
      <w:tblBorders>
        <w:bottom w:val="single" w:sz="12" w:space="0" w:color="68CEF2" w:themeColor="accent2"/>
      </w:tblBorders>
      <w:tblCellMar>
        <w:left w:w="57" w:type="dxa"/>
        <w:right w:w="57" w:type="dxa"/>
      </w:tblCellMar>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paragraph" w:customStyle="1" w:styleId="Tabletext">
    <w:name w:val="Table text"/>
    <w:basedOn w:val="Normal"/>
    <w:uiPriority w:val="5"/>
    <w:qFormat/>
    <w:rsid w:val="00522F8A"/>
    <w:pPr>
      <w:spacing w:before="60" w:after="60"/>
    </w:pPr>
    <w:rPr>
      <w:sz w:val="17"/>
    </w:rPr>
  </w:style>
  <w:style w:type="paragraph" w:customStyle="1" w:styleId="Tabletextright">
    <w:name w:val="Table text right"/>
    <w:basedOn w:val="Tabletext"/>
    <w:uiPriority w:val="5"/>
    <w:qFormat/>
    <w:rsid w:val="00522F8A"/>
    <w:pPr>
      <w:jc w:val="right"/>
    </w:pPr>
  </w:style>
  <w:style w:type="paragraph" w:customStyle="1" w:styleId="Listnumindent2">
    <w:name w:val="List num indent 2"/>
    <w:basedOn w:val="Normal"/>
    <w:uiPriority w:val="9"/>
    <w:qFormat/>
    <w:rsid w:val="00522F8A"/>
    <w:pPr>
      <w:numPr>
        <w:ilvl w:val="7"/>
        <w:numId w:val="3"/>
      </w:numPr>
      <w:spacing w:before="100"/>
      <w:contextualSpacing/>
    </w:pPr>
  </w:style>
  <w:style w:type="paragraph" w:customStyle="1" w:styleId="Listnumindent">
    <w:name w:val="List num indent"/>
    <w:basedOn w:val="Normal"/>
    <w:uiPriority w:val="9"/>
    <w:qFormat/>
    <w:rsid w:val="00522F8A"/>
    <w:pPr>
      <w:numPr>
        <w:ilvl w:val="6"/>
        <w:numId w:val="3"/>
      </w:numPr>
      <w:spacing w:before="100"/>
    </w:pPr>
  </w:style>
  <w:style w:type="paragraph" w:customStyle="1" w:styleId="Listnum">
    <w:name w:val="List num"/>
    <w:basedOn w:val="Normal"/>
    <w:uiPriority w:val="2"/>
    <w:qFormat/>
    <w:rsid w:val="00522F8A"/>
    <w:pPr>
      <w:numPr>
        <w:numId w:val="3"/>
      </w:numPr>
    </w:pPr>
  </w:style>
  <w:style w:type="paragraph" w:customStyle="1" w:styleId="Listnum2">
    <w:name w:val="List num 2"/>
    <w:basedOn w:val="Normal"/>
    <w:uiPriority w:val="2"/>
    <w:qFormat/>
    <w:rsid w:val="00522F8A"/>
    <w:pPr>
      <w:numPr>
        <w:ilvl w:val="1"/>
        <w:numId w:val="3"/>
      </w:numPr>
    </w:pPr>
  </w:style>
  <w:style w:type="paragraph" w:customStyle="1" w:styleId="Tabletextcentred">
    <w:name w:val="Table text centred"/>
    <w:basedOn w:val="Tabletext"/>
    <w:uiPriority w:val="5"/>
    <w:qFormat/>
    <w:rsid w:val="00522F8A"/>
    <w:pPr>
      <w:jc w:val="center"/>
    </w:pPr>
  </w:style>
  <w:style w:type="paragraph" w:customStyle="1" w:styleId="Tableheader">
    <w:name w:val="Table header"/>
    <w:basedOn w:val="Tabletext"/>
    <w:uiPriority w:val="5"/>
    <w:qFormat/>
    <w:rsid w:val="00522F8A"/>
    <w:pPr>
      <w:keepNext/>
      <w:keepLines/>
      <w:spacing w:before="120"/>
    </w:pPr>
    <w:rPr>
      <w:rFonts w:eastAsiaTheme="minorHAnsi"/>
      <w:spacing w:val="2"/>
      <w:sz w:val="18"/>
      <w:szCs w:val="18"/>
      <w:lang w:eastAsia="en-US"/>
    </w:rPr>
  </w:style>
  <w:style w:type="paragraph" w:customStyle="1" w:styleId="Tablebullet">
    <w:name w:val="Table bullet"/>
    <w:basedOn w:val="Tabletext"/>
    <w:uiPriority w:val="6"/>
    <w:rsid w:val="00522F8A"/>
    <w:pPr>
      <w:numPr>
        <w:numId w:val="4"/>
      </w:numPr>
    </w:pPr>
  </w:style>
  <w:style w:type="paragraph" w:customStyle="1" w:styleId="Tabledash">
    <w:name w:val="Table dash"/>
    <w:basedOn w:val="Tablebullet"/>
    <w:uiPriority w:val="6"/>
    <w:rsid w:val="00522F8A"/>
    <w:pPr>
      <w:numPr>
        <w:ilvl w:val="1"/>
      </w:numPr>
    </w:pPr>
  </w:style>
  <w:style w:type="paragraph" w:customStyle="1" w:styleId="Tabletextindent">
    <w:name w:val="Table text indent"/>
    <w:basedOn w:val="Tabletext"/>
    <w:uiPriority w:val="5"/>
    <w:qFormat/>
    <w:rsid w:val="00522F8A"/>
    <w:pPr>
      <w:ind w:left="288"/>
    </w:pPr>
  </w:style>
  <w:style w:type="paragraph" w:customStyle="1" w:styleId="Numpara">
    <w:name w:val="Num para"/>
    <w:basedOn w:val="ListParagraph"/>
    <w:uiPriority w:val="2"/>
    <w:qFormat/>
    <w:rsid w:val="00522F8A"/>
    <w:pPr>
      <w:numPr>
        <w:numId w:val="2"/>
      </w:numPr>
      <w:tabs>
        <w:tab w:val="left" w:pos="540"/>
      </w:tabs>
    </w:pPr>
  </w:style>
  <w:style w:type="paragraph" w:styleId="ListParagraph">
    <w:name w:val="List Paragraph"/>
    <w:basedOn w:val="Normal"/>
    <w:uiPriority w:val="34"/>
    <w:qFormat/>
    <w:rsid w:val="00522F8A"/>
    <w:pPr>
      <w:ind w:left="720"/>
      <w:contextualSpacing/>
    </w:pPr>
  </w:style>
  <w:style w:type="paragraph" w:styleId="FootnoteText">
    <w:name w:val="footnote text"/>
    <w:basedOn w:val="Normal"/>
    <w:link w:val="FootnoteTextChar"/>
    <w:uiPriority w:val="99"/>
    <w:semiHidden/>
    <w:rsid w:val="00522F8A"/>
    <w:pPr>
      <w:spacing w:before="0" w:after="0" w:line="240" w:lineRule="auto"/>
    </w:pPr>
    <w:rPr>
      <w:sz w:val="17"/>
    </w:rPr>
  </w:style>
  <w:style w:type="character" w:customStyle="1" w:styleId="FootnoteTextChar">
    <w:name w:val="Footnote Text Char"/>
    <w:basedOn w:val="DefaultParagraphFont"/>
    <w:link w:val="FootnoteText"/>
    <w:uiPriority w:val="99"/>
    <w:semiHidden/>
    <w:rsid w:val="00522F8A"/>
    <w:rPr>
      <w:color w:val="232B39" w:themeColor="text1"/>
      <w:sz w:val="17"/>
    </w:rPr>
  </w:style>
  <w:style w:type="character" w:styleId="FootnoteReference">
    <w:name w:val="footnote reference"/>
    <w:basedOn w:val="DefaultParagraphFont"/>
    <w:uiPriority w:val="99"/>
    <w:semiHidden/>
    <w:rsid w:val="00522F8A"/>
    <w:rPr>
      <w:vertAlign w:val="superscript"/>
    </w:rPr>
  </w:style>
  <w:style w:type="table" w:customStyle="1" w:styleId="DTFfinancialtableindent">
    <w:name w:val="DTF financial table indent"/>
    <w:basedOn w:val="DTFfinancial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right"/>
      </w:pPr>
      <w:rPr>
        <w:b/>
        <w:i w:val="0"/>
        <w:color w:val="auto"/>
        <w:sz w:val="18"/>
      </w:rPr>
      <w:tblPr/>
      <w:tcPr>
        <w:tcBorders>
          <w:top w:val="nil"/>
          <w:left w:val="nil"/>
          <w:bottom w:val="nil"/>
          <w:right w:val="nil"/>
          <w:insideH w:val="nil"/>
          <w:insideV w:val="nil"/>
          <w:tl2br w:val="nil"/>
          <w:tr2bl w:val="nil"/>
        </w:tcBorders>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rPr>
        <w:color w:val="F2F2F2" w:themeColor="background1" w:themeShade="F2"/>
      </w:rPr>
      <w:tblPr/>
      <w:tcPr>
        <w:shd w:val="clear" w:color="auto" w:fill="F2F2F2" w:themeFill="background1" w:themeFillShade="F2"/>
      </w:tcPr>
    </w:tblStylePr>
    <w:tblStylePr w:type="band1Vert">
      <w:pPr>
        <w:jc w:val="right"/>
      </w:pPr>
    </w:tblStylePr>
    <w:tblStylePr w:type="band2Vert">
      <w:pPr>
        <w:jc w:val="right"/>
      </w:pPr>
    </w:tblStylePr>
    <w:tblStylePr w:type="band2Horz">
      <w:tblPr/>
      <w:tcPr>
        <w:shd w:val="clear" w:color="auto" w:fill="FFFFFF" w:themeFill="background1"/>
      </w:tcPr>
    </w:tblStylePr>
    <w:tblStylePr w:type="nwCell">
      <w:pPr>
        <w:jc w:val="left"/>
      </w:pPr>
      <w:tblPr/>
      <w:tcPr>
        <w:vAlign w:val="bottom"/>
      </w:tcPr>
    </w:tblStylePr>
  </w:style>
  <w:style w:type="table" w:customStyle="1" w:styleId="DTFtexttableindent">
    <w:name w:val="DTF text table indent"/>
    <w:basedOn w:val="DTFtexttable"/>
    <w:uiPriority w:val="99"/>
    <w:rsid w:val="00030708"/>
    <w:pPr>
      <w:spacing w:after="0" w:line="240" w:lineRule="auto"/>
    </w:pPr>
    <w:tblPr>
      <w:tblInd w:w="864" w:type="dxa"/>
    </w:tblPr>
    <w:tblStylePr w:type="firstRow">
      <w:pPr>
        <w:keepNext/>
        <w:keepLines/>
        <w:widowControl/>
        <w:wordWrap/>
        <w:spacing w:beforeLines="0" w:before="120" w:beforeAutospacing="0" w:afterLines="0" w:after="30" w:afterAutospacing="0"/>
        <w:jc w:val="left"/>
      </w:pPr>
      <w:rPr>
        <w:b/>
        <w:i w:val="0"/>
        <w:color w:val="auto"/>
        <w:sz w:val="18"/>
      </w:rPr>
      <w:tblPr/>
      <w:tcPr>
        <w:shd w:val="clear" w:color="auto" w:fill="C2EBFA" w:themeFill="background2"/>
      </w:tcPr>
    </w:tblStylePr>
    <w:tblStylePr w:type="lastRow">
      <w:rPr>
        <w:b/>
      </w:rPr>
      <w:tblPr/>
      <w:tcPr>
        <w:tcBorders>
          <w:top w:val="single" w:sz="6" w:space="0" w:color="0072CE" w:themeColor="accent1"/>
          <w:left w:val="nil"/>
          <w:bottom w:val="single" w:sz="12" w:space="0" w:color="0072CE" w:themeColor="accent1"/>
          <w:right w:val="nil"/>
          <w:insideV w:val="nil"/>
        </w:tcBorders>
      </w:tcPr>
    </w:tblStylePr>
    <w:tblStylePr w:type="firstCol">
      <w:pPr>
        <w:jc w:val="left"/>
      </w:pPr>
      <w:tblPr/>
      <w:tcPr>
        <w:shd w:val="clear" w:color="auto" w:fill="F2F2F2" w:themeFill="background1" w:themeFillShade="F2"/>
      </w:tcPr>
    </w:tblStylePr>
    <w:tblStylePr w:type="lastCol">
      <w:pPr>
        <w:jc w:val="left"/>
      </w:pPr>
    </w:tblStylePr>
    <w:tblStylePr w:type="band1Vert">
      <w:pPr>
        <w:jc w:val="left"/>
      </w:pPr>
    </w:tblStylePr>
    <w:tblStylePr w:type="band2Vert">
      <w:pPr>
        <w:jc w:val="left"/>
      </w:pPr>
      <w:tblPr/>
      <w:tcPr>
        <w:shd w:val="clear" w:color="auto" w:fill="FFFFFF" w:themeFill="background1"/>
      </w:tcPr>
    </w:tblStylePr>
    <w:tblStylePr w:type="band2Horz">
      <w:tblPr/>
      <w:tcPr>
        <w:shd w:val="clear" w:color="auto" w:fill="FFFFFF" w:themeFill="background1"/>
      </w:tcPr>
    </w:tblStylePr>
    <w:tblStylePr w:type="neCell">
      <w:pPr>
        <w:jc w:val="left"/>
      </w:pPr>
    </w:tblStylePr>
    <w:tblStylePr w:type="nwCell">
      <w:pPr>
        <w:jc w:val="left"/>
      </w:pPr>
    </w:tblStylePr>
    <w:tblStylePr w:type="seCell">
      <w:pPr>
        <w:jc w:val="left"/>
      </w:pPr>
    </w:tblStylePr>
    <w:tblStylePr w:type="swCell">
      <w:pPr>
        <w:jc w:val="left"/>
      </w:pPr>
    </w:tblStylePr>
  </w:style>
  <w:style w:type="paragraph" w:customStyle="1" w:styleId="Numparaindent">
    <w:name w:val="Num para indent"/>
    <w:basedOn w:val="Numpara"/>
    <w:uiPriority w:val="9"/>
    <w:qFormat/>
    <w:rsid w:val="00522F8A"/>
    <w:pPr>
      <w:numPr>
        <w:ilvl w:val="8"/>
        <w:numId w:val="3"/>
      </w:numPr>
      <w:tabs>
        <w:tab w:val="clear" w:pos="540"/>
      </w:tabs>
    </w:pPr>
  </w:style>
  <w:style w:type="paragraph" w:customStyle="1" w:styleId="Tablenum1">
    <w:name w:val="Table num 1"/>
    <w:basedOn w:val="Normal"/>
    <w:uiPriority w:val="6"/>
    <w:rsid w:val="00522F8A"/>
    <w:pPr>
      <w:numPr>
        <w:ilvl w:val="2"/>
        <w:numId w:val="4"/>
      </w:numPr>
      <w:spacing w:before="60" w:after="60"/>
    </w:pPr>
    <w:rPr>
      <w:sz w:val="17"/>
    </w:rPr>
  </w:style>
  <w:style w:type="paragraph" w:customStyle="1" w:styleId="Tablenum2">
    <w:name w:val="Table num 2"/>
    <w:basedOn w:val="Normal"/>
    <w:uiPriority w:val="6"/>
    <w:rsid w:val="00522F8A"/>
    <w:pPr>
      <w:numPr>
        <w:ilvl w:val="3"/>
        <w:numId w:val="4"/>
      </w:numPr>
      <w:spacing w:before="60" w:after="60"/>
    </w:pPr>
    <w:rPr>
      <w:sz w:val="17"/>
    </w:rPr>
  </w:style>
  <w:style w:type="paragraph" w:customStyle="1" w:styleId="NoteNormalindent">
    <w:name w:val="Note Normal indent"/>
    <w:basedOn w:val="NoteNormal"/>
    <w:uiPriority w:val="9"/>
    <w:rsid w:val="00522F8A"/>
    <w:pPr>
      <w:ind w:left="792"/>
    </w:pPr>
  </w:style>
  <w:style w:type="paragraph" w:styleId="Caption">
    <w:name w:val="caption"/>
    <w:basedOn w:val="Normal"/>
    <w:next w:val="Normal"/>
    <w:uiPriority w:val="5"/>
    <w:rsid w:val="00522F8A"/>
    <w:pPr>
      <w:spacing w:before="200" w:after="60" w:line="240" w:lineRule="auto"/>
    </w:pPr>
    <w:rPr>
      <w:b/>
      <w:bCs/>
      <w:color w:val="3A3467" w:themeColor="text2"/>
      <w:sz w:val="18"/>
      <w:szCs w:val="18"/>
    </w:rPr>
  </w:style>
  <w:style w:type="paragraph" w:customStyle="1" w:styleId="Captionindent">
    <w:name w:val="Caption indent"/>
    <w:basedOn w:val="Caption"/>
    <w:uiPriority w:val="7"/>
    <w:qFormat/>
    <w:rsid w:val="00522F8A"/>
    <w:pPr>
      <w:spacing w:before="240"/>
      <w:ind w:left="792"/>
    </w:pPr>
  </w:style>
  <w:style w:type="paragraph" w:customStyle="1" w:styleId="CM">
    <w:name w:val="CM"/>
    <w:next w:val="Normal"/>
    <w:uiPriority w:val="79"/>
    <w:semiHidden/>
    <w:rsid w:val="00522F8A"/>
    <w:pPr>
      <w:spacing w:after="800" w:line="240" w:lineRule="auto"/>
      <w:ind w:right="2909"/>
    </w:pPr>
    <w:rPr>
      <w:caps/>
    </w:rPr>
  </w:style>
  <w:style w:type="paragraph" w:customStyle="1" w:styleId="CoverSpacer">
    <w:name w:val="CoverSpacer"/>
    <w:basedOn w:val="Normal"/>
    <w:semiHidden/>
    <w:qFormat/>
    <w:rsid w:val="00522F8A"/>
    <w:pPr>
      <w:spacing w:before="4600" w:after="0"/>
    </w:pPr>
  </w:style>
  <w:style w:type="character" w:styleId="FollowedHyperlink">
    <w:name w:val="FollowedHyperlink"/>
    <w:basedOn w:val="DefaultParagraphFont"/>
    <w:uiPriority w:val="99"/>
    <w:semiHidden/>
    <w:rsid w:val="00FE24E9"/>
    <w:rPr>
      <w:color w:val="808080" w:themeColor="background1" w:themeShade="80"/>
      <w:u w:val="none"/>
    </w:rPr>
  </w:style>
  <w:style w:type="character" w:customStyle="1" w:styleId="Heading5Char">
    <w:name w:val="Heading 5 Char"/>
    <w:basedOn w:val="DefaultParagraphFont"/>
    <w:link w:val="Heading5"/>
    <w:semiHidden/>
    <w:rsid w:val="00B50213"/>
    <w:rPr>
      <w:rFonts w:asciiTheme="majorHAnsi" w:eastAsiaTheme="majorEastAsia" w:hAnsiTheme="majorHAnsi" w:cstheme="majorBidi"/>
      <w:color w:val="3A3467" w:themeColor="text2"/>
    </w:rPr>
  </w:style>
  <w:style w:type="character" w:styleId="PlaceholderText">
    <w:name w:val="Placeholder Text"/>
    <w:basedOn w:val="DefaultParagraphFont"/>
    <w:uiPriority w:val="99"/>
    <w:semiHidden/>
    <w:rsid w:val="00522F8A"/>
    <w:rPr>
      <w:color w:val="808080"/>
    </w:rPr>
  </w:style>
  <w:style w:type="table" w:styleId="PlainTable4">
    <w:name w:val="Plain Table 4"/>
    <w:basedOn w:val="TableNormal"/>
    <w:uiPriority w:val="44"/>
    <w:rsid w:val="00522F8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uiPriority w:val="14"/>
    <w:qFormat/>
    <w:rsid w:val="00522F8A"/>
    <w:pPr>
      <w:pBdr>
        <w:top w:val="single" w:sz="12" w:space="6" w:color="C2EBFA" w:themeColor="background2"/>
        <w:bottom w:val="single" w:sz="12" w:space="4" w:color="C2EBFA" w:themeColor="background2"/>
      </w:pBdr>
      <w:tabs>
        <w:tab w:val="right" w:pos="8162"/>
      </w:tabs>
      <w:spacing w:before="200" w:after="200" w:line="288" w:lineRule="auto"/>
      <w:ind w:left="720" w:right="864"/>
    </w:pPr>
    <w:rPr>
      <w:i/>
      <w:iCs/>
      <w:color w:val="4B5B79" w:themeColor="text1" w:themeTint="BF"/>
      <w:sz w:val="18"/>
      <w:szCs w:val="18"/>
    </w:rPr>
  </w:style>
  <w:style w:type="character" w:customStyle="1" w:styleId="QuoteChar">
    <w:name w:val="Quote Char"/>
    <w:basedOn w:val="DefaultParagraphFont"/>
    <w:link w:val="Quote"/>
    <w:uiPriority w:val="14"/>
    <w:rsid w:val="00522F8A"/>
    <w:rPr>
      <w:i/>
      <w:iCs/>
      <w:color w:val="4B5B79" w:themeColor="text1" w:themeTint="BF"/>
      <w:sz w:val="18"/>
      <w:szCs w:val="18"/>
    </w:rPr>
  </w:style>
  <w:style w:type="paragraph" w:customStyle="1" w:styleId="ReportDate">
    <w:name w:val="ReportDate"/>
    <w:uiPriority w:val="79"/>
    <w:semiHidden/>
    <w:rsid w:val="00072A2A"/>
    <w:pPr>
      <w:spacing w:after="0" w:line="240" w:lineRule="auto"/>
      <w:ind w:right="2909"/>
    </w:pPr>
    <w:rPr>
      <w:b/>
      <w:bCs/>
      <w:caps/>
    </w:rPr>
  </w:style>
  <w:style w:type="character" w:styleId="UnresolvedMention">
    <w:name w:val="Unresolved Mention"/>
    <w:basedOn w:val="DefaultParagraphFont"/>
    <w:uiPriority w:val="99"/>
    <w:semiHidden/>
    <w:rsid w:val="00FE24E9"/>
    <w:rPr>
      <w:color w:val="605E5C"/>
      <w:shd w:val="clear" w:color="auto" w:fill="E1DFDD"/>
    </w:rPr>
  </w:style>
  <w:style w:type="paragraph" w:customStyle="1" w:styleId="Default">
    <w:name w:val="Default"/>
    <w:rsid w:val="00B86E8F"/>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C317F3"/>
    <w:rPr>
      <w:sz w:val="16"/>
      <w:szCs w:val="16"/>
    </w:rPr>
  </w:style>
  <w:style w:type="paragraph" w:styleId="CommentText">
    <w:name w:val="annotation text"/>
    <w:basedOn w:val="Normal"/>
    <w:link w:val="CommentTextChar"/>
    <w:uiPriority w:val="99"/>
    <w:semiHidden/>
    <w:unhideWhenUsed/>
    <w:rsid w:val="00C317F3"/>
    <w:pPr>
      <w:spacing w:line="240" w:lineRule="auto"/>
    </w:pPr>
  </w:style>
  <w:style w:type="character" w:customStyle="1" w:styleId="CommentTextChar">
    <w:name w:val="Comment Text Char"/>
    <w:basedOn w:val="DefaultParagraphFont"/>
    <w:link w:val="CommentText"/>
    <w:uiPriority w:val="99"/>
    <w:semiHidden/>
    <w:rsid w:val="00C317F3"/>
    <w:rPr>
      <w:color w:val="232B39" w:themeColor="text1"/>
    </w:rPr>
  </w:style>
  <w:style w:type="paragraph" w:styleId="CommentSubject">
    <w:name w:val="annotation subject"/>
    <w:basedOn w:val="CommentText"/>
    <w:next w:val="CommentText"/>
    <w:link w:val="CommentSubjectChar"/>
    <w:uiPriority w:val="99"/>
    <w:semiHidden/>
    <w:unhideWhenUsed/>
    <w:rsid w:val="00C317F3"/>
    <w:rPr>
      <w:b/>
      <w:bCs/>
    </w:rPr>
  </w:style>
  <w:style w:type="character" w:customStyle="1" w:styleId="CommentSubjectChar">
    <w:name w:val="Comment Subject Char"/>
    <w:basedOn w:val="CommentTextChar"/>
    <w:link w:val="CommentSubject"/>
    <w:uiPriority w:val="99"/>
    <w:semiHidden/>
    <w:rsid w:val="00C317F3"/>
    <w:rPr>
      <w:b/>
      <w:bCs/>
      <w:color w:val="232B39" w:themeColor="text1"/>
    </w:rPr>
  </w:style>
  <w:style w:type="paragraph" w:styleId="Revision">
    <w:name w:val="Revision"/>
    <w:hidden/>
    <w:uiPriority w:val="99"/>
    <w:semiHidden/>
    <w:rsid w:val="00C317F3"/>
    <w:pPr>
      <w:spacing w:after="0" w:line="240" w:lineRule="auto"/>
    </w:pPr>
    <w:rPr>
      <w:color w:val="232B39" w:themeColor="text1"/>
    </w:rPr>
  </w:style>
  <w:style w:type="paragraph" w:customStyle="1" w:styleId="gmail-m2263267924641087449msolistparagraph">
    <w:name w:val="gmail-m_2263267924641087449msolistparagraph"/>
    <w:basedOn w:val="Normal"/>
    <w:rsid w:val="002148A4"/>
    <w:pPr>
      <w:spacing w:before="100" w:beforeAutospacing="1" w:after="100" w:afterAutospacing="1" w:line="240" w:lineRule="auto"/>
    </w:pPr>
    <w:rPr>
      <w:rFonts w:ascii="Calibri" w:eastAsia="Calibri" w:hAnsi="Calibri" w:cs="Calibri"/>
      <w:color w:val="auto"/>
      <w:sz w:val="22"/>
      <w:szCs w:val="22"/>
    </w:rPr>
  </w:style>
  <w:style w:type="paragraph" w:customStyle="1" w:styleId="MOUNormal">
    <w:name w:val="MOU Normal"/>
    <w:basedOn w:val="Normal"/>
    <w:rsid w:val="002148A4"/>
    <w:pPr>
      <w:spacing w:before="80" w:after="80" w:line="240" w:lineRule="auto"/>
    </w:pPr>
    <w:rPr>
      <w:rFonts w:ascii="Calibri" w:eastAsia="Times New Roman" w:hAnsi="Calibri" w:cs="Calibri"/>
      <w:color w:val="auto"/>
      <w:sz w:val="24"/>
      <w:szCs w:val="22"/>
    </w:rPr>
  </w:style>
  <w:style w:type="paragraph" w:customStyle="1" w:styleId="TableText0">
    <w:name w:val="Table Text"/>
    <w:basedOn w:val="Normal"/>
    <w:qFormat/>
    <w:rsid w:val="00120ADC"/>
    <w:pPr>
      <w:spacing w:before="20" w:after="20" w:line="240" w:lineRule="auto"/>
    </w:pPr>
    <w:rPr>
      <w:rFonts w:ascii="Calibri" w:eastAsia="Times New Roman" w:hAnsi="Calibri" w:cs="Calibri"/>
      <w:color w:val="auto"/>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968712">
      <w:bodyDiv w:val="1"/>
      <w:marLeft w:val="0"/>
      <w:marRight w:val="0"/>
      <w:marTop w:val="0"/>
      <w:marBottom w:val="0"/>
      <w:divBdr>
        <w:top w:val="none" w:sz="0" w:space="0" w:color="auto"/>
        <w:left w:val="none" w:sz="0" w:space="0" w:color="auto"/>
        <w:bottom w:val="none" w:sz="0" w:space="0" w:color="auto"/>
        <w:right w:val="none" w:sz="0" w:space="0" w:color="auto"/>
      </w:divBdr>
    </w:div>
    <w:div w:id="124082410">
      <w:bodyDiv w:val="1"/>
      <w:marLeft w:val="0"/>
      <w:marRight w:val="0"/>
      <w:marTop w:val="0"/>
      <w:marBottom w:val="0"/>
      <w:divBdr>
        <w:top w:val="none" w:sz="0" w:space="0" w:color="auto"/>
        <w:left w:val="none" w:sz="0" w:space="0" w:color="auto"/>
        <w:bottom w:val="none" w:sz="0" w:space="0" w:color="auto"/>
        <w:right w:val="none" w:sz="0" w:space="0" w:color="auto"/>
      </w:divBdr>
    </w:div>
    <w:div w:id="513618286">
      <w:bodyDiv w:val="1"/>
      <w:marLeft w:val="0"/>
      <w:marRight w:val="0"/>
      <w:marTop w:val="0"/>
      <w:marBottom w:val="0"/>
      <w:divBdr>
        <w:top w:val="none" w:sz="0" w:space="0" w:color="auto"/>
        <w:left w:val="none" w:sz="0" w:space="0" w:color="auto"/>
        <w:bottom w:val="none" w:sz="0" w:space="0" w:color="auto"/>
        <w:right w:val="none" w:sz="0" w:space="0" w:color="auto"/>
      </w:divBdr>
    </w:div>
    <w:div w:id="1290741696">
      <w:bodyDiv w:val="1"/>
      <w:marLeft w:val="0"/>
      <w:marRight w:val="0"/>
      <w:marTop w:val="0"/>
      <w:marBottom w:val="0"/>
      <w:divBdr>
        <w:top w:val="none" w:sz="0" w:space="0" w:color="auto"/>
        <w:left w:val="none" w:sz="0" w:space="0" w:color="auto"/>
        <w:bottom w:val="none" w:sz="0" w:space="0" w:color="auto"/>
        <w:right w:val="none" w:sz="0" w:space="0" w:color="auto"/>
      </w:divBdr>
    </w:div>
    <w:div w:id="1322931381">
      <w:bodyDiv w:val="1"/>
      <w:marLeft w:val="0"/>
      <w:marRight w:val="0"/>
      <w:marTop w:val="0"/>
      <w:marBottom w:val="0"/>
      <w:divBdr>
        <w:top w:val="none" w:sz="0" w:space="0" w:color="auto"/>
        <w:left w:val="none" w:sz="0" w:space="0" w:color="auto"/>
        <w:bottom w:val="none" w:sz="0" w:space="0" w:color="auto"/>
        <w:right w:val="none" w:sz="0" w:space="0" w:color="auto"/>
      </w:divBdr>
    </w:div>
    <w:div w:id="1364819506">
      <w:bodyDiv w:val="1"/>
      <w:marLeft w:val="0"/>
      <w:marRight w:val="0"/>
      <w:marTop w:val="0"/>
      <w:marBottom w:val="0"/>
      <w:divBdr>
        <w:top w:val="none" w:sz="0" w:space="0" w:color="auto"/>
        <w:left w:val="none" w:sz="0" w:space="0" w:color="auto"/>
        <w:bottom w:val="none" w:sz="0" w:space="0" w:color="auto"/>
        <w:right w:val="none" w:sz="0" w:space="0" w:color="auto"/>
      </w:divBdr>
    </w:div>
    <w:div w:id="1678577038">
      <w:bodyDiv w:val="1"/>
      <w:marLeft w:val="0"/>
      <w:marRight w:val="0"/>
      <w:marTop w:val="0"/>
      <w:marBottom w:val="0"/>
      <w:divBdr>
        <w:top w:val="none" w:sz="0" w:space="0" w:color="auto"/>
        <w:left w:val="none" w:sz="0" w:space="0" w:color="auto"/>
        <w:bottom w:val="none" w:sz="0" w:space="0" w:color="auto"/>
        <w:right w:val="none" w:sz="0" w:space="0" w:color="auto"/>
      </w:divBdr>
    </w:div>
    <w:div w:id="20471723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header" Target="header2.xml"/><Relationship Id="rId3" Type="http://schemas.openxmlformats.org/officeDocument/2006/relationships/numbering" Target="numbering.xml"/><Relationship Id="rId21" Type="http://schemas.openxmlformats.org/officeDocument/2006/relationships/header" Target="header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footer" Target="footer3.xml"/></Relationships>
</file>

<file path=word/_rels/footer3.xml.rels><?xml version="1.0" encoding="UTF-8" standalone="yes"?>
<Relationships xmlns="http://schemas.openxmlformats.org/package/2006/relationships"><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DTF Blue">
      <a:dk1>
        <a:srgbClr val="232B39"/>
      </a:dk1>
      <a:lt1>
        <a:sysClr val="window" lastClr="FFFFFF"/>
      </a:lt1>
      <a:dk2>
        <a:srgbClr val="3A3467"/>
      </a:dk2>
      <a:lt2>
        <a:srgbClr val="C2EBFA"/>
      </a:lt2>
      <a:accent1>
        <a:srgbClr val="0072CE"/>
      </a:accent1>
      <a:accent2>
        <a:srgbClr val="68CEF2"/>
      </a:accent2>
      <a:accent3>
        <a:srgbClr val="004C97"/>
      </a:accent3>
      <a:accent4>
        <a:srgbClr val="D3D5D7"/>
      </a:accent4>
      <a:accent5>
        <a:srgbClr val="5BBD74"/>
      </a:accent5>
      <a:accent6>
        <a:srgbClr val="D4E15F"/>
      </a:accent6>
      <a:hlink>
        <a:srgbClr val="53565A"/>
      </a:hlink>
      <a:folHlink>
        <a:srgbClr val="999999"/>
      </a:folHlink>
    </a:clrScheme>
    <a:fontScheme name="DTF 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1 6 " ? > < K a p i s h F i l e n a m e T o U r i M a p p i n g s   x m l n s : x s i = " h t t p : / / w w w . w 3 . o r g / 2 0 0 1 / X M L S c h e m a - i n s t a n c e "   x m l n s : x s d = " h t t p : / / w w w . w 3 . o r g / 2 0 0 1 / X M L S c h e m a " / > 
</file>

<file path=customXml/itemProps1.xml><?xml version="1.0" encoding="utf-8"?>
<ds:datastoreItem xmlns:ds="http://schemas.openxmlformats.org/officeDocument/2006/customXml" ds:itemID="{5AFC23E1-303F-4CD2-8E6C-95D29E5F536F}">
  <ds:schemaRefs>
    <ds:schemaRef ds:uri="http://schemas.openxmlformats.org/officeDocument/2006/bibliography"/>
  </ds:schemaRefs>
</ds:datastoreItem>
</file>

<file path=customXml/itemProps2.xml><?xml version="1.0" encoding="utf-8"?>
<ds:datastoreItem xmlns:ds="http://schemas.openxmlformats.org/officeDocument/2006/customXml" ds:itemID="{975429F0-D8F4-4924-B4F5-2349509E3743}">
  <ds:schemaRefs>
    <ds:schemaRef ds:uri="http://www.w3.org/2001/XMLSchema"/>
  </ds:schemaRefs>
</ds:datastoreItem>
</file>

<file path=docProps/app.xml><?xml version="1.0" encoding="utf-8"?>
<Properties xmlns="http://schemas.openxmlformats.org/officeDocument/2006/extended-properties" xmlns:vt="http://schemas.openxmlformats.org/officeDocument/2006/docPropsVTypes">
  <Template>Normal.dotm</Template>
  <TotalTime>508</TotalTime>
  <Pages>11</Pages>
  <Words>2103</Words>
  <Characters>11988</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Department of Treasury and Finance</Company>
  <LinksUpToDate>false</LinksUpToDate>
  <CharactersWithSpaces>14063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Shonna Hennessy (DTF)</dc:creator>
  <cp:lastModifiedBy>Mason Song (DGS)</cp:lastModifiedBy>
  <cp:revision>21</cp:revision>
  <cp:lastPrinted>2021-05-06T00:47:00Z</cp:lastPrinted>
  <dcterms:created xsi:type="dcterms:W3CDTF">2024-08-16T01:25:00Z</dcterms:created>
  <dcterms:modified xsi:type="dcterms:W3CDTF">2024-12-20T00:23:00Z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c6d27caa-cc7e-48c8-94fc-835ecd10064c</vt:lpwstr>
  </property>
  <property fmtid="{D5CDD505-2E9C-101B-9397-08002B2CF9AE}" pid="3" name="PSPFClassification">
    <vt:lpwstr>Do Not Mark</vt:lpwstr>
  </property>
  <property fmtid="{D5CDD505-2E9C-101B-9397-08002B2CF9AE}" pid="4" name="MSIP_Label_bb4ee517-5ca4-4fff-98d2-ed4f906edd6d_Enabled">
    <vt:lpwstr>True</vt:lpwstr>
  </property>
  <property fmtid="{D5CDD505-2E9C-101B-9397-08002B2CF9AE}" pid="5" name="MSIP_Label_bb4ee517-5ca4-4fff-98d2-ed4f906edd6d_SiteId">
    <vt:lpwstr>722ea0be-3e1c-4b11-ad6f-9401d6856e24</vt:lpwstr>
  </property>
  <property fmtid="{D5CDD505-2E9C-101B-9397-08002B2CF9AE}" pid="6" name="MSIP_Label_bb4ee517-5ca4-4fff-98d2-ed4f906edd6d_Owner">
    <vt:lpwstr>Deidre.Steain@dtf.vic.gov.au</vt:lpwstr>
  </property>
  <property fmtid="{D5CDD505-2E9C-101B-9397-08002B2CF9AE}" pid="7" name="MSIP_Label_bb4ee517-5ca4-4fff-98d2-ed4f906edd6d_SetDate">
    <vt:lpwstr>2020-09-04T02:29:59.4054970Z</vt:lpwstr>
  </property>
  <property fmtid="{D5CDD505-2E9C-101B-9397-08002B2CF9AE}" pid="8" name="MSIP_Label_bb4ee517-5ca4-4fff-98d2-ed4f906edd6d_Name">
    <vt:lpwstr>DoNotMark</vt:lpwstr>
  </property>
  <property fmtid="{D5CDD505-2E9C-101B-9397-08002B2CF9AE}" pid="9" name="MSIP_Label_bb4ee517-5ca4-4fff-98d2-ed4f906edd6d_Application">
    <vt:lpwstr>Microsoft Azure Information Protection</vt:lpwstr>
  </property>
  <property fmtid="{D5CDD505-2E9C-101B-9397-08002B2CF9AE}" pid="10" name="MSIP_Label_bb4ee517-5ca4-4fff-98d2-ed4f906edd6d_Extended_MSFT_Method">
    <vt:lpwstr>Manual</vt:lpwstr>
  </property>
  <property fmtid="{D5CDD505-2E9C-101B-9397-08002B2CF9AE}" pid="11" name="Sensitivity">
    <vt:lpwstr>DoNotMark</vt:lpwstr>
  </property>
</Properties>
</file>