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E505" w14:textId="77777777" w:rsidR="007770BB" w:rsidRPr="00E77EFE" w:rsidRDefault="00783C11" w:rsidP="00F43173">
      <w:pPr>
        <w:pStyle w:val="Title"/>
      </w:pPr>
      <w:r>
        <w:t>Treasury and Finance</w:t>
      </w:r>
      <w:r w:rsidRPr="00E77EFE">
        <w:t xml:space="preserve"> </w:t>
      </w:r>
      <w:r w:rsidR="007770BB" w:rsidRPr="00E77EFE">
        <w:t>glossary for budget and financial reports</w:t>
      </w:r>
    </w:p>
    <w:p w14:paraId="0F08E506" w14:textId="77777777" w:rsidR="007770BB" w:rsidRDefault="007770BB" w:rsidP="00F43173"/>
    <w:p w14:paraId="0F08E507" w14:textId="77777777" w:rsidR="0002218A" w:rsidRDefault="0002218A" w:rsidP="00F43173">
      <w:pPr>
        <w:sectPr w:rsidR="0002218A" w:rsidSect="00E670B9">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1627" w:right="1008" w:bottom="1138" w:left="1008" w:header="288" w:footer="288" w:gutter="0"/>
          <w:cols w:space="708"/>
          <w:docGrid w:linePitch="360"/>
        </w:sectPr>
      </w:pPr>
    </w:p>
    <w:p w14:paraId="0F08E508" w14:textId="77777777" w:rsidR="00FB4A57" w:rsidRDefault="00FB4A57" w:rsidP="00B74682">
      <w:pPr>
        <w:pStyle w:val="Heading1NoNum"/>
      </w:pPr>
      <w:r>
        <w:lastRenderedPageBreak/>
        <w:t>A</w:t>
      </w:r>
    </w:p>
    <w:p w14:paraId="0F08E509" w14:textId="77777777" w:rsidR="00FB4A57" w:rsidRDefault="00FB4A57" w:rsidP="007770BB">
      <w:pPr>
        <w:pStyle w:val="Heading2NoNum"/>
      </w:pPr>
      <w:r w:rsidRPr="00F9789E">
        <w:t>ABS</w:t>
      </w:r>
      <w:r>
        <w:t xml:space="preserve"> GFS manual</w:t>
      </w:r>
    </w:p>
    <w:p w14:paraId="0F08E50A" w14:textId="0AA92192" w:rsidR="00FB4A57" w:rsidRDefault="00FB4A57" w:rsidP="00F43173">
      <w:r>
        <w:t>The A</w:t>
      </w:r>
      <w:r w:rsidR="002B738B">
        <w:t xml:space="preserve">ustralian </w:t>
      </w:r>
      <w:r>
        <w:t>B</w:t>
      </w:r>
      <w:r w:rsidR="002B738B">
        <w:t xml:space="preserve">ureau of </w:t>
      </w:r>
      <w:r>
        <w:t>S</w:t>
      </w:r>
      <w:r w:rsidR="002B738B">
        <w:t>tatistics (ABS)</w:t>
      </w:r>
      <w:r>
        <w:t xml:space="preserve"> publication </w:t>
      </w:r>
      <w:r w:rsidRPr="00EE1912">
        <w:rPr>
          <w:i/>
        </w:rPr>
        <w:t>Australian System of Government Finance Statistics: Concepts, Sources and Methods 20</w:t>
      </w:r>
      <w:r w:rsidR="007976CE">
        <w:rPr>
          <w:i/>
        </w:rPr>
        <w:t>15</w:t>
      </w:r>
      <w:r w:rsidRPr="00EE1912">
        <w:rPr>
          <w:i/>
        </w:rPr>
        <w:t xml:space="preserve"> </w:t>
      </w:r>
      <w:r>
        <w:t>as updated from time to time.</w:t>
      </w:r>
    </w:p>
    <w:p w14:paraId="0F08E50B" w14:textId="77777777" w:rsidR="00FB4A57" w:rsidRPr="00F9789E" w:rsidRDefault="00F9789E" w:rsidP="007770BB">
      <w:pPr>
        <w:pStyle w:val="Heading2NoNum"/>
      </w:pPr>
      <w:r>
        <w:t>Accrual accounting</w:t>
      </w:r>
    </w:p>
    <w:p w14:paraId="0F08E50C" w14:textId="77777777" w:rsidR="00F9789E" w:rsidRDefault="00FB4A57" w:rsidP="00F43173">
      <w:r>
        <w:t xml:space="preserve">Recognition of </w:t>
      </w:r>
      <w:r w:rsidR="00EE1912">
        <w:t>income</w:t>
      </w:r>
      <w:r>
        <w:t>, expenses, assets, liabilities and equity when the economic transaction occurs, irrespective of the timing of the related cash flow. For example, revenue from sale of goods is recorded as of the invoice date rather than the date on which payment is received.</w:t>
      </w:r>
    </w:p>
    <w:p w14:paraId="0F08E50D" w14:textId="77777777" w:rsidR="00FB4A57" w:rsidRDefault="00F9789E" w:rsidP="007770BB">
      <w:pPr>
        <w:pStyle w:val="Heading2NoNum"/>
      </w:pPr>
      <w:r>
        <w:t>Accrual output-based management</w:t>
      </w:r>
    </w:p>
    <w:p w14:paraId="0F08E50E" w14:textId="77777777" w:rsidR="00F9789E" w:rsidRDefault="00FB4A57" w:rsidP="00F43173">
      <w:r>
        <w:t xml:space="preserve">The Government, as purchaser, decides which outputs it will purchase from departments at specified levels of quantity, quality and price. As </w:t>
      </w:r>
      <w:r w:rsidR="00B85001">
        <w:t xml:space="preserve">the </w:t>
      </w:r>
      <w:r>
        <w:t xml:space="preserve">owner, the Government decides the investment required in departments in order to enable </w:t>
      </w:r>
      <w:r w:rsidR="00B85001">
        <w:t xml:space="preserve">departments </w:t>
      </w:r>
      <w:r>
        <w:t>to maintain their capacity to meet output delivery targets.</w:t>
      </w:r>
    </w:p>
    <w:p w14:paraId="0F08E50F" w14:textId="77777777" w:rsidR="00F9789E" w:rsidRDefault="00FB4A57" w:rsidP="007770BB">
      <w:pPr>
        <w:pStyle w:val="Heading2NoNum"/>
      </w:pPr>
      <w:r>
        <w:t>Accrued expenses</w:t>
      </w:r>
    </w:p>
    <w:p w14:paraId="0F08E510" w14:textId="77777777" w:rsidR="00F9789E" w:rsidRDefault="0050200D" w:rsidP="00F43173">
      <w:r>
        <w:t>E</w:t>
      </w:r>
      <w:r w:rsidR="00FB4A57">
        <w:t>xpenses that have been incurred regardless of whether or not payment has been made.</w:t>
      </w:r>
    </w:p>
    <w:p w14:paraId="0F08E511" w14:textId="77777777" w:rsidR="00FB4A57" w:rsidRDefault="00FB4A57" w:rsidP="007770BB">
      <w:pPr>
        <w:pStyle w:val="Heading2NoNum"/>
      </w:pPr>
      <w:r>
        <w:t xml:space="preserve">Accrued </w:t>
      </w:r>
      <w:r w:rsidR="00F9789E">
        <w:t>leave</w:t>
      </w:r>
    </w:p>
    <w:p w14:paraId="0F08E512" w14:textId="77777777" w:rsidR="00F9789E" w:rsidRDefault="0050200D" w:rsidP="00F43173">
      <w:r>
        <w:t>L</w:t>
      </w:r>
      <w:r w:rsidR="00FB4A57">
        <w:t>eave earned by employees which the employer must financially recognise.</w:t>
      </w:r>
    </w:p>
    <w:p w14:paraId="0F08E513" w14:textId="77777777" w:rsidR="00FB4A57" w:rsidRDefault="00F9789E" w:rsidP="007770BB">
      <w:pPr>
        <w:pStyle w:val="Heading2NoNum"/>
      </w:pPr>
      <w:r>
        <w:t>Accumulated depreciation</w:t>
      </w:r>
    </w:p>
    <w:p w14:paraId="0F08E514" w14:textId="0772599E" w:rsidR="00F9789E" w:rsidRDefault="00FB4A57" w:rsidP="00F43173">
      <w:r>
        <w:t xml:space="preserve">The aggregate, at a given point in time, of the depreciation expenses made in respect </w:t>
      </w:r>
      <w:r w:rsidR="001427F1">
        <w:t>to</w:t>
      </w:r>
      <w:r>
        <w:t xml:space="preserve"> a particular depreciable asset or class of depreciable assets since acquisition.</w:t>
      </w:r>
    </w:p>
    <w:p w14:paraId="0F08E515" w14:textId="77777777" w:rsidR="00F9789E" w:rsidRDefault="00FB4A57" w:rsidP="007770BB">
      <w:pPr>
        <w:pStyle w:val="Heading2NoNum"/>
      </w:pPr>
      <w:r>
        <w:t>Accumulated surplus</w:t>
      </w:r>
    </w:p>
    <w:p w14:paraId="0F08E516" w14:textId="77777777" w:rsidR="00FB4A57" w:rsidRDefault="00FB4A57" w:rsidP="00F43173">
      <w:r>
        <w:t xml:space="preserve">Represents an excess of </w:t>
      </w:r>
      <w:r w:rsidR="00EE1912">
        <w:t>revenue over expenses</w:t>
      </w:r>
      <w:r>
        <w:t xml:space="preserve"> (not necessarily cash), accumulated as a result of generating surpluses on operations.</w:t>
      </w:r>
    </w:p>
    <w:p w14:paraId="0F08E517" w14:textId="77777777" w:rsidR="00F9789E" w:rsidRDefault="00FB4A57" w:rsidP="007770BB">
      <w:pPr>
        <w:pStyle w:val="Heading2NoNum"/>
      </w:pPr>
      <w:r>
        <w:t xml:space="preserve">Activity </w:t>
      </w:r>
      <w:r w:rsidR="00F9789E">
        <w:t>based costing</w:t>
      </w:r>
    </w:p>
    <w:p w14:paraId="0F08E518" w14:textId="77777777" w:rsidR="00F9789E" w:rsidRDefault="00FB4A57" w:rsidP="00F43173">
      <w:r>
        <w:t>Assigns costs to outputs according to the consumption of each activity in the production of the outputs.</w:t>
      </w:r>
    </w:p>
    <w:p w14:paraId="0F08E519" w14:textId="77777777" w:rsidR="00FB4A57" w:rsidRDefault="00FB4A57" w:rsidP="007770BB">
      <w:pPr>
        <w:pStyle w:val="Heading2NoNum"/>
      </w:pPr>
      <w:r>
        <w:t>Additions to the net asset base</w:t>
      </w:r>
    </w:p>
    <w:p w14:paraId="0F08E51A" w14:textId="77777777" w:rsidR="00F9789E" w:rsidRDefault="00FB4A57" w:rsidP="00F43173">
      <w:r>
        <w:t>An appropriation which provides for an increase in the net capital base of a department’s statement of financial position.</w:t>
      </w:r>
    </w:p>
    <w:p w14:paraId="0F08E51B" w14:textId="77777777" w:rsidR="00F9789E" w:rsidRDefault="00FB4A57" w:rsidP="007770BB">
      <w:pPr>
        <w:pStyle w:val="Heading2NoNum"/>
      </w:pPr>
      <w:r>
        <w:t>Administered item</w:t>
      </w:r>
    </w:p>
    <w:p w14:paraId="0F08E51C" w14:textId="480BD7A7" w:rsidR="00F9789E" w:rsidRDefault="00FB4A57" w:rsidP="00F43173">
      <w:r>
        <w:t xml:space="preserve">Generally refers to a department </w:t>
      </w:r>
      <w:r w:rsidR="00EE1912">
        <w:t xml:space="preserve">not having </w:t>
      </w:r>
      <w:r>
        <w:t>the capacity to benefit from that item in the pursuit of the entity’s objectives</w:t>
      </w:r>
      <w:r w:rsidR="00BE5883">
        <w:t>,</w:t>
      </w:r>
      <w:r>
        <w:t xml:space="preserve"> </w:t>
      </w:r>
      <w:r w:rsidR="00EE1912">
        <w:t xml:space="preserve">or </w:t>
      </w:r>
      <w:r>
        <w:t>to deny or regulate the access of others to that benefit.</w:t>
      </w:r>
    </w:p>
    <w:p w14:paraId="0F08E51D" w14:textId="77777777" w:rsidR="00FB4A57" w:rsidRDefault="00FB4A57" w:rsidP="007770BB">
      <w:pPr>
        <w:pStyle w:val="Heading2NoNum"/>
      </w:pPr>
      <w:r>
        <w:t>Advances paid</w:t>
      </w:r>
    </w:p>
    <w:p w14:paraId="0F08E51E" w14:textId="77777777" w:rsidR="00FB4A57" w:rsidRDefault="00FB4A57" w:rsidP="00F43173">
      <w:r>
        <w:t>Loans acquired for policy rather than liquidity management purposes. These include long and</w:t>
      </w:r>
      <w:r w:rsidR="002730E4">
        <w:t xml:space="preserve"> </w:t>
      </w:r>
      <w:r>
        <w:t>short-term loans, non-marketable debentures and long and short-term promissory agreements (bonds</w:t>
      </w:r>
      <w:r w:rsidR="002730E4">
        <w:t xml:space="preserve"> </w:t>
      </w:r>
      <w:r>
        <w:t>and bills) issued to public sector units for achieving government policy objectives.</w:t>
      </w:r>
    </w:p>
    <w:p w14:paraId="0F08E51F" w14:textId="77777777" w:rsidR="00F9789E" w:rsidRDefault="00FB4A57" w:rsidP="007770BB">
      <w:pPr>
        <w:pStyle w:val="Heading2NoNum"/>
      </w:pPr>
      <w:r>
        <w:lastRenderedPageBreak/>
        <w:t>Advance to the Treasurer</w:t>
      </w:r>
    </w:p>
    <w:p w14:paraId="0F08E520" w14:textId="77777777" w:rsidR="00F9789E" w:rsidRDefault="00FB4A57" w:rsidP="00F43173">
      <w:r>
        <w:t xml:space="preserve">An </w:t>
      </w:r>
      <w:r w:rsidR="002B738B">
        <w:t xml:space="preserve">annual </w:t>
      </w:r>
      <w:r>
        <w:t xml:space="preserve">appropriation to the Treasurer to meet urgent expenditure claims that were unforeseen at the time of the budget. Amounts advanced under this authority are reported to and sanctioned by the Parliament </w:t>
      </w:r>
      <w:r w:rsidR="002B738B">
        <w:t>in the subsequent year’s annual appropriation bill</w:t>
      </w:r>
      <w:r>
        <w:t>.</w:t>
      </w:r>
    </w:p>
    <w:p w14:paraId="0F08E521" w14:textId="77777777" w:rsidR="00F9789E" w:rsidRDefault="00FB4A57" w:rsidP="007770BB">
      <w:pPr>
        <w:pStyle w:val="Heading2NoNum"/>
      </w:pPr>
      <w:r>
        <w:t>Agency</w:t>
      </w:r>
    </w:p>
    <w:p w14:paraId="0F08E522" w14:textId="77777777" w:rsidR="00F9789E" w:rsidRDefault="00FB4A57" w:rsidP="00F43173">
      <w:r>
        <w:t xml:space="preserve">Any government or semi-government organisation not defined under the </w:t>
      </w:r>
      <w:r w:rsidRPr="00F27BAB">
        <w:rPr>
          <w:i/>
        </w:rPr>
        <w:t>Public Sector Management and Employment Act 1998</w:t>
      </w:r>
      <w:r>
        <w:t>.</w:t>
      </w:r>
    </w:p>
    <w:p w14:paraId="0F08E523" w14:textId="77777777" w:rsidR="00FB4A57" w:rsidRDefault="00FB4A57" w:rsidP="007770BB">
      <w:pPr>
        <w:pStyle w:val="Heading2NoNum"/>
      </w:pPr>
      <w:r>
        <w:t>Alliance</w:t>
      </w:r>
    </w:p>
    <w:p w14:paraId="0F08E524" w14:textId="77777777" w:rsidR="00F9789E" w:rsidRDefault="00FB4A57" w:rsidP="00F43173">
      <w:r>
        <w:t xml:space="preserve">A </w:t>
      </w:r>
      <w:r w:rsidR="00232D73">
        <w:t xml:space="preserve">major </w:t>
      </w:r>
      <w:r>
        <w:t xml:space="preserve">capital project delivery method </w:t>
      </w:r>
      <w:r w:rsidR="00232D73">
        <w:t>where a government owner works collaboratively with private sector parties, sharing capped financial upside and downside risks.</w:t>
      </w:r>
      <w:r w:rsidR="007770BB">
        <w:t xml:space="preserve"> </w:t>
      </w:r>
      <w:r w:rsidR="00232D73">
        <w:t>Under alliance contracts, risks of project delivery are often jointly managed, although financial exposure lies mainly with the State.</w:t>
      </w:r>
      <w:r w:rsidR="007770BB">
        <w:t xml:space="preserve"> </w:t>
      </w:r>
      <w:r w:rsidR="00232D73">
        <w:t>Working as a team, the parties make unanimous decisions on all key project delivery issues.</w:t>
      </w:r>
    </w:p>
    <w:p w14:paraId="0F08E525" w14:textId="77777777" w:rsidR="00F9789E" w:rsidRDefault="00FB4A57" w:rsidP="007770BB">
      <w:pPr>
        <w:pStyle w:val="Heading2NoNum"/>
      </w:pPr>
      <w:r>
        <w:t xml:space="preserve">Allocating </w:t>
      </w:r>
      <w:r w:rsidR="00A239D1">
        <w:t>costs</w:t>
      </w:r>
    </w:p>
    <w:p w14:paraId="0F08E526" w14:textId="1A5307EE" w:rsidR="00F9789E" w:rsidRDefault="00FB4A57" w:rsidP="00F43173">
      <w:r>
        <w:t>Assigning costs to anything for which a cost measurement is required. Can be an output, group of outputs, activity, process, project, or cost centre etc.</w:t>
      </w:r>
    </w:p>
    <w:p w14:paraId="0F08E527" w14:textId="77777777" w:rsidR="00F9789E" w:rsidRDefault="00FB4A57" w:rsidP="007770BB">
      <w:pPr>
        <w:pStyle w:val="Heading2NoNum"/>
      </w:pPr>
      <w:r>
        <w:t>Amount appropriated</w:t>
      </w:r>
    </w:p>
    <w:p w14:paraId="0F08E528" w14:textId="77777777" w:rsidR="00F9789E" w:rsidRDefault="00FB4A57" w:rsidP="00F43173">
      <w:r>
        <w:t>The limit of appropriation authority contained in the Appropriation Act for each purpose, or the amount authorised under standing provisions of Acts (other than the annual Appropriation Acts).</w:t>
      </w:r>
    </w:p>
    <w:p w14:paraId="0F08E529" w14:textId="77777777" w:rsidR="00F9789E" w:rsidRDefault="00FB4A57" w:rsidP="007770BB">
      <w:pPr>
        <w:pStyle w:val="Heading2NoNum"/>
      </w:pPr>
      <w:r>
        <w:t xml:space="preserve">Annotated </w:t>
      </w:r>
      <w:r w:rsidR="00A239D1">
        <w:t>receipts</w:t>
      </w:r>
    </w:p>
    <w:p w14:paraId="0F08E52A" w14:textId="77777777" w:rsidR="00F9789E" w:rsidRDefault="00FB4A57" w:rsidP="00F43173">
      <w:r>
        <w:t xml:space="preserve">Section 29 refers to </w:t>
      </w:r>
      <w:r w:rsidR="002B738B">
        <w:t xml:space="preserve">a section </w:t>
      </w:r>
      <w:r>
        <w:t xml:space="preserve">of the </w:t>
      </w:r>
      <w:r w:rsidRPr="002B738B">
        <w:rPr>
          <w:i/>
        </w:rPr>
        <w:t>F</w:t>
      </w:r>
      <w:r w:rsidR="002B738B" w:rsidRPr="002B738B">
        <w:rPr>
          <w:i/>
        </w:rPr>
        <w:t xml:space="preserve">inancial </w:t>
      </w:r>
      <w:r w:rsidRPr="002B738B">
        <w:rPr>
          <w:i/>
        </w:rPr>
        <w:t>M</w:t>
      </w:r>
      <w:r w:rsidR="002B738B" w:rsidRPr="002B738B">
        <w:rPr>
          <w:i/>
        </w:rPr>
        <w:t xml:space="preserve">anagement </w:t>
      </w:r>
      <w:r w:rsidRPr="002B738B">
        <w:rPr>
          <w:i/>
        </w:rPr>
        <w:t>A</w:t>
      </w:r>
      <w:r w:rsidR="002B738B" w:rsidRPr="002B738B">
        <w:rPr>
          <w:i/>
        </w:rPr>
        <w:t>ct 1994</w:t>
      </w:r>
      <w:r>
        <w:t xml:space="preserve"> which provides the legislative authority, in conjunction with the Appropriation Act, for particular departmental appropriation items to be increased by an amount equal to specified departmental receipts under the terms and conditions incorporated in an agreement</w:t>
      </w:r>
      <w:r w:rsidR="00B85001">
        <w:t>,</w:t>
      </w:r>
      <w:r>
        <w:t xml:space="preserve"> signed by the Treasurer and the relevant departmental Minister.</w:t>
      </w:r>
    </w:p>
    <w:p w14:paraId="0F08E52B" w14:textId="77777777" w:rsidR="00F9789E" w:rsidRDefault="00FB4A57" w:rsidP="007770BB">
      <w:pPr>
        <w:pStyle w:val="Heading2NoNum"/>
      </w:pPr>
      <w:r>
        <w:t>Annual appropriation</w:t>
      </w:r>
    </w:p>
    <w:p w14:paraId="0F08E52C" w14:textId="77777777" w:rsidR="00F9789E" w:rsidRDefault="00FB4A57" w:rsidP="00F43173">
      <w:r>
        <w:t>The appropriations to various purposes contained in the Appropriation Act and Appropriation (Parliament) Act</w:t>
      </w:r>
      <w:r w:rsidR="002B738B">
        <w:t xml:space="preserve"> for a particular year</w:t>
      </w:r>
      <w:r>
        <w:t>.</w:t>
      </w:r>
    </w:p>
    <w:p w14:paraId="0F08E52D" w14:textId="77777777" w:rsidR="00F9789E" w:rsidRDefault="00FB4A57" w:rsidP="007770BB">
      <w:pPr>
        <w:pStyle w:val="Heading2NoNum"/>
      </w:pPr>
      <w:r>
        <w:t>Annual Financial Report</w:t>
      </w:r>
    </w:p>
    <w:p w14:paraId="0F08E52E" w14:textId="7E1F95BD" w:rsidR="00F9789E" w:rsidRDefault="002B738B" w:rsidP="00F43173">
      <w:r>
        <w:t xml:space="preserve">Commonly refers to the annual </w:t>
      </w:r>
      <w:r w:rsidRPr="002B738B">
        <w:rPr>
          <w:i/>
        </w:rPr>
        <w:t xml:space="preserve">Financial </w:t>
      </w:r>
      <w:r>
        <w:rPr>
          <w:i/>
        </w:rPr>
        <w:t>R</w:t>
      </w:r>
      <w:r w:rsidRPr="002B738B">
        <w:rPr>
          <w:i/>
        </w:rPr>
        <w:t>eport for the State of Victoria</w:t>
      </w:r>
      <w:r>
        <w:t xml:space="preserve"> which contains</w:t>
      </w:r>
      <w:r w:rsidR="007770BB">
        <w:t xml:space="preserve"> </w:t>
      </w:r>
      <w:r w:rsidR="00FB4A57">
        <w:t xml:space="preserve">a set of financial statements, including associated disclosure </w:t>
      </w:r>
      <w:r w:rsidR="00EE1912">
        <w:t>n</w:t>
      </w:r>
      <w:r w:rsidR="00FB4A57">
        <w:t xml:space="preserve">otes, for the State of Victoria and for the Budget sector for a given financial year. The Annual Financial Report is prepared by the </w:t>
      </w:r>
      <w:r w:rsidR="00EE1912">
        <w:t>Treasurer</w:t>
      </w:r>
      <w:r w:rsidR="00FB4A57">
        <w:t xml:space="preserve"> as specified in Part 5 of the </w:t>
      </w:r>
      <w:r w:rsidR="00FB4A57" w:rsidRPr="00A239D1">
        <w:rPr>
          <w:i/>
        </w:rPr>
        <w:t>Financial Management Act 1994</w:t>
      </w:r>
      <w:r w:rsidR="00FB4A57">
        <w:t>, audited by the Auditor-General and tabled in the Parliament. The Auditor</w:t>
      </w:r>
      <w:r w:rsidR="00E46E43">
        <w:noBreakHyphen/>
      </w:r>
      <w:r w:rsidR="00FB4A57">
        <w:t>General is also required to present a separate report to Parliament on the finances of the State.</w:t>
      </w:r>
    </w:p>
    <w:p w14:paraId="0F08E52F" w14:textId="77777777" w:rsidR="00F9789E" w:rsidRDefault="00FB4A57" w:rsidP="007770BB">
      <w:pPr>
        <w:pStyle w:val="Heading2NoNum"/>
      </w:pPr>
      <w:r>
        <w:t>Annual Report</w:t>
      </w:r>
    </w:p>
    <w:p w14:paraId="0F08E530" w14:textId="77777777" w:rsidR="00F9789E" w:rsidRDefault="00FB4A57" w:rsidP="00F43173">
      <w:r>
        <w:t xml:space="preserve">Report of </w:t>
      </w:r>
      <w:r w:rsidR="00EE1912">
        <w:t>an entity’s</w:t>
      </w:r>
      <w:r>
        <w:t xml:space="preserve"> operations </w:t>
      </w:r>
      <w:r w:rsidR="002B738B">
        <w:t xml:space="preserve">and financial statements </w:t>
      </w:r>
      <w:r>
        <w:t>for the previous financial year.</w:t>
      </w:r>
      <w:r w:rsidR="007770BB">
        <w:t xml:space="preserve"> Section </w:t>
      </w:r>
      <w:r w:rsidR="002B738B">
        <w:t xml:space="preserve">45 of the </w:t>
      </w:r>
      <w:r w:rsidR="002B738B" w:rsidRPr="002B738B">
        <w:rPr>
          <w:i/>
        </w:rPr>
        <w:t>Financial Management Act 1994</w:t>
      </w:r>
      <w:r w:rsidR="002B738B">
        <w:t xml:space="preserve"> requires the Accountable Officer for each department and public body to submit the financial statements to the Auditor</w:t>
      </w:r>
      <w:r w:rsidR="002B738B">
        <w:noBreakHyphen/>
        <w:t>General within eight weeks after the end of the financial year.</w:t>
      </w:r>
    </w:p>
    <w:p w14:paraId="0F08E531" w14:textId="77777777" w:rsidR="00F9789E" w:rsidRDefault="00FB4A57" w:rsidP="007770BB">
      <w:pPr>
        <w:pStyle w:val="Heading2NoNum"/>
      </w:pPr>
      <w:r>
        <w:t>Appropriation</w:t>
      </w:r>
    </w:p>
    <w:p w14:paraId="0F08E532" w14:textId="77777777" w:rsidR="00F9789E" w:rsidRDefault="00FB4A57" w:rsidP="00F43173">
      <w:r>
        <w:t xml:space="preserve">An authority given by the Parliament to </w:t>
      </w:r>
      <w:r w:rsidR="002B738B">
        <w:t xml:space="preserve">draw </w:t>
      </w:r>
      <w:r w:rsidR="00BD618B">
        <w:rPr>
          <w:rFonts w:eastAsiaTheme="minorHAnsi" w:cs="Times New Roman"/>
          <w:lang w:eastAsia="en-US"/>
        </w:rPr>
        <w:t>certain sums out of the Consolidated F</w:t>
      </w:r>
      <w:r w:rsidR="002B738B" w:rsidRPr="002B738B">
        <w:rPr>
          <w:rFonts w:eastAsiaTheme="minorHAnsi" w:cs="Times New Roman"/>
          <w:lang w:eastAsia="en-US"/>
        </w:rPr>
        <w:t>und</w:t>
      </w:r>
      <w:r>
        <w:t>, now or at some future point in time, for the purposes stated, up to the limit of the amount in the particular Act.</w:t>
      </w:r>
    </w:p>
    <w:p w14:paraId="0F08E533" w14:textId="77777777" w:rsidR="00F9789E" w:rsidRDefault="00FB4A57" w:rsidP="007770BB">
      <w:pPr>
        <w:pStyle w:val="Heading2NoNum"/>
      </w:pPr>
      <w:r>
        <w:lastRenderedPageBreak/>
        <w:t>Appropriation Bill</w:t>
      </w:r>
    </w:p>
    <w:p w14:paraId="0F08E534" w14:textId="34C29DCA" w:rsidR="00FB4A57" w:rsidRDefault="00FB4A57" w:rsidP="00F43173">
      <w:r>
        <w:t>A Bill which</w:t>
      </w:r>
      <w:r w:rsidR="00154425">
        <w:t>,</w:t>
      </w:r>
      <w:r>
        <w:t xml:space="preserve"> when passed by Parliament</w:t>
      </w:r>
      <w:r w:rsidR="00154425">
        <w:t>,</w:t>
      </w:r>
      <w:r>
        <w:t xml:space="preserve"> allow</w:t>
      </w:r>
      <w:r w:rsidR="00B002CB">
        <w:t>s</w:t>
      </w:r>
      <w:r>
        <w:t xml:space="preserve"> the Government to spend money.</w:t>
      </w:r>
    </w:p>
    <w:p w14:paraId="0F08E535" w14:textId="77777777" w:rsidR="00254356" w:rsidRDefault="00254356" w:rsidP="00254356">
      <w:pPr>
        <w:pStyle w:val="Heading2NoNum"/>
      </w:pPr>
      <w:r>
        <w:t>Asset investment</w:t>
      </w:r>
    </w:p>
    <w:p w14:paraId="0F08E536" w14:textId="77777777" w:rsidR="00254356" w:rsidRDefault="00254356" w:rsidP="00254356">
      <w:r>
        <w:t xml:space="preserve">In Budget papers, the terms ‘asset investment’, ‘capital investment’ and ‘infrastructure investment’ are used interchangeably to describe government funding used to acquire or construct </w:t>
      </w:r>
      <w:r w:rsidR="00277B32">
        <w:t xml:space="preserve">non-financial </w:t>
      </w:r>
      <w:r>
        <w:t>assets such as land, buildings (e.g. new schools/hospitals or major upgrades to existing facilities), roads and bridges and rolling stock</w:t>
      </w:r>
      <w:r w:rsidR="00176B8A">
        <w:t xml:space="preserve"> or</w:t>
      </w:r>
      <w:r w:rsidR="00277B32">
        <w:t xml:space="preserve"> </w:t>
      </w:r>
      <w:r w:rsidR="00176B8A">
        <w:t xml:space="preserve">information and communications technology </w:t>
      </w:r>
      <w:r w:rsidR="00277B32">
        <w:t>infrastructure</w:t>
      </w:r>
      <w:r>
        <w:t>.</w:t>
      </w:r>
    </w:p>
    <w:p w14:paraId="0F08E537" w14:textId="77777777" w:rsidR="00F9789E" w:rsidRDefault="00FB4A57" w:rsidP="007770BB">
      <w:pPr>
        <w:pStyle w:val="Heading2NoNum"/>
      </w:pPr>
      <w:r>
        <w:t xml:space="preserve">Asset </w:t>
      </w:r>
      <w:r w:rsidR="00A239D1">
        <w:t>investment funding</w:t>
      </w:r>
    </w:p>
    <w:p w14:paraId="0F08E538" w14:textId="77777777" w:rsidR="00F9789E" w:rsidRDefault="0050200D" w:rsidP="00F43173">
      <w:r>
        <w:t>T</w:t>
      </w:r>
      <w:r w:rsidR="00FB4A57">
        <w:t xml:space="preserve">he quantum of funds provided to </w:t>
      </w:r>
      <w:r w:rsidR="00EE1912">
        <w:t>an entity</w:t>
      </w:r>
      <w:r w:rsidR="00E1771E">
        <w:t xml:space="preserve"> </w:t>
      </w:r>
      <w:r w:rsidR="00FB4A57">
        <w:t xml:space="preserve">for asset </w:t>
      </w:r>
      <w:r w:rsidR="00B85001">
        <w:t>i</w:t>
      </w:r>
      <w:r w:rsidR="00FB4A57">
        <w:t>nvestment from all appropriation sources. It includes funds derived from output revenue.</w:t>
      </w:r>
    </w:p>
    <w:p w14:paraId="0F08E539" w14:textId="77777777" w:rsidR="00F9789E" w:rsidRDefault="00FB4A57" w:rsidP="007770BB">
      <w:pPr>
        <w:pStyle w:val="Heading2NoNum"/>
      </w:pPr>
      <w:r>
        <w:t xml:space="preserve">Asset </w:t>
      </w:r>
      <w:r w:rsidR="00A239D1">
        <w:t>management</w:t>
      </w:r>
    </w:p>
    <w:p w14:paraId="0F08E53A" w14:textId="77777777" w:rsidR="00F9789E" w:rsidRDefault="00FB4A57" w:rsidP="00F43173">
      <w:r>
        <w:t>Process of guiding the acquisition, operation, maintenance, use and disposal of assets to make the most of their service delivery potential and manage the related risks and costs over their entire life.</w:t>
      </w:r>
    </w:p>
    <w:p w14:paraId="0F08E53B" w14:textId="77777777" w:rsidR="00F9789E" w:rsidRDefault="00FB4A57" w:rsidP="007770BB">
      <w:pPr>
        <w:pStyle w:val="Heading2NoNum"/>
      </w:pPr>
      <w:r>
        <w:t xml:space="preserve">Asset </w:t>
      </w:r>
      <w:r w:rsidR="00A239D1">
        <w:t>management plan</w:t>
      </w:r>
    </w:p>
    <w:p w14:paraId="0F08E53C" w14:textId="77777777" w:rsidR="00F9789E" w:rsidRDefault="00C61441" w:rsidP="00F43173">
      <w:r>
        <w:t>Outlines a set of flexible and scalable mandatory requirements and best practice guidance for public sector bodies to ensure government assets are appropriately managed.</w:t>
      </w:r>
    </w:p>
    <w:p w14:paraId="0F08E53D" w14:textId="77777777" w:rsidR="00F9789E" w:rsidRDefault="00FB4A57" w:rsidP="007770BB">
      <w:pPr>
        <w:pStyle w:val="Heading2NoNum"/>
      </w:pPr>
      <w:r>
        <w:t xml:space="preserve">Asset </w:t>
      </w:r>
      <w:r w:rsidR="00A239D1">
        <w:t>strategy</w:t>
      </w:r>
    </w:p>
    <w:p w14:paraId="0F08E53E" w14:textId="77777777" w:rsidR="00F9789E" w:rsidRDefault="00C61441" w:rsidP="00F43173">
      <w:r>
        <w:t>A set of agreed principles and actions that determines how an organisation manages its assets over a defined period of time.</w:t>
      </w:r>
    </w:p>
    <w:p w14:paraId="0F08E53F" w14:textId="77777777" w:rsidR="00F9789E" w:rsidRDefault="00FB4A57" w:rsidP="007770BB">
      <w:pPr>
        <w:pStyle w:val="Heading2NoNum"/>
      </w:pPr>
      <w:r>
        <w:t>Assets</w:t>
      </w:r>
    </w:p>
    <w:p w14:paraId="0F08E540" w14:textId="77777777" w:rsidR="00F9789E" w:rsidRDefault="00FB4A57" w:rsidP="00F43173">
      <w:r>
        <w:t>Service potential or future economic benefits controlled by an entity (e.g. a department) as a result of past transactions or other past events. Assets may be physical (e.g. plant, equipment</w:t>
      </w:r>
      <w:r w:rsidR="002B738B">
        <w:t>,</w:t>
      </w:r>
      <w:r>
        <w:t xml:space="preserve"> buildings</w:t>
      </w:r>
      <w:r w:rsidR="002B738B">
        <w:t>,</w:t>
      </w:r>
      <w:r w:rsidR="002B738B" w:rsidRPr="002B738B">
        <w:t xml:space="preserve"> </w:t>
      </w:r>
      <w:r w:rsidR="002B738B">
        <w:t>trains, information technology systems</w:t>
      </w:r>
      <w:r>
        <w:t xml:space="preserve">) or non-physical (e.g. </w:t>
      </w:r>
      <w:r w:rsidR="00C61441">
        <w:t xml:space="preserve">intellectual property, </w:t>
      </w:r>
      <w:r w:rsidR="0086741D">
        <w:t>intangible assets</w:t>
      </w:r>
      <w:r>
        <w:t>). Assets may also be current (having service potential which is consumed in one year or less) or non-current (having service potential that is consumed over a period of more than one year).</w:t>
      </w:r>
    </w:p>
    <w:p w14:paraId="0F08E541" w14:textId="77777777" w:rsidR="00F9789E" w:rsidRDefault="00FB4A57" w:rsidP="007770BB">
      <w:pPr>
        <w:pStyle w:val="Heading2NoNum"/>
      </w:pPr>
      <w:r>
        <w:t>Assets (</w:t>
      </w:r>
      <w:r w:rsidR="00A239D1">
        <w:t>current</w:t>
      </w:r>
      <w:r>
        <w:t>)</w:t>
      </w:r>
    </w:p>
    <w:p w14:paraId="0F08E542" w14:textId="77777777" w:rsidR="00F9789E" w:rsidRDefault="0050200D" w:rsidP="00F43173">
      <w:r>
        <w:t>T</w:t>
      </w:r>
      <w:r w:rsidR="00FB4A57">
        <w:t xml:space="preserve">he cash or other assets of </w:t>
      </w:r>
      <w:r w:rsidR="00EE1912">
        <w:t>an entity</w:t>
      </w:r>
      <w:r w:rsidR="00FB4A57">
        <w:t xml:space="preserve"> that would, in the ordinary course of operations of the </w:t>
      </w:r>
      <w:r w:rsidR="00EE1912">
        <w:t>entity</w:t>
      </w:r>
      <w:r w:rsidR="00FB4A57">
        <w:t>, be consumed o</w:t>
      </w:r>
      <w:r w:rsidR="009249B2">
        <w:t>r converted into cash within 12</w:t>
      </w:r>
      <w:r w:rsidR="00FB4A57">
        <w:t xml:space="preserve"> months after the end of the reporting period. Examples include debtors and inventories.</w:t>
      </w:r>
    </w:p>
    <w:p w14:paraId="0F08E543" w14:textId="77777777" w:rsidR="00F9789E" w:rsidRDefault="00FB4A57" w:rsidP="007770BB">
      <w:pPr>
        <w:pStyle w:val="Heading2NoNum"/>
      </w:pPr>
      <w:r>
        <w:t>Assets (</w:t>
      </w:r>
      <w:r w:rsidR="00A239D1">
        <w:t>net</w:t>
      </w:r>
      <w:r>
        <w:t>)</w:t>
      </w:r>
    </w:p>
    <w:p w14:paraId="0F08E544" w14:textId="77777777" w:rsidR="00F9789E" w:rsidRDefault="0050200D" w:rsidP="00F43173">
      <w:r>
        <w:t>T</w:t>
      </w:r>
      <w:r w:rsidR="00FB4A57">
        <w:t>he residual interest in the assets of an entity after deduction of its liabilities.</w:t>
      </w:r>
    </w:p>
    <w:p w14:paraId="0F08E545" w14:textId="77777777" w:rsidR="00F9789E" w:rsidRDefault="00FB4A57" w:rsidP="007770BB">
      <w:pPr>
        <w:pStyle w:val="Heading2NoNum"/>
      </w:pPr>
      <w:r>
        <w:t>Assets (</w:t>
      </w:r>
      <w:r w:rsidR="00A239D1">
        <w:t>non</w:t>
      </w:r>
      <w:r>
        <w:t>-current)</w:t>
      </w:r>
    </w:p>
    <w:p w14:paraId="0F08E546" w14:textId="55386B6E" w:rsidR="00F9789E" w:rsidRDefault="0050200D" w:rsidP="00F43173">
      <w:r>
        <w:t>A</w:t>
      </w:r>
      <w:r w:rsidR="00FB4A57">
        <w:t>ll assets other than current assets. They are usually held for use rather than exchange and provide an economic benefit for periods greater than one year. Examples include land, plant and equipment, motor vehicles, heritage assets and buildings.</w:t>
      </w:r>
    </w:p>
    <w:p w14:paraId="0F08E547" w14:textId="77777777" w:rsidR="009B6857" w:rsidRDefault="009B6857" w:rsidP="007770BB">
      <w:pPr>
        <w:pStyle w:val="Heading2NoNum"/>
      </w:pPr>
      <w:r>
        <w:t xml:space="preserve">Asset recycling </w:t>
      </w:r>
    </w:p>
    <w:p w14:paraId="0F08E548" w14:textId="77777777" w:rsidR="000F1D02" w:rsidRPr="000F1D02" w:rsidRDefault="000F1D02" w:rsidP="000F1D02">
      <w:pPr>
        <w:rPr>
          <w:lang w:eastAsia="en-US"/>
        </w:rPr>
      </w:pPr>
      <w:r>
        <w:rPr>
          <w:lang w:eastAsia="en-US"/>
        </w:rPr>
        <w:t>Asset recycling is a process of divesting assets (and associated services) to the private sector and reinvesting the proceeds in new productive economic infrastructure.</w:t>
      </w:r>
    </w:p>
    <w:p w14:paraId="0F08E549" w14:textId="77777777" w:rsidR="00856583" w:rsidRDefault="00856583" w:rsidP="00F43173"/>
    <w:p w14:paraId="0F08E54A" w14:textId="77777777" w:rsidR="00A239D1" w:rsidRPr="00A239D1" w:rsidRDefault="00A239D1" w:rsidP="00B74682">
      <w:pPr>
        <w:pStyle w:val="Heading1NoNum"/>
      </w:pPr>
      <w:r w:rsidRPr="00A239D1">
        <w:lastRenderedPageBreak/>
        <w:t>B</w:t>
      </w:r>
    </w:p>
    <w:p w14:paraId="0F08E54B" w14:textId="77777777" w:rsidR="00F9789E" w:rsidRDefault="00FB4A57" w:rsidP="007770BB">
      <w:pPr>
        <w:pStyle w:val="Heading2NoNum"/>
      </w:pPr>
      <w:r>
        <w:t>Balance sheet</w:t>
      </w:r>
    </w:p>
    <w:p w14:paraId="0F08E54C" w14:textId="77777777" w:rsidR="00FB4A57" w:rsidRDefault="00FB4A57" w:rsidP="00F43173">
      <w:r>
        <w:t>See Statement of Financial Position.</w:t>
      </w:r>
    </w:p>
    <w:p w14:paraId="0F08E54D" w14:textId="77777777" w:rsidR="00F9789E" w:rsidRDefault="00A239D1" w:rsidP="007770BB">
      <w:pPr>
        <w:pStyle w:val="Heading2NoNum"/>
      </w:pPr>
      <w:r>
        <w:t>Base funding</w:t>
      </w:r>
    </w:p>
    <w:p w14:paraId="0F08E54E" w14:textId="77777777" w:rsidR="00FB4A57" w:rsidRDefault="00FB4A57" w:rsidP="00F43173">
      <w:r>
        <w:t>Existing funding levels for a department/entity in a given year.</w:t>
      </w:r>
    </w:p>
    <w:p w14:paraId="0F08E54F" w14:textId="77777777" w:rsidR="00F9789E" w:rsidRDefault="00FB4A57" w:rsidP="007770BB">
      <w:pPr>
        <w:pStyle w:val="Heading2NoNum"/>
      </w:pPr>
      <w:r>
        <w:t xml:space="preserve">Base </w:t>
      </w:r>
      <w:r w:rsidR="00A239D1">
        <w:t>price</w:t>
      </w:r>
    </w:p>
    <w:p w14:paraId="0F08E550" w14:textId="77777777" w:rsidR="00FB4A57" w:rsidRDefault="00FB4A57" w:rsidP="00F43173">
      <w:r>
        <w:t>The total price Government agrees to pay for an output, based on agreed levels of quantity, quality, price per unit, and timeliness, before any escalation factors are applied.</w:t>
      </w:r>
    </w:p>
    <w:p w14:paraId="0F08E551" w14:textId="77777777" w:rsidR="00FB4A57" w:rsidRDefault="00FB4A57" w:rsidP="007770BB">
      <w:pPr>
        <w:pStyle w:val="Heading2NoNum"/>
      </w:pPr>
      <w:r>
        <w:t>Biological assets</w:t>
      </w:r>
    </w:p>
    <w:p w14:paraId="0F08E552" w14:textId="77777777" w:rsidR="00FB4A57" w:rsidRDefault="00FB4A57" w:rsidP="00F43173">
      <w:r>
        <w:t xml:space="preserve">Biological assets may comprise commercial forests and also any living </w:t>
      </w:r>
      <w:r w:rsidR="0092184A">
        <w:t xml:space="preserve">animal, plant or agricultural </w:t>
      </w:r>
      <w:r>
        <w:t>produce that is the harvested product of biological assets.</w:t>
      </w:r>
    </w:p>
    <w:p w14:paraId="0F08E553" w14:textId="77777777" w:rsidR="00FB4A57" w:rsidRDefault="00FB4A57" w:rsidP="007770BB">
      <w:pPr>
        <w:pStyle w:val="Heading2NoNum"/>
      </w:pPr>
      <w:r>
        <w:t>Borrowings</w:t>
      </w:r>
    </w:p>
    <w:p w14:paraId="0F08E554" w14:textId="77777777" w:rsidR="00FB4A57" w:rsidRDefault="0050200D" w:rsidP="00F43173">
      <w:r>
        <w:t>R</w:t>
      </w:r>
      <w:r w:rsidR="00FB4A57">
        <w:t>efer</w:t>
      </w:r>
      <w:r>
        <w:t>s</w:t>
      </w:r>
      <w:r w:rsidR="00FB4A57">
        <w:t xml:space="preserve"> to interest bearing liabilities mainly from public borrowings raised through the</w:t>
      </w:r>
      <w:r w:rsidR="0092184A">
        <w:t xml:space="preserve"> </w:t>
      </w:r>
      <w:r w:rsidR="00FB4A57">
        <w:t>Treasury Corporation of Victoria and finance leases and other interest bearing arrangements.</w:t>
      </w:r>
    </w:p>
    <w:p w14:paraId="0F08E555" w14:textId="77777777" w:rsidR="00FB4A57" w:rsidRDefault="00FB4A57" w:rsidP="00F43173">
      <w:r>
        <w:t>Borrowings exclude liabilities raised from other government entities, which are classified as deposits</w:t>
      </w:r>
      <w:r w:rsidR="0092184A">
        <w:t xml:space="preserve"> </w:t>
      </w:r>
      <w:r>
        <w:t>held and advances received.</w:t>
      </w:r>
    </w:p>
    <w:p w14:paraId="0F08E556" w14:textId="77777777" w:rsidR="00F9789E" w:rsidRDefault="00FB4A57" w:rsidP="007770BB">
      <w:pPr>
        <w:pStyle w:val="Heading2NoNum"/>
      </w:pPr>
      <w:r>
        <w:t>Budget Paper No. 1</w:t>
      </w:r>
    </w:p>
    <w:p w14:paraId="0F08E557" w14:textId="77777777" w:rsidR="00F9789E" w:rsidRDefault="00FB4A57" w:rsidP="00F43173">
      <w:r>
        <w:t xml:space="preserve">The Treasurer's </w:t>
      </w:r>
      <w:r w:rsidR="00512B79">
        <w:t xml:space="preserve">second reading speech introducing the annual Appropriation Bill into the Legislative Assembly. Generally referred to as the Treasurer’s </w:t>
      </w:r>
      <w:r>
        <w:t>Budget Speech.</w:t>
      </w:r>
    </w:p>
    <w:p w14:paraId="0F08E558" w14:textId="77777777" w:rsidR="00F9789E" w:rsidRDefault="00FB4A57" w:rsidP="007770BB">
      <w:pPr>
        <w:pStyle w:val="Heading2NoNum"/>
      </w:pPr>
      <w:r>
        <w:t>Budget Paper No. 2</w:t>
      </w:r>
    </w:p>
    <w:p w14:paraId="0F08E559" w14:textId="77777777" w:rsidR="00F9789E" w:rsidRDefault="00FB4A57" w:rsidP="00F43173">
      <w:r>
        <w:t>The Budget Statement detailing financial policy objectives and strategies, the budget position and outlook, economic conditions and outlook and budget initiatives.</w:t>
      </w:r>
    </w:p>
    <w:p w14:paraId="0F08E55A" w14:textId="77777777" w:rsidR="00F9789E" w:rsidRDefault="00FB4A57" w:rsidP="007770BB">
      <w:pPr>
        <w:pStyle w:val="Heading2NoNum"/>
      </w:pPr>
      <w:r>
        <w:t>Budget Paper No. 3</w:t>
      </w:r>
    </w:p>
    <w:p w14:paraId="0F08E55B" w14:textId="77777777" w:rsidR="00F9789E" w:rsidRDefault="00FB4A57" w:rsidP="00F43173">
      <w:r>
        <w:t xml:space="preserve">Comprises a summary of the activities supported from the Budget, the revenue and expenses of the budget sector and the outputs which the Government expects to purchase. It also includes commentary on how these outputs will contribute to the achievement of desired </w:t>
      </w:r>
      <w:r w:rsidR="00BC0647">
        <w:t>Government</w:t>
      </w:r>
      <w:r>
        <w:t xml:space="preserve"> outcomes. This document is the primary source of information regarding the detailed output delivery plans of individual departments.</w:t>
      </w:r>
    </w:p>
    <w:p w14:paraId="0F08E55C" w14:textId="77777777" w:rsidR="0092184A" w:rsidRDefault="0092184A" w:rsidP="007770BB">
      <w:pPr>
        <w:pStyle w:val="Heading2NoNum"/>
      </w:pPr>
      <w:r>
        <w:t>Budget Paper No. 4</w:t>
      </w:r>
    </w:p>
    <w:p w14:paraId="0F08E55D" w14:textId="77777777" w:rsidR="0092184A" w:rsidRDefault="00706808" w:rsidP="00F43173">
      <w:r>
        <w:t xml:space="preserve">The State Capital Program summarises the capital projects the Government </w:t>
      </w:r>
      <w:r w:rsidR="00C61441">
        <w:t>has funded which are either funded in the current budget year, under construction or have recently been completed and will no longer be reported</w:t>
      </w:r>
      <w:r>
        <w:t>.</w:t>
      </w:r>
      <w:r w:rsidR="00512B79">
        <w:t xml:space="preserve"> Includes the capital projects of both the general government sector and the public non</w:t>
      </w:r>
      <w:r w:rsidR="00512B79">
        <w:noBreakHyphen/>
        <w:t>financial corporation</w:t>
      </w:r>
      <w:r w:rsidR="00EE1912">
        <w:t>s</w:t>
      </w:r>
      <w:r w:rsidR="00512B79">
        <w:t xml:space="preserve"> sector.</w:t>
      </w:r>
    </w:p>
    <w:p w14:paraId="0F08E55E" w14:textId="77777777" w:rsidR="00706808" w:rsidRDefault="00706808" w:rsidP="007770BB">
      <w:pPr>
        <w:pStyle w:val="Heading2NoNum"/>
      </w:pPr>
      <w:r>
        <w:t>Budget Paper No. 5</w:t>
      </w:r>
    </w:p>
    <w:p w14:paraId="0F08E55F" w14:textId="77777777" w:rsidR="00706808" w:rsidRDefault="00706808" w:rsidP="00F43173">
      <w:r>
        <w:t xml:space="preserve">The </w:t>
      </w:r>
      <w:r w:rsidRPr="00706808">
        <w:t>Statement of Finances (</w:t>
      </w:r>
      <w:r>
        <w:t xml:space="preserve">which includes the </w:t>
      </w:r>
      <w:r w:rsidR="009249B2">
        <w:t>March Q</w:t>
      </w:r>
      <w:r w:rsidRPr="00706808">
        <w:t xml:space="preserve">uarterly </w:t>
      </w:r>
      <w:r w:rsidR="009249B2">
        <w:t>Financial R</w:t>
      </w:r>
      <w:r>
        <w:t>eport</w:t>
      </w:r>
      <w:r w:rsidRPr="00706808">
        <w:t>), provides the financial details of the aggregated Victorian general government sector and the broader Victorian public sector.</w:t>
      </w:r>
      <w:r w:rsidR="00512B79">
        <w:t xml:space="preserve"> Also includes the financial statements of each department</w:t>
      </w:r>
      <w:r w:rsidR="00EE1912">
        <w:t>, the courts</w:t>
      </w:r>
      <w:r w:rsidR="00512B79">
        <w:t xml:space="preserve"> and the Parliament.</w:t>
      </w:r>
    </w:p>
    <w:p w14:paraId="0F08E560" w14:textId="77777777" w:rsidR="00F9789E" w:rsidRDefault="00FB4A57" w:rsidP="007770BB">
      <w:pPr>
        <w:pStyle w:val="Heading2NoNum"/>
      </w:pPr>
      <w:r>
        <w:lastRenderedPageBreak/>
        <w:t xml:space="preserve">Budget </w:t>
      </w:r>
      <w:r w:rsidR="00706808">
        <w:t>sector</w:t>
      </w:r>
    </w:p>
    <w:p w14:paraId="0F08E561" w14:textId="77777777" w:rsidR="00F9789E" w:rsidRDefault="00FB4A57" w:rsidP="00F43173">
      <w:r>
        <w:t>Entities in the general gove</w:t>
      </w:r>
      <w:r w:rsidR="009249B2">
        <w:t>rnment sector which source 50</w:t>
      </w:r>
      <w:r>
        <w:t xml:space="preserve"> per cent or more of funding through appropriations and which are directly accountable through Ministers to Parliament. Includes all tr</w:t>
      </w:r>
      <w:r w:rsidR="00BD618B">
        <w:t>ansactions passing through the public a</w:t>
      </w:r>
      <w:r>
        <w:t>ccount, whether recorded in</w:t>
      </w:r>
      <w:r w:rsidR="00BD618B">
        <w:t xml:space="preserve"> the consolidated fund, or the t</w:t>
      </w:r>
      <w:r>
        <w:t xml:space="preserve">rust </w:t>
      </w:r>
      <w:r w:rsidR="00BD618B">
        <w:t>f</w:t>
      </w:r>
      <w:r>
        <w:t>und. The activities of budget sector agencies are subject to detailed financial scrutiny and accountability through the annual budget process.</w:t>
      </w:r>
    </w:p>
    <w:p w14:paraId="0F08E562" w14:textId="77777777" w:rsidR="00F9789E" w:rsidRDefault="00FB4A57" w:rsidP="007770BB">
      <w:pPr>
        <w:pStyle w:val="Heading2NoNum"/>
      </w:pPr>
      <w:r>
        <w:t>Budget Sector Debt Portfolio</w:t>
      </w:r>
    </w:p>
    <w:p w14:paraId="0F08E563" w14:textId="77777777" w:rsidR="00F9789E" w:rsidRDefault="00FB4A57" w:rsidP="00F43173">
      <w:r>
        <w:t>The portfolio of debt borrowed by the Treasury Corporation of Victoria on behalf of the State to provide funding for the Budget.</w:t>
      </w:r>
    </w:p>
    <w:p w14:paraId="0F08E564" w14:textId="77777777" w:rsidR="00512B79" w:rsidRDefault="00512B79" w:rsidP="007770BB">
      <w:pPr>
        <w:pStyle w:val="Heading2NoNum"/>
      </w:pPr>
      <w:r>
        <w:t>Budget Update</w:t>
      </w:r>
    </w:p>
    <w:p w14:paraId="0F08E565" w14:textId="77777777" w:rsidR="00512B79" w:rsidRDefault="00512B79" w:rsidP="00F43173">
      <w:r>
        <w:t>Updated information tabled in Parliament by 15 December each year on the Government’s financial policy against the financial policy objectives and strategies set out in Budget Paper No</w:t>
      </w:r>
      <w:r w:rsidR="00900A67">
        <w:t>.</w:t>
      </w:r>
      <w:r>
        <w:t xml:space="preserve"> 2.</w:t>
      </w:r>
    </w:p>
    <w:p w14:paraId="0F08E566" w14:textId="77777777" w:rsidR="00856583" w:rsidRDefault="00856583" w:rsidP="00F43173"/>
    <w:p w14:paraId="0F08E567" w14:textId="77777777" w:rsidR="00CF6949" w:rsidRDefault="00CF6949" w:rsidP="00CF6949">
      <w:pPr>
        <w:pStyle w:val="Heading1NoNum"/>
      </w:pPr>
      <w:r>
        <w:t>C</w:t>
      </w:r>
    </w:p>
    <w:p w14:paraId="0F08E568" w14:textId="77777777" w:rsidR="00FB4A57" w:rsidRDefault="00BC1677" w:rsidP="007770BB">
      <w:pPr>
        <w:pStyle w:val="Heading2NoNum"/>
      </w:pPr>
      <w:r>
        <w:t>Capital asset</w:t>
      </w:r>
    </w:p>
    <w:p w14:paraId="0F08E569" w14:textId="77777777" w:rsidR="00FB4A57" w:rsidRDefault="00FB4A57" w:rsidP="00F43173">
      <w:r>
        <w:t>Any item which is a store of value or which provides future economic benefits and/or services.</w:t>
      </w:r>
      <w:r w:rsidR="00BC1677">
        <w:t xml:space="preserve"> </w:t>
      </w:r>
      <w:r w:rsidR="00512B79">
        <w:t>Such items</w:t>
      </w:r>
      <w:r>
        <w:t xml:space="preserve"> may be financial (e</w:t>
      </w:r>
      <w:r w:rsidR="00BC1677">
        <w:t>.</w:t>
      </w:r>
      <w:r>
        <w:t>g</w:t>
      </w:r>
      <w:r w:rsidR="00BC1677">
        <w:t>.</w:t>
      </w:r>
      <w:r>
        <w:t xml:space="preserve"> cash, bank deposits) or non-financial (</w:t>
      </w:r>
      <w:r w:rsidR="00BC0647">
        <w:t>e.g.</w:t>
      </w:r>
      <w:r>
        <w:t xml:space="preserve"> fixed assets such as land, buildings, roads and other infrastructure</w:t>
      </w:r>
      <w:r w:rsidR="00277B32">
        <w:t xml:space="preserve"> including information and communication technology</w:t>
      </w:r>
      <w:r>
        <w:t>).</w:t>
      </w:r>
    </w:p>
    <w:p w14:paraId="0F08E56A" w14:textId="77777777" w:rsidR="00F9789E" w:rsidRDefault="00FB4A57" w:rsidP="007770BB">
      <w:pPr>
        <w:pStyle w:val="Heading2NoNum"/>
      </w:pPr>
      <w:r>
        <w:t xml:space="preserve">Capital </w:t>
      </w:r>
      <w:r w:rsidR="00BC1677">
        <w:t xml:space="preserve">assets charge </w:t>
      </w:r>
      <w:r>
        <w:t>(CAC)</w:t>
      </w:r>
    </w:p>
    <w:p w14:paraId="0F08E56B" w14:textId="77777777" w:rsidR="00FB4A57" w:rsidRDefault="0050200D" w:rsidP="00F43173">
      <w:r>
        <w:t>A</w:t>
      </w:r>
      <w:r w:rsidR="00BC0647">
        <w:t xml:space="preserve"> charge levied on the written-down value of controlled non-current physical assets in a department’s balance sheet which aims to: attribute to agency outputs the opportunity cost of capital used in service delivery; and provide incentives to departments to identify and dispose of underutilised or surplus assets in a timely manner.</w:t>
      </w:r>
    </w:p>
    <w:p w14:paraId="0F08E56C" w14:textId="77777777" w:rsidR="00FB4A57" w:rsidRDefault="00FB4A57" w:rsidP="007770BB">
      <w:pPr>
        <w:pStyle w:val="Heading2NoNum"/>
      </w:pPr>
      <w:r>
        <w:t>Capital grants</w:t>
      </w:r>
    </w:p>
    <w:p w14:paraId="0F08E56D" w14:textId="77777777" w:rsidR="00F9789E" w:rsidRDefault="00FB4A57" w:rsidP="00F43173">
      <w:r>
        <w:t>Transactions in which the ownership of an asset is transferred from</w:t>
      </w:r>
      <w:r w:rsidR="00BC1677">
        <w:t xml:space="preserve"> </w:t>
      </w:r>
      <w:r>
        <w:t>one institutional unit to another, in which cash is transferred to enable the recipient to acquire another</w:t>
      </w:r>
      <w:r w:rsidR="00BC1677">
        <w:t xml:space="preserve"> </w:t>
      </w:r>
      <w:r>
        <w:t>asset or in which the funds realised by the disposal of another asset are transferred, for which no</w:t>
      </w:r>
      <w:r w:rsidR="00BC1677">
        <w:t xml:space="preserve"> </w:t>
      </w:r>
      <w:r>
        <w:t>economic benefits of equal value are receivable or payable in return.</w:t>
      </w:r>
    </w:p>
    <w:p w14:paraId="0F08E56E" w14:textId="77777777" w:rsidR="00F9789E" w:rsidRDefault="00FB4A57" w:rsidP="007770BB">
      <w:pPr>
        <w:pStyle w:val="Heading2NoNum"/>
      </w:pPr>
      <w:r>
        <w:t xml:space="preserve">Capital </w:t>
      </w:r>
      <w:r w:rsidR="00544593">
        <w:t>i</w:t>
      </w:r>
      <w:r>
        <w:t>njection</w:t>
      </w:r>
    </w:p>
    <w:p w14:paraId="0F08E56F" w14:textId="77777777" w:rsidR="00F9789E" w:rsidRDefault="00FB4A57" w:rsidP="00F43173">
      <w:r>
        <w:t>Contribution to the net worth of an entity made by its owner. A capital injection takes the form of a net increase in assets or a reduction in external liabilities, usually (but not necessarily) through the provision of cash to the entity. A capital injection gives the entity additional resources which it may use to further its ongoing activities.</w:t>
      </w:r>
    </w:p>
    <w:p w14:paraId="0F08E570" w14:textId="77777777" w:rsidR="00254356" w:rsidRDefault="00254356" w:rsidP="00254356">
      <w:pPr>
        <w:pStyle w:val="Heading2NoNum"/>
      </w:pPr>
      <w:r>
        <w:t>Capital investment</w:t>
      </w:r>
    </w:p>
    <w:p w14:paraId="0F08E571" w14:textId="77777777" w:rsidR="00176B8A" w:rsidRDefault="00176B8A" w:rsidP="00176B8A">
      <w:r>
        <w:t>In Budget papers, the terms ‘asset investment’, ‘capital investment’ and ‘infrastructure investment’ are used interchangeably to describe government funding used to acquire or construct non-financial assets such as land, buildings (e.g. new schools/hospitals or major upgrades to existing facilities), roads and bridges and rolling stock or information and communications technology infrastructure.</w:t>
      </w:r>
    </w:p>
    <w:p w14:paraId="0F08E572" w14:textId="77777777" w:rsidR="00F9789E" w:rsidRDefault="00FB4A57" w:rsidP="007770BB">
      <w:pPr>
        <w:pStyle w:val="Heading2NoNum"/>
      </w:pPr>
      <w:r>
        <w:t>Capitalisation</w:t>
      </w:r>
    </w:p>
    <w:p w14:paraId="0F08E573" w14:textId="77777777" w:rsidR="00F9789E" w:rsidRDefault="00FB4A57" w:rsidP="00F43173">
      <w:r>
        <w:t xml:space="preserve">Recognising the </w:t>
      </w:r>
      <w:r w:rsidR="00EE1912">
        <w:t>expenditure</w:t>
      </w:r>
      <w:r>
        <w:t xml:space="preserve"> as an asset rather than as an expense.</w:t>
      </w:r>
    </w:p>
    <w:p w14:paraId="0F08E574" w14:textId="77777777" w:rsidR="00BC1677" w:rsidRDefault="00FB4A57" w:rsidP="007770BB">
      <w:pPr>
        <w:pStyle w:val="Heading2NoNum"/>
      </w:pPr>
      <w:r>
        <w:lastRenderedPageBreak/>
        <w:t xml:space="preserve">Capital projects </w:t>
      </w:r>
    </w:p>
    <w:p w14:paraId="0F08E575" w14:textId="77777777" w:rsidR="00F9789E" w:rsidRDefault="00BC1677" w:rsidP="00F43173">
      <w:r>
        <w:t>I</w:t>
      </w:r>
      <w:r w:rsidR="00FB4A57">
        <w:t>ndividual projects to deliver the capital</w:t>
      </w:r>
      <w:r w:rsidR="000F1D02">
        <w:t xml:space="preserve"> assets</w:t>
      </w:r>
      <w:r>
        <w:t>.</w:t>
      </w:r>
    </w:p>
    <w:p w14:paraId="0F08E576" w14:textId="77777777" w:rsidR="00BC1677" w:rsidRDefault="00FB4A57" w:rsidP="007770BB">
      <w:pPr>
        <w:pStyle w:val="Heading2NoNum"/>
      </w:pPr>
      <w:r>
        <w:t>Capital value</w:t>
      </w:r>
    </w:p>
    <w:p w14:paraId="0F08E577" w14:textId="77777777" w:rsidR="00F9789E" w:rsidRDefault="00BC1677" w:rsidP="00F43173">
      <w:r>
        <w:t>D</w:t>
      </w:r>
      <w:r w:rsidR="00FB4A57">
        <w:t>ollar value of a capital project</w:t>
      </w:r>
      <w:r>
        <w:t>.</w:t>
      </w:r>
    </w:p>
    <w:p w14:paraId="0F08E578" w14:textId="77777777" w:rsidR="00F9789E" w:rsidRDefault="00FB4A57" w:rsidP="007770BB">
      <w:pPr>
        <w:pStyle w:val="Heading2NoNum"/>
      </w:pPr>
      <w:r>
        <w:t>Carryover</w:t>
      </w:r>
    </w:p>
    <w:p w14:paraId="0F08E579" w14:textId="77777777" w:rsidR="00F9789E" w:rsidRDefault="00FB4A57" w:rsidP="00F43173">
      <w:r>
        <w:t xml:space="preserve">Occurs where an annual appropriation amount for the previous year was not applied and where the Treasurer has approved the application of this amount in the next succeeding year, under Section 32 of </w:t>
      </w:r>
      <w:r w:rsidRPr="00EE1912">
        <w:t>the</w:t>
      </w:r>
      <w:r w:rsidRPr="002C7A7F">
        <w:rPr>
          <w:i/>
        </w:rPr>
        <w:t xml:space="preserve"> Financial Management Act</w:t>
      </w:r>
      <w:r w:rsidR="002C7A7F">
        <w:rPr>
          <w:i/>
        </w:rPr>
        <w:t xml:space="preserve"> 1994</w:t>
      </w:r>
      <w:r>
        <w:t>. Special standing appropriations are not impacted by the Carryover provisions.</w:t>
      </w:r>
    </w:p>
    <w:p w14:paraId="0F08E57A" w14:textId="77777777" w:rsidR="00F9789E" w:rsidRDefault="00FB4A57" w:rsidP="007770BB">
      <w:pPr>
        <w:pStyle w:val="Heading2NoNum"/>
      </w:pPr>
      <w:r>
        <w:t xml:space="preserve">Cash </w:t>
      </w:r>
      <w:r w:rsidR="00BC1677">
        <w:t>equivalents</w:t>
      </w:r>
    </w:p>
    <w:p w14:paraId="0F08E57B" w14:textId="77777777" w:rsidR="00F9789E" w:rsidRDefault="00FB4A57" w:rsidP="00F43173">
      <w:r>
        <w:t>Highly liquid investments which are readily convertible to cash on hand at the entity’s option and which an entity uses in its cash management function on a day-to-day basis; and borrowings which are integral to the cash management function and which are not subject to a term facility.</w:t>
      </w:r>
    </w:p>
    <w:p w14:paraId="0F08E57C" w14:textId="77777777" w:rsidR="00F9789E" w:rsidRDefault="00FB4A57" w:rsidP="007770BB">
      <w:pPr>
        <w:pStyle w:val="Heading2NoNum"/>
      </w:pPr>
      <w:r>
        <w:t xml:space="preserve">Cash </w:t>
      </w:r>
      <w:r w:rsidR="00BC1677">
        <w:t>flows</w:t>
      </w:r>
    </w:p>
    <w:p w14:paraId="0F08E57D" w14:textId="77777777" w:rsidR="00F9789E" w:rsidRDefault="00FB4A57" w:rsidP="00F43173">
      <w:r>
        <w:t>Cash movements resulting from transactions with external parties.</w:t>
      </w:r>
    </w:p>
    <w:p w14:paraId="0F08E57E" w14:textId="77777777" w:rsidR="00F9789E" w:rsidRDefault="00FB4A57" w:rsidP="007770BB">
      <w:pPr>
        <w:pStyle w:val="Heading2NoNum"/>
      </w:pPr>
      <w:r>
        <w:t xml:space="preserve">Cash </w:t>
      </w:r>
      <w:r w:rsidR="00BC1677">
        <w:t>held</w:t>
      </w:r>
    </w:p>
    <w:p w14:paraId="0F08E57F" w14:textId="77777777" w:rsidR="00F9789E" w:rsidRDefault="00FB4A57" w:rsidP="00F43173">
      <w:r>
        <w:t>Notes and coins held, and deposits held at call with a bank or financial institution.</w:t>
      </w:r>
    </w:p>
    <w:p w14:paraId="0F08E580" w14:textId="77777777" w:rsidR="00FB4A57" w:rsidRDefault="00FB4A57" w:rsidP="007770BB">
      <w:pPr>
        <w:pStyle w:val="Heading2NoNum"/>
      </w:pPr>
      <w:r>
        <w:t>Cash surplus/deficit</w:t>
      </w:r>
    </w:p>
    <w:p w14:paraId="0F08E581" w14:textId="77777777" w:rsidR="00FB4A57" w:rsidRDefault="00FB4A57" w:rsidP="00F43173">
      <w:r>
        <w:t xml:space="preserve">Net cash flows from operating activities plus net cash flows from investments in </w:t>
      </w:r>
      <w:r w:rsidR="00BC0647">
        <w:t>non-financial</w:t>
      </w:r>
      <w:r>
        <w:t xml:space="preserve"> assets</w:t>
      </w:r>
      <w:r w:rsidR="00BC1677">
        <w:t xml:space="preserve"> </w:t>
      </w:r>
      <w:r>
        <w:t>(less dividends paid for</w:t>
      </w:r>
      <w:r w:rsidR="00333DDE">
        <w:t xml:space="preserve"> by</w:t>
      </w:r>
      <w:r>
        <w:t xml:space="preserve"> the PNFC and PFC sectors).</w:t>
      </w:r>
    </w:p>
    <w:p w14:paraId="0F08E582" w14:textId="77777777" w:rsidR="00FB4A57" w:rsidRDefault="00FB4A57" w:rsidP="007770BB">
      <w:pPr>
        <w:pStyle w:val="Heading2NoNum"/>
      </w:pPr>
      <w:r>
        <w:t>Cash surplus/deficit – ABS GFS version</w:t>
      </w:r>
    </w:p>
    <w:p w14:paraId="0F08E583" w14:textId="77777777" w:rsidR="00F9789E" w:rsidRDefault="00FB4A57" w:rsidP="00F43173">
      <w:r>
        <w:t>Equal to the cash surplus deficit (above) less the value of assets acquired under finance leases and similar arrangements.</w:t>
      </w:r>
    </w:p>
    <w:p w14:paraId="0F08E584" w14:textId="77777777" w:rsidR="00FB4A57" w:rsidRPr="0050200D" w:rsidRDefault="00FB4A57" w:rsidP="007770BB">
      <w:pPr>
        <w:pStyle w:val="Heading2NoNum"/>
      </w:pPr>
      <w:r w:rsidRPr="0050200D">
        <w:t>Change in net worth</w:t>
      </w:r>
    </w:p>
    <w:p w14:paraId="0F08E585" w14:textId="77777777" w:rsidR="00F9789E" w:rsidRDefault="00FB4A57" w:rsidP="00F43173">
      <w:r>
        <w:t>Change in net worth (comprehensive result) is revenue from transactions less expenses from</w:t>
      </w:r>
      <w:r w:rsidR="00512B79">
        <w:t xml:space="preserve"> </w:t>
      </w:r>
      <w:r>
        <w:t>transactions plus other economic flows</w:t>
      </w:r>
      <w:r w:rsidR="00333DDE">
        <w:t>.</w:t>
      </w:r>
      <w:r w:rsidR="007770BB">
        <w:t xml:space="preserve"> </w:t>
      </w:r>
      <w:r w:rsidR="00333DDE">
        <w:t xml:space="preserve">It </w:t>
      </w:r>
      <w:r>
        <w:t>measures the variation in a</w:t>
      </w:r>
      <w:r w:rsidR="00512B79">
        <w:t>n agency, department or</w:t>
      </w:r>
      <w:r>
        <w:t xml:space="preserve"> government’s accumulated assets and liabilities.</w:t>
      </w:r>
    </w:p>
    <w:p w14:paraId="0F08E586" w14:textId="77777777" w:rsidR="00512B79" w:rsidRDefault="00512B79" w:rsidP="007770BB">
      <w:pPr>
        <w:pStyle w:val="Heading2NoNum"/>
      </w:pPr>
      <w:r>
        <w:t xml:space="preserve">Chart of </w:t>
      </w:r>
      <w:r w:rsidR="00A26C0D">
        <w:t>a</w:t>
      </w:r>
      <w:r>
        <w:t>ccounts</w:t>
      </w:r>
    </w:p>
    <w:p w14:paraId="0F08E587" w14:textId="77777777" w:rsidR="00512B79" w:rsidRPr="00512B79" w:rsidRDefault="00512B79" w:rsidP="00F43173">
      <w:pPr>
        <w:rPr>
          <w:lang w:eastAsia="en-US"/>
        </w:rPr>
      </w:pPr>
      <w:r w:rsidRPr="00512B79">
        <w:rPr>
          <w:lang w:eastAsia="en-US"/>
        </w:rPr>
        <w:t>A chart of accounts (COA) is a financial organi</w:t>
      </w:r>
      <w:r w:rsidR="00CE26BD">
        <w:rPr>
          <w:lang w:eastAsia="en-US"/>
        </w:rPr>
        <w:t>s</w:t>
      </w:r>
      <w:r w:rsidRPr="00512B79">
        <w:rPr>
          <w:lang w:eastAsia="en-US"/>
        </w:rPr>
        <w:t>ational tool that provides a complete listing of every account in an accounting system. An account is a unique record for each type of asset, liability, equity, revenue and expense.</w:t>
      </w:r>
    </w:p>
    <w:p w14:paraId="0F08E588" w14:textId="77777777" w:rsidR="00F9789E" w:rsidRDefault="00FB4A57" w:rsidP="007770BB">
      <w:pPr>
        <w:pStyle w:val="Heading2NoNum"/>
      </w:pPr>
      <w:r>
        <w:t xml:space="preserve">Commonwealth </w:t>
      </w:r>
      <w:r w:rsidR="00BC1677">
        <w:t>grants</w:t>
      </w:r>
    </w:p>
    <w:p w14:paraId="0F08E589" w14:textId="77777777" w:rsidR="00F9789E" w:rsidRDefault="00FB4A57" w:rsidP="00F43173">
      <w:r>
        <w:t>Includes general revenue from the Commonwealth Government for the purpose of aiding in the financing of the current operations of the recipient; in addition to monies received for specific purposes (when the Commonwealth wishes to have some involvement in the direction of the expenditure). Grants are also received for on-passing to third parties (e.g. to non-government schools), where the State has no discretion as to their allocation.</w:t>
      </w:r>
    </w:p>
    <w:p w14:paraId="0F08E58A" w14:textId="77777777" w:rsidR="00F9789E" w:rsidRDefault="00FB4A57" w:rsidP="007770BB">
      <w:pPr>
        <w:pStyle w:val="Heading2NoNum"/>
      </w:pPr>
      <w:r>
        <w:lastRenderedPageBreak/>
        <w:t>Commonwealth Grants Commission</w:t>
      </w:r>
    </w:p>
    <w:p w14:paraId="0F08E58B" w14:textId="77777777" w:rsidR="00F9789E" w:rsidRDefault="00FB4A57" w:rsidP="00F43173">
      <w:r>
        <w:t xml:space="preserve">An independent authority established by the Commonwealth Government in 1933 to make recommendations to the Commonwealth concerning the distribution of grants between the States and Territories. In recent years, its principal role has been to make recommendations for the distribution of </w:t>
      </w:r>
      <w:r w:rsidR="00176B8A">
        <w:t>Goods and Services T</w:t>
      </w:r>
      <w:r w:rsidR="00783C11">
        <w:t>ax revenue</w:t>
      </w:r>
      <w:r>
        <w:t xml:space="preserve"> among the States.</w:t>
      </w:r>
    </w:p>
    <w:p w14:paraId="0F08E58C" w14:textId="77777777" w:rsidR="00F9789E" w:rsidRDefault="00FB4A57" w:rsidP="007770BB">
      <w:pPr>
        <w:pStyle w:val="Heading2NoNum"/>
      </w:pPr>
      <w:r>
        <w:t xml:space="preserve">Community </w:t>
      </w:r>
      <w:r w:rsidR="00BC1677">
        <w:t>service obligation</w:t>
      </w:r>
    </w:p>
    <w:p w14:paraId="0F08E58D" w14:textId="77777777" w:rsidR="00F9789E" w:rsidRDefault="00FB4A57" w:rsidP="00F43173">
      <w:r>
        <w:t>The non-commercial programs and activities of government business enterprises designed to meet community and social objectives determined by government.</w:t>
      </w:r>
    </w:p>
    <w:p w14:paraId="0F08E58E" w14:textId="77777777" w:rsidR="00FB4A57" w:rsidRDefault="00FB4A57" w:rsidP="007770BB">
      <w:pPr>
        <w:pStyle w:val="Heading2NoNum"/>
      </w:pPr>
      <w:r>
        <w:t>Comprehensive result</w:t>
      </w:r>
    </w:p>
    <w:p w14:paraId="0F08E58F" w14:textId="77777777" w:rsidR="00FB4A57" w:rsidRDefault="00287647" w:rsidP="00F43173">
      <w:r>
        <w:t>T</w:t>
      </w:r>
      <w:r w:rsidR="00FB4A57">
        <w:t>he amount included in the operating statement representing total change in net worth other than transactions with owners as owners.</w:t>
      </w:r>
    </w:p>
    <w:p w14:paraId="0F08E590" w14:textId="77777777" w:rsidR="00F9789E" w:rsidRDefault="00BC1677" w:rsidP="007770BB">
      <w:pPr>
        <w:pStyle w:val="Heading2NoNum"/>
      </w:pPr>
      <w:r>
        <w:t>Contingencies</w:t>
      </w:r>
    </w:p>
    <w:p w14:paraId="0F08E591" w14:textId="77777777" w:rsidR="00FB4A57" w:rsidRDefault="00FB4A57" w:rsidP="00F43173">
      <w:r>
        <w:t xml:space="preserve">Central provisions for output and asset expenditure incorporated into annual budget estimates </w:t>
      </w:r>
      <w:r w:rsidR="00856583">
        <w:t>which</w:t>
      </w:r>
      <w:r>
        <w:t xml:space="preserve"> have not yet been allocated to departments. Contingencies </w:t>
      </w:r>
      <w:r w:rsidR="005B66BB">
        <w:t xml:space="preserve">may be </w:t>
      </w:r>
      <w:r>
        <w:t>set aside to fund service growth and new initiatives in future budgets, funding held for new policy pending the completion of internal processes such as agreed business cases, and provisions for unforeseen cost pressures or events.</w:t>
      </w:r>
    </w:p>
    <w:p w14:paraId="0F08E592" w14:textId="77777777" w:rsidR="00FB4A57" w:rsidRDefault="00FB4A57" w:rsidP="00F43173">
      <w:r>
        <w:t>Contingencies for outputs and assets are outlined in notes 12 and 20 respectively of the estimated financial statements (Budget Paper No.</w:t>
      </w:r>
      <w:r w:rsidR="00900A67">
        <w:t xml:space="preserve"> </w:t>
      </w:r>
      <w:r>
        <w:t>5) and are categorised by Decisions made but not yet allocated, and Funding not allocated to specific purposes.</w:t>
      </w:r>
    </w:p>
    <w:p w14:paraId="0F08E593" w14:textId="77777777" w:rsidR="00F9789E" w:rsidRDefault="00BC1677" w:rsidP="007770BB">
      <w:pPr>
        <w:pStyle w:val="Heading2NoNum"/>
      </w:pPr>
      <w:r>
        <w:t>Credit rating</w:t>
      </w:r>
    </w:p>
    <w:p w14:paraId="0F08E594" w14:textId="77777777" w:rsidR="00FB4A57" w:rsidRPr="00D71E30" w:rsidRDefault="00FB4A57" w:rsidP="00F43173">
      <w:r>
        <w:t>An assessment of the credit worthiness of a borrower in general terms or with respect to a particular debt or financial obligation. A credit rating can be assigned to any entity that seeks to borrow money</w:t>
      </w:r>
      <w:r w:rsidR="00BC1677">
        <w:t xml:space="preserve"> – </w:t>
      </w:r>
      <w:r>
        <w:t xml:space="preserve">an individual, corporation, state or provincial authority, or sovereign government. Credit assessment and evaluation for companies and governments is generally done by a credit rating agency </w:t>
      </w:r>
      <w:r w:rsidR="005B66BB">
        <w:t xml:space="preserve">contracted </w:t>
      </w:r>
      <w:r w:rsidR="005B66BB" w:rsidRPr="00D71E30">
        <w:t>by the entity that is seeking a credit rating for itself or for one of its debt issues.</w:t>
      </w:r>
      <w:r w:rsidR="005B66BB">
        <w:t xml:space="preserve"> The Victorian Government contracts </w:t>
      </w:r>
      <w:r>
        <w:t>Standard &amp; Poor’s</w:t>
      </w:r>
      <w:r w:rsidR="00512B79">
        <w:t xml:space="preserve"> Financial Services (S&amp;Ps)</w:t>
      </w:r>
      <w:r w:rsidR="005B66BB">
        <w:t xml:space="preserve"> and</w:t>
      </w:r>
      <w:r>
        <w:t xml:space="preserve"> Moody’s </w:t>
      </w:r>
      <w:r w:rsidR="00512B79">
        <w:t xml:space="preserve">Investor Services </w:t>
      </w:r>
      <w:r w:rsidR="005B66BB">
        <w:t xml:space="preserve">to rate the credit worthiness of the </w:t>
      </w:r>
      <w:r w:rsidR="007C4EB9">
        <w:t>Treasury Corporation</w:t>
      </w:r>
      <w:r w:rsidR="005B66BB">
        <w:t xml:space="preserve"> of Victoria. </w:t>
      </w:r>
    </w:p>
    <w:p w14:paraId="0F08E595" w14:textId="77777777" w:rsidR="00FB4A57" w:rsidRDefault="00FB4A57" w:rsidP="00F43173">
      <w:r w:rsidRPr="00D71E30">
        <w:t>Ratings are expressed as letter grades that range from AAA, the highest rate, (Fitch and S</w:t>
      </w:r>
      <w:r>
        <w:t xml:space="preserve">&amp;P) or Aaa (Moody’s) to respectively D and Caa. Ratings between AAA and BBB are used to denote an </w:t>
      </w:r>
      <w:r w:rsidR="00BC1677">
        <w:t>‘</w:t>
      </w:r>
      <w:r>
        <w:t>investment grade</w:t>
      </w:r>
      <w:r w:rsidR="00BC1677">
        <w:t>’</w:t>
      </w:r>
      <w:r>
        <w:t xml:space="preserve"> debt, while BB+ to D is considered as speculative or </w:t>
      </w:r>
      <w:r w:rsidR="00BC1677">
        <w:t>‘</w:t>
      </w:r>
      <w:r>
        <w:t>high yield</w:t>
      </w:r>
      <w:r w:rsidR="00BC1677">
        <w:t>’</w:t>
      </w:r>
      <w:r>
        <w:t>.</w:t>
      </w:r>
    </w:p>
    <w:p w14:paraId="0F08E596" w14:textId="77777777" w:rsidR="00FB4A57" w:rsidRDefault="00FB4A57" w:rsidP="007770BB">
      <w:pPr>
        <w:pStyle w:val="Heading2NoNum"/>
      </w:pPr>
      <w:r>
        <w:t>Current grants</w:t>
      </w:r>
    </w:p>
    <w:p w14:paraId="0F08E597" w14:textId="77777777" w:rsidR="00FB4A57" w:rsidRDefault="00FB4A57" w:rsidP="00F43173">
      <w:r>
        <w:t>Amounts payable or receivable for current purposes for which no economic benefits of equal value are receivable or payable in return.</w:t>
      </w:r>
    </w:p>
    <w:p w14:paraId="0F08E598" w14:textId="77777777" w:rsidR="00FB4A57" w:rsidRDefault="00FB4A57" w:rsidP="007770BB">
      <w:pPr>
        <w:pStyle w:val="Heading2NoNum"/>
      </w:pPr>
      <w:r>
        <w:t>Current prices</w:t>
      </w:r>
    </w:p>
    <w:p w14:paraId="0F08E599" w14:textId="77777777" w:rsidR="009257D9" w:rsidRDefault="00FB4A57" w:rsidP="00F43173">
      <w:r>
        <w:t xml:space="preserve">Estimates are valued at the prices of the period to which the observation relates. For example, estimates for </w:t>
      </w:r>
      <w:r w:rsidR="00693E9F">
        <w:t>2016</w:t>
      </w:r>
      <w:r>
        <w:t>-1</w:t>
      </w:r>
      <w:r w:rsidR="00693E9F">
        <w:t>7</w:t>
      </w:r>
      <w:r>
        <w:t xml:space="preserve"> are valued using </w:t>
      </w:r>
      <w:r w:rsidR="00BC1677">
        <w:t>201</w:t>
      </w:r>
      <w:r w:rsidR="00693E9F">
        <w:t>6</w:t>
      </w:r>
      <w:r w:rsidR="00BC1677">
        <w:t>-1</w:t>
      </w:r>
      <w:r w:rsidR="00693E9F">
        <w:t>7</w:t>
      </w:r>
      <w:r w:rsidR="00BC1677">
        <w:t xml:space="preserve"> </w:t>
      </w:r>
      <w:r>
        <w:t>prices. This contrasts to chain volume measures where the prices used in valuation refer to the prices of the previous year.</w:t>
      </w:r>
    </w:p>
    <w:p w14:paraId="0F08E59A" w14:textId="77777777" w:rsidR="009257D9" w:rsidRDefault="009257D9" w:rsidP="007770BB">
      <w:pPr>
        <w:pStyle w:val="Heading2NoNum"/>
      </w:pPr>
      <w:r>
        <w:t>Current replacement cost</w:t>
      </w:r>
    </w:p>
    <w:p w14:paraId="0F08E59B" w14:textId="77777777" w:rsidR="009257D9" w:rsidRPr="009257D9" w:rsidRDefault="00624961" w:rsidP="00F43173">
      <w:r>
        <w:t>A valuation basis</w:t>
      </w:r>
      <w:r w:rsidR="009257D9" w:rsidRPr="009257D9">
        <w:t xml:space="preserve"> that reflects the amount that </w:t>
      </w:r>
      <w:r w:rsidR="009257D9">
        <w:t xml:space="preserve">would be required to </w:t>
      </w:r>
      <w:r w:rsidR="009257D9" w:rsidRPr="009257D9">
        <w:t>replace the service capacity of an asset</w:t>
      </w:r>
      <w:r w:rsidR="004C712A">
        <w:t xml:space="preserve"> today</w:t>
      </w:r>
      <w:r w:rsidR="009257D9">
        <w:t>.</w:t>
      </w:r>
    </w:p>
    <w:p w14:paraId="0F08E59C" w14:textId="77777777" w:rsidR="00CF6949" w:rsidRDefault="00CF6949" w:rsidP="00CF6949">
      <w:pPr>
        <w:pStyle w:val="Heading1NoNum"/>
      </w:pPr>
      <w:r>
        <w:lastRenderedPageBreak/>
        <w:t>D</w:t>
      </w:r>
    </w:p>
    <w:p w14:paraId="0F08E59D" w14:textId="77777777" w:rsidR="00F9789E" w:rsidRDefault="00FB4A57" w:rsidP="007770BB">
      <w:pPr>
        <w:pStyle w:val="Heading2NoNum"/>
      </w:pPr>
      <w:r>
        <w:t>Debt-</w:t>
      </w:r>
      <w:r w:rsidR="00BC1677">
        <w:t>servicing payments</w:t>
      </w:r>
    </w:p>
    <w:p w14:paraId="0F08E59E" w14:textId="77777777" w:rsidR="00F9789E" w:rsidRDefault="00FB4A57" w:rsidP="00F43173">
      <w:r>
        <w:t>Costs associated with borrowings, such as interest payments and sinking fund contributions. Debt-servicing payments also include the interest component of rental payments under finance leases.</w:t>
      </w:r>
    </w:p>
    <w:p w14:paraId="0F08E59F" w14:textId="77777777" w:rsidR="00F9789E" w:rsidRDefault="00FB4A57" w:rsidP="007770BB">
      <w:pPr>
        <w:pStyle w:val="Heading2NoNum"/>
      </w:pPr>
      <w:r>
        <w:t>Debt-</w:t>
      </w:r>
      <w:r w:rsidR="00BC1677">
        <w:t>servicing ratio</w:t>
      </w:r>
    </w:p>
    <w:p w14:paraId="0F08E5A0" w14:textId="77777777" w:rsidR="00F9789E" w:rsidRDefault="00FB4A57" w:rsidP="00F43173">
      <w:r>
        <w:t xml:space="preserve">The debt-servicing ratio is indicative of the entity's capacity to meet its debt-servicing obligations. </w:t>
      </w:r>
    </w:p>
    <w:p w14:paraId="0F08E5A1" w14:textId="77777777" w:rsidR="00F9789E" w:rsidRDefault="00FB4A57" w:rsidP="007770BB">
      <w:pPr>
        <w:pStyle w:val="Heading2NoNum"/>
      </w:pPr>
      <w:r>
        <w:t>Debt</w:t>
      </w:r>
    </w:p>
    <w:p w14:paraId="0F08E5A2" w14:textId="77777777" w:rsidR="00F9789E" w:rsidRDefault="00FB4A57" w:rsidP="00F43173">
      <w:r>
        <w:t xml:space="preserve">A legal obligation to make payments of principal and interest, and in most cases, according to a predetermined schedule. </w:t>
      </w:r>
      <w:r w:rsidRPr="00A237F1">
        <w:rPr>
          <w:i/>
        </w:rPr>
        <w:t>See also</w:t>
      </w:r>
      <w:r>
        <w:t xml:space="preserve"> Liabilities.</w:t>
      </w:r>
    </w:p>
    <w:p w14:paraId="0F08E5A3" w14:textId="77777777" w:rsidR="00F9789E" w:rsidRDefault="00FB4A57" w:rsidP="007770BB">
      <w:pPr>
        <w:pStyle w:val="Heading2NoNum"/>
      </w:pPr>
      <w:r>
        <w:t>Deficit</w:t>
      </w:r>
    </w:p>
    <w:p w14:paraId="0F08E5A4" w14:textId="77777777" w:rsidR="00F9789E" w:rsidRDefault="00FB4A57" w:rsidP="00F43173">
      <w:r>
        <w:t>A commonly used term for the difference in the Government Finance Statistics framework between outlays and revenue. The difference between expenses and revenue is known as financing transactions, which in turn comprises the deficit (or surplus) plus the increase in provisions (for employee entitlements). The deficit thus measures the requirement for additional resources or funding.</w:t>
      </w:r>
    </w:p>
    <w:p w14:paraId="0F08E5A5" w14:textId="77777777" w:rsidR="00F9789E" w:rsidRDefault="00FB4A57" w:rsidP="007770BB">
      <w:pPr>
        <w:pStyle w:val="Heading2NoNum"/>
      </w:pPr>
      <w:r>
        <w:t>Delegate</w:t>
      </w:r>
    </w:p>
    <w:p w14:paraId="0F08E5A6" w14:textId="77777777" w:rsidR="00F9789E" w:rsidRDefault="00FB4A57" w:rsidP="00F43173">
      <w:r>
        <w:t>A person authorised by the Minister to make general or specified decisions constrained only by the instrument of delegation</w:t>
      </w:r>
      <w:r w:rsidR="00EE1912">
        <w:t>, which may include the authority to commit and incur expenditure</w:t>
      </w:r>
      <w:r>
        <w:t xml:space="preserve">. </w:t>
      </w:r>
    </w:p>
    <w:p w14:paraId="0F08E5A7" w14:textId="77777777" w:rsidR="00F9789E" w:rsidRDefault="00FB4A57" w:rsidP="007770BB">
      <w:pPr>
        <w:pStyle w:val="Heading2NoNum"/>
      </w:pPr>
      <w:r>
        <w:t>Delegation</w:t>
      </w:r>
    </w:p>
    <w:p w14:paraId="0F08E5A8" w14:textId="77777777" w:rsidR="00F9789E" w:rsidRDefault="0050200D" w:rsidP="00F43173">
      <w:r>
        <w:t xml:space="preserve">A </w:t>
      </w:r>
      <w:r w:rsidR="00FB4A57">
        <w:t>power handed down to a second party to act on their own behalf, but not including power to further delegate. The second party is responsible for actions arising from their use of such power.</w:t>
      </w:r>
    </w:p>
    <w:p w14:paraId="0F08E5A9" w14:textId="77777777" w:rsidR="00F9789E" w:rsidRDefault="00FB4A57" w:rsidP="007770BB">
      <w:pPr>
        <w:pStyle w:val="Heading2NoNum"/>
      </w:pPr>
      <w:r>
        <w:t>Deliverables</w:t>
      </w:r>
    </w:p>
    <w:p w14:paraId="0F08E5AA" w14:textId="77777777" w:rsidR="00F9789E" w:rsidRDefault="00FB4A57" w:rsidP="00F43173">
      <w:r>
        <w:t>Components of outputs that merit separate reporting and performance measurement. Major projects are one example where the output may be separated into deliverables.</w:t>
      </w:r>
    </w:p>
    <w:p w14:paraId="0F08E5AB" w14:textId="77777777" w:rsidR="00F9789E" w:rsidRDefault="00FB4A57" w:rsidP="007770BB">
      <w:pPr>
        <w:pStyle w:val="Heading2NoNum"/>
      </w:pPr>
      <w:r>
        <w:t>Department</w:t>
      </w:r>
    </w:p>
    <w:p w14:paraId="0F08E5AC" w14:textId="77777777" w:rsidR="00F9789E" w:rsidRDefault="00FB4A57" w:rsidP="00F43173">
      <w:r>
        <w:t>A department existing by virtue of an order made under s</w:t>
      </w:r>
      <w:r w:rsidR="00BC1677">
        <w:t xml:space="preserve">ection </w:t>
      </w:r>
      <w:r>
        <w:t xml:space="preserve">10 of the </w:t>
      </w:r>
      <w:r w:rsidRPr="00BC1677">
        <w:rPr>
          <w:i/>
        </w:rPr>
        <w:t xml:space="preserve">Public </w:t>
      </w:r>
      <w:r w:rsidR="00AE0AFE">
        <w:rPr>
          <w:i/>
        </w:rPr>
        <w:t>Administration Act 2004</w:t>
      </w:r>
      <w:r>
        <w:t>.</w:t>
      </w:r>
    </w:p>
    <w:p w14:paraId="0F08E5AD" w14:textId="77777777" w:rsidR="00BC1677" w:rsidRDefault="00FB4A57" w:rsidP="007770BB">
      <w:pPr>
        <w:pStyle w:val="Heading2NoNum"/>
      </w:pPr>
      <w:r>
        <w:t>D</w:t>
      </w:r>
      <w:r w:rsidR="00BC1677">
        <w:t>epartmental objective indicator</w:t>
      </w:r>
    </w:p>
    <w:p w14:paraId="0F08E5AE" w14:textId="77777777" w:rsidR="00FB4A57" w:rsidRDefault="00BC1677" w:rsidP="00F43173">
      <w:r>
        <w:t xml:space="preserve">A </w:t>
      </w:r>
      <w:r w:rsidR="00FB4A57">
        <w:t>piece of data that demonstrates progress towards the achievement of a department’s objectives. Indicators provide evidence to support measurement and management of performance.</w:t>
      </w:r>
    </w:p>
    <w:p w14:paraId="0F08E5AF" w14:textId="77777777" w:rsidR="00FB4A57" w:rsidRDefault="00FB4A57" w:rsidP="00F43173">
      <w:r>
        <w:t>Departmental objectives are results based and reflect the extent of the department’s service delivery ambitions over the forward estimates period. They are quantifiable stepping stones that help take a department towards the desired outcomes articulated in its vision and mission statements.</w:t>
      </w:r>
      <w:r w:rsidR="004B4205">
        <w:t xml:space="preserve"> (See also </w:t>
      </w:r>
      <w:r w:rsidR="00176B8A">
        <w:t xml:space="preserve">Budget Paper </w:t>
      </w:r>
      <w:r w:rsidR="00900A67">
        <w:t xml:space="preserve">No. </w:t>
      </w:r>
      <w:r w:rsidR="00176B8A">
        <w:t xml:space="preserve">3, Chapter 2 </w:t>
      </w:r>
      <w:r w:rsidR="004B4205">
        <w:t xml:space="preserve">Objectives </w:t>
      </w:r>
      <w:r w:rsidR="00176B8A">
        <w:t>(</w:t>
      </w:r>
      <w:r w:rsidR="004B4205">
        <w:t>departmental</w:t>
      </w:r>
      <w:r w:rsidR="00176B8A">
        <w:t>)</w:t>
      </w:r>
      <w:r w:rsidR="00D71E30">
        <w:t>.</w:t>
      </w:r>
    </w:p>
    <w:p w14:paraId="0F08E5B0" w14:textId="77777777" w:rsidR="00F9789E" w:rsidRDefault="00FB4A57" w:rsidP="007770BB">
      <w:pPr>
        <w:pStyle w:val="Heading2NoNum"/>
      </w:pPr>
      <w:r>
        <w:t>Depreciation</w:t>
      </w:r>
    </w:p>
    <w:p w14:paraId="0F08E5B1" w14:textId="77777777" w:rsidR="00F9789E" w:rsidRDefault="00FB4A57" w:rsidP="00F43173">
      <w:r>
        <w:t xml:space="preserve">The </w:t>
      </w:r>
      <w:r w:rsidR="0023221C">
        <w:t xml:space="preserve">systematic </w:t>
      </w:r>
      <w:r>
        <w:t xml:space="preserve">allocation of the </w:t>
      </w:r>
      <w:r w:rsidR="0023221C">
        <w:t xml:space="preserve">depreciable amount </w:t>
      </w:r>
      <w:r>
        <w:t>of an asset over its useful life.</w:t>
      </w:r>
    </w:p>
    <w:p w14:paraId="0F08E5B2" w14:textId="77777777" w:rsidR="00F9789E" w:rsidRDefault="00FB4A57" w:rsidP="007770BB">
      <w:pPr>
        <w:pStyle w:val="Heading2NoNum"/>
      </w:pPr>
      <w:r>
        <w:t xml:space="preserve">Depreciation </w:t>
      </w:r>
      <w:r w:rsidR="00BC1677">
        <w:t>expenses</w:t>
      </w:r>
    </w:p>
    <w:p w14:paraId="0F08E5B3" w14:textId="77777777" w:rsidR="00F9789E" w:rsidRDefault="00FB4A57" w:rsidP="00F43173">
      <w:r>
        <w:t>An expense recognised systematically for the purpose of allocating the depreciable amount of a depreciable asset over its useful life.</w:t>
      </w:r>
    </w:p>
    <w:p w14:paraId="0F08E5B4" w14:textId="77777777" w:rsidR="00F9789E" w:rsidRDefault="00FB4A57" w:rsidP="007770BB">
      <w:pPr>
        <w:pStyle w:val="Heading2NoNum"/>
      </w:pPr>
      <w:r>
        <w:lastRenderedPageBreak/>
        <w:t xml:space="preserve">Direct </w:t>
      </w:r>
      <w:r w:rsidR="00BC1677">
        <w:t>costs</w:t>
      </w:r>
    </w:p>
    <w:p w14:paraId="0F08E5B5" w14:textId="77777777" w:rsidR="00F9789E" w:rsidRDefault="009857E4" w:rsidP="00F43173">
      <w:r>
        <w:t>T</w:t>
      </w:r>
      <w:r w:rsidR="00FB4A57">
        <w:t xml:space="preserve">hose </w:t>
      </w:r>
      <w:r>
        <w:t xml:space="preserve">costs </w:t>
      </w:r>
      <w:r w:rsidR="00FB4A57">
        <w:t>which are directly traceable to the production of a specific output.</w:t>
      </w:r>
    </w:p>
    <w:p w14:paraId="0F08E5B6" w14:textId="77777777" w:rsidR="00856583" w:rsidRDefault="00856583" w:rsidP="00F43173"/>
    <w:p w14:paraId="0F08E5B7" w14:textId="77777777" w:rsidR="00B74682" w:rsidRDefault="00B74682" w:rsidP="00B74682">
      <w:pPr>
        <w:pStyle w:val="Heading1NoNum"/>
      </w:pPr>
      <w:r>
        <w:t>E</w:t>
      </w:r>
    </w:p>
    <w:p w14:paraId="0F08E5B8" w14:textId="77777777" w:rsidR="00311284" w:rsidRDefault="00311284" w:rsidP="007770BB">
      <w:pPr>
        <w:pStyle w:val="Heading2NoNum"/>
      </w:pPr>
      <w:r>
        <w:t>Economic forecasting</w:t>
      </w:r>
    </w:p>
    <w:p w14:paraId="0F08E5B9" w14:textId="77777777" w:rsidR="00311284" w:rsidRDefault="00311284" w:rsidP="00F43173">
      <w:r>
        <w:t>T</w:t>
      </w:r>
      <w:r w:rsidRPr="00311284">
        <w:t xml:space="preserve">he process of making predictions about the future path of </w:t>
      </w:r>
      <w:r>
        <w:t>various</w:t>
      </w:r>
      <w:r w:rsidRPr="00311284">
        <w:t xml:space="preserve"> economic indicators.</w:t>
      </w:r>
    </w:p>
    <w:p w14:paraId="0F08E5BA" w14:textId="77777777" w:rsidR="00FB4A57" w:rsidRDefault="00FB4A57" w:rsidP="007770BB">
      <w:pPr>
        <w:pStyle w:val="Heading2NoNum"/>
      </w:pPr>
      <w:r>
        <w:t>Effective interest method</w:t>
      </w:r>
    </w:p>
    <w:p w14:paraId="0F08E5BB" w14:textId="77777777" w:rsidR="00F9789E" w:rsidRDefault="00FB4A57" w:rsidP="00F43173">
      <w:r>
        <w:t>The effective interest method is used to calculate the amortised cost of a financial asset and of</w:t>
      </w:r>
      <w:r w:rsidR="00B74682">
        <w:t xml:space="preserve"> </w:t>
      </w:r>
      <w:r>
        <w:t>allocating interest income over the relevant period. The effective interest rate is the rate that exactly</w:t>
      </w:r>
      <w:r w:rsidR="00B74682">
        <w:t xml:space="preserve"> </w:t>
      </w:r>
      <w:r>
        <w:t>discounts estimated future cash receipts through the expected life of the financial asset or, where</w:t>
      </w:r>
      <w:r w:rsidR="00B74682">
        <w:t xml:space="preserve"> </w:t>
      </w:r>
      <w:r>
        <w:t>appropriate, a shorter period.</w:t>
      </w:r>
    </w:p>
    <w:p w14:paraId="0F08E5BC" w14:textId="77777777" w:rsidR="00FB4A57" w:rsidRDefault="00FB4A57" w:rsidP="007770BB">
      <w:pPr>
        <w:pStyle w:val="Heading2NoNum"/>
      </w:pPr>
      <w:r>
        <w:t>Employed persons</w:t>
      </w:r>
    </w:p>
    <w:p w14:paraId="0F08E5BD" w14:textId="77777777" w:rsidR="00F9789E" w:rsidRDefault="00FB4A57" w:rsidP="00F43173">
      <w:r>
        <w:t>All persons aged 15 years and over who worked for one hour or more for pay, worked for one hour or more without pay in a family business or on a farm, were on paid leave, were away from work for less than four weeks or were employe</w:t>
      </w:r>
      <w:r w:rsidR="00333DDE">
        <w:t>e</w:t>
      </w:r>
      <w:r>
        <w:t>s who had a job but were not at work.</w:t>
      </w:r>
    </w:p>
    <w:p w14:paraId="0F08E5BE" w14:textId="77777777" w:rsidR="00F9789E" w:rsidRDefault="00FB4A57" w:rsidP="007770BB">
      <w:pPr>
        <w:pStyle w:val="Heading2NoNum"/>
      </w:pPr>
      <w:r>
        <w:t xml:space="preserve">Employee </w:t>
      </w:r>
      <w:r w:rsidR="00B74682">
        <w:t>entitlements</w:t>
      </w:r>
    </w:p>
    <w:p w14:paraId="0F08E5BF" w14:textId="77777777" w:rsidR="00F9789E" w:rsidRDefault="00FB4A57" w:rsidP="00F43173">
      <w:r>
        <w:t>Benefit entitlements which employees accumulate as a result of the rendering of their services to an employer up to the reporting date. They include wages and salaries, annual leave, sick leave, long service leave, superannuation benefits, and other post-employment benefits.</w:t>
      </w:r>
    </w:p>
    <w:p w14:paraId="0F08E5C0" w14:textId="77777777" w:rsidR="00FB4A57" w:rsidRDefault="00FB4A57" w:rsidP="007770BB">
      <w:pPr>
        <w:pStyle w:val="Heading2NoNum"/>
      </w:pPr>
      <w:r>
        <w:t>Employee expenses</w:t>
      </w:r>
    </w:p>
    <w:p w14:paraId="0F08E5C1" w14:textId="77777777" w:rsidR="00FB4A57" w:rsidRDefault="00FB4A57" w:rsidP="00F43173">
      <w:r>
        <w:t xml:space="preserve">These expenses include all costs related to employment including wages and salaries, leave entitlements, </w:t>
      </w:r>
      <w:r w:rsidR="00257C2D">
        <w:t xml:space="preserve">termination </w:t>
      </w:r>
      <w:r>
        <w:t>payments, defined benefits superannuation plans and defined</w:t>
      </w:r>
      <w:r w:rsidR="00B74682">
        <w:t xml:space="preserve"> </w:t>
      </w:r>
      <w:r>
        <w:t>contribution superannuation plans.</w:t>
      </w:r>
    </w:p>
    <w:p w14:paraId="0F08E5C2" w14:textId="77777777" w:rsidR="00F9789E" w:rsidRDefault="00FB4A57" w:rsidP="007770BB">
      <w:pPr>
        <w:pStyle w:val="Heading2NoNum"/>
      </w:pPr>
      <w:r>
        <w:t>Enactment</w:t>
      </w:r>
    </w:p>
    <w:p w14:paraId="0F08E5C3" w14:textId="77777777" w:rsidR="00F9789E" w:rsidRDefault="00FB4A57" w:rsidP="00F43173">
      <w:r>
        <w:t>The date at which a Law, as expressed in an Act of Parliament, comes into force.</w:t>
      </w:r>
    </w:p>
    <w:p w14:paraId="0F08E5C4" w14:textId="77777777" w:rsidR="00F9789E" w:rsidRDefault="00FB4A57" w:rsidP="007770BB">
      <w:pPr>
        <w:pStyle w:val="Heading2NoNum"/>
      </w:pPr>
      <w:r>
        <w:t>Entity</w:t>
      </w:r>
    </w:p>
    <w:p w14:paraId="0F08E5C5" w14:textId="77777777" w:rsidR="00F9789E" w:rsidRDefault="00FB4A57" w:rsidP="00F43173">
      <w:r>
        <w:t>An accounting identity designed to define the legal bounds of the operation of a business unit.</w:t>
      </w:r>
    </w:p>
    <w:p w14:paraId="0F08E5C6" w14:textId="77777777" w:rsidR="00F9789E" w:rsidRDefault="00FB4A57" w:rsidP="007770BB">
      <w:pPr>
        <w:pStyle w:val="Heading2NoNum"/>
      </w:pPr>
      <w:r>
        <w:t>Equity</w:t>
      </w:r>
    </w:p>
    <w:p w14:paraId="0F08E5C7" w14:textId="77777777" w:rsidR="00F9789E" w:rsidRDefault="00FB4A57" w:rsidP="00F43173">
      <w:r>
        <w:t>Residual interest in the assets of an entity after deduction of its liabilities.</w:t>
      </w:r>
    </w:p>
    <w:p w14:paraId="0F08E5C8" w14:textId="77777777" w:rsidR="00F9789E" w:rsidRDefault="00FB4A57" w:rsidP="007770BB">
      <w:pPr>
        <w:pStyle w:val="Heading2NoNum"/>
      </w:pPr>
      <w:r>
        <w:t xml:space="preserve">Escalation </w:t>
      </w:r>
      <w:r w:rsidR="00B74682">
        <w:t>factor</w:t>
      </w:r>
    </w:p>
    <w:p w14:paraId="0F08E5C9" w14:textId="77777777" w:rsidR="00F9789E" w:rsidRDefault="00FB4A57" w:rsidP="00F43173">
      <w:r>
        <w:t>The overall factor or percentage which is applied to a base price to account for inflation and productivity improvement.</w:t>
      </w:r>
    </w:p>
    <w:p w14:paraId="0F08E5CA" w14:textId="77777777" w:rsidR="00693E9F" w:rsidRDefault="00693E9F" w:rsidP="00693E9F">
      <w:pPr>
        <w:pStyle w:val="Heading2NoNum"/>
      </w:pPr>
      <w:r>
        <w:t>Evaluation (services)</w:t>
      </w:r>
    </w:p>
    <w:p w14:paraId="0F08E5CB" w14:textId="77777777" w:rsidR="00693E9F" w:rsidRDefault="00693E9F" w:rsidP="00693E9F">
      <w:pPr>
        <w:rPr>
          <w:lang w:eastAsia="en-US"/>
        </w:rPr>
      </w:pPr>
      <w:r>
        <w:rPr>
          <w:lang w:eastAsia="en-US"/>
        </w:rPr>
        <w:t xml:space="preserve">Evaluation is a key tool for ensuring efficient and effective delivery of government services through evidence based policy and decision making. </w:t>
      </w:r>
    </w:p>
    <w:p w14:paraId="0F08E5CC" w14:textId="77777777" w:rsidR="00693E9F" w:rsidRPr="00693E9F" w:rsidRDefault="00693E9F" w:rsidP="00693E9F">
      <w:pPr>
        <w:rPr>
          <w:lang w:eastAsia="en-US"/>
        </w:rPr>
      </w:pPr>
      <w:r>
        <w:rPr>
          <w:lang w:eastAsia="en-US"/>
        </w:rPr>
        <w:t xml:space="preserve">Evaluation objectively reviews the success of the policy, program or project in achieving the stated goals, including their impact on achieving outcomes, and recommend appropriate actions, including whether they </w:t>
      </w:r>
      <w:r>
        <w:rPr>
          <w:lang w:eastAsia="en-US"/>
        </w:rPr>
        <w:lastRenderedPageBreak/>
        <w:t>remain the best policy response. To a large extent, the evaluation will use the success measures that are established during planning.</w:t>
      </w:r>
    </w:p>
    <w:p w14:paraId="0F08E5CD" w14:textId="77777777" w:rsidR="00F9789E" w:rsidRDefault="00FB4A57" w:rsidP="007770BB">
      <w:pPr>
        <w:pStyle w:val="Heading2NoNum"/>
      </w:pPr>
      <w:r>
        <w:t xml:space="preserve">Evaluation </w:t>
      </w:r>
      <w:r w:rsidR="00B74682">
        <w:t>criteria</w:t>
      </w:r>
      <w:r w:rsidR="00693E9F">
        <w:t xml:space="preserve"> (procurement)</w:t>
      </w:r>
    </w:p>
    <w:p w14:paraId="0F08E5CE" w14:textId="77777777" w:rsidR="00F9789E" w:rsidRDefault="009857E4" w:rsidP="00F43173">
      <w:r>
        <w:t>S</w:t>
      </w:r>
      <w:r w:rsidR="00FB4A57">
        <w:t>tandards of judgement, and ranking or priority that are used to assess offers, compare alternatives put forward by suppliers or measure performance. Evaluation criteria may assess: compliance with the specification, professional competence, commercial viability, compliance with legal obligations, and other appropriate criteria to fully assess bidders' capacity to provide the good or service.</w:t>
      </w:r>
    </w:p>
    <w:p w14:paraId="0F08E5CF" w14:textId="77777777" w:rsidR="00F9789E" w:rsidRDefault="00FB4A57" w:rsidP="007770BB">
      <w:pPr>
        <w:pStyle w:val="Heading2NoNum"/>
      </w:pPr>
      <w:r>
        <w:t xml:space="preserve">Evaluation </w:t>
      </w:r>
      <w:r w:rsidR="00544593">
        <w:t>p</w:t>
      </w:r>
      <w:r>
        <w:t>lan</w:t>
      </w:r>
      <w:r w:rsidR="00693E9F">
        <w:t xml:space="preserve"> (procurement)</w:t>
      </w:r>
    </w:p>
    <w:p w14:paraId="0F08E5D0" w14:textId="77777777" w:rsidR="00F9789E" w:rsidRDefault="009857E4" w:rsidP="00F43173">
      <w:r>
        <w:t>D</w:t>
      </w:r>
      <w:r w:rsidR="00FB4A57">
        <w:t xml:space="preserve">etails the methods, techniques and resources allocated by the Department to evaluate tenders. The plan is written </w:t>
      </w:r>
      <w:r w:rsidR="00BF36D7">
        <w:t xml:space="preserve">with reference to </w:t>
      </w:r>
      <w:r w:rsidR="00FB4A57">
        <w:t>the evaluation criteria listed in the conditions of tendering, and is usually developed by the evaluation committee.</w:t>
      </w:r>
    </w:p>
    <w:p w14:paraId="0F08E5D1" w14:textId="77777777" w:rsidR="00F9789E" w:rsidRDefault="00FB4A57" w:rsidP="007770BB">
      <w:pPr>
        <w:pStyle w:val="Heading2NoNum"/>
      </w:pPr>
      <w:r>
        <w:t xml:space="preserve">Evaluation </w:t>
      </w:r>
      <w:r w:rsidR="00B74682">
        <w:t>strategy</w:t>
      </w:r>
      <w:r w:rsidR="00693E9F">
        <w:t xml:space="preserve"> (procurement)</w:t>
      </w:r>
    </w:p>
    <w:p w14:paraId="0F08E5D2" w14:textId="77777777" w:rsidR="00F9789E" w:rsidRDefault="009857E4" w:rsidP="00F43173">
      <w:r>
        <w:t>R</w:t>
      </w:r>
      <w:r w:rsidR="00FB4A57">
        <w:t>efers to how the tender offers will be evaluated. The evaluation strategy is documented in the evaluation plan.</w:t>
      </w:r>
    </w:p>
    <w:p w14:paraId="0F08E5D3" w14:textId="77777777" w:rsidR="00F9789E" w:rsidRPr="007770BB" w:rsidRDefault="00FB4A57" w:rsidP="007770BB">
      <w:pPr>
        <w:pStyle w:val="Heading2NoNum"/>
      </w:pPr>
      <w:r w:rsidRPr="007770BB">
        <w:t>Expenses</w:t>
      </w:r>
    </w:p>
    <w:p w14:paraId="0F08E5D4" w14:textId="77777777" w:rsidR="00F9789E" w:rsidRDefault="00FB4A57" w:rsidP="00F43173">
      <w:r>
        <w:t>Consumption or loss of service potential or economic benefits, in the form of reductions in assets or increases in liabilities of the entity during the reporting period.</w:t>
      </w:r>
    </w:p>
    <w:p w14:paraId="0F08E5D5" w14:textId="77777777" w:rsidR="00F9789E" w:rsidRDefault="00FB4A57" w:rsidP="007770BB">
      <w:pPr>
        <w:pStyle w:val="Heading2NoNum"/>
      </w:pPr>
      <w:r>
        <w:t xml:space="preserve">Expenses from </w:t>
      </w:r>
      <w:r w:rsidR="00B74682">
        <w:t>ordinary activities</w:t>
      </w:r>
    </w:p>
    <w:p w14:paraId="0F08E5D6" w14:textId="77777777" w:rsidR="00F9789E" w:rsidRDefault="00FB4A57" w:rsidP="00F43173">
      <w:r>
        <w:t>Expenses incurred in the provision of outputs during the specified period of time. As well as items such as employee payments, these may include stock used in the provision of outputs, the depreciation of assets, the servicing of debt, and grants made. (Also referred to as operating expenses.)</w:t>
      </w:r>
    </w:p>
    <w:p w14:paraId="0F08E5D7" w14:textId="77777777" w:rsidR="00F9789E" w:rsidRPr="00663478" w:rsidRDefault="00FB4A57" w:rsidP="007770BB">
      <w:pPr>
        <w:pStyle w:val="Heading2NoNum"/>
      </w:pPr>
      <w:r w:rsidRPr="00663478">
        <w:t xml:space="preserve">Extraordinary </w:t>
      </w:r>
      <w:r w:rsidR="00B74682" w:rsidRPr="00663478">
        <w:t>items</w:t>
      </w:r>
    </w:p>
    <w:p w14:paraId="0F08E5D8" w14:textId="77777777" w:rsidR="00F9789E" w:rsidRDefault="009857E4" w:rsidP="00F43173">
      <w:r>
        <w:t>I</w:t>
      </w:r>
      <w:r w:rsidR="00FB4A57">
        <w:t>tems of revenue and expense that are attributable to transactions or other events of a type that are outside the ordinary operations of the entity and are not of a recurring nature.</w:t>
      </w:r>
    </w:p>
    <w:p w14:paraId="0F08E5D9" w14:textId="77777777" w:rsidR="00856583" w:rsidRDefault="00856583" w:rsidP="00F43173"/>
    <w:p w14:paraId="0F08E5DA" w14:textId="77777777" w:rsidR="00B74682" w:rsidRPr="00B74682" w:rsidRDefault="00B74682" w:rsidP="00B74682">
      <w:pPr>
        <w:pStyle w:val="Heading1NoNum"/>
      </w:pPr>
      <w:r>
        <w:t>F</w:t>
      </w:r>
    </w:p>
    <w:p w14:paraId="0F08E5DB" w14:textId="77777777" w:rsidR="00F9789E" w:rsidRDefault="00FB4A57" w:rsidP="007770BB">
      <w:pPr>
        <w:pStyle w:val="Heading2NoNum"/>
      </w:pPr>
      <w:r>
        <w:t xml:space="preserve">Fair </w:t>
      </w:r>
      <w:r w:rsidR="00B74682">
        <w:t>value</w:t>
      </w:r>
    </w:p>
    <w:p w14:paraId="0F08E5DC" w14:textId="77777777" w:rsidR="00C94A6B" w:rsidRPr="00C94A6B" w:rsidRDefault="00C94A6B" w:rsidP="00F43173">
      <w:r>
        <w:t>T</w:t>
      </w:r>
      <w:r w:rsidRPr="00C94A6B">
        <w:t>he price that would be received to sell an asset or paid to transfer a liability in an orderly transaction between market participants at the measurement date</w:t>
      </w:r>
      <w:r>
        <w:t>.</w:t>
      </w:r>
    </w:p>
    <w:p w14:paraId="0F08E5DD" w14:textId="77777777" w:rsidR="00F9789E" w:rsidRDefault="00FB4A57" w:rsidP="007770BB">
      <w:pPr>
        <w:pStyle w:val="Heading2NoNum"/>
      </w:pPr>
      <w:r>
        <w:t>Fees</w:t>
      </w:r>
    </w:p>
    <w:p w14:paraId="0F08E5DE" w14:textId="77777777" w:rsidR="00F9789E" w:rsidRDefault="00FB4A57" w:rsidP="00F43173">
      <w:r>
        <w:t>Fees from regulatory services are levies not primarily designed to raise general revenue but which are associated with the granting of permit or privilege or for the regulation of activity. This distinguishes them from charges for services rendered to clients by budget sector agencies.</w:t>
      </w:r>
    </w:p>
    <w:p w14:paraId="0F08E5DF" w14:textId="77777777" w:rsidR="00F9789E" w:rsidRDefault="00FB4A57" w:rsidP="007770BB">
      <w:pPr>
        <w:pStyle w:val="Heading2NoNum"/>
      </w:pPr>
      <w:r>
        <w:t xml:space="preserve">Finance </w:t>
      </w:r>
      <w:r w:rsidR="00B74682">
        <w:t>lease</w:t>
      </w:r>
    </w:p>
    <w:p w14:paraId="0F08E5E0" w14:textId="77777777" w:rsidR="00F9789E" w:rsidRDefault="009857E4" w:rsidP="00F43173">
      <w:r>
        <w:t>A</w:t>
      </w:r>
      <w:r w:rsidR="00FB4A57">
        <w:t xml:space="preserve"> lease under which the lessor effectively transfers to the lessee substantially all the risks and benefits incidental to the lease and where legal ownership may or may not be actually transferred.</w:t>
      </w:r>
    </w:p>
    <w:p w14:paraId="0F08E5E1" w14:textId="77777777" w:rsidR="00FB4A57" w:rsidRDefault="00FB4A57" w:rsidP="007770BB">
      <w:pPr>
        <w:pStyle w:val="Heading2NoNum"/>
      </w:pPr>
      <w:r>
        <w:t>Financial asset</w:t>
      </w:r>
    </w:p>
    <w:p w14:paraId="0F08E5E2" w14:textId="77777777" w:rsidR="00FB4A57" w:rsidRDefault="009857E4" w:rsidP="00F43173">
      <w:r>
        <w:t>A</w:t>
      </w:r>
      <w:r w:rsidR="00FB4A57">
        <w:t>ny asset that is:</w:t>
      </w:r>
    </w:p>
    <w:p w14:paraId="0F08E5E3" w14:textId="77777777" w:rsidR="00FB4A57" w:rsidRDefault="00FB4A57" w:rsidP="0052205F">
      <w:pPr>
        <w:pStyle w:val="Numlist"/>
        <w:numPr>
          <w:ilvl w:val="4"/>
          <w:numId w:val="14"/>
        </w:numPr>
        <w:ind w:left="709" w:hanging="425"/>
      </w:pPr>
      <w:r>
        <w:lastRenderedPageBreak/>
        <w:t>cash;</w:t>
      </w:r>
    </w:p>
    <w:p w14:paraId="0F08E5E4" w14:textId="77777777" w:rsidR="00FB4A57" w:rsidRDefault="00FB4A57" w:rsidP="0052205F">
      <w:pPr>
        <w:pStyle w:val="Numlist"/>
        <w:numPr>
          <w:ilvl w:val="4"/>
          <w:numId w:val="14"/>
        </w:numPr>
        <w:ind w:left="709" w:hanging="425"/>
      </w:pPr>
      <w:r>
        <w:t>an equity instrument of another entity;</w:t>
      </w:r>
    </w:p>
    <w:p w14:paraId="0F08E5E5" w14:textId="77777777" w:rsidR="00FB4A57" w:rsidRDefault="00FB4A57" w:rsidP="0052205F">
      <w:pPr>
        <w:pStyle w:val="Numlist"/>
        <w:numPr>
          <w:ilvl w:val="4"/>
          <w:numId w:val="14"/>
        </w:numPr>
        <w:ind w:left="709" w:hanging="425"/>
      </w:pPr>
      <w:r>
        <w:t>a contractual right:</w:t>
      </w:r>
    </w:p>
    <w:p w14:paraId="0F08E5E6" w14:textId="77777777" w:rsidR="00FB4A57" w:rsidRDefault="00FB4A57" w:rsidP="0052205F">
      <w:pPr>
        <w:pStyle w:val="Bullet3"/>
        <w:numPr>
          <w:ilvl w:val="0"/>
          <w:numId w:val="13"/>
        </w:numPr>
      </w:pPr>
      <w:r w:rsidRPr="001B246B">
        <w:t>to</w:t>
      </w:r>
      <w:r>
        <w:t xml:space="preserve"> receive cash or another financial asset from another entity; or</w:t>
      </w:r>
    </w:p>
    <w:p w14:paraId="0F08E5E7" w14:textId="77777777" w:rsidR="00FB4A57" w:rsidRDefault="00FB4A57" w:rsidP="0052205F">
      <w:pPr>
        <w:pStyle w:val="Bullet3"/>
        <w:numPr>
          <w:ilvl w:val="0"/>
          <w:numId w:val="13"/>
        </w:numPr>
      </w:pPr>
      <w:r>
        <w:t>to exchange financial assets or financial liabilities with another entity under conditions that are</w:t>
      </w:r>
      <w:r w:rsidR="00B74682">
        <w:t xml:space="preserve"> </w:t>
      </w:r>
      <w:r>
        <w:t>potentially favourable to the entity; or</w:t>
      </w:r>
    </w:p>
    <w:p w14:paraId="0F08E5E8" w14:textId="77777777" w:rsidR="00FB4A57" w:rsidRDefault="00FB4A57" w:rsidP="0052205F">
      <w:pPr>
        <w:pStyle w:val="Numlist"/>
        <w:numPr>
          <w:ilvl w:val="4"/>
          <w:numId w:val="14"/>
        </w:numPr>
        <w:ind w:left="709" w:hanging="425"/>
      </w:pPr>
      <w:r>
        <w:t>a contract that will or may be settled in the entity’s own equity instruments and is:</w:t>
      </w:r>
    </w:p>
    <w:p w14:paraId="0F08E5E9" w14:textId="77777777" w:rsidR="00FB4A57" w:rsidRDefault="00FB4A57" w:rsidP="0052205F">
      <w:pPr>
        <w:pStyle w:val="Bullet3"/>
        <w:numPr>
          <w:ilvl w:val="0"/>
          <w:numId w:val="13"/>
        </w:numPr>
      </w:pPr>
      <w:r>
        <w:t xml:space="preserve">a </w:t>
      </w:r>
      <w:r w:rsidR="00BC0647">
        <w:t>non-derivative</w:t>
      </w:r>
      <w:r>
        <w:t xml:space="preserve"> for which the entity is or may be obliged to receive a variable number of the</w:t>
      </w:r>
      <w:r w:rsidR="00B74682">
        <w:t xml:space="preserve"> </w:t>
      </w:r>
      <w:r>
        <w:t>entity’s own equity instruments; or</w:t>
      </w:r>
    </w:p>
    <w:p w14:paraId="0F08E5EA" w14:textId="77777777" w:rsidR="00FB4A57" w:rsidRDefault="00FB4A57" w:rsidP="0052205F">
      <w:pPr>
        <w:pStyle w:val="Bullet3"/>
        <w:numPr>
          <w:ilvl w:val="0"/>
          <w:numId w:val="13"/>
        </w:numPr>
      </w:pPr>
      <w:r>
        <w:t>a derivative that will or may be settled other than by the exchange of a fixed amount of cash or</w:t>
      </w:r>
      <w:r w:rsidR="00B74682">
        <w:t xml:space="preserve"> </w:t>
      </w:r>
      <w:r>
        <w:t>another financial asset for a fixed number of the entity’s own equity instruments.</w:t>
      </w:r>
    </w:p>
    <w:p w14:paraId="0F08E5EB" w14:textId="77777777" w:rsidR="00F9789E" w:rsidRDefault="00FB4A57" w:rsidP="007770BB">
      <w:pPr>
        <w:pStyle w:val="Heading2NoNum"/>
      </w:pPr>
      <w:r>
        <w:t xml:space="preserve">Financial </w:t>
      </w:r>
      <w:r w:rsidR="00B74682">
        <w:t>assistance grants</w:t>
      </w:r>
    </w:p>
    <w:p w14:paraId="0F08E5EC" w14:textId="77777777" w:rsidR="00F9789E" w:rsidRDefault="00FB4A57" w:rsidP="00F43173">
      <w:r>
        <w:t>Grants made by the Common</w:t>
      </w:r>
      <w:r w:rsidR="009249B2">
        <w:t>wealth to state and t</w:t>
      </w:r>
      <w:r>
        <w:t>erritory governments for expenditure by the latter according to their own priorities. Financial assistance grants are sometimes referred to as general revenue or general purpose grants. See also Commonwealth Grants Commission.</w:t>
      </w:r>
    </w:p>
    <w:p w14:paraId="0F08E5ED" w14:textId="77777777" w:rsidR="00F9789E" w:rsidRDefault="00FB4A57" w:rsidP="007770BB">
      <w:pPr>
        <w:pStyle w:val="Heading2NoNum"/>
      </w:pPr>
      <w:r>
        <w:t xml:space="preserve">Financial </w:t>
      </w:r>
      <w:r w:rsidR="00B74682">
        <w:t>institution</w:t>
      </w:r>
    </w:p>
    <w:p w14:paraId="0F08E5EE" w14:textId="77777777" w:rsidR="00F9789E" w:rsidRDefault="00FB4A57" w:rsidP="00F43173">
      <w:r>
        <w:t>Financial institution means: (a) an entity whose principal activity is to take deposits or borrow, or both take deposits and borrow, with the objective of lending or investing in financial assets other than equity instruments, but excluding: entities which take deposits or borrow principally from other entities in the economic entity, general insurers, life insurers and superannuation plans; or (b) an entity subject to banking legislation.</w:t>
      </w:r>
    </w:p>
    <w:p w14:paraId="0F08E5EF" w14:textId="77777777" w:rsidR="00F9789E" w:rsidRDefault="00FB4A57" w:rsidP="007770BB">
      <w:pPr>
        <w:pStyle w:val="Heading2NoNum"/>
      </w:pPr>
      <w:r>
        <w:t xml:space="preserve">Financial </w:t>
      </w:r>
      <w:r w:rsidR="00B74682">
        <w:t>instrument</w:t>
      </w:r>
    </w:p>
    <w:p w14:paraId="0F08E5F0" w14:textId="77777777" w:rsidR="00F9789E" w:rsidRDefault="00FB4A57" w:rsidP="00F43173">
      <w:r>
        <w:t>Any contract that gives rise to both a financial asset of one entity and a financial liability or equity instrument of another entity.</w:t>
      </w:r>
    </w:p>
    <w:p w14:paraId="0F08E5F1" w14:textId="77777777" w:rsidR="00F9789E" w:rsidRDefault="00FB4A57" w:rsidP="007770BB">
      <w:pPr>
        <w:pStyle w:val="Heading2NoNum"/>
      </w:pPr>
      <w:r>
        <w:t xml:space="preserve">Financial </w:t>
      </w:r>
      <w:r w:rsidR="00B74682">
        <w:t>liability</w:t>
      </w:r>
    </w:p>
    <w:p w14:paraId="0F08E5F2" w14:textId="77777777" w:rsidR="00A237F1" w:rsidRDefault="00FB4A57" w:rsidP="00F43173">
      <w:r>
        <w:t xml:space="preserve">Means any liability that is a contractual obligation: </w:t>
      </w:r>
    </w:p>
    <w:p w14:paraId="0F08E5F3" w14:textId="77777777" w:rsidR="00A237F1" w:rsidRDefault="00FB4A57" w:rsidP="00CF4760">
      <w:pPr>
        <w:pStyle w:val="Numlist"/>
        <w:numPr>
          <w:ilvl w:val="0"/>
          <w:numId w:val="15"/>
        </w:numPr>
        <w:tabs>
          <w:tab w:val="clear" w:pos="1512"/>
          <w:tab w:val="num" w:pos="709"/>
        </w:tabs>
        <w:ind w:left="709" w:hanging="425"/>
      </w:pPr>
      <w:r>
        <w:t xml:space="preserve">to deliver cash or another financial asset to another entity; or </w:t>
      </w:r>
    </w:p>
    <w:p w14:paraId="0F08E5F4" w14:textId="77777777" w:rsidR="00F9789E" w:rsidRDefault="00FB4A57" w:rsidP="00CF4760">
      <w:pPr>
        <w:pStyle w:val="Numlist"/>
        <w:numPr>
          <w:ilvl w:val="0"/>
          <w:numId w:val="15"/>
        </w:numPr>
        <w:tabs>
          <w:tab w:val="clear" w:pos="1512"/>
          <w:tab w:val="num" w:pos="709"/>
        </w:tabs>
        <w:ind w:left="709" w:hanging="425"/>
      </w:pPr>
      <w:r>
        <w:t>to exchange financial instruments with another entity under conditions that are potentially unfavourable.</w:t>
      </w:r>
    </w:p>
    <w:p w14:paraId="0F08E5F5" w14:textId="77777777" w:rsidR="00F9789E" w:rsidRDefault="00FB4A57" w:rsidP="007770BB">
      <w:pPr>
        <w:pStyle w:val="Heading2NoNum"/>
      </w:pPr>
      <w:r>
        <w:t xml:space="preserve">Financial </w:t>
      </w:r>
      <w:r w:rsidR="00B74682">
        <w:t>reporting</w:t>
      </w:r>
    </w:p>
    <w:p w14:paraId="0F08E5F6" w14:textId="77777777" w:rsidR="00F9789E" w:rsidRDefault="00FB4A57" w:rsidP="00F43173">
      <w:r>
        <w:t>Refers to the process of preparing financial statements based on accounting standards and other authoritative pronouncements to meet the information needs common to users and discharge accountability obligations.</w:t>
      </w:r>
    </w:p>
    <w:p w14:paraId="0F08E5F7" w14:textId="77777777" w:rsidR="00F9789E" w:rsidRDefault="00FB4A57" w:rsidP="007770BB">
      <w:pPr>
        <w:pStyle w:val="Heading2NoNum"/>
      </w:pPr>
      <w:r>
        <w:t xml:space="preserve">Financial </w:t>
      </w:r>
      <w:r w:rsidR="00B74682">
        <w:t>statements</w:t>
      </w:r>
    </w:p>
    <w:p w14:paraId="0F08E5F8" w14:textId="77777777" w:rsidR="00F9789E" w:rsidRDefault="00B112C1" w:rsidP="00F43173">
      <w:r>
        <w:t>A structured document that summarises the financial activities of an entity. Mainly c</w:t>
      </w:r>
      <w:r w:rsidR="00FB4A57">
        <w:t xml:space="preserve">onsists of </w:t>
      </w:r>
      <w:r w:rsidR="006B1B36">
        <w:t>four</w:t>
      </w:r>
      <w:r w:rsidR="00FB4A57">
        <w:t xml:space="preserve"> </w:t>
      </w:r>
      <w:r>
        <w:t xml:space="preserve">types of </w:t>
      </w:r>
      <w:r w:rsidR="00FB4A57">
        <w:t>financial statements: statement of financial performance, statement of financial position</w:t>
      </w:r>
      <w:r w:rsidR="006B1B36">
        <w:t xml:space="preserve">, </w:t>
      </w:r>
      <w:r w:rsidR="00FB4A57">
        <w:t>statement of cash flows</w:t>
      </w:r>
      <w:r w:rsidR="006B1B36">
        <w:t xml:space="preserve"> and statement of changes in equity</w:t>
      </w:r>
      <w:r w:rsidR="00FB4A57">
        <w:t>.</w:t>
      </w:r>
    </w:p>
    <w:p w14:paraId="0F08E5F9" w14:textId="77777777" w:rsidR="00F9789E" w:rsidRDefault="00B74682" w:rsidP="007770BB">
      <w:pPr>
        <w:pStyle w:val="Heading2NoNum"/>
      </w:pPr>
      <w:r>
        <w:t>Financial year</w:t>
      </w:r>
    </w:p>
    <w:p w14:paraId="0F08E5FA" w14:textId="77777777" w:rsidR="00FB4A57" w:rsidRDefault="00FB4A57" w:rsidP="00F43173">
      <w:r>
        <w:t>Generally the 12 months from 1 July in one year to 30 June in the next. However, some entities (such as</w:t>
      </w:r>
      <w:r w:rsidR="00B74682">
        <w:t xml:space="preserve"> T</w:t>
      </w:r>
      <w:r w:rsidR="00376774">
        <w:t xml:space="preserve">echnical and </w:t>
      </w:r>
      <w:r w:rsidR="00B74682">
        <w:t>F</w:t>
      </w:r>
      <w:r w:rsidR="00376774">
        <w:t xml:space="preserve">urther </w:t>
      </w:r>
      <w:r w:rsidR="00B74682">
        <w:t>E</w:t>
      </w:r>
      <w:r w:rsidR="00376774">
        <w:t>ducation entitie</w:t>
      </w:r>
      <w:r w:rsidR="00B74682">
        <w:t xml:space="preserve">s) have different </w:t>
      </w:r>
      <w:r w:rsidR="00333DDE">
        <w:t>financial years</w:t>
      </w:r>
      <w:r>
        <w:t xml:space="preserve"> (e</w:t>
      </w:r>
      <w:r w:rsidR="00B74682">
        <w:t>.</w:t>
      </w:r>
      <w:r>
        <w:t>g</w:t>
      </w:r>
      <w:r w:rsidR="00B74682">
        <w:t>.</w:t>
      </w:r>
      <w:r>
        <w:t xml:space="preserve"> ending 31 December).</w:t>
      </w:r>
    </w:p>
    <w:p w14:paraId="0F08E5FB" w14:textId="77777777" w:rsidR="00F9789E" w:rsidRDefault="00FB4A57" w:rsidP="007770BB">
      <w:pPr>
        <w:pStyle w:val="Heading2NoNum"/>
      </w:pPr>
      <w:r>
        <w:lastRenderedPageBreak/>
        <w:t xml:space="preserve">Fines </w:t>
      </w:r>
    </w:p>
    <w:p w14:paraId="0F08E5FC" w14:textId="77777777" w:rsidR="00F9789E" w:rsidRDefault="00FB4A57" w:rsidP="00F43173">
      <w:r>
        <w:t>Refers to penalties received and receivable under legislation and regulations. Revenue from fines is recognised at the time when it is determined by the courts.</w:t>
      </w:r>
    </w:p>
    <w:p w14:paraId="0F08E5FD" w14:textId="77777777" w:rsidR="00F9789E" w:rsidRPr="00B74682" w:rsidRDefault="00FB4A57" w:rsidP="007770BB">
      <w:pPr>
        <w:pStyle w:val="Heading2NoNum"/>
      </w:pPr>
      <w:r>
        <w:t xml:space="preserve">Fixed </w:t>
      </w:r>
      <w:r w:rsidR="00B74682">
        <w:t>assets</w:t>
      </w:r>
    </w:p>
    <w:p w14:paraId="0F08E5FE" w14:textId="77777777" w:rsidR="00FB4A57" w:rsidRDefault="00FB4A57" w:rsidP="00F43173">
      <w:r>
        <w:t>Durable goods intended to be employed in the production process for longer than a year. Excluded are current assets, non-reproducible tangible assets such as timber plantations and intangible assets such as trademarks.</w:t>
      </w:r>
      <w:r w:rsidR="00B74682">
        <w:t xml:space="preserve"> </w:t>
      </w:r>
    </w:p>
    <w:p w14:paraId="0F08E5FF" w14:textId="77777777" w:rsidR="00376774" w:rsidRDefault="00376774" w:rsidP="007770BB">
      <w:pPr>
        <w:pStyle w:val="Heading2NoNum"/>
      </w:pPr>
      <w:r>
        <w:t>Fiscal aggregates</w:t>
      </w:r>
    </w:p>
    <w:p w14:paraId="0F08E600" w14:textId="77777777" w:rsidR="00376774" w:rsidRDefault="00E720A2" w:rsidP="00F43173">
      <w:pPr>
        <w:rPr>
          <w:lang w:eastAsia="en-US"/>
        </w:rPr>
      </w:pPr>
      <w:r>
        <w:rPr>
          <w:lang w:eastAsia="en-US"/>
        </w:rPr>
        <w:t>Analytical balances that are useful for macroeconomic analysis purposes, including assessing the impact of a government and its sectors on the economy. It includes both k</w:t>
      </w:r>
      <w:r w:rsidR="00376774">
        <w:rPr>
          <w:lang w:eastAsia="en-US"/>
        </w:rPr>
        <w:t>ey fiscal aggregates</w:t>
      </w:r>
      <w:r>
        <w:rPr>
          <w:lang w:eastAsia="en-US"/>
        </w:rPr>
        <w:t xml:space="preserve"> as defined</w:t>
      </w:r>
      <w:r w:rsidR="00376774">
        <w:rPr>
          <w:lang w:eastAsia="en-US"/>
        </w:rPr>
        <w:t xml:space="preserve"> in this glossary</w:t>
      </w:r>
      <w:r>
        <w:rPr>
          <w:lang w:eastAsia="en-US"/>
        </w:rPr>
        <w:t>, and other additional fiscal aggregates such as net financial worth, net financial liabilities and net debt</w:t>
      </w:r>
      <w:r w:rsidR="00376774">
        <w:rPr>
          <w:lang w:eastAsia="en-US"/>
        </w:rPr>
        <w:t>.</w:t>
      </w:r>
    </w:p>
    <w:p w14:paraId="0F08E601" w14:textId="77777777" w:rsidR="00F9789E" w:rsidRDefault="00B74682" w:rsidP="007770BB">
      <w:pPr>
        <w:pStyle w:val="Heading2NoNum"/>
      </w:pPr>
      <w:r>
        <w:t>Forward estimates</w:t>
      </w:r>
    </w:p>
    <w:p w14:paraId="0F08E602" w14:textId="77777777" w:rsidR="00F9789E" w:rsidRDefault="00FB4A57" w:rsidP="00F43173">
      <w:r>
        <w:t xml:space="preserve">Budget projections for revenue, expenses and financial position for the three years beyond the current (budgeted) </w:t>
      </w:r>
      <w:r w:rsidR="00376774">
        <w:t xml:space="preserve">financial </w:t>
      </w:r>
      <w:r>
        <w:t>year.</w:t>
      </w:r>
    </w:p>
    <w:p w14:paraId="0F08E603" w14:textId="77777777" w:rsidR="00F9789E" w:rsidRDefault="00FB4A57" w:rsidP="007770BB">
      <w:pPr>
        <w:pStyle w:val="Heading2NoNum"/>
      </w:pPr>
      <w:r>
        <w:t>Franchising</w:t>
      </w:r>
    </w:p>
    <w:p w14:paraId="0F08E604" w14:textId="77777777" w:rsidR="00F9789E" w:rsidRDefault="00FB4A57" w:rsidP="00F43173">
      <w:r>
        <w:t xml:space="preserve">The sale to an external party, usually on a basis of a competitive bidding process, of the right to distribute a particular good or a service to a particular market for a defined period. </w:t>
      </w:r>
    </w:p>
    <w:p w14:paraId="0F08E605" w14:textId="77777777" w:rsidR="00F9789E" w:rsidRDefault="00FB4A57" w:rsidP="007770BB">
      <w:pPr>
        <w:pStyle w:val="Heading2NoNum"/>
      </w:pPr>
      <w:r>
        <w:t xml:space="preserve">Full </w:t>
      </w:r>
      <w:r w:rsidR="00B74682">
        <w:t>cost</w:t>
      </w:r>
    </w:p>
    <w:p w14:paraId="0F08E606" w14:textId="77777777" w:rsidR="00F9789E" w:rsidRDefault="009857E4" w:rsidP="00F43173">
      <w:r>
        <w:t>T</w:t>
      </w:r>
      <w:r w:rsidR="00FB4A57">
        <w:t xml:space="preserve">he total cost </w:t>
      </w:r>
      <w:r w:rsidR="00333DDE">
        <w:t xml:space="preserve">(direct and indirect) </w:t>
      </w:r>
      <w:r w:rsidR="00FB4A57">
        <w:t xml:space="preserve">of all resources expensed in the production of an output. </w:t>
      </w:r>
    </w:p>
    <w:p w14:paraId="0F08E607" w14:textId="77777777" w:rsidR="00FB4A57" w:rsidRDefault="00FB4A57" w:rsidP="007770BB">
      <w:pPr>
        <w:pStyle w:val="Heading2NoNum"/>
      </w:pPr>
      <w:r>
        <w:t>Full time workers</w:t>
      </w:r>
    </w:p>
    <w:p w14:paraId="0F08E608" w14:textId="77777777" w:rsidR="00F9789E" w:rsidRDefault="00FB4A57" w:rsidP="00F43173">
      <w:r>
        <w:t>Employed persons who usually worked 35 hours or more a week and those who, although usually working less than 35 hours a week, worked 35 hours or more during the reference week.</w:t>
      </w:r>
    </w:p>
    <w:p w14:paraId="0F08E609" w14:textId="77777777" w:rsidR="00CF6949" w:rsidRDefault="00CF6949" w:rsidP="00CF6949">
      <w:pPr>
        <w:pStyle w:val="Heading1NoNum"/>
      </w:pPr>
      <w:r>
        <w:t>G</w:t>
      </w:r>
    </w:p>
    <w:p w14:paraId="0F08E60A" w14:textId="77777777" w:rsidR="00FB4A57" w:rsidRDefault="00FB4A57" w:rsidP="007770BB">
      <w:pPr>
        <w:pStyle w:val="Heading2NoNum"/>
      </w:pPr>
      <w:r>
        <w:t>Gateway</w:t>
      </w:r>
      <w:r w:rsidR="00333DDE">
        <w:t xml:space="preserve"> review</w:t>
      </w:r>
    </w:p>
    <w:p w14:paraId="0F08E60B" w14:textId="77777777" w:rsidR="00F9789E" w:rsidRDefault="00333DDE" w:rsidP="00F43173">
      <w:r>
        <w:t xml:space="preserve">The </w:t>
      </w:r>
      <w:r w:rsidR="009249B2">
        <w:t>gateway r</w:t>
      </w:r>
      <w:r w:rsidR="00FB4A57">
        <w:t>eview</w:t>
      </w:r>
      <w:r>
        <w:t xml:space="preserve"> process examines projects and programs at key decision points throughout their </w:t>
      </w:r>
      <w:r w:rsidR="00E25717">
        <w:t>l</w:t>
      </w:r>
      <w:r>
        <w:t>ife cycle.</w:t>
      </w:r>
      <w:r w:rsidR="007770BB">
        <w:t xml:space="preserve"> </w:t>
      </w:r>
      <w:r>
        <w:t>Each review is short and focused, providing senior responsible owners of programs and projects with an independent view of progress, and assurance of readiness to proceed successfully to the next stage.</w:t>
      </w:r>
      <w:r w:rsidR="007770BB">
        <w:t xml:space="preserve"> </w:t>
      </w:r>
      <w:r>
        <w:t xml:space="preserve">More information is available </w:t>
      </w:r>
      <w:r w:rsidR="00E25717">
        <w:t xml:space="preserve">at </w:t>
      </w:r>
      <w:r w:rsidR="00376774" w:rsidRPr="00376774">
        <w:t>http://www.dtf.vic.gov.au/Investment-Planning-and-Evaluation/</w:t>
      </w:r>
      <w:r w:rsidR="00E25717">
        <w:t>understanding-planning-and-review/what-is-the-gateway-review-process.</w:t>
      </w:r>
    </w:p>
    <w:p w14:paraId="0F08E60C" w14:textId="77777777" w:rsidR="00F9789E" w:rsidRDefault="00B74682" w:rsidP="007770BB">
      <w:pPr>
        <w:pStyle w:val="Heading2NoNum"/>
      </w:pPr>
      <w:r>
        <w:t>General government sector</w:t>
      </w:r>
    </w:p>
    <w:p w14:paraId="0F08E60D" w14:textId="77777777" w:rsidR="00FB4A57" w:rsidRDefault="009857E4" w:rsidP="00F43173">
      <w:r>
        <w:t>I</w:t>
      </w:r>
      <w:r w:rsidR="00FB4A57">
        <w:t>ncludes all government departments, offices and other bodies engaged in providing services free of charge or at prices significantly below their cost of production. These entities are financed mainly through taxes, Commonwealth Government grants, and other compulsory levies and user charges. They typically provide products and services that are non-market in nature and/or are for the collective consumption of the community, and those which involve the transfer or redistribution of income.</w:t>
      </w:r>
    </w:p>
    <w:p w14:paraId="0F08E60E" w14:textId="77777777" w:rsidR="00FB4A57" w:rsidRDefault="00FB4A57" w:rsidP="00F43173">
      <w:r>
        <w:t>Some of these entities may also earn revenue from commercial activities, however such revenue represents less than half of their total revenue.</w:t>
      </w:r>
    </w:p>
    <w:p w14:paraId="0F08E60F" w14:textId="77777777" w:rsidR="00F9789E" w:rsidRDefault="00FB4A57" w:rsidP="007770BB">
      <w:pPr>
        <w:pStyle w:val="Heading2NoNum"/>
      </w:pPr>
      <w:r>
        <w:lastRenderedPageBreak/>
        <w:t xml:space="preserve">Government </w:t>
      </w:r>
      <w:r w:rsidR="00B74682">
        <w:t>business enterprise</w:t>
      </w:r>
    </w:p>
    <w:p w14:paraId="0F08E610" w14:textId="77777777" w:rsidR="00F9789E" w:rsidRDefault="00FB4A57" w:rsidP="00F43173">
      <w:r>
        <w:t>A publicly owned entity providing goods or services on commercial terms with the objective of recovering its costs of production and, in most cases, of providing some financial return to its owner.</w:t>
      </w:r>
    </w:p>
    <w:p w14:paraId="0F08E611" w14:textId="77777777" w:rsidR="00FB4A57" w:rsidRDefault="009249B2" w:rsidP="007770BB">
      <w:pPr>
        <w:pStyle w:val="Heading2NoNum"/>
      </w:pPr>
      <w:r>
        <w:t>Government finance s</w:t>
      </w:r>
      <w:r w:rsidR="00FB4A57">
        <w:t>tatistics</w:t>
      </w:r>
    </w:p>
    <w:p w14:paraId="0F08E612" w14:textId="77777777" w:rsidR="00FB4A57" w:rsidRDefault="009249B2" w:rsidP="00F43173">
      <w:r>
        <w:t>Government finance s</w:t>
      </w:r>
      <w:r w:rsidR="00376774" w:rsidRPr="00376774">
        <w:t>tatistics (GFS) enable policy makers and users to analyse the financial operations and financial position of the public sector at either the specific government, institutional sector or transactional level. The GFS system is based on two international statistical standards</w:t>
      </w:r>
      <w:r w:rsidR="00791E74">
        <w:t>:</w:t>
      </w:r>
      <w:r w:rsidR="00376774" w:rsidRPr="00376774">
        <w:t xml:space="preserve"> the </w:t>
      </w:r>
      <w:r w:rsidR="00376774" w:rsidRPr="00376774">
        <w:rPr>
          <w:i/>
        </w:rPr>
        <w:t>System of National Accounts 1993</w:t>
      </w:r>
      <w:r w:rsidR="00376774" w:rsidRPr="00376774">
        <w:t xml:space="preserve"> and the </w:t>
      </w:r>
      <w:r w:rsidR="00376774" w:rsidRPr="00376774">
        <w:rPr>
          <w:i/>
        </w:rPr>
        <w:t>International Monetary Fund Government Statistics Manual</w:t>
      </w:r>
      <w:r w:rsidR="00376774">
        <w:t>.</w:t>
      </w:r>
      <w:r w:rsidR="00FB4A57">
        <w:t xml:space="preserve"> More details about the GFS can be found in the Australian Bureau of Statistics (ABS) GFS manual.</w:t>
      </w:r>
    </w:p>
    <w:p w14:paraId="0F08E613" w14:textId="77777777" w:rsidR="00F9789E" w:rsidRDefault="00FB4A57" w:rsidP="007770BB">
      <w:pPr>
        <w:pStyle w:val="Heading2NoNum"/>
      </w:pPr>
      <w:r>
        <w:t>Government infrastructure investment</w:t>
      </w:r>
    </w:p>
    <w:p w14:paraId="0F08E614" w14:textId="77777777" w:rsidR="00FB4A57" w:rsidRDefault="00376774" w:rsidP="00F43173">
      <w:r>
        <w:t xml:space="preserve">Represents </w:t>
      </w:r>
      <w:r w:rsidR="00FB4A57">
        <w:t xml:space="preserve">the sum of purchases of non-financial assets, net cash flows from investments in financial assets for policy purposes and sales of non-financial assets. In addition, investment in </w:t>
      </w:r>
      <w:r w:rsidR="00CA2B62">
        <w:t>g</w:t>
      </w:r>
      <w:r w:rsidR="00FB4A57">
        <w:t xml:space="preserve">overnment </w:t>
      </w:r>
      <w:r w:rsidR="003D78BD">
        <w:t>i</w:t>
      </w:r>
      <w:r w:rsidR="009249B2">
        <w:t>nfrastructure also includes public private p</w:t>
      </w:r>
      <w:r w:rsidR="00FB4A57">
        <w:t>artnerships infrastructure investment</w:t>
      </w:r>
      <w:r w:rsidR="009249B2">
        <w:t>.</w:t>
      </w:r>
    </w:p>
    <w:p w14:paraId="0F08E615" w14:textId="77777777" w:rsidR="00F9789E" w:rsidRPr="00B74682" w:rsidRDefault="00B74682" w:rsidP="007770BB">
      <w:pPr>
        <w:pStyle w:val="Heading2NoNum"/>
      </w:pPr>
      <w:r>
        <w:t>Grant funding</w:t>
      </w:r>
    </w:p>
    <w:p w14:paraId="0F08E616" w14:textId="77777777" w:rsidR="00FB4A57" w:rsidRDefault="00FB4A57" w:rsidP="00F43173">
      <w:r>
        <w:t>A funding arrangement for assistance by government in the form of transfers of resources to an entity in return for past or future compliance with certain conditions relating to the operating activities of the entity.</w:t>
      </w:r>
    </w:p>
    <w:p w14:paraId="0F08E617" w14:textId="77777777" w:rsidR="00F9789E" w:rsidRDefault="00FB4A57" w:rsidP="00F43173">
      <w:r>
        <w:t>Transactions in which one entity provides goods, services, assets (or extinguishes a liability) or labour to another without receiving approximately equal value in return. Grants can either be of a current or capital nature.</w:t>
      </w:r>
    </w:p>
    <w:p w14:paraId="0F08E618" w14:textId="77777777" w:rsidR="00F9789E" w:rsidRDefault="00FB4A57" w:rsidP="00F43173">
      <w:r>
        <w:t xml:space="preserve">While grants to governments may result in the provision of some goods or services to the transferor, they do not give the transferor a claim to receive benefits directly of approximately equal value. </w:t>
      </w:r>
    </w:p>
    <w:p w14:paraId="0F08E619" w14:textId="77777777" w:rsidR="00FB4A57" w:rsidRDefault="00FB4A57" w:rsidP="00F43173">
      <w:r>
        <w:t>Grants can be paid as general purpose grants</w:t>
      </w:r>
      <w:r w:rsidR="00CA2B62">
        <w:t>,</w:t>
      </w:r>
      <w:r>
        <w:t xml:space="preserve"> which refers to grants </w:t>
      </w:r>
      <w:r w:rsidR="00CA2B62">
        <w:t xml:space="preserve">that </w:t>
      </w:r>
      <w:r>
        <w:t>are not subject to conditions regarding their use. Alternativel</w:t>
      </w:r>
      <w:r w:rsidR="009249B2">
        <w:t>y, they may be paid as specific-purpose grants that</w:t>
      </w:r>
      <w:r>
        <w:t xml:space="preserve"> are paid for a particular purpose and/or have conditions attached regarding their use. </w:t>
      </w:r>
    </w:p>
    <w:p w14:paraId="0F08E61A" w14:textId="77777777" w:rsidR="00F9789E" w:rsidRDefault="00FB4A57" w:rsidP="007770BB">
      <w:pPr>
        <w:pStyle w:val="Heading2NoNum"/>
      </w:pPr>
      <w:r>
        <w:t xml:space="preserve">Grants and </w:t>
      </w:r>
      <w:r w:rsidR="00B74682" w:rsidRPr="00B74682">
        <w:t>transfer payments</w:t>
      </w:r>
    </w:p>
    <w:p w14:paraId="0F08E61B" w14:textId="77777777" w:rsidR="00F9789E" w:rsidRDefault="00FB4A57" w:rsidP="00F43173">
      <w:r>
        <w:t>Refers to grants or transfer payments (i.e. transfers of cash that are non-reciprocal) for the purpose of aiding in the financing of the current operations of the recipient; in addition to monies paid for the purpose of meeting part of the cost of capital expenditure of the recipient.</w:t>
      </w:r>
    </w:p>
    <w:p w14:paraId="0F08E61C" w14:textId="77777777" w:rsidR="00FB4A57" w:rsidRDefault="00FB4A57" w:rsidP="007770BB">
      <w:pPr>
        <w:pStyle w:val="Heading2NoNum"/>
      </w:pPr>
      <w:r>
        <w:t>Grants for on-passing</w:t>
      </w:r>
    </w:p>
    <w:p w14:paraId="0F08E61D" w14:textId="77777777" w:rsidR="00FB4A57" w:rsidRDefault="00FB4A57" w:rsidP="00F43173">
      <w:r>
        <w:t>All grants paid to one institutional sector (e.g. a state-based general government entity) to be passed on</w:t>
      </w:r>
      <w:r w:rsidR="00D71E30">
        <w:t xml:space="preserve"> </w:t>
      </w:r>
      <w:r>
        <w:t xml:space="preserve">to another institutional sector (e.g. local government or a private </w:t>
      </w:r>
      <w:r w:rsidR="00BC0647">
        <w:t>non-profit</w:t>
      </w:r>
      <w:r>
        <w:t xml:space="preserve"> institution).</w:t>
      </w:r>
    </w:p>
    <w:p w14:paraId="0F08E61E" w14:textId="77777777" w:rsidR="00FB4A57" w:rsidRDefault="00B74682" w:rsidP="007770BB">
      <w:pPr>
        <w:pStyle w:val="Heading2NoNum"/>
      </w:pPr>
      <w:r>
        <w:t>Gross domestic product</w:t>
      </w:r>
    </w:p>
    <w:p w14:paraId="0F08E61F" w14:textId="77777777" w:rsidR="00F9789E" w:rsidRDefault="00B74682" w:rsidP="00F43173">
      <w:r w:rsidRPr="00B74682">
        <w:t>Gross domestic product</w:t>
      </w:r>
      <w:r>
        <w:t xml:space="preserve"> (</w:t>
      </w:r>
      <w:r w:rsidR="00FB4A57">
        <w:t>GDP</w:t>
      </w:r>
      <w:r>
        <w:t>)</w:t>
      </w:r>
      <w:r w:rsidR="00FB4A57">
        <w:t xml:space="preserve"> is the total market value of goods and services produced in Australia within a given period after deducting the cost of goods and services used up in the process of production but before deducting allowances for the consumption of fixed capital.</w:t>
      </w:r>
    </w:p>
    <w:p w14:paraId="0F08E620" w14:textId="77777777" w:rsidR="00F9789E" w:rsidRDefault="00B74682" w:rsidP="007770BB">
      <w:pPr>
        <w:pStyle w:val="Heading2NoNum"/>
      </w:pPr>
      <w:r>
        <w:t>Gross state product</w:t>
      </w:r>
    </w:p>
    <w:p w14:paraId="0F08E621" w14:textId="77777777" w:rsidR="00FB4A57" w:rsidRDefault="00B74682" w:rsidP="00F43173">
      <w:r w:rsidRPr="00B74682">
        <w:t>Gross state product</w:t>
      </w:r>
      <w:r>
        <w:t xml:space="preserve"> (</w:t>
      </w:r>
      <w:r w:rsidR="00FB4A57">
        <w:t>GSP</w:t>
      </w:r>
      <w:r>
        <w:t>)</w:t>
      </w:r>
      <w:r w:rsidR="00FB4A57">
        <w:t xml:space="preserve"> is the market value of output of a state or territory and is conceptually similar to national gross domestic product (GDP). It is estimated by considering three measures:</w:t>
      </w:r>
      <w:r w:rsidR="00BC1677">
        <w:t xml:space="preserve"> </w:t>
      </w:r>
      <w:r w:rsidR="00FB4A57">
        <w:t>income, output and expenditure.</w:t>
      </w:r>
      <w:r w:rsidR="00BC1677">
        <w:t xml:space="preserve"> </w:t>
      </w:r>
      <w:r w:rsidR="00FB4A57">
        <w:t>The expenditure measure is more commonly used to describe the ma</w:t>
      </w:r>
      <w:r w:rsidR="009249B2">
        <w:t>in drivers of GSP, which include</w:t>
      </w:r>
      <w:r w:rsidR="00FB4A57">
        <w:t xml:space="preserve"> consumption by households and government, investment by private businesses and government (including government-owned businesses), dwelling investment and the net balance of imports and exports of goods and services.</w:t>
      </w:r>
      <w:r w:rsidR="00BC1677">
        <w:t xml:space="preserve"> </w:t>
      </w:r>
      <w:r w:rsidR="00FB4A57">
        <w:t>At the state level, trade in goods and services also includes trade with other states and territories, as well as overseas trade.</w:t>
      </w:r>
      <w:r w:rsidR="00BC1677">
        <w:t xml:space="preserve"> </w:t>
      </w:r>
      <w:r w:rsidR="00FB4A57">
        <w:t xml:space="preserve">As interstate trade is difficult to measure, only annual estimates of GSP </w:t>
      </w:r>
      <w:r w:rsidR="00FB4A57">
        <w:lastRenderedPageBreak/>
        <w:t>are calculated by the A</w:t>
      </w:r>
      <w:r w:rsidR="002E1FB8">
        <w:t xml:space="preserve">ustralian </w:t>
      </w:r>
      <w:r w:rsidR="00FB4A57">
        <w:t>B</w:t>
      </w:r>
      <w:r w:rsidR="002E1FB8">
        <w:t xml:space="preserve">ureau of </w:t>
      </w:r>
      <w:r w:rsidR="00FB4A57">
        <w:t>S</w:t>
      </w:r>
      <w:r w:rsidR="002E1FB8">
        <w:t>tatistics</w:t>
      </w:r>
      <w:r w:rsidR="00FB4A57">
        <w:t xml:space="preserve"> (whereas GDP is estimated quarterly).</w:t>
      </w:r>
      <w:r w:rsidR="00BC1677">
        <w:t xml:space="preserve"> </w:t>
      </w:r>
      <w:r w:rsidR="00FB4A57">
        <w:t>Government forecasts of Victoria’s GSP are published twice yearly in the annual budget papers (B</w:t>
      </w:r>
      <w:r w:rsidR="002E1FB8">
        <w:t xml:space="preserve">udget </w:t>
      </w:r>
      <w:r w:rsidR="00FB4A57">
        <w:t>P</w:t>
      </w:r>
      <w:r w:rsidR="002E1FB8">
        <w:t>aper No</w:t>
      </w:r>
      <w:r w:rsidR="00BF2AF9">
        <w:t>.</w:t>
      </w:r>
      <w:r w:rsidR="002E1FB8">
        <w:t> </w:t>
      </w:r>
      <w:r w:rsidR="00FB4A57">
        <w:t>2) a</w:t>
      </w:r>
      <w:r w:rsidR="009249B2">
        <w:t>nd Budget Update (published on</w:t>
      </w:r>
      <w:r w:rsidR="00BF2AF9">
        <w:t xml:space="preserve"> the</w:t>
      </w:r>
      <w:r w:rsidR="007770BB">
        <w:t xml:space="preserve"> </w:t>
      </w:r>
      <w:hyperlink r:id="rId18" w:history="1">
        <w:r w:rsidR="00FB4A57" w:rsidRPr="00BF2AF9">
          <w:rPr>
            <w:rStyle w:val="Hyperlink"/>
          </w:rPr>
          <w:t>DTF web</w:t>
        </w:r>
        <w:r w:rsidR="00BF2AF9" w:rsidRPr="00BF2AF9">
          <w:rPr>
            <w:rStyle w:val="Hyperlink"/>
          </w:rPr>
          <w:t>site</w:t>
        </w:r>
      </w:hyperlink>
      <w:r w:rsidR="00FB4A57">
        <w:t>).</w:t>
      </w:r>
    </w:p>
    <w:p w14:paraId="0F08E622" w14:textId="77777777" w:rsidR="006C25F9" w:rsidRDefault="006C25F9" w:rsidP="006C25F9">
      <w:pPr>
        <w:pStyle w:val="Heading1NoNum"/>
      </w:pPr>
      <w:r>
        <w:t>H</w:t>
      </w:r>
    </w:p>
    <w:p w14:paraId="0F08E623" w14:textId="77777777" w:rsidR="006C25F9" w:rsidRPr="006C25F9" w:rsidRDefault="006C25F9" w:rsidP="00F43173">
      <w:pPr>
        <w:rPr>
          <w:lang w:eastAsia="en-US"/>
        </w:rPr>
      </w:pPr>
      <w:r>
        <w:rPr>
          <w:lang w:eastAsia="en-US"/>
        </w:rPr>
        <w:t>Nil</w:t>
      </w:r>
    </w:p>
    <w:p w14:paraId="0F08E624" w14:textId="77777777" w:rsidR="00CF6949" w:rsidRDefault="00CF6949" w:rsidP="00CF6949">
      <w:pPr>
        <w:pStyle w:val="Heading1NoNum"/>
      </w:pPr>
      <w:r>
        <w:t>I</w:t>
      </w:r>
    </w:p>
    <w:p w14:paraId="0F08E625" w14:textId="77777777" w:rsidR="00F9789E" w:rsidRDefault="00FB4A57" w:rsidP="007770BB">
      <w:pPr>
        <w:pStyle w:val="Heading2NoNum"/>
      </w:pPr>
      <w:r>
        <w:t>Indemnity</w:t>
      </w:r>
    </w:p>
    <w:p w14:paraId="0F08E626" w14:textId="77777777" w:rsidR="00F9789E" w:rsidRDefault="009857E4" w:rsidP="00F43173">
      <w:r>
        <w:t>A</w:t>
      </w:r>
      <w:r w:rsidR="00FB4A57">
        <w:t>n undertaking to compensate another against loss or damages suffered as a result of doing some act at the request of the person giving the undertaking. Indemnity is security against loss or damage.</w:t>
      </w:r>
    </w:p>
    <w:p w14:paraId="0F08E627" w14:textId="77777777" w:rsidR="00F9789E" w:rsidRDefault="00FB4A57" w:rsidP="007770BB">
      <w:pPr>
        <w:pStyle w:val="Heading2NoNum"/>
      </w:pPr>
      <w:r>
        <w:t>Indexation</w:t>
      </w:r>
    </w:p>
    <w:p w14:paraId="0F08E628" w14:textId="77777777" w:rsidR="00B74682" w:rsidRDefault="00FB4A57" w:rsidP="00F43173">
      <w:r>
        <w:t>A factor or percentage applied to a base price in the forward estimates.</w:t>
      </w:r>
      <w:r w:rsidR="00C418AC">
        <w:t xml:space="preserve"> </w:t>
      </w:r>
      <w:r>
        <w:t>Rates may differ between sectors, or depending on major cost drivers.</w:t>
      </w:r>
    </w:p>
    <w:p w14:paraId="0F08E629" w14:textId="77777777" w:rsidR="00F9789E" w:rsidRDefault="00FB4A57" w:rsidP="007770BB">
      <w:pPr>
        <w:pStyle w:val="Heading2NoNum"/>
      </w:pPr>
      <w:r>
        <w:t xml:space="preserve">Indirect </w:t>
      </w:r>
      <w:r w:rsidR="00B74682">
        <w:t>costs</w:t>
      </w:r>
    </w:p>
    <w:p w14:paraId="0F08E62A" w14:textId="77777777" w:rsidR="00F9789E" w:rsidRDefault="00B1262D" w:rsidP="00F43173">
      <w:r>
        <w:t>C</w:t>
      </w:r>
      <w:r w:rsidR="009249B2">
        <w:t>osts that</w:t>
      </w:r>
      <w:r w:rsidR="00FB4A57">
        <w:t xml:space="preserve"> are not directly traceable to the production of a specific output.</w:t>
      </w:r>
    </w:p>
    <w:p w14:paraId="0F08E62B" w14:textId="77777777" w:rsidR="00856583" w:rsidRDefault="00856583" w:rsidP="007770BB">
      <w:pPr>
        <w:pStyle w:val="Heading2NoNum"/>
      </w:pPr>
      <w:r>
        <w:t>Infrastructure</w:t>
      </w:r>
    </w:p>
    <w:p w14:paraId="0F08E62C" w14:textId="77777777" w:rsidR="006E490A" w:rsidRDefault="00856583" w:rsidP="006E490A">
      <w:r>
        <w:t>I</w:t>
      </w:r>
      <w:r w:rsidRPr="00856583">
        <w:t xml:space="preserve">nfrastructure is the </w:t>
      </w:r>
      <w:r w:rsidR="006E490A">
        <w:t>basic facilities and installations needed for the functioning of a community or society, such as transportation and communications systems, water and power lines, and public institutions including schools, post offices, hospitals and prisons.</w:t>
      </w:r>
    </w:p>
    <w:p w14:paraId="0F08E62D" w14:textId="77777777" w:rsidR="00B74682" w:rsidRDefault="00FB4A57" w:rsidP="007770BB">
      <w:pPr>
        <w:pStyle w:val="Heading2NoNum"/>
      </w:pPr>
      <w:r w:rsidRPr="00B74682">
        <w:t>Infrastructure</w:t>
      </w:r>
      <w:r>
        <w:t xml:space="preserve"> investment</w:t>
      </w:r>
    </w:p>
    <w:p w14:paraId="0F08E62E" w14:textId="77777777" w:rsidR="00900A67" w:rsidRDefault="00254356" w:rsidP="00900A67">
      <w:r>
        <w:t xml:space="preserve">Expenditure on infrastructure. </w:t>
      </w:r>
    </w:p>
    <w:p w14:paraId="0F08E62F" w14:textId="77777777" w:rsidR="00900A67" w:rsidRDefault="00900A67" w:rsidP="00900A67">
      <w:r>
        <w:t>In Budget papers, the terms ‘asset investment’, ‘capital investment’ and ‘infrastructure investment’ are used interchangeably to describe government funding used to acquire or construct non-financial assets such as land, buildings (e.g. new schools/hospitals or major upgrades to existing facilities), roads and bridges and rolling stock or information and communications technology infrastructure.</w:t>
      </w:r>
    </w:p>
    <w:p w14:paraId="0F08E630" w14:textId="77777777" w:rsidR="00B74682" w:rsidRDefault="00FB4A57" w:rsidP="007770BB">
      <w:pPr>
        <w:pStyle w:val="Heading2NoNum"/>
      </w:pPr>
      <w:r>
        <w:t>Infrastructure planning</w:t>
      </w:r>
    </w:p>
    <w:p w14:paraId="0F08E631" w14:textId="77777777" w:rsidR="00FB4A57" w:rsidRDefault="006E490A" w:rsidP="00F43173">
      <w:r>
        <w:t xml:space="preserve">Infrastructure is </w:t>
      </w:r>
      <w:r w:rsidR="00277B32">
        <w:t>provided to</w:t>
      </w:r>
      <w:r>
        <w:t xml:space="preserve"> deliver services. </w:t>
      </w:r>
      <w:r w:rsidR="00277B32">
        <w:t>Infrastructure</w:t>
      </w:r>
      <w:r>
        <w:t xml:space="preserve"> needs to be managed, updated and added to in order to meet changing service needs. </w:t>
      </w:r>
      <w:r w:rsidR="00633822">
        <w:t xml:space="preserve">Infrastructure planning is the process of identifying needs and developing </w:t>
      </w:r>
      <w:r w:rsidR="00277B32">
        <w:t xml:space="preserve">strategies and </w:t>
      </w:r>
      <w:r w:rsidR="00633822">
        <w:t>proposal</w:t>
      </w:r>
      <w:r w:rsidR="00277B32">
        <w:t>s</w:t>
      </w:r>
      <w:r w:rsidR="009249B2">
        <w:t xml:space="preserve"> to address that need. </w:t>
      </w:r>
      <w:r w:rsidR="00633822">
        <w:t>This can incorporate e</w:t>
      </w:r>
      <w:r w:rsidR="00B74682">
        <w:t xml:space="preserve">arly </w:t>
      </w:r>
      <w:r w:rsidR="00FB4A57">
        <w:t>work, feasibility studies, options an</w:t>
      </w:r>
      <w:r w:rsidR="00B74682">
        <w:t>alysis or infrastructure design</w:t>
      </w:r>
      <w:r w:rsidR="00633822">
        <w:t xml:space="preserve"> undertaken in preparation for project delivery</w:t>
      </w:r>
      <w:r w:rsidR="00B74682">
        <w:t>.</w:t>
      </w:r>
    </w:p>
    <w:p w14:paraId="0F08E632" w14:textId="77777777" w:rsidR="00B74682" w:rsidRDefault="00B74682" w:rsidP="007770BB">
      <w:pPr>
        <w:pStyle w:val="Heading2NoNum"/>
      </w:pPr>
      <w:r>
        <w:t xml:space="preserve">Infrastructure </w:t>
      </w:r>
      <w:r w:rsidR="00CF6949">
        <w:t>program</w:t>
      </w:r>
    </w:p>
    <w:p w14:paraId="0F08E633" w14:textId="77777777" w:rsidR="00FB4A57" w:rsidRDefault="00B74682" w:rsidP="00F43173">
      <w:r>
        <w:t>G</w:t>
      </w:r>
      <w:r w:rsidR="00FB4A57">
        <w:t>roup of like</w:t>
      </w:r>
      <w:r w:rsidR="008267B5">
        <w:t xml:space="preserve"> or related</w:t>
      </w:r>
      <w:r w:rsidR="00FB4A57">
        <w:t xml:space="preserve"> infrastructure projects comprising an integrated package of</w:t>
      </w:r>
      <w:r>
        <w:t xml:space="preserve"> work.</w:t>
      </w:r>
      <w:r w:rsidR="008267B5">
        <w:t xml:space="preserve"> For example, the level crossing removal program would comprise projects to remove various level crossings or the managed motorway program would relate to a series of projects to achieve a managed motorway.</w:t>
      </w:r>
    </w:p>
    <w:p w14:paraId="0F08E634" w14:textId="77777777" w:rsidR="00B74682" w:rsidRDefault="00B74682" w:rsidP="007770BB">
      <w:pPr>
        <w:pStyle w:val="Heading2NoNum"/>
      </w:pPr>
      <w:r>
        <w:t xml:space="preserve">Infrastructure </w:t>
      </w:r>
      <w:r w:rsidR="00FB4A57">
        <w:t>projects</w:t>
      </w:r>
    </w:p>
    <w:p w14:paraId="0F08E635" w14:textId="77777777" w:rsidR="00FB4A57" w:rsidRDefault="00277B32" w:rsidP="00F43173">
      <w:r>
        <w:t>An initiative designed to procure or construct a capital asset such as a new or upgraded school</w:t>
      </w:r>
      <w:r w:rsidR="006E490A">
        <w:t>.</w:t>
      </w:r>
    </w:p>
    <w:p w14:paraId="0F08E636" w14:textId="77777777" w:rsidR="00FB4A57" w:rsidRPr="00CF6949" w:rsidRDefault="00FB4A57" w:rsidP="007770BB">
      <w:pPr>
        <w:pStyle w:val="Heading2NoNum"/>
      </w:pPr>
      <w:r>
        <w:lastRenderedPageBreak/>
        <w:t>Infrastructure systems</w:t>
      </w:r>
      <w:r w:rsidR="006E490A">
        <w:t>/networks</w:t>
      </w:r>
    </w:p>
    <w:p w14:paraId="0F08E637" w14:textId="77777777" w:rsidR="00FB4A57" w:rsidRDefault="00FB4A57" w:rsidP="00F43173">
      <w:r>
        <w:t>Infrastructure systems provide essential services used in the delivery of final services or products. They</w:t>
      </w:r>
      <w:r w:rsidR="00CF6949">
        <w:t xml:space="preserve"> </w:t>
      </w:r>
      <w:r>
        <w:t>are generally a complex interconnected network of individual assets and mainly include sewerage</w:t>
      </w:r>
      <w:r w:rsidR="00CF6949">
        <w:t xml:space="preserve"> </w:t>
      </w:r>
      <w:r>
        <w:t>systems, water storage and supply systems, and public transport assets owned by the State.</w:t>
      </w:r>
    </w:p>
    <w:p w14:paraId="0F08E638" w14:textId="77777777" w:rsidR="00F9789E" w:rsidRDefault="00FB4A57" w:rsidP="007770BB">
      <w:pPr>
        <w:pStyle w:val="Heading2NoNum"/>
      </w:pPr>
      <w:r>
        <w:t>Inputs</w:t>
      </w:r>
    </w:p>
    <w:p w14:paraId="0F08E639" w14:textId="77777777" w:rsidR="00F9789E" w:rsidRDefault="00FB4A57" w:rsidP="00F43173">
      <w:r>
        <w:t>Labour, materials and other resources used to produce outputs.</w:t>
      </w:r>
    </w:p>
    <w:p w14:paraId="0F08E63A" w14:textId="77777777" w:rsidR="00FB4A57" w:rsidRDefault="00FB4A57" w:rsidP="007770BB">
      <w:pPr>
        <w:pStyle w:val="Heading2NoNum"/>
      </w:pPr>
      <w:r>
        <w:t>Intangible produced assets</w:t>
      </w:r>
    </w:p>
    <w:p w14:paraId="0F08E63B" w14:textId="77777777" w:rsidR="00FB4A57" w:rsidRDefault="00FB4A57" w:rsidP="00F43173">
      <w:r>
        <w:t xml:space="preserve">Refer to </w:t>
      </w:r>
      <w:r w:rsidR="009249B2">
        <w:t>‘</w:t>
      </w:r>
      <w:r w:rsidR="00B1262D">
        <w:t>P</w:t>
      </w:r>
      <w:r>
        <w:t>roduced assets</w:t>
      </w:r>
      <w:r w:rsidR="009249B2">
        <w:t>’</w:t>
      </w:r>
      <w:r>
        <w:t xml:space="preserve"> in this glossary.</w:t>
      </w:r>
    </w:p>
    <w:p w14:paraId="0F08E63C" w14:textId="77777777" w:rsidR="00FB4A57" w:rsidRDefault="00FB4A57" w:rsidP="007770BB">
      <w:pPr>
        <w:pStyle w:val="Heading2NoNum"/>
      </w:pPr>
      <w:r>
        <w:t>Intangible non-produced assets</w:t>
      </w:r>
    </w:p>
    <w:p w14:paraId="0F08E63D" w14:textId="77777777" w:rsidR="00FB4A57" w:rsidRDefault="009249B2" w:rsidP="00F43173">
      <w:r>
        <w:t>Refer to ‘</w:t>
      </w:r>
      <w:r w:rsidR="00B1262D">
        <w:t>N</w:t>
      </w:r>
      <w:r w:rsidR="00FB4A57">
        <w:t>on-produced assets</w:t>
      </w:r>
      <w:r>
        <w:t>’</w:t>
      </w:r>
      <w:r w:rsidR="00FB4A57">
        <w:t xml:space="preserve"> in this glossary.</w:t>
      </w:r>
    </w:p>
    <w:p w14:paraId="0F08E63E" w14:textId="77777777" w:rsidR="00F9789E" w:rsidRDefault="00FB4A57" w:rsidP="007770BB">
      <w:pPr>
        <w:pStyle w:val="Heading2NoNum"/>
      </w:pPr>
      <w:r>
        <w:t>Intellectual property</w:t>
      </w:r>
    </w:p>
    <w:p w14:paraId="0F08E63F" w14:textId="77777777" w:rsidR="00F9789E" w:rsidRDefault="00FB4A57" w:rsidP="00F43173">
      <w:r>
        <w:t>Intellectual property is the term for property rights such as: patents, trademarks, design, conf</w:t>
      </w:r>
      <w:r w:rsidR="009249B2">
        <w:t>idential information, copyright</w:t>
      </w:r>
      <w:r>
        <w:t xml:space="preserve"> and know</w:t>
      </w:r>
      <w:r w:rsidR="00B1262D">
        <w:t>-</w:t>
      </w:r>
      <w:r>
        <w:t>how.</w:t>
      </w:r>
    </w:p>
    <w:p w14:paraId="0F08E640" w14:textId="77777777" w:rsidR="00FB4A57" w:rsidRDefault="00FB4A57" w:rsidP="007770BB">
      <w:pPr>
        <w:pStyle w:val="Heading2NoNum"/>
      </w:pPr>
      <w:r>
        <w:t>Interest expense</w:t>
      </w:r>
    </w:p>
    <w:p w14:paraId="0F08E641" w14:textId="77777777" w:rsidR="00FB4A57" w:rsidRDefault="00B1262D" w:rsidP="00F43173">
      <w:r>
        <w:t>R</w:t>
      </w:r>
      <w:r w:rsidR="00FB4A57">
        <w:t>epresents costs incurred in connection with borrowings. It includes interest on</w:t>
      </w:r>
      <w:r w:rsidR="00CF6949">
        <w:t xml:space="preserve"> </w:t>
      </w:r>
      <w:r w:rsidR="00FB4A57">
        <w:t>advances, loans, overdrafts, bonds and bills, deposits, interest components of finance lease repayments,</w:t>
      </w:r>
      <w:r w:rsidR="00CF6949">
        <w:t xml:space="preserve"> </w:t>
      </w:r>
      <w:r w:rsidR="00FB4A57">
        <w:t>and amortisation of discounts or premiums in relation to borrowings.</w:t>
      </w:r>
    </w:p>
    <w:p w14:paraId="0F08E642" w14:textId="77777777" w:rsidR="00F9789E" w:rsidRDefault="00FB4A57" w:rsidP="00F43173">
      <w:r>
        <w:t xml:space="preserve">Investment in financial assets for policy purposes – capital expenditure by general government sector representing an increase in equity of </w:t>
      </w:r>
      <w:r w:rsidR="002E1FB8">
        <w:t>public non</w:t>
      </w:r>
      <w:r w:rsidR="002E1FB8">
        <w:noBreakHyphen/>
        <w:t>financial corporations</w:t>
      </w:r>
      <w:r>
        <w:t xml:space="preserve"> in support of government policy</w:t>
      </w:r>
      <w:r w:rsidR="00B1262D">
        <w:t>.</w:t>
      </w:r>
    </w:p>
    <w:p w14:paraId="0F08E643" w14:textId="77777777" w:rsidR="00F9789E" w:rsidRDefault="00FB4A57" w:rsidP="007770BB">
      <w:pPr>
        <w:pStyle w:val="Heading2NoNum"/>
      </w:pPr>
      <w:r>
        <w:t>Inventory</w:t>
      </w:r>
    </w:p>
    <w:p w14:paraId="0F08E644" w14:textId="77777777" w:rsidR="00F9789E" w:rsidRDefault="00FB4A57" w:rsidP="00F43173">
      <w:r>
        <w:t>Encompasses materials or supplies to be consumed in the production of outputs or services available for sale.</w:t>
      </w:r>
    </w:p>
    <w:p w14:paraId="0F08E645" w14:textId="77777777" w:rsidR="00F9789E" w:rsidRDefault="00FB4A57" w:rsidP="007770BB">
      <w:pPr>
        <w:pStyle w:val="Heading2NoNum"/>
      </w:pPr>
      <w:r>
        <w:t xml:space="preserve">Investing </w:t>
      </w:r>
      <w:r w:rsidR="00CF6949">
        <w:t>activities</w:t>
      </w:r>
    </w:p>
    <w:p w14:paraId="0F08E646" w14:textId="77777777" w:rsidR="00F9789E" w:rsidRDefault="00FB4A57" w:rsidP="00F43173">
      <w:r>
        <w:t>Relates to the acquisition and/or disposal of non</w:t>
      </w:r>
      <w:r w:rsidR="00B1262D">
        <w:t>-</w:t>
      </w:r>
      <w:r>
        <w:t>current assets, including property, plant and equipment and other productive assets, and investments, such as securities, not falling within the definition of cash.</w:t>
      </w:r>
    </w:p>
    <w:p w14:paraId="0F08E647" w14:textId="77777777" w:rsidR="00F9789E" w:rsidRDefault="00FB4A57" w:rsidP="007770BB">
      <w:pPr>
        <w:pStyle w:val="Heading2NoNum"/>
      </w:pPr>
      <w:r>
        <w:t>Investments</w:t>
      </w:r>
    </w:p>
    <w:p w14:paraId="0F08E648" w14:textId="77777777" w:rsidR="00E670B9" w:rsidRDefault="00FB4A57" w:rsidP="00783C11">
      <w:pPr>
        <w:rPr>
          <w:rFonts w:asciiTheme="majorHAnsi" w:eastAsia="Times New Roman" w:hAnsiTheme="majorHAnsi" w:cs="Calibri"/>
          <w:b/>
          <w:color w:val="4D4D4D"/>
          <w:spacing w:val="-2"/>
          <w:sz w:val="30"/>
          <w:szCs w:val="22"/>
          <w:lang w:eastAsia="en-US"/>
        </w:rPr>
      </w:pPr>
      <w:r>
        <w:t xml:space="preserve">Represents assets held by an entity for the accumulation of wealth by way of revenue (e.g. interest, dividends) </w:t>
      </w:r>
      <w:r w:rsidR="00456400">
        <w:t xml:space="preserve">or </w:t>
      </w:r>
      <w:r>
        <w:t xml:space="preserve">for capital appreciation for </w:t>
      </w:r>
      <w:r w:rsidR="00456400">
        <w:t xml:space="preserve">the </w:t>
      </w:r>
      <w:r>
        <w:t>benefit</w:t>
      </w:r>
      <w:r w:rsidR="00456400">
        <w:t xml:space="preserve"> of</w:t>
      </w:r>
      <w:r>
        <w:t xml:space="preserve"> the investing entity. Examples include shares, foreign and domestic (fixed and/or floating interest) deposits, loans, placements, partnership interests, managed portfolios, debt securities.</w:t>
      </w:r>
    </w:p>
    <w:p w14:paraId="0F08E649" w14:textId="77777777" w:rsidR="00F43173" w:rsidRDefault="00F43173" w:rsidP="00F43173">
      <w:pPr>
        <w:pStyle w:val="Heading1NoNum"/>
      </w:pPr>
      <w:r>
        <w:t>J</w:t>
      </w:r>
    </w:p>
    <w:p w14:paraId="0F08E64A" w14:textId="77777777" w:rsidR="00F43173" w:rsidRPr="006C25F9" w:rsidRDefault="00F43173" w:rsidP="00F43173">
      <w:pPr>
        <w:rPr>
          <w:lang w:eastAsia="en-US"/>
        </w:rPr>
      </w:pPr>
      <w:r>
        <w:rPr>
          <w:lang w:eastAsia="en-US"/>
        </w:rPr>
        <w:t>Nil</w:t>
      </w:r>
    </w:p>
    <w:p w14:paraId="0F08E64B" w14:textId="77777777" w:rsidR="00F43173" w:rsidRDefault="00F43173" w:rsidP="00F43173">
      <w:pPr>
        <w:rPr>
          <w:rFonts w:asciiTheme="majorHAnsi" w:hAnsiTheme="majorHAnsi"/>
          <w:color w:val="4D4D4D"/>
          <w:spacing w:val="-2"/>
          <w:sz w:val="30"/>
          <w:lang w:eastAsia="en-US"/>
        </w:rPr>
      </w:pPr>
    </w:p>
    <w:p w14:paraId="0F08E64C" w14:textId="77777777" w:rsidR="00CF6949" w:rsidRDefault="00CF6949" w:rsidP="00CF6949">
      <w:pPr>
        <w:pStyle w:val="Heading1NoNum"/>
      </w:pPr>
      <w:r>
        <w:lastRenderedPageBreak/>
        <w:t>K</w:t>
      </w:r>
    </w:p>
    <w:p w14:paraId="0F08E64D" w14:textId="77777777" w:rsidR="00FB4A57" w:rsidRDefault="00FB4A57" w:rsidP="007770BB">
      <w:pPr>
        <w:pStyle w:val="Heading2NoNum"/>
      </w:pPr>
      <w:r>
        <w:t>Key fiscal aggregates</w:t>
      </w:r>
    </w:p>
    <w:p w14:paraId="0F08E64E" w14:textId="77777777" w:rsidR="00FB4A57" w:rsidRDefault="00FB4A57" w:rsidP="00F43173">
      <w:r>
        <w:t>Referred to as analytical balances in the ABS GFS manual</w:t>
      </w:r>
      <w:r w:rsidR="00AC5AF8">
        <w:t xml:space="preserve"> and are required to be disclosed under AASB 1049 </w:t>
      </w:r>
      <w:r w:rsidR="00AC5AF8" w:rsidRPr="00D3036C">
        <w:rPr>
          <w:i/>
        </w:rPr>
        <w:t>Whole of Government and General Government Sector Financial Reporting</w:t>
      </w:r>
      <w:r w:rsidR="00AC5AF8">
        <w:t>.</w:t>
      </w:r>
      <w:r w:rsidR="007770BB">
        <w:t xml:space="preserve"> </w:t>
      </w:r>
      <w:r w:rsidR="00AC5AF8">
        <w:t>K</w:t>
      </w:r>
      <w:r>
        <w:t>ey fiscal aggregates are data identified as</w:t>
      </w:r>
      <w:r w:rsidR="00CF6949">
        <w:t xml:space="preserve"> </w:t>
      </w:r>
      <w:r>
        <w:t>useful for macroeconomic analysis purposes, including assessing the impact of a government and its</w:t>
      </w:r>
      <w:r w:rsidR="00CF6949">
        <w:t xml:space="preserve"> </w:t>
      </w:r>
      <w:r>
        <w:t>sectors on the economy. They are:</w:t>
      </w:r>
    </w:p>
    <w:p w14:paraId="0F08E64F" w14:textId="77777777" w:rsidR="00FB4A57" w:rsidRDefault="00FB4A57" w:rsidP="00CF4760">
      <w:pPr>
        <w:pStyle w:val="Bullet1"/>
        <w:numPr>
          <w:ilvl w:val="0"/>
          <w:numId w:val="24"/>
        </w:numPr>
        <w:tabs>
          <w:tab w:val="clear" w:pos="1077"/>
          <w:tab w:val="num" w:pos="567"/>
        </w:tabs>
        <w:ind w:left="567"/>
      </w:pPr>
      <w:r>
        <w:t>opening net worth;</w:t>
      </w:r>
    </w:p>
    <w:p w14:paraId="0F08E650" w14:textId="77777777" w:rsidR="00FB4A57" w:rsidRDefault="00BC0647" w:rsidP="00CF4760">
      <w:pPr>
        <w:pStyle w:val="Bullet1"/>
        <w:numPr>
          <w:ilvl w:val="0"/>
          <w:numId w:val="24"/>
        </w:numPr>
        <w:tabs>
          <w:tab w:val="clear" w:pos="1077"/>
          <w:tab w:val="num" w:pos="567"/>
        </w:tabs>
        <w:ind w:left="567"/>
      </w:pPr>
      <w:r>
        <w:t>net</w:t>
      </w:r>
      <w:r w:rsidR="00FB4A57">
        <w:t xml:space="preserve"> operating balance;</w:t>
      </w:r>
    </w:p>
    <w:p w14:paraId="0F08E651" w14:textId="77777777" w:rsidR="00FB4A57" w:rsidRDefault="00FB4A57" w:rsidP="00CF4760">
      <w:pPr>
        <w:pStyle w:val="Bullet1"/>
        <w:numPr>
          <w:ilvl w:val="0"/>
          <w:numId w:val="24"/>
        </w:numPr>
        <w:tabs>
          <w:tab w:val="clear" w:pos="1077"/>
          <w:tab w:val="num" w:pos="567"/>
        </w:tabs>
        <w:ind w:left="567"/>
      </w:pPr>
      <w:r>
        <w:t>net lending/(borrowing);</w:t>
      </w:r>
    </w:p>
    <w:p w14:paraId="0F08E652" w14:textId="77777777" w:rsidR="00FB4A57" w:rsidRDefault="00FB4A57" w:rsidP="00CF4760">
      <w:pPr>
        <w:pStyle w:val="Bullet1"/>
        <w:numPr>
          <w:ilvl w:val="0"/>
          <w:numId w:val="24"/>
        </w:numPr>
        <w:tabs>
          <w:tab w:val="clear" w:pos="1077"/>
          <w:tab w:val="num" w:pos="567"/>
        </w:tabs>
        <w:ind w:left="567"/>
      </w:pPr>
      <w:r>
        <w:t>change in net worth due to revaluations;</w:t>
      </w:r>
    </w:p>
    <w:p w14:paraId="0F08E653" w14:textId="77777777" w:rsidR="00FB4A57" w:rsidRDefault="00FB4A57" w:rsidP="00CF4760">
      <w:pPr>
        <w:pStyle w:val="Bullet1"/>
        <w:numPr>
          <w:ilvl w:val="0"/>
          <w:numId w:val="24"/>
        </w:numPr>
        <w:tabs>
          <w:tab w:val="clear" w:pos="1077"/>
          <w:tab w:val="num" w:pos="567"/>
        </w:tabs>
        <w:ind w:left="567"/>
      </w:pPr>
      <w:r>
        <w:t>change in net worth due to other changes in the volume of assets;</w:t>
      </w:r>
    </w:p>
    <w:p w14:paraId="0F08E654" w14:textId="77777777" w:rsidR="00FB4A57" w:rsidRDefault="00FB4A57" w:rsidP="00CF4760">
      <w:pPr>
        <w:pStyle w:val="Bullet1"/>
        <w:numPr>
          <w:ilvl w:val="0"/>
          <w:numId w:val="24"/>
        </w:numPr>
        <w:tabs>
          <w:tab w:val="clear" w:pos="1077"/>
          <w:tab w:val="num" w:pos="567"/>
        </w:tabs>
        <w:ind w:left="567"/>
      </w:pPr>
      <w:r>
        <w:t>total change in net worth;</w:t>
      </w:r>
    </w:p>
    <w:p w14:paraId="0F08E655" w14:textId="77777777" w:rsidR="00FB4A57" w:rsidRDefault="00FB4A57" w:rsidP="00CF4760">
      <w:pPr>
        <w:pStyle w:val="Bullet1"/>
        <w:numPr>
          <w:ilvl w:val="0"/>
          <w:numId w:val="24"/>
        </w:numPr>
        <w:tabs>
          <w:tab w:val="clear" w:pos="1077"/>
          <w:tab w:val="num" w:pos="567"/>
        </w:tabs>
        <w:ind w:left="567"/>
      </w:pPr>
      <w:r>
        <w:t>closing net worth; and</w:t>
      </w:r>
    </w:p>
    <w:p w14:paraId="0F08E656" w14:textId="77777777" w:rsidR="00FB4A57" w:rsidRDefault="00FB4A57" w:rsidP="00CF4760">
      <w:pPr>
        <w:pStyle w:val="Bullet1"/>
        <w:numPr>
          <w:ilvl w:val="0"/>
          <w:numId w:val="24"/>
        </w:numPr>
        <w:tabs>
          <w:tab w:val="clear" w:pos="1077"/>
          <w:tab w:val="num" w:pos="567"/>
        </w:tabs>
        <w:ind w:left="567"/>
      </w:pPr>
      <w:r>
        <w:t>cash surplus/(deficit).</w:t>
      </w:r>
    </w:p>
    <w:p w14:paraId="0F08E657" w14:textId="77777777" w:rsidR="00CF6949" w:rsidRDefault="00CF6949" w:rsidP="00CF6949">
      <w:pPr>
        <w:pStyle w:val="Heading1NoNum"/>
      </w:pPr>
      <w:r>
        <w:t>L</w:t>
      </w:r>
    </w:p>
    <w:p w14:paraId="0F08E658" w14:textId="77777777" w:rsidR="00FB4A57" w:rsidRDefault="00FB4A57" w:rsidP="007770BB">
      <w:pPr>
        <w:pStyle w:val="Heading2NoNum"/>
      </w:pPr>
      <w:r>
        <w:t>Labour force</w:t>
      </w:r>
    </w:p>
    <w:p w14:paraId="0F08E659" w14:textId="77777777" w:rsidR="00F9789E" w:rsidRDefault="00FB4A57" w:rsidP="00F43173">
      <w:r>
        <w:t xml:space="preserve">For any group, </w:t>
      </w:r>
      <w:r w:rsidR="00CD1558">
        <w:t xml:space="preserve">the </w:t>
      </w:r>
      <w:r w:rsidR="00900607">
        <w:t xml:space="preserve">total </w:t>
      </w:r>
      <w:r w:rsidR="00CD1558">
        <w:t xml:space="preserve">of employed </w:t>
      </w:r>
      <w:r>
        <w:t>persons</w:t>
      </w:r>
      <w:r w:rsidR="00CD1558">
        <w:t xml:space="preserve"> (see </w:t>
      </w:r>
      <w:r w:rsidR="009249B2">
        <w:t>‘</w:t>
      </w:r>
      <w:r w:rsidR="002F1FC7">
        <w:t>E</w:t>
      </w:r>
      <w:r w:rsidR="00CD1558">
        <w:t>mployed persons</w:t>
      </w:r>
      <w:r w:rsidR="009249B2">
        <w:t>’</w:t>
      </w:r>
      <w:r w:rsidR="00CD1558">
        <w:t xml:space="preserve">) and unemployed persons (see </w:t>
      </w:r>
      <w:r w:rsidR="009249B2">
        <w:t>‘</w:t>
      </w:r>
      <w:r w:rsidR="002F1FC7">
        <w:t>U</w:t>
      </w:r>
      <w:r w:rsidR="00CD1558">
        <w:t>nemployed persons</w:t>
      </w:r>
      <w:r w:rsidR="009249B2">
        <w:t>’</w:t>
      </w:r>
      <w:r w:rsidR="00CD1558">
        <w:t xml:space="preserve">). </w:t>
      </w:r>
    </w:p>
    <w:p w14:paraId="0F08E65A" w14:textId="77777777" w:rsidR="00FB4A57" w:rsidRDefault="00FB4A57" w:rsidP="007770BB">
      <w:pPr>
        <w:pStyle w:val="Heading2NoNum"/>
      </w:pPr>
      <w:r>
        <w:t xml:space="preserve">Labour </w:t>
      </w:r>
      <w:r w:rsidRPr="00CF6949">
        <w:t>force</w:t>
      </w:r>
      <w:r>
        <w:t xml:space="preserve"> participation rate</w:t>
      </w:r>
    </w:p>
    <w:p w14:paraId="0F08E65B" w14:textId="77777777" w:rsidR="00F9789E" w:rsidRDefault="00FB4A57" w:rsidP="00F43173">
      <w:r>
        <w:t>For any group, the labour force expressed as a percentage of the civilian population aged 15 years and over in the same group.</w:t>
      </w:r>
    </w:p>
    <w:p w14:paraId="0F08E65C" w14:textId="77777777" w:rsidR="00F9789E" w:rsidRDefault="00FB4A57" w:rsidP="007770BB">
      <w:pPr>
        <w:pStyle w:val="Heading2NoNum"/>
      </w:pPr>
      <w:r>
        <w:t xml:space="preserve">Land </w:t>
      </w:r>
      <w:r w:rsidR="00544593">
        <w:t>t</w:t>
      </w:r>
      <w:r>
        <w:t>ax</w:t>
      </w:r>
    </w:p>
    <w:p w14:paraId="0F08E65D" w14:textId="77777777" w:rsidR="00FB4A57" w:rsidRDefault="009857E4" w:rsidP="00F43173">
      <w:r>
        <w:t>A</w:t>
      </w:r>
      <w:r w:rsidR="00FB4A57">
        <w:t>n annual tax assessed on the unimproved value of taxable land owned by a landowner. Land that is used for primary production, or as a landowner’s principal place of residence, is exempt.</w:t>
      </w:r>
    </w:p>
    <w:p w14:paraId="0F08E65E" w14:textId="77777777" w:rsidR="00FB4A57" w:rsidRDefault="00CF6949" w:rsidP="007770BB">
      <w:pPr>
        <w:pStyle w:val="Heading2NoNum"/>
      </w:pPr>
      <w:r>
        <w:t>Lapsing program</w:t>
      </w:r>
    </w:p>
    <w:p w14:paraId="0F08E65F" w14:textId="77777777" w:rsidR="00F9789E" w:rsidRDefault="00FB4A57" w:rsidP="00F43173">
      <w:r>
        <w:t xml:space="preserve">Programs where funding </w:t>
      </w:r>
      <w:r w:rsidR="002E1FB8">
        <w:t xml:space="preserve">was </w:t>
      </w:r>
      <w:r>
        <w:t>provided for a specified, time-limited period</w:t>
      </w:r>
      <w:r w:rsidR="00CE019D">
        <w:t xml:space="preserve"> </w:t>
      </w:r>
      <w:r w:rsidR="00900A67">
        <w:t>only.</w:t>
      </w:r>
    </w:p>
    <w:p w14:paraId="0F08E660" w14:textId="77777777" w:rsidR="00F9789E" w:rsidRDefault="00FB4A57" w:rsidP="007770BB">
      <w:pPr>
        <w:pStyle w:val="Heading2NoNum"/>
      </w:pPr>
      <w:r>
        <w:t>Liabilities</w:t>
      </w:r>
    </w:p>
    <w:p w14:paraId="0F08E661" w14:textId="77777777" w:rsidR="00F9789E" w:rsidRDefault="00FB4A57" w:rsidP="00F43173">
      <w:r>
        <w:t xml:space="preserve">Liabilities comprise future payments that an entity is currently obliged to make to other entities as a result of past transactions or other past events. Liabilities are a broader concept than debt, and </w:t>
      </w:r>
      <w:r w:rsidR="00CE019D">
        <w:t>also include obligations that</w:t>
      </w:r>
      <w:r>
        <w:t xml:space="preserve"> do not have a predetermined rep</w:t>
      </w:r>
      <w:r w:rsidR="00CE019D">
        <w:t>ayment schedule, and those that</w:t>
      </w:r>
      <w:r>
        <w:t xml:space="preserve"> do not require payments of interest — such as unfunded liabilities of superannuation funds, liabilities in respect of other employee entitlements (long-service and</w:t>
      </w:r>
      <w:r w:rsidR="00CE019D">
        <w:t xml:space="preserve"> annual leave), trade creditors</w:t>
      </w:r>
      <w:r>
        <w:t xml:space="preserve"> and provisions for deferred maintenance.</w:t>
      </w:r>
    </w:p>
    <w:p w14:paraId="0F08E662" w14:textId="77777777" w:rsidR="00F9789E" w:rsidRDefault="00FB4A57" w:rsidP="007770BB">
      <w:pPr>
        <w:pStyle w:val="Heading2NoNum"/>
      </w:pPr>
      <w:r>
        <w:t>Liabilities (</w:t>
      </w:r>
      <w:r w:rsidR="00CF6949">
        <w:t>current</w:t>
      </w:r>
      <w:r>
        <w:t>)</w:t>
      </w:r>
    </w:p>
    <w:p w14:paraId="0F08E663" w14:textId="77777777" w:rsidR="00F9789E" w:rsidRDefault="00740DD8" w:rsidP="00F43173">
      <w:r>
        <w:t>T</w:t>
      </w:r>
      <w:r w:rsidR="00FB4A57">
        <w:t xml:space="preserve">hose liabilities of the department that would, in the ordinary course of operations of the department, </w:t>
      </w:r>
      <w:r w:rsidR="00CE019D">
        <w:t>be due and payable within 12</w:t>
      </w:r>
      <w:r w:rsidR="00FB4A57">
        <w:t xml:space="preserve"> months after the end of the reporting period. Examples include creditors and employee entitlements such as annual leave.</w:t>
      </w:r>
    </w:p>
    <w:p w14:paraId="0F08E664" w14:textId="77777777" w:rsidR="00F9789E" w:rsidRDefault="00FB4A57" w:rsidP="007770BB">
      <w:pPr>
        <w:pStyle w:val="Heading2NoNum"/>
      </w:pPr>
      <w:r>
        <w:t>Liabilities (</w:t>
      </w:r>
      <w:r w:rsidR="00CF6949">
        <w:t>non-current</w:t>
      </w:r>
      <w:r>
        <w:t>)</w:t>
      </w:r>
    </w:p>
    <w:p w14:paraId="0F08E665" w14:textId="77777777" w:rsidR="00F9789E" w:rsidRDefault="00740DD8" w:rsidP="00F43173">
      <w:r>
        <w:t>A</w:t>
      </w:r>
      <w:r w:rsidR="00FB4A57">
        <w:t>ll liabilities other than current liabilities, e.g. finance le</w:t>
      </w:r>
      <w:r w:rsidR="00CE019D">
        <w:t>ase liabilities due after 12</w:t>
      </w:r>
      <w:r w:rsidR="00FB4A57">
        <w:t xml:space="preserve"> months.</w:t>
      </w:r>
    </w:p>
    <w:p w14:paraId="0F08E666" w14:textId="77777777" w:rsidR="00F9789E" w:rsidRDefault="00FB4A57" w:rsidP="007770BB">
      <w:pPr>
        <w:pStyle w:val="Heading2NoNum"/>
      </w:pPr>
      <w:r>
        <w:lastRenderedPageBreak/>
        <w:t>Life</w:t>
      </w:r>
      <w:r w:rsidR="00191266">
        <w:t xml:space="preserve"> </w:t>
      </w:r>
      <w:r w:rsidR="00CF6949">
        <w:t>cycle cost</w:t>
      </w:r>
    </w:p>
    <w:p w14:paraId="0F08E667" w14:textId="77777777" w:rsidR="00F9789E" w:rsidRDefault="00191266" w:rsidP="00F43173">
      <w:r>
        <w:t xml:space="preserve">Life </w:t>
      </w:r>
      <w:r w:rsidR="00FB4A57">
        <w:t>cycle cost is the total cost of an</w:t>
      </w:r>
      <w:r w:rsidR="00633822">
        <w:t xml:space="preserve"> asset</w:t>
      </w:r>
      <w:r w:rsidR="00FB4A57">
        <w:t xml:space="preserve"> or system over its full life. It includes the cost of development, production, ownership (o</w:t>
      </w:r>
      <w:r w:rsidR="00CE019D">
        <w:t>peration, maintenance, support)</w:t>
      </w:r>
      <w:r w:rsidR="00FB4A57">
        <w:t xml:space="preserve"> and disposal, if applicable.</w:t>
      </w:r>
    </w:p>
    <w:p w14:paraId="0F08E668" w14:textId="77777777" w:rsidR="00F9789E" w:rsidRDefault="00191266" w:rsidP="007770BB">
      <w:pPr>
        <w:pStyle w:val="Heading2NoNum"/>
      </w:pPr>
      <w:r>
        <w:t xml:space="preserve">Long </w:t>
      </w:r>
      <w:r w:rsidR="00CE019D">
        <w:t>service l</w:t>
      </w:r>
      <w:r w:rsidR="00FB4A57">
        <w:t xml:space="preserve">eave </w:t>
      </w:r>
      <w:r w:rsidR="00CF6949">
        <w:t>equivalent</w:t>
      </w:r>
    </w:p>
    <w:p w14:paraId="0F08E669" w14:textId="77777777" w:rsidR="00F9789E" w:rsidRDefault="003D0EF7" w:rsidP="00F43173">
      <w:r>
        <w:t>T</w:t>
      </w:r>
      <w:r w:rsidR="00FB4A57">
        <w:t xml:space="preserve">he quantum of funds equal to actual </w:t>
      </w:r>
      <w:r w:rsidR="00CE019D">
        <w:t>long service l</w:t>
      </w:r>
      <w:r w:rsidR="00FB4A57">
        <w:t>eave expense</w:t>
      </w:r>
      <w:r>
        <w:t>,</w:t>
      </w:r>
      <w:r w:rsidR="00FB4A57">
        <w:t xml:space="preserve"> which is provided to a department from output reven</w:t>
      </w:r>
      <w:r w:rsidR="00CE019D">
        <w:t>ue for paying out long-service l</w:t>
      </w:r>
      <w:r w:rsidR="00FB4A57">
        <w:t>eave entitlements.</w:t>
      </w:r>
    </w:p>
    <w:p w14:paraId="0F08E66A" w14:textId="77777777" w:rsidR="00F9789E" w:rsidRDefault="00191266" w:rsidP="007770BB">
      <w:pPr>
        <w:pStyle w:val="Heading2NoNum"/>
      </w:pPr>
      <w:r>
        <w:t xml:space="preserve">Long </w:t>
      </w:r>
      <w:r w:rsidR="00CE019D">
        <w:t>s</w:t>
      </w:r>
      <w:r w:rsidR="00FB4A57">
        <w:t xml:space="preserve">ervice </w:t>
      </w:r>
      <w:r w:rsidR="00CE019D">
        <w:t>l</w:t>
      </w:r>
      <w:r w:rsidR="00FB4A57">
        <w:t xml:space="preserve">eave </w:t>
      </w:r>
      <w:r w:rsidR="00CF6949">
        <w:t>expense</w:t>
      </w:r>
    </w:p>
    <w:p w14:paraId="0F08E66B" w14:textId="77777777" w:rsidR="00F9789E" w:rsidRDefault="00FB4A57" w:rsidP="00F43173">
      <w:r>
        <w:t>Recognises long service leave accrued by employees during the reporting period. Referred to as a non</w:t>
      </w:r>
      <w:r w:rsidR="003D0EF7">
        <w:t>-</w:t>
      </w:r>
      <w:r>
        <w:t>cash cost.</w:t>
      </w:r>
    </w:p>
    <w:p w14:paraId="0F08E66C" w14:textId="77777777" w:rsidR="00F9789E" w:rsidRDefault="00191266" w:rsidP="007770BB">
      <w:pPr>
        <w:pStyle w:val="Heading2NoNum"/>
      </w:pPr>
      <w:r>
        <w:t xml:space="preserve">Long </w:t>
      </w:r>
      <w:r w:rsidR="00CE019D">
        <w:t>s</w:t>
      </w:r>
      <w:r w:rsidR="00FB4A57">
        <w:t xml:space="preserve">ervice </w:t>
      </w:r>
      <w:r w:rsidR="00CE019D">
        <w:t>l</w:t>
      </w:r>
      <w:r w:rsidR="00FB4A57">
        <w:t xml:space="preserve">eave </w:t>
      </w:r>
      <w:r w:rsidR="00CF6949">
        <w:t>payout</w:t>
      </w:r>
    </w:p>
    <w:p w14:paraId="0F08E66D" w14:textId="77777777" w:rsidR="00F9789E" w:rsidRDefault="003D0EF7" w:rsidP="00F43173">
      <w:r>
        <w:t>T</w:t>
      </w:r>
      <w:r w:rsidR="00FB4A57">
        <w:t xml:space="preserve">he payment to an employee of any accrued </w:t>
      </w:r>
      <w:r w:rsidR="00191266">
        <w:t xml:space="preserve">long </w:t>
      </w:r>
      <w:r w:rsidR="00CE019D">
        <w:t>s</w:t>
      </w:r>
      <w:r w:rsidR="00FB4A57">
        <w:t xml:space="preserve">ervice </w:t>
      </w:r>
      <w:r w:rsidR="00CE019D">
        <w:t>l</w:t>
      </w:r>
      <w:r w:rsidR="00FB4A57">
        <w:t>eave entitlement</w:t>
      </w:r>
      <w:r w:rsidR="00191266">
        <w:t>,</w:t>
      </w:r>
      <w:r w:rsidR="00FB4A57">
        <w:t xml:space="preserve"> which is available</w:t>
      </w:r>
      <w:r w:rsidR="00E1771E">
        <w:t xml:space="preserve"> when entitled and</w:t>
      </w:r>
      <w:r w:rsidR="00456400">
        <w:t xml:space="preserve"> utilised or</w:t>
      </w:r>
      <w:r w:rsidR="00FB4A57">
        <w:t xml:space="preserve"> upon resignation, retirement </w:t>
      </w:r>
      <w:r w:rsidR="00D3036C">
        <w:t>or</w:t>
      </w:r>
      <w:r w:rsidR="00FB4A57">
        <w:t xml:space="preserve"> redundancy.</w:t>
      </w:r>
    </w:p>
    <w:p w14:paraId="0F08E66E" w14:textId="77777777" w:rsidR="00F9789E" w:rsidRDefault="00CE019D" w:rsidP="007770BB">
      <w:pPr>
        <w:pStyle w:val="Heading2NoNum"/>
      </w:pPr>
      <w:r>
        <w:t>Long</w:t>
      </w:r>
      <w:r w:rsidR="00191266">
        <w:t xml:space="preserve"> </w:t>
      </w:r>
      <w:r>
        <w:t>s</w:t>
      </w:r>
      <w:r w:rsidR="00FB4A57">
        <w:t xml:space="preserve">ervice </w:t>
      </w:r>
      <w:r>
        <w:t>l</w:t>
      </w:r>
      <w:r w:rsidR="00FB4A57">
        <w:t xml:space="preserve">eave </w:t>
      </w:r>
      <w:r w:rsidR="00CF6949">
        <w:t>provision</w:t>
      </w:r>
    </w:p>
    <w:p w14:paraId="0F08E66F" w14:textId="77777777" w:rsidR="00F9789E" w:rsidRDefault="003D0EF7" w:rsidP="00F43173">
      <w:r>
        <w:t>A</w:t>
      </w:r>
      <w:r w:rsidR="00FB4A57">
        <w:t>n obligation (liability) of a department to its employe</w:t>
      </w:r>
      <w:r w:rsidR="00CE019D">
        <w:t>es for</w:t>
      </w:r>
      <w:r w:rsidR="00191266">
        <w:t xml:space="preserve"> accrued outstanding long </w:t>
      </w:r>
      <w:r w:rsidR="00FB4A57">
        <w:t>service leave.</w:t>
      </w:r>
    </w:p>
    <w:p w14:paraId="0F08E670" w14:textId="77777777" w:rsidR="00CF6949" w:rsidRDefault="00CF6949" w:rsidP="00CF6949">
      <w:pPr>
        <w:pStyle w:val="Heading1NoNum"/>
      </w:pPr>
      <w:r>
        <w:t>M</w:t>
      </w:r>
    </w:p>
    <w:p w14:paraId="0F08E671" w14:textId="77777777" w:rsidR="009B6857" w:rsidRDefault="009B6857" w:rsidP="007770BB">
      <w:pPr>
        <w:pStyle w:val="Heading2NoNum"/>
      </w:pPr>
      <w:r>
        <w:t>Market-led proposals</w:t>
      </w:r>
    </w:p>
    <w:p w14:paraId="0F08E672" w14:textId="77777777" w:rsidR="009B6857" w:rsidRPr="009B6857" w:rsidRDefault="009B6857" w:rsidP="009B6857">
      <w:pPr>
        <w:rPr>
          <w:lang w:eastAsia="en-US"/>
        </w:rPr>
      </w:pPr>
      <w:r>
        <w:rPr>
          <w:lang w:eastAsia="en-US"/>
        </w:rPr>
        <w:t>These are proposals put to Government that originate from the private sector. The Government has released a guideline providing a transparent framework for assessing these pro</w:t>
      </w:r>
      <w:r w:rsidR="00277B32">
        <w:rPr>
          <w:lang w:eastAsia="en-US"/>
        </w:rPr>
        <w:t>posal</w:t>
      </w:r>
      <w:r>
        <w:rPr>
          <w:lang w:eastAsia="en-US"/>
        </w:rPr>
        <w:t>s that must offer something genuinely unique and of value to Victorians.</w:t>
      </w:r>
    </w:p>
    <w:p w14:paraId="0F08E673" w14:textId="77777777" w:rsidR="00FB4A57" w:rsidRDefault="006526A7" w:rsidP="007770BB">
      <w:pPr>
        <w:pStyle w:val="Heading2NoNum"/>
      </w:pPr>
      <w:r>
        <w:t>Market participants</w:t>
      </w:r>
    </w:p>
    <w:p w14:paraId="0F08E674" w14:textId="77777777" w:rsidR="006526A7" w:rsidRPr="006526A7" w:rsidRDefault="006526A7" w:rsidP="00F43173">
      <w:pPr>
        <w:rPr>
          <w:lang w:eastAsia="en-US"/>
        </w:rPr>
      </w:pPr>
      <w:r w:rsidRPr="006526A7">
        <w:rPr>
          <w:lang w:eastAsia="en-US"/>
        </w:rPr>
        <w:t>Buyers and sellers in the principal (or most advantageous) market for the asset or liability that have all of the following characteristics:</w:t>
      </w:r>
    </w:p>
    <w:p w14:paraId="0F08E675" w14:textId="77777777" w:rsidR="006526A7" w:rsidRDefault="006526A7" w:rsidP="00CF4760">
      <w:pPr>
        <w:pStyle w:val="Numlist"/>
        <w:numPr>
          <w:ilvl w:val="0"/>
          <w:numId w:val="16"/>
        </w:numPr>
        <w:ind w:left="709" w:hanging="425"/>
        <w:rPr>
          <w:lang w:eastAsia="en-US"/>
        </w:rPr>
      </w:pPr>
      <w:r w:rsidRPr="006526A7">
        <w:rPr>
          <w:lang w:eastAsia="en-US"/>
        </w:rPr>
        <w:t>They are independent of each other, i</w:t>
      </w:r>
      <w:r w:rsidR="00AB4214">
        <w:rPr>
          <w:lang w:eastAsia="en-US"/>
        </w:rPr>
        <w:t>.</w:t>
      </w:r>
      <w:r w:rsidRPr="006526A7">
        <w:rPr>
          <w:lang w:eastAsia="en-US"/>
        </w:rPr>
        <w:t>e</w:t>
      </w:r>
      <w:r w:rsidR="00AB4214">
        <w:rPr>
          <w:lang w:eastAsia="en-US"/>
        </w:rPr>
        <w:t>.</w:t>
      </w:r>
      <w:r w:rsidRPr="006526A7">
        <w:rPr>
          <w:lang w:eastAsia="en-US"/>
        </w:rPr>
        <w:t xml:space="preserve"> they are not related parties as defined in</w:t>
      </w:r>
      <w:r>
        <w:rPr>
          <w:lang w:eastAsia="en-US"/>
        </w:rPr>
        <w:t xml:space="preserve"> </w:t>
      </w:r>
      <w:r w:rsidRPr="006526A7">
        <w:rPr>
          <w:lang w:eastAsia="en-US"/>
        </w:rPr>
        <w:t>AASB</w:t>
      </w:r>
      <w:r>
        <w:rPr>
          <w:lang w:eastAsia="en-US"/>
        </w:rPr>
        <w:t xml:space="preserve"> </w:t>
      </w:r>
      <w:r w:rsidRPr="006526A7">
        <w:rPr>
          <w:lang w:eastAsia="en-US"/>
        </w:rPr>
        <w:t>124, although the price in a related party transaction may be used as an input to a fair value measurement if t</w:t>
      </w:r>
      <w:r>
        <w:rPr>
          <w:lang w:eastAsia="en-US"/>
        </w:rPr>
        <w:t xml:space="preserve">he entity has evidence that the </w:t>
      </w:r>
      <w:r w:rsidRPr="006526A7">
        <w:rPr>
          <w:lang w:eastAsia="en-US"/>
        </w:rPr>
        <w:t>transaction was entered into at market terms.</w:t>
      </w:r>
    </w:p>
    <w:p w14:paraId="0F08E676" w14:textId="77777777" w:rsidR="006526A7" w:rsidRDefault="006526A7" w:rsidP="00CF4760">
      <w:pPr>
        <w:pStyle w:val="Numlist"/>
        <w:numPr>
          <w:ilvl w:val="0"/>
          <w:numId w:val="16"/>
        </w:numPr>
        <w:ind w:left="709" w:hanging="425"/>
        <w:rPr>
          <w:lang w:eastAsia="en-US"/>
        </w:rPr>
      </w:pPr>
      <w:r>
        <w:rPr>
          <w:lang w:eastAsia="en-US"/>
        </w:rPr>
        <w:t>They are knowledgeable, having a reasonable understanding about the asset or liability and the transaction using all available information, including information that might be obtained through due diligence efforts that are usual and customary.</w:t>
      </w:r>
    </w:p>
    <w:p w14:paraId="0F08E677" w14:textId="77777777" w:rsidR="006526A7" w:rsidRDefault="006526A7" w:rsidP="00CF4760">
      <w:pPr>
        <w:pStyle w:val="Numlist"/>
        <w:numPr>
          <w:ilvl w:val="0"/>
          <w:numId w:val="16"/>
        </w:numPr>
        <w:ind w:left="709" w:hanging="425"/>
        <w:rPr>
          <w:lang w:eastAsia="en-US"/>
        </w:rPr>
      </w:pPr>
      <w:r>
        <w:t>They are able to enter into a transaction for the asset or liability.</w:t>
      </w:r>
    </w:p>
    <w:p w14:paraId="0F08E678" w14:textId="77777777" w:rsidR="006526A7" w:rsidRDefault="006526A7" w:rsidP="00CF4760">
      <w:pPr>
        <w:pStyle w:val="Numlist"/>
        <w:numPr>
          <w:ilvl w:val="0"/>
          <w:numId w:val="16"/>
        </w:numPr>
        <w:ind w:left="709" w:hanging="425"/>
        <w:rPr>
          <w:lang w:eastAsia="en-US"/>
        </w:rPr>
      </w:pPr>
      <w:r>
        <w:rPr>
          <w:lang w:eastAsia="en-US"/>
        </w:rPr>
        <w:t>They are willing to enter into a transaction for the asset or liability, i</w:t>
      </w:r>
      <w:r w:rsidR="00AB4214">
        <w:rPr>
          <w:lang w:eastAsia="en-US"/>
        </w:rPr>
        <w:t>.</w:t>
      </w:r>
      <w:r>
        <w:rPr>
          <w:lang w:eastAsia="en-US"/>
        </w:rPr>
        <w:t>e</w:t>
      </w:r>
      <w:r w:rsidR="00AB4214">
        <w:rPr>
          <w:lang w:eastAsia="en-US"/>
        </w:rPr>
        <w:t>.</w:t>
      </w:r>
      <w:r>
        <w:rPr>
          <w:lang w:eastAsia="en-US"/>
        </w:rPr>
        <w:t xml:space="preserve"> they are motivated but not forced or otherwise compelled to do so.</w:t>
      </w:r>
    </w:p>
    <w:p w14:paraId="0F08E679" w14:textId="77777777" w:rsidR="00235F88" w:rsidRPr="006526A7" w:rsidRDefault="00235F88" w:rsidP="007770BB">
      <w:pPr>
        <w:pStyle w:val="Heading2NoNum"/>
      </w:pPr>
      <w:r w:rsidRPr="00235F88">
        <w:rPr>
          <w:rFonts w:eastAsiaTheme="minorHAnsi"/>
        </w:rPr>
        <w:t xml:space="preserve">Ministerial </w:t>
      </w:r>
      <w:r w:rsidR="00CE019D">
        <w:rPr>
          <w:rFonts w:eastAsiaTheme="minorHAnsi"/>
        </w:rPr>
        <w:t>d</w:t>
      </w:r>
      <w:r w:rsidRPr="00CE019D">
        <w:rPr>
          <w:rFonts w:eastAsiaTheme="minorHAnsi"/>
        </w:rPr>
        <w:t xml:space="preserve">irections </w:t>
      </w:r>
      <w:r w:rsidR="00CE019D" w:rsidRPr="00CE019D">
        <w:rPr>
          <w:rFonts w:eastAsiaTheme="minorHAnsi"/>
          <w:iCs/>
        </w:rPr>
        <w:t>for p</w:t>
      </w:r>
      <w:r w:rsidRPr="00CE019D">
        <w:rPr>
          <w:rFonts w:eastAsiaTheme="minorHAnsi"/>
          <w:iCs/>
        </w:rPr>
        <w:t>ub</w:t>
      </w:r>
      <w:r w:rsidR="00CE019D" w:rsidRPr="00CE019D">
        <w:rPr>
          <w:rFonts w:eastAsiaTheme="minorHAnsi"/>
          <w:iCs/>
        </w:rPr>
        <w:t>lic c</w:t>
      </w:r>
      <w:r w:rsidRPr="00CE019D">
        <w:rPr>
          <w:rFonts w:eastAsiaTheme="minorHAnsi"/>
          <w:iCs/>
        </w:rPr>
        <w:t>onstruction</w:t>
      </w:r>
    </w:p>
    <w:p w14:paraId="0F08E67A" w14:textId="77777777" w:rsidR="00235F88" w:rsidRPr="00235F88" w:rsidRDefault="00CE019D" w:rsidP="00F43173">
      <w:pPr>
        <w:rPr>
          <w:rFonts w:eastAsiaTheme="minorHAnsi"/>
          <w:lang w:eastAsia="en-US"/>
        </w:rPr>
      </w:pPr>
      <w:r>
        <w:rPr>
          <w:rFonts w:eastAsiaTheme="minorHAnsi"/>
          <w:lang w:eastAsia="en-US"/>
        </w:rPr>
        <w:t>Ministerial d</w:t>
      </w:r>
      <w:r w:rsidR="00235F88" w:rsidRPr="00235F88">
        <w:rPr>
          <w:rFonts w:eastAsiaTheme="minorHAnsi"/>
          <w:lang w:eastAsia="en-US"/>
        </w:rPr>
        <w:t>irections prescribe principles and procedures that Victorian government departments and public bodies must follow when they procure public construction works and services, including:</w:t>
      </w:r>
    </w:p>
    <w:p w14:paraId="0F08E67B" w14:textId="77777777" w:rsidR="00235F88" w:rsidRPr="00235F88" w:rsidRDefault="00235F88" w:rsidP="00CF4760">
      <w:pPr>
        <w:pStyle w:val="Bullet1"/>
        <w:tabs>
          <w:tab w:val="clear" w:pos="1077"/>
          <w:tab w:val="num" w:pos="709"/>
        </w:tabs>
        <w:ind w:left="709" w:hanging="425"/>
      </w:pPr>
      <w:r w:rsidRPr="00D71E30">
        <w:t>construction</w:t>
      </w:r>
      <w:r w:rsidRPr="00235F88">
        <w:t xml:space="preserve"> tendering procedures that must be used, based on the estimated value of the works or services;</w:t>
      </w:r>
    </w:p>
    <w:p w14:paraId="0F08E67C" w14:textId="77777777" w:rsidR="00235F88" w:rsidRPr="00235F88" w:rsidRDefault="00235F88" w:rsidP="00CF4760">
      <w:pPr>
        <w:pStyle w:val="Bullet1"/>
        <w:tabs>
          <w:tab w:val="clear" w:pos="1077"/>
          <w:tab w:val="num" w:pos="709"/>
        </w:tabs>
        <w:ind w:left="709" w:hanging="425"/>
      </w:pPr>
      <w:r w:rsidRPr="00235F88">
        <w:t>general conditions of contract to be used for public construction and the principles to be followed when developing contract conditions;</w:t>
      </w:r>
    </w:p>
    <w:p w14:paraId="0F08E67D" w14:textId="77777777" w:rsidR="00235F88" w:rsidRDefault="00235F88" w:rsidP="00CF4760">
      <w:pPr>
        <w:pStyle w:val="Bullet1"/>
        <w:tabs>
          <w:tab w:val="clear" w:pos="1077"/>
          <w:tab w:val="num" w:pos="709"/>
        </w:tabs>
        <w:ind w:left="709" w:hanging="425"/>
      </w:pPr>
      <w:r w:rsidRPr="00235F88">
        <w:t>the design of buildings of a public nature taking into account bushfire attack risk; and</w:t>
      </w:r>
    </w:p>
    <w:p w14:paraId="0F08E67E" w14:textId="77777777" w:rsidR="006526A7" w:rsidRPr="00235F88" w:rsidRDefault="00235F88" w:rsidP="00CF4760">
      <w:pPr>
        <w:pStyle w:val="Bullet1"/>
        <w:tabs>
          <w:tab w:val="clear" w:pos="1077"/>
          <w:tab w:val="num" w:pos="709"/>
        </w:tabs>
        <w:ind w:left="709" w:hanging="425"/>
      </w:pPr>
      <w:r w:rsidRPr="00235F88">
        <w:t>construction requirements for community fire refuges.</w:t>
      </w:r>
    </w:p>
    <w:p w14:paraId="0F08E67F" w14:textId="77777777" w:rsidR="00CF6949" w:rsidRDefault="00CF6949" w:rsidP="00CF6949">
      <w:pPr>
        <w:pStyle w:val="Heading1NoNum"/>
      </w:pPr>
      <w:r>
        <w:lastRenderedPageBreak/>
        <w:t>N</w:t>
      </w:r>
    </w:p>
    <w:p w14:paraId="0F08E680" w14:textId="77777777" w:rsidR="00FB4A57" w:rsidRDefault="00FB4A57" w:rsidP="007770BB">
      <w:pPr>
        <w:pStyle w:val="Heading2NoNum"/>
      </w:pPr>
      <w:r>
        <w:t>Net acquisition of non-financial assets (from transactions)</w:t>
      </w:r>
    </w:p>
    <w:p w14:paraId="0F08E681" w14:textId="77777777" w:rsidR="00CF6949" w:rsidRDefault="00FB4A57" w:rsidP="00F43173">
      <w:r>
        <w:t>Purchases (and other acquisitions) of non-financial assets less sales (or disposals) of non-financial</w:t>
      </w:r>
      <w:r w:rsidR="00CF6949">
        <w:t xml:space="preserve"> </w:t>
      </w:r>
      <w:r>
        <w:t>assets less depreciation plus changes in inventories and other movements in non-financial assets.</w:t>
      </w:r>
      <w:r w:rsidR="00CF6949">
        <w:t xml:space="preserve"> </w:t>
      </w:r>
    </w:p>
    <w:p w14:paraId="0F08E682" w14:textId="77777777" w:rsidR="00F9789E" w:rsidRDefault="00FB4A57" w:rsidP="00F43173">
      <w:r>
        <w:t>Includes only those increases or decreases in non-financial assets resulting from transactions and</w:t>
      </w:r>
      <w:r w:rsidR="00CF6949">
        <w:t xml:space="preserve"> </w:t>
      </w:r>
      <w:r>
        <w:t>therefore excludes write</w:t>
      </w:r>
      <w:r w:rsidR="00AB4214">
        <w:t>-</w:t>
      </w:r>
      <w:r>
        <w:t>offs, impairment write</w:t>
      </w:r>
      <w:r w:rsidR="006659A0">
        <w:t>-</w:t>
      </w:r>
      <w:r>
        <w:t>downs and revaluations.</w:t>
      </w:r>
    </w:p>
    <w:p w14:paraId="0F08E683" w14:textId="77777777" w:rsidR="00F9789E" w:rsidRDefault="00FB4A57" w:rsidP="007770BB">
      <w:pPr>
        <w:pStyle w:val="Heading2NoNum"/>
      </w:pPr>
      <w:r>
        <w:t xml:space="preserve">Net </w:t>
      </w:r>
      <w:r w:rsidR="00CF6949" w:rsidRPr="00CF6949">
        <w:t>assets</w:t>
      </w:r>
    </w:p>
    <w:p w14:paraId="0F08E684" w14:textId="77777777" w:rsidR="00F9789E" w:rsidRDefault="00C61441" w:rsidP="00F43173">
      <w:r>
        <w:t xml:space="preserve">See </w:t>
      </w:r>
      <w:r w:rsidR="00CE019D">
        <w:t>‘</w:t>
      </w:r>
      <w:r>
        <w:t>Assets (net)</w:t>
      </w:r>
      <w:r w:rsidR="00CE019D">
        <w:t>’</w:t>
      </w:r>
    </w:p>
    <w:p w14:paraId="0F08E685" w14:textId="77777777" w:rsidR="00FB4A57" w:rsidRDefault="00FB4A57" w:rsidP="007770BB">
      <w:pPr>
        <w:pStyle w:val="Heading2NoNum"/>
      </w:pPr>
      <w:r>
        <w:t>Net cash flows from investments in financial assets (liquidity management purposes)</w:t>
      </w:r>
    </w:p>
    <w:p w14:paraId="0F08E686" w14:textId="77777777" w:rsidR="00FB4A57" w:rsidRDefault="00FB4A57" w:rsidP="00F43173">
      <w:r>
        <w:t>Net cash flows from investments in financial assets (liquidity management purposes) are cash receipts</w:t>
      </w:r>
      <w:r w:rsidR="00CF6949">
        <w:t xml:space="preserve"> </w:t>
      </w:r>
      <w:r>
        <w:t>from liquidation or repayment of investments in financial assets for liquidity management purposes less</w:t>
      </w:r>
      <w:r w:rsidR="00CF6949">
        <w:t xml:space="preserve"> </w:t>
      </w:r>
      <w:r>
        <w:t>cash payments for such investments. Investment for liquidity management purposes means making</w:t>
      </w:r>
      <w:r w:rsidR="00CF6949">
        <w:t xml:space="preserve"> </w:t>
      </w:r>
      <w:r>
        <w:t>funds available to others with no policy intent and with the aim of earning a commercial rate of return.</w:t>
      </w:r>
    </w:p>
    <w:p w14:paraId="0F08E687" w14:textId="77777777" w:rsidR="00FB4A57" w:rsidRDefault="00FB4A57" w:rsidP="007770BB">
      <w:pPr>
        <w:pStyle w:val="Heading2NoNum"/>
      </w:pPr>
      <w:r>
        <w:t>Net cash flows from investments in financial assets (policy purposes)</w:t>
      </w:r>
    </w:p>
    <w:p w14:paraId="0F08E688" w14:textId="77777777" w:rsidR="00FB4A57" w:rsidRDefault="00FB4A57" w:rsidP="00F43173">
      <w:r>
        <w:t>Net cash flows from investments in financial ass</w:t>
      </w:r>
      <w:r w:rsidR="00CE019D">
        <w:t>ets (policy purposes) represent</w:t>
      </w:r>
      <w:r>
        <w:t xml:space="preserve"> cash payments made</w:t>
      </w:r>
      <w:r w:rsidR="00CF6949">
        <w:t xml:space="preserve"> </w:t>
      </w:r>
      <w:r>
        <w:t>for acquiring financial assets for policy purposes less cash receipts from the repayment and liquidation</w:t>
      </w:r>
      <w:r w:rsidR="00CF6949">
        <w:t xml:space="preserve"> </w:t>
      </w:r>
      <w:r>
        <w:t>of such investments in financial assets.</w:t>
      </w:r>
    </w:p>
    <w:p w14:paraId="0F08E689" w14:textId="77777777" w:rsidR="00FB4A57" w:rsidRDefault="00FB4A57" w:rsidP="00F43173">
      <w:r>
        <w:t>Acquisition of financial assets for policy purposes is distinguished from investments in financial assets</w:t>
      </w:r>
      <w:r w:rsidR="00CF6949">
        <w:t xml:space="preserve"> </w:t>
      </w:r>
      <w:r>
        <w:t>(liquidity management purposes) by the underlying government motivation for acquiring the assets.</w:t>
      </w:r>
    </w:p>
    <w:p w14:paraId="0F08E68A" w14:textId="77777777" w:rsidR="00FB4A57" w:rsidRDefault="00FB4A57" w:rsidP="00F43173">
      <w:r>
        <w:t xml:space="preserve">Acquisition of financial assets for policy purposes includes loans made by government that are motivated by </w:t>
      </w:r>
      <w:r w:rsidR="006659A0">
        <w:t>g</w:t>
      </w:r>
      <w:r>
        <w:t>overnment policies, such as encouraging the development of certain industries or assisting people affected by natural disaster.</w:t>
      </w:r>
    </w:p>
    <w:p w14:paraId="0F08E68B" w14:textId="77777777" w:rsidR="00FB4A57" w:rsidRDefault="00FB4A57" w:rsidP="00F43173">
      <w:r>
        <w:t>For the general government sector, this item also includes cash flows arising from the acquisition and disposal by government of its investments (contributed capital) in entities in the public non-financial corporations</w:t>
      </w:r>
      <w:r w:rsidR="0089062A">
        <w:t xml:space="preserve"> (PNFC)</w:t>
      </w:r>
      <w:r>
        <w:t xml:space="preserve"> and public financial corporations </w:t>
      </w:r>
      <w:r w:rsidR="0089062A">
        <w:t xml:space="preserve">(PFC) </w:t>
      </w:r>
      <w:r>
        <w:t>sectors.</w:t>
      </w:r>
    </w:p>
    <w:p w14:paraId="0F08E68C" w14:textId="77777777" w:rsidR="00F9789E" w:rsidRDefault="00CF6949" w:rsidP="007770BB">
      <w:pPr>
        <w:pStyle w:val="Heading2NoNum"/>
      </w:pPr>
      <w:r>
        <w:t>Net debt</w:t>
      </w:r>
    </w:p>
    <w:p w14:paraId="0F08E68D" w14:textId="77777777" w:rsidR="00FB4A57" w:rsidRDefault="00FB4A57" w:rsidP="00F43173">
      <w:r>
        <w:t>Net debt effectively measures liquid borrowings less liquid financial assets. It can be crudely characterised as cash owed less cash owned.</w:t>
      </w:r>
    </w:p>
    <w:p w14:paraId="0F08E68E" w14:textId="77777777" w:rsidR="00FB4A57" w:rsidRDefault="00FB4A57" w:rsidP="00F43173">
      <w:r>
        <w:t>More technically net debt equals the sum of deposits held, advances received, government securities, loans and other borrowing less the sum of cash and deposits, advances paid and investments, loans and placements.</w:t>
      </w:r>
    </w:p>
    <w:p w14:paraId="0F08E68F" w14:textId="77777777" w:rsidR="00F9789E" w:rsidRDefault="00FB4A57" w:rsidP="00F43173">
      <w:r>
        <w:t xml:space="preserve">For the </w:t>
      </w:r>
      <w:r w:rsidR="00927E09">
        <w:t>public financial corporation</w:t>
      </w:r>
      <w:r w:rsidR="000E5D9D">
        <w:t>s</w:t>
      </w:r>
      <w:r w:rsidR="00927E09">
        <w:t xml:space="preserve"> </w:t>
      </w:r>
      <w:r>
        <w:t>sector it also includes loans receivable from other sector entities.</w:t>
      </w:r>
    </w:p>
    <w:p w14:paraId="0F08E690" w14:textId="77777777" w:rsidR="00F9789E" w:rsidRDefault="00FB4A57" w:rsidP="007770BB">
      <w:pPr>
        <w:pStyle w:val="Heading2NoNum"/>
      </w:pPr>
      <w:r>
        <w:t xml:space="preserve">Net </w:t>
      </w:r>
      <w:r w:rsidR="00CF6949">
        <w:t>fair value</w:t>
      </w:r>
    </w:p>
    <w:p w14:paraId="0F08E691" w14:textId="77777777" w:rsidR="00CF6949" w:rsidRDefault="00FB4A57" w:rsidP="00F43173">
      <w:r>
        <w:t xml:space="preserve">Net fair value is a term used in relation to an asset or a liability: </w:t>
      </w:r>
    </w:p>
    <w:p w14:paraId="0F08E692" w14:textId="77777777" w:rsidR="00CF6949" w:rsidRPr="00CE019D" w:rsidRDefault="00FB4A57" w:rsidP="00CF4760">
      <w:pPr>
        <w:pStyle w:val="Bullet1"/>
        <w:numPr>
          <w:ilvl w:val="0"/>
          <w:numId w:val="19"/>
        </w:numPr>
        <w:tabs>
          <w:tab w:val="clear" w:pos="1077"/>
          <w:tab w:val="num" w:pos="851"/>
        </w:tabs>
        <w:ind w:left="851" w:hanging="567"/>
      </w:pPr>
      <w:r w:rsidRPr="00CE019D">
        <w:t xml:space="preserve">in relation to an asset, it refers to the fair value after deducting costs expected to be incurred; or </w:t>
      </w:r>
    </w:p>
    <w:p w14:paraId="0F08E693" w14:textId="77777777" w:rsidR="00F9789E" w:rsidRPr="00CE019D" w:rsidRDefault="00FB4A57" w:rsidP="00CF4760">
      <w:pPr>
        <w:pStyle w:val="Bullet1"/>
        <w:numPr>
          <w:ilvl w:val="0"/>
          <w:numId w:val="19"/>
        </w:numPr>
        <w:tabs>
          <w:tab w:val="clear" w:pos="1077"/>
          <w:tab w:val="num" w:pos="851"/>
        </w:tabs>
        <w:ind w:left="851" w:hanging="567"/>
      </w:pPr>
      <w:r w:rsidRPr="00CE019D">
        <w:t>in relation to a liability, the term refers to the fair value plus costs expected to be incurred were the liability to be settled.</w:t>
      </w:r>
    </w:p>
    <w:p w14:paraId="0F08E694" w14:textId="77777777" w:rsidR="00FB4A57" w:rsidRDefault="00FB4A57" w:rsidP="007770BB">
      <w:pPr>
        <w:pStyle w:val="Heading2NoNum"/>
      </w:pPr>
      <w:r>
        <w:lastRenderedPageBreak/>
        <w:t>Net financial liabilities</w:t>
      </w:r>
    </w:p>
    <w:p w14:paraId="0F08E695" w14:textId="77777777" w:rsidR="00FB4A57" w:rsidRDefault="00FB4A57" w:rsidP="00F43173">
      <w:r>
        <w:t>Total liabilities less financial assets, other than equity in PNFCs and PFCs. This measure is broader</w:t>
      </w:r>
      <w:r w:rsidR="00CF6949">
        <w:t xml:space="preserve"> </w:t>
      </w:r>
      <w:r>
        <w:t>than net debt as it includes significant liabilities, other than borrowings (e.g. accrued employee liabilities</w:t>
      </w:r>
      <w:r w:rsidR="00CF6949">
        <w:t xml:space="preserve"> </w:t>
      </w:r>
      <w:r>
        <w:t>such as superannuation and long</w:t>
      </w:r>
      <w:r w:rsidR="00CE019D">
        <w:t>-</w:t>
      </w:r>
      <w:r>
        <w:t>service leave entitlements). For the PNFC and PFC sectors, it is equal</w:t>
      </w:r>
      <w:r w:rsidR="00CF6949">
        <w:t xml:space="preserve"> </w:t>
      </w:r>
      <w:r>
        <w:t>to negative net financial worth.</w:t>
      </w:r>
    </w:p>
    <w:p w14:paraId="0F08E696" w14:textId="77777777" w:rsidR="00FB4A57" w:rsidRDefault="00FB4A57" w:rsidP="007770BB">
      <w:pPr>
        <w:pStyle w:val="Heading2NoNum"/>
      </w:pPr>
      <w:r>
        <w:t>Net financial worth</w:t>
      </w:r>
    </w:p>
    <w:p w14:paraId="0F08E697" w14:textId="77777777" w:rsidR="00FB4A57" w:rsidRPr="00F43173" w:rsidRDefault="00FB4A57" w:rsidP="00F43173">
      <w:r w:rsidRPr="00F43173">
        <w:t>Net financial worth is equal to financial assets minus liabilities. It is a broader measure than net debt as</w:t>
      </w:r>
      <w:r w:rsidR="00CF6949">
        <w:t xml:space="preserve"> </w:t>
      </w:r>
      <w:r w:rsidRPr="00F43173">
        <w:t>it incorporates provisions made (such as superannuation, but excluding depreciation and bad debts) as</w:t>
      </w:r>
      <w:r w:rsidR="00CF6949" w:rsidRPr="00F43173">
        <w:t xml:space="preserve"> </w:t>
      </w:r>
      <w:r w:rsidRPr="00F43173">
        <w:t>well as holdings of equity. Net financial worth includes all classes of financial assets and liabilities, only</w:t>
      </w:r>
      <w:r w:rsidR="00CF6949" w:rsidRPr="00F43173">
        <w:t xml:space="preserve"> </w:t>
      </w:r>
      <w:r w:rsidRPr="00F43173">
        <w:t>some of which are included in net debt.</w:t>
      </w:r>
    </w:p>
    <w:p w14:paraId="0F08E698" w14:textId="77777777" w:rsidR="00FB4A57" w:rsidRDefault="00FB4A57" w:rsidP="007770BB">
      <w:pPr>
        <w:pStyle w:val="Heading2NoNum"/>
      </w:pPr>
      <w:r>
        <w:t>Net gain on equity investments in other sector entities</w:t>
      </w:r>
    </w:p>
    <w:p w14:paraId="0F08E699" w14:textId="77777777" w:rsidR="00FB4A57" w:rsidRDefault="00FB4A57" w:rsidP="00F43173">
      <w:r>
        <w:t>Net gain on equity investments in other sector entities measured at proportional share of the carrying</w:t>
      </w:r>
      <w:r w:rsidR="00CF6949">
        <w:t xml:space="preserve"> </w:t>
      </w:r>
      <w:r>
        <w:t>amount of net assets/(liabilities) represents the net gains relating to the equity held by the general</w:t>
      </w:r>
      <w:r w:rsidR="00CF6949">
        <w:t xml:space="preserve"> </w:t>
      </w:r>
      <w:r>
        <w:t>government sector in other sector entities. It arises from a change in the carrying amount of net assets</w:t>
      </w:r>
      <w:r w:rsidR="00CF6949">
        <w:t xml:space="preserve"> </w:t>
      </w:r>
      <w:r>
        <w:t>of the subsidiaries. The net gains are measured based on the proportional share of the subsidiary’s</w:t>
      </w:r>
      <w:r w:rsidR="00CF6949">
        <w:t xml:space="preserve"> </w:t>
      </w:r>
      <w:r>
        <w:t>carrying amount of net assets/(liabilities) before elimination of inter</w:t>
      </w:r>
      <w:r w:rsidR="00141DF5">
        <w:t>-</w:t>
      </w:r>
      <w:r>
        <w:t>sector balances.</w:t>
      </w:r>
    </w:p>
    <w:p w14:paraId="0F08E69A" w14:textId="77777777" w:rsidR="00FB4A57" w:rsidRDefault="00FB4A57" w:rsidP="007770BB">
      <w:pPr>
        <w:pStyle w:val="Heading2NoNum"/>
      </w:pPr>
      <w:r>
        <w:t>Net lending/borrowing</w:t>
      </w:r>
    </w:p>
    <w:p w14:paraId="0F08E69B" w14:textId="77777777" w:rsidR="00FB4A57" w:rsidRDefault="00FB4A57" w:rsidP="00F43173">
      <w:r>
        <w:t>The financing requirement of government, calculated as the net operating balance less the net</w:t>
      </w:r>
      <w:r w:rsidR="00CF6949">
        <w:t xml:space="preserve"> </w:t>
      </w:r>
      <w:r>
        <w:t xml:space="preserve">acquisition of </w:t>
      </w:r>
      <w:r w:rsidR="00BC0647">
        <w:t>non-financial</w:t>
      </w:r>
      <w:r>
        <w:t xml:space="preserve"> assets. It also equals transactions in financial assets less transactions in</w:t>
      </w:r>
      <w:r w:rsidR="00CF6949">
        <w:t xml:space="preserve"> </w:t>
      </w:r>
      <w:r>
        <w:t>liabilities. A positive result reflects a net lending position and a negative result reflects a net borrowing</w:t>
      </w:r>
      <w:r w:rsidR="00CF6949">
        <w:t xml:space="preserve"> </w:t>
      </w:r>
      <w:r>
        <w:t>position.</w:t>
      </w:r>
    </w:p>
    <w:p w14:paraId="0F08E69C" w14:textId="77777777" w:rsidR="00FB4A57" w:rsidRDefault="00FB4A57" w:rsidP="007770BB">
      <w:pPr>
        <w:pStyle w:val="Heading2NoNum"/>
      </w:pPr>
      <w:r>
        <w:t>Net operating balance – net result from transactions</w:t>
      </w:r>
    </w:p>
    <w:p w14:paraId="0F08E69D" w14:textId="77777777" w:rsidR="00FB4A57" w:rsidRDefault="00FB4A57" w:rsidP="00F43173">
      <w:r>
        <w:t>Net result from transactions or net operating balance is a key fiscal aggregate and is revenue from</w:t>
      </w:r>
      <w:r w:rsidR="00CF6949">
        <w:t xml:space="preserve"> </w:t>
      </w:r>
      <w:r>
        <w:t>transactions minus expenses from transactions. It is a summary measure of the ongoing sustainability</w:t>
      </w:r>
      <w:r w:rsidR="00CF6949">
        <w:t xml:space="preserve"> </w:t>
      </w:r>
      <w:r>
        <w:t>of operations. It excludes gains and losses resulting from changes in price levels and other changes in</w:t>
      </w:r>
      <w:r w:rsidR="00CF6949">
        <w:t xml:space="preserve"> </w:t>
      </w:r>
      <w:r>
        <w:t>the volume of assets. It is the component of the change in net worth that is due to transactions and can</w:t>
      </w:r>
      <w:r w:rsidR="00CF6949">
        <w:t xml:space="preserve"> </w:t>
      </w:r>
      <w:r>
        <w:t>be attributed directly to government policies.</w:t>
      </w:r>
    </w:p>
    <w:p w14:paraId="0F08E69E" w14:textId="77777777" w:rsidR="00FB4A57" w:rsidRDefault="00CF6949" w:rsidP="007770BB">
      <w:pPr>
        <w:pStyle w:val="Heading2NoNum"/>
      </w:pPr>
      <w:r>
        <w:t>Net result</w:t>
      </w:r>
    </w:p>
    <w:p w14:paraId="0F08E69F" w14:textId="77777777" w:rsidR="00FB4A57" w:rsidRDefault="00FB4A57" w:rsidP="00F43173">
      <w:r>
        <w:t>This is the net result from transactions (per above) plus/minus ‘other economic flows</w:t>
      </w:r>
      <w:r w:rsidR="00D3036C">
        <w:t xml:space="preserve"> included in net result</w:t>
      </w:r>
      <w:r>
        <w:t>’</w:t>
      </w:r>
      <w:r w:rsidR="00D3036C">
        <w:t>, and exclude</w:t>
      </w:r>
      <w:r w:rsidR="0014210F">
        <w:t>s</w:t>
      </w:r>
      <w:r w:rsidR="00D3036C">
        <w:t xml:space="preserve"> those that are classified as ‘o</w:t>
      </w:r>
      <w:r>
        <w:t>ther economic flows</w:t>
      </w:r>
      <w:r w:rsidR="00BD618B">
        <w:t>–</w:t>
      </w:r>
      <w:r w:rsidR="00CE019D">
        <w:t xml:space="preserve"> </w:t>
      </w:r>
      <w:r w:rsidR="00D3036C">
        <w:t>other comprehensive income’, which</w:t>
      </w:r>
      <w:r>
        <w:t xml:space="preserve"> generally include</w:t>
      </w:r>
      <w:r w:rsidR="000E5D9D">
        <w:t xml:space="preserve"> unrealised</w:t>
      </w:r>
      <w:r>
        <w:t xml:space="preserve"> gains and losses arising from asset and liability revaluations during the reporting period, which are also reflected in asset and liability valuations on the balance sheet.</w:t>
      </w:r>
    </w:p>
    <w:p w14:paraId="0F08E6A0" w14:textId="77777777" w:rsidR="00FB4A57" w:rsidRDefault="00FB4A57" w:rsidP="007770BB">
      <w:pPr>
        <w:pStyle w:val="Heading2NoNum"/>
      </w:pPr>
      <w:r>
        <w:t>Net worth</w:t>
      </w:r>
    </w:p>
    <w:p w14:paraId="0F08E6A1" w14:textId="77777777" w:rsidR="00FB4A57" w:rsidRDefault="00FB4A57" w:rsidP="00F43173">
      <w:r>
        <w:t>Assets less liabilities, which is an economic measure of wealth.</w:t>
      </w:r>
    </w:p>
    <w:p w14:paraId="0F08E6A2" w14:textId="77777777" w:rsidR="00475B51" w:rsidRDefault="00CE019D" w:rsidP="007770BB">
      <w:pPr>
        <w:pStyle w:val="Heading2NoNum"/>
      </w:pPr>
      <w:r>
        <w:t>Nominal dollars/</w:t>
      </w:r>
      <w:r w:rsidR="00475B51">
        <w:t>prices</w:t>
      </w:r>
    </w:p>
    <w:p w14:paraId="0F08E6A3" w14:textId="77777777" w:rsidR="00475B51" w:rsidRDefault="00475B51" w:rsidP="00F43173">
      <w:r>
        <w:t>T</w:t>
      </w:r>
      <w:r w:rsidRPr="00475B51">
        <w:t>his shows the do</w:t>
      </w:r>
      <w:r>
        <w:t>llars of the relevant period.</w:t>
      </w:r>
      <w:r w:rsidR="007770BB">
        <w:t xml:space="preserve"> </w:t>
      </w:r>
      <w:r>
        <w:t>N</w:t>
      </w:r>
      <w:r w:rsidRPr="00475B51">
        <w:t>o adjustment is made each time period for inflation</w:t>
      </w:r>
      <w:r>
        <w:t>.</w:t>
      </w:r>
    </w:p>
    <w:p w14:paraId="0F08E6A4" w14:textId="77777777" w:rsidR="00F9789E" w:rsidRDefault="00FB4A57" w:rsidP="007770BB">
      <w:pPr>
        <w:pStyle w:val="Heading2NoNum"/>
      </w:pPr>
      <w:r>
        <w:t>Non-</w:t>
      </w:r>
      <w:r w:rsidR="00CF6949">
        <w:t>budget sector</w:t>
      </w:r>
    </w:p>
    <w:p w14:paraId="0F08E6A5" w14:textId="77777777" w:rsidR="00F9789E" w:rsidRDefault="00FB4A57" w:rsidP="00F43173">
      <w:r>
        <w:t xml:space="preserve">Public sector entities, mainly business enterprises, that are not </w:t>
      </w:r>
      <w:r w:rsidR="00927E09">
        <w:t xml:space="preserve">directly funded through the annual budget process. Traditionally this has related to the regulatory bodies within the general government sector (although these are now included in the budget sector), </w:t>
      </w:r>
      <w:r w:rsidR="00141DF5">
        <w:t>PNFC</w:t>
      </w:r>
      <w:r w:rsidR="00927E09">
        <w:t xml:space="preserve"> and </w:t>
      </w:r>
      <w:r w:rsidR="00141DF5">
        <w:t>PFC</w:t>
      </w:r>
      <w:r w:rsidR="00927E09">
        <w:t xml:space="preserve"> sector entities</w:t>
      </w:r>
      <w:r>
        <w:t>.</w:t>
      </w:r>
    </w:p>
    <w:p w14:paraId="0F08E6A6" w14:textId="77777777" w:rsidR="00F9789E" w:rsidRDefault="00FB4A57" w:rsidP="007770BB">
      <w:pPr>
        <w:pStyle w:val="Heading2NoNum"/>
      </w:pPr>
      <w:r>
        <w:lastRenderedPageBreak/>
        <w:t>Non-</w:t>
      </w:r>
      <w:r w:rsidR="00CF6949">
        <w:t>current assets</w:t>
      </w:r>
    </w:p>
    <w:p w14:paraId="0F08E6A7" w14:textId="77777777" w:rsidR="00F9789E" w:rsidRDefault="00FB4A57" w:rsidP="00F43173">
      <w:r>
        <w:t>All assets other than current assets. They are usually held for use rather than exchange, and provide an economic benefit for periods greater than one year. Examples include land, plant and equipment, motor vehicles, heritage assets and buildings.</w:t>
      </w:r>
    </w:p>
    <w:p w14:paraId="0F08E6A8" w14:textId="77777777" w:rsidR="00F9789E" w:rsidRDefault="00FB4A57" w:rsidP="007770BB">
      <w:pPr>
        <w:pStyle w:val="Heading2NoNum"/>
      </w:pPr>
      <w:r>
        <w:t>Non-</w:t>
      </w:r>
      <w:r w:rsidR="00CF6949">
        <w:t xml:space="preserve">current </w:t>
      </w:r>
      <w:r w:rsidR="00CF6949" w:rsidRPr="00CF6949">
        <w:t>liabilities</w:t>
      </w:r>
    </w:p>
    <w:p w14:paraId="0F08E6A9" w14:textId="77777777" w:rsidR="00F9789E" w:rsidRDefault="00FB4A57" w:rsidP="00F43173">
      <w:r>
        <w:t>All liabilities other than current liabilities, e.g. finance le</w:t>
      </w:r>
      <w:r w:rsidR="00CE019D">
        <w:t>ase liabilities due after 12</w:t>
      </w:r>
      <w:r>
        <w:t xml:space="preserve"> months.</w:t>
      </w:r>
    </w:p>
    <w:p w14:paraId="0F08E6AA" w14:textId="77777777" w:rsidR="00FB4A57" w:rsidRDefault="00FB4A57" w:rsidP="007770BB">
      <w:pPr>
        <w:pStyle w:val="Heading2NoNum"/>
      </w:pPr>
      <w:r>
        <w:t>Non-financial assets</w:t>
      </w:r>
    </w:p>
    <w:p w14:paraId="0F08E6AB" w14:textId="77777777" w:rsidR="00FB4A57" w:rsidRDefault="0091533A" w:rsidP="00F43173">
      <w:r>
        <w:t>A</w:t>
      </w:r>
      <w:r w:rsidR="00FB4A57">
        <w:t>ll assets that are not financial assets. It includes inventories, land, buildings,</w:t>
      </w:r>
      <w:r w:rsidR="00CF6949">
        <w:t xml:space="preserve"> </w:t>
      </w:r>
      <w:r w:rsidR="00FB4A57">
        <w:t>infrastructure, road networks, land under roads, plant and equipment</w:t>
      </w:r>
      <w:r w:rsidR="00CF6949">
        <w:t xml:space="preserve">, cultural and heritage assets, </w:t>
      </w:r>
      <w:r w:rsidR="00FB4A57">
        <w:t>intangibles and biological assets such as commercial forests.</w:t>
      </w:r>
    </w:p>
    <w:p w14:paraId="0F08E6AC" w14:textId="77777777" w:rsidR="00FB4A57" w:rsidRDefault="00FB4A57" w:rsidP="007770BB">
      <w:pPr>
        <w:pStyle w:val="Heading2NoNum"/>
      </w:pPr>
      <w:r>
        <w:t>Non-financial public sector</w:t>
      </w:r>
    </w:p>
    <w:p w14:paraId="0F08E6AD" w14:textId="77777777" w:rsidR="00FB4A57" w:rsidRDefault="00FB4A57" w:rsidP="00F43173">
      <w:r>
        <w:t>The non-financial public sector (NFPS) represents the consolidated transactions and assets and</w:t>
      </w:r>
      <w:r w:rsidR="00CF6949">
        <w:t xml:space="preserve"> </w:t>
      </w:r>
      <w:r>
        <w:t xml:space="preserve">liabilities of the general government and PNFC sectors. In compiling statistics for the </w:t>
      </w:r>
      <w:r w:rsidR="00FB38FE">
        <w:t>NFPS</w:t>
      </w:r>
      <w:r>
        <w:t>, transactions and debtor</w:t>
      </w:r>
      <w:r w:rsidR="00BD618B">
        <w:t>–</w:t>
      </w:r>
      <w:r>
        <w:t xml:space="preserve"> creditor relationships between sub</w:t>
      </w:r>
      <w:r w:rsidR="00FB38FE">
        <w:t>-</w:t>
      </w:r>
      <w:r>
        <w:t>sectors are eliminated to</w:t>
      </w:r>
      <w:r w:rsidR="00CF6949">
        <w:t xml:space="preserve"> </w:t>
      </w:r>
      <w:r>
        <w:t>avoid double counting.</w:t>
      </w:r>
    </w:p>
    <w:p w14:paraId="0F08E6AE" w14:textId="77777777" w:rsidR="00FB4A57" w:rsidRDefault="00FB4A57" w:rsidP="007770BB">
      <w:pPr>
        <w:pStyle w:val="Heading2NoNum"/>
      </w:pPr>
      <w:r>
        <w:t>Non-produced assets</w:t>
      </w:r>
    </w:p>
    <w:p w14:paraId="0F08E6AF" w14:textId="77777777" w:rsidR="00FB4A57" w:rsidRDefault="00FB38FE" w:rsidP="00F43173">
      <w:r>
        <w:t>A</w:t>
      </w:r>
      <w:r w:rsidR="00FB4A57">
        <w:t>ssets needed for production that have not themselves been produced. They</w:t>
      </w:r>
      <w:r w:rsidR="00CF6949">
        <w:t xml:space="preserve"> </w:t>
      </w:r>
      <w:r w:rsidR="00FB4A57">
        <w:t>include land, subsoil assets, and certain intangible assets. Non-produced intangibles are intangible</w:t>
      </w:r>
      <w:r w:rsidR="00CF6949">
        <w:t xml:space="preserve"> </w:t>
      </w:r>
      <w:r w:rsidR="00FB4A57">
        <w:t>assets needed for production that have not themselves been produced. They include constructs of society such as patents.</w:t>
      </w:r>
    </w:p>
    <w:p w14:paraId="0F08E6B0" w14:textId="77777777" w:rsidR="00F9789E" w:rsidRDefault="00FB4A57" w:rsidP="007770BB">
      <w:pPr>
        <w:pStyle w:val="Heading2NoNum"/>
      </w:pPr>
      <w:r>
        <w:t>Non-</w:t>
      </w:r>
      <w:r w:rsidR="00CF6949">
        <w:t>public account</w:t>
      </w:r>
    </w:p>
    <w:p w14:paraId="0F08E6B1" w14:textId="77777777" w:rsidR="00F9789E" w:rsidRDefault="00FB4A57" w:rsidP="00F43173">
      <w:r>
        <w:t>Non-public account transactions are those of budget sector entities that do not transact their business or financial transactions t</w:t>
      </w:r>
      <w:r w:rsidR="00CA27E3">
        <w:t>hrough the public a</w:t>
      </w:r>
      <w:r>
        <w:t>ccount.</w:t>
      </w:r>
    </w:p>
    <w:p w14:paraId="0F08E6B2" w14:textId="77777777" w:rsidR="00F9789E" w:rsidRDefault="00FB4A57" w:rsidP="007770BB">
      <w:pPr>
        <w:pStyle w:val="Heading2NoNum"/>
      </w:pPr>
      <w:r>
        <w:t>Non-</w:t>
      </w:r>
      <w:r w:rsidR="00CF6949">
        <w:t>reciprocal transfer</w:t>
      </w:r>
    </w:p>
    <w:p w14:paraId="0F08E6B3" w14:textId="77777777" w:rsidR="00F9789E" w:rsidRDefault="00FB4A57" w:rsidP="00F43173">
      <w:r>
        <w:t>A transaction in which an entity receives assets or services or has liabilities extinguished without directly giving approximately equal value in exchange to the other party or parties to the transaction.</w:t>
      </w:r>
    </w:p>
    <w:p w14:paraId="0F08E6B4" w14:textId="77777777" w:rsidR="00CF6949" w:rsidRDefault="00CF6949" w:rsidP="00CF6949">
      <w:pPr>
        <w:pStyle w:val="Heading1NoNum"/>
      </w:pPr>
      <w:r>
        <w:t>O</w:t>
      </w:r>
    </w:p>
    <w:p w14:paraId="0F08E6B5" w14:textId="77777777" w:rsidR="00F9789E" w:rsidRDefault="00FB4A57" w:rsidP="007770BB">
      <w:pPr>
        <w:pStyle w:val="Heading2NoNum"/>
      </w:pPr>
      <w:r>
        <w:t>Objectives (</w:t>
      </w:r>
      <w:r w:rsidR="00CF6949">
        <w:t>departmental</w:t>
      </w:r>
      <w:r>
        <w:t>)</w:t>
      </w:r>
    </w:p>
    <w:p w14:paraId="0F08E6B6" w14:textId="77777777" w:rsidR="00F9789E" w:rsidRDefault="00E66976" w:rsidP="00F43173">
      <w:r>
        <w:t>T</w:t>
      </w:r>
      <w:r w:rsidR="00FB4A57">
        <w:t>he intended objectives to be achieved by a department through the production or delivery of its outputs.</w:t>
      </w:r>
      <w:r w:rsidR="004B4205">
        <w:t xml:space="preserve"> (See also </w:t>
      </w:r>
      <w:r w:rsidR="00CA27E3">
        <w:t>‘</w:t>
      </w:r>
      <w:r w:rsidR="004B4205">
        <w:t>Departmental objective indicators</w:t>
      </w:r>
      <w:r w:rsidR="00CA27E3">
        <w:t>’</w:t>
      </w:r>
      <w:r w:rsidR="004B4205">
        <w:t>)</w:t>
      </w:r>
    </w:p>
    <w:p w14:paraId="0F08E6B7" w14:textId="77777777" w:rsidR="00F9789E" w:rsidRDefault="00FB4A57" w:rsidP="007770BB">
      <w:pPr>
        <w:pStyle w:val="Heading2NoNum"/>
      </w:pPr>
      <w:r>
        <w:t xml:space="preserve">Operating </w:t>
      </w:r>
      <w:r w:rsidR="00CF6949">
        <w:t>cycle</w:t>
      </w:r>
    </w:p>
    <w:p w14:paraId="0F08E6B8" w14:textId="77777777" w:rsidR="00F9789E" w:rsidRDefault="00FB4A57" w:rsidP="00F43173">
      <w:r>
        <w:t>The average time between the acquisition of materials entered into a process and their realisation in cash or an instrument that is readily convertible into cash.</w:t>
      </w:r>
    </w:p>
    <w:p w14:paraId="0F08E6B9" w14:textId="77777777" w:rsidR="00F9789E" w:rsidRDefault="00FB4A57" w:rsidP="007770BB">
      <w:pPr>
        <w:pStyle w:val="Heading2NoNum"/>
      </w:pPr>
      <w:r>
        <w:t xml:space="preserve">Operating </w:t>
      </w:r>
      <w:r w:rsidR="00CF6949">
        <w:t>deficit</w:t>
      </w:r>
    </w:p>
    <w:p w14:paraId="0F08E6BA" w14:textId="77777777" w:rsidR="00F9789E" w:rsidRDefault="00FB4A57" w:rsidP="00F43173">
      <w:r>
        <w:t>Where operating expenses incurred exceed operating revenue earned in the production of outputs and other trading activities during the reporting period. An operating deficit has the effect of reducing the net worth of the entity.</w:t>
      </w:r>
    </w:p>
    <w:p w14:paraId="0F08E6BB" w14:textId="77777777" w:rsidR="00F9789E" w:rsidRDefault="00FB4A57" w:rsidP="007770BB">
      <w:pPr>
        <w:pStyle w:val="Heading2NoNum"/>
      </w:pPr>
      <w:r>
        <w:lastRenderedPageBreak/>
        <w:t>Operating leases</w:t>
      </w:r>
    </w:p>
    <w:p w14:paraId="0F08E6BC" w14:textId="77777777" w:rsidR="00FB4A57" w:rsidRDefault="00FB4A57" w:rsidP="00F43173">
      <w:r>
        <w:t>Leasing arrangements in which substantially all risks and benefits incidental to the ownership of the leased property effectively remain with the lessor (the owner of the property) rather than passing to the lessee (which would make it a finance lease).</w:t>
      </w:r>
    </w:p>
    <w:p w14:paraId="0F08E6BD" w14:textId="77777777" w:rsidR="00FB4A57" w:rsidRDefault="00FB4A57" w:rsidP="007770BB">
      <w:pPr>
        <w:pStyle w:val="Heading2NoNum"/>
      </w:pPr>
      <w:r>
        <w:t>Operating result</w:t>
      </w:r>
    </w:p>
    <w:p w14:paraId="0F08E6BE" w14:textId="77777777" w:rsidR="00FB4A57" w:rsidRDefault="00FB4A57" w:rsidP="00F43173">
      <w:r>
        <w:t>Operating result is a measure of financial performance of the operations for the period. It is the net</w:t>
      </w:r>
      <w:r w:rsidR="00CF6949">
        <w:t xml:space="preserve"> </w:t>
      </w:r>
      <w:r>
        <w:t>result of items of revenue, gains and expenses (including losses) recognised for the period, excluding</w:t>
      </w:r>
      <w:r w:rsidR="00CF6949">
        <w:t xml:space="preserve"> </w:t>
      </w:r>
      <w:r>
        <w:t>those that are classified as ‘</w:t>
      </w:r>
      <w:r w:rsidR="00297CA4">
        <w:t>other economic flows – other comprehensive income</w:t>
      </w:r>
      <w:r>
        <w:t>’. Refer also</w:t>
      </w:r>
      <w:r w:rsidR="00E66976">
        <w:t xml:space="preserve"> to</w:t>
      </w:r>
      <w:r>
        <w:t xml:space="preserve"> </w:t>
      </w:r>
      <w:r w:rsidR="00CA27E3">
        <w:t>‘</w:t>
      </w:r>
      <w:r w:rsidR="00E66976">
        <w:t>N</w:t>
      </w:r>
      <w:r>
        <w:t>et result</w:t>
      </w:r>
      <w:r w:rsidR="00CA27E3">
        <w:t>’</w:t>
      </w:r>
      <w:r>
        <w:t>.</w:t>
      </w:r>
    </w:p>
    <w:p w14:paraId="0F08E6BF" w14:textId="77777777" w:rsidR="00F9789E" w:rsidRDefault="00CF6949" w:rsidP="007770BB">
      <w:pPr>
        <w:pStyle w:val="Heading2NoNum"/>
      </w:pPr>
      <w:r>
        <w:t xml:space="preserve">Operating </w:t>
      </w:r>
      <w:r w:rsidR="00FB4A57">
        <w:t>surplus</w:t>
      </w:r>
      <w:r w:rsidR="00CA27E3">
        <w:t xml:space="preserve"> </w:t>
      </w:r>
      <w:r w:rsidR="00FB4A57">
        <w:t>/</w:t>
      </w:r>
      <w:r w:rsidR="00CA27E3">
        <w:t xml:space="preserve"> </w:t>
      </w:r>
      <w:r w:rsidR="00FB4A57">
        <w:t>net operating balance</w:t>
      </w:r>
      <w:r w:rsidR="00CA27E3">
        <w:t xml:space="preserve"> </w:t>
      </w:r>
      <w:r w:rsidR="00FB4A57">
        <w:t>/</w:t>
      </w:r>
      <w:r w:rsidR="00CA27E3">
        <w:t xml:space="preserve"> </w:t>
      </w:r>
      <w:r w:rsidR="00FB4A57">
        <w:t>net result from transactions (</w:t>
      </w:r>
      <w:r>
        <w:t>used interchangeably)</w:t>
      </w:r>
    </w:p>
    <w:p w14:paraId="0F08E6C0" w14:textId="77777777" w:rsidR="00F9789E" w:rsidRDefault="00FB4A57" w:rsidP="00F43173">
      <w:r>
        <w:t xml:space="preserve">This is a </w:t>
      </w:r>
      <w:r w:rsidR="000C71B6">
        <w:t xml:space="preserve">key </w:t>
      </w:r>
      <w:r>
        <w:t>government fiscal aggregate and a key measure of financial operating performance for the period. It is the</w:t>
      </w:r>
      <w:r w:rsidR="00D54D3C">
        <w:t xml:space="preserve"> income from transactions minus expenses from transactions,</w:t>
      </w:r>
      <w:r w:rsidR="00D54D3C" w:rsidDel="00D54D3C">
        <w:t xml:space="preserve"> </w:t>
      </w:r>
      <w:r>
        <w:t>excluding those that are classified as ‘other economic flows</w:t>
      </w:r>
      <w:r w:rsidR="00D54D3C">
        <w:t xml:space="preserve"> included in net result</w:t>
      </w:r>
      <w:r>
        <w:t>’</w:t>
      </w:r>
      <w:r w:rsidR="00D54D3C">
        <w:t>.</w:t>
      </w:r>
      <w:r>
        <w:t xml:space="preserve"> </w:t>
      </w:r>
    </w:p>
    <w:p w14:paraId="0F08E6C1" w14:textId="77777777" w:rsidR="00FB4A57" w:rsidRDefault="00FB4A57" w:rsidP="007770BB">
      <w:pPr>
        <w:pStyle w:val="Heading2NoNum"/>
      </w:pPr>
      <w:r>
        <w:t>Other economic flows</w:t>
      </w:r>
    </w:p>
    <w:p w14:paraId="0F08E6C2" w14:textId="77777777" w:rsidR="00FB4A57" w:rsidRDefault="00FB4A57" w:rsidP="00F43173">
      <w:r>
        <w:t>Other economic flows are changes in the volume or value of an asset or liability that do not result from transactions. In simple terms, other economic flows are changes arising from market re</w:t>
      </w:r>
      <w:r w:rsidR="0033281F">
        <w:t>-</w:t>
      </w:r>
      <w:r>
        <w:t>measurements.</w:t>
      </w:r>
    </w:p>
    <w:p w14:paraId="0F08E6C3" w14:textId="77777777" w:rsidR="00F9789E" w:rsidRDefault="00FB4A57" w:rsidP="00F43173">
      <w:r>
        <w:t xml:space="preserve">They include gains and losses from disposals, revaluations and impairments of </w:t>
      </w:r>
      <w:r w:rsidR="00BC0647">
        <w:t>non-current</w:t>
      </w:r>
      <w:r>
        <w:t xml:space="preserve"> physical and intangible assets; </w:t>
      </w:r>
      <w:r w:rsidR="00737228">
        <w:t>re</w:t>
      </w:r>
      <w:r w:rsidR="0033281F">
        <w:t>-</w:t>
      </w:r>
      <w:r w:rsidR="00737228">
        <w:t>measurement</w:t>
      </w:r>
      <w:r>
        <w:t xml:space="preserve"> arising from defined benefit superannuation plans; fair value changes of financial instruments and agricultural assets; and depletion of natural assets (non-produced) from their use or removal.</w:t>
      </w:r>
    </w:p>
    <w:p w14:paraId="0F08E6C4" w14:textId="77777777" w:rsidR="00FB4A57" w:rsidRDefault="00FB4A57" w:rsidP="007770BB">
      <w:pPr>
        <w:pStyle w:val="Heading2NoNum"/>
      </w:pPr>
      <w:r>
        <w:t xml:space="preserve">Other superannuation </w:t>
      </w:r>
      <w:r w:rsidRPr="00CF6949">
        <w:t>expense</w:t>
      </w:r>
    </w:p>
    <w:p w14:paraId="0F08E6C5" w14:textId="77777777" w:rsidR="00FB4A57" w:rsidRDefault="00FB4A57" w:rsidP="00F43173">
      <w:r>
        <w:t>Includes all superannuation expenses from transactions except superannuation interest cost. Generally</w:t>
      </w:r>
      <w:r w:rsidR="00CF6949">
        <w:t xml:space="preserve"> </w:t>
      </w:r>
      <w:r>
        <w:t>includes current service cost, which is the increase in entitlements associated with the employment</w:t>
      </w:r>
      <w:r w:rsidR="00CF6949">
        <w:t xml:space="preserve"> </w:t>
      </w:r>
      <w:r>
        <w:t xml:space="preserve">services provided by employees in the current period. Superannuation </w:t>
      </w:r>
      <w:r w:rsidR="00737228">
        <w:t>re</w:t>
      </w:r>
      <w:r w:rsidR="0033281F">
        <w:t>-</w:t>
      </w:r>
      <w:r w:rsidR="00737228">
        <w:t>measurement</w:t>
      </w:r>
      <w:r w:rsidR="0033281F">
        <w:t>s</w:t>
      </w:r>
      <w:r>
        <w:t xml:space="preserve"> </w:t>
      </w:r>
      <w:r w:rsidR="0033281F">
        <w:t xml:space="preserve">are </w:t>
      </w:r>
      <w:r>
        <w:t>excluded as they are considered other economic flows.</w:t>
      </w:r>
    </w:p>
    <w:p w14:paraId="0F08E6C6" w14:textId="77777777" w:rsidR="00900A67" w:rsidRDefault="00900A67" w:rsidP="007770BB">
      <w:pPr>
        <w:pStyle w:val="Heading2NoNum"/>
      </w:pPr>
      <w:r>
        <w:t>Output</w:t>
      </w:r>
    </w:p>
    <w:p w14:paraId="0F08E6C7" w14:textId="77777777" w:rsidR="0011728C" w:rsidRPr="0011728C" w:rsidRDefault="007F20F6" w:rsidP="0011728C">
      <w:r>
        <w:t>G</w:t>
      </w:r>
      <w:r w:rsidR="0011728C" w:rsidRPr="0011728C">
        <w:t>oods produced or services</w:t>
      </w:r>
      <w:r w:rsidR="0011728C">
        <w:t xml:space="preserve"> </w:t>
      </w:r>
      <w:r w:rsidR="0011728C" w:rsidRPr="0011728C">
        <w:t>provided by or on behalf of an authority or</w:t>
      </w:r>
      <w:r w:rsidR="0011728C">
        <w:t xml:space="preserve"> </w:t>
      </w:r>
      <w:r w:rsidR="0011728C" w:rsidRPr="0011728C">
        <w:t>public body</w:t>
      </w:r>
      <w:r w:rsidR="0011728C">
        <w:t>.</w:t>
      </w:r>
    </w:p>
    <w:p w14:paraId="0F08E6C8" w14:textId="77777777" w:rsidR="00F9789E" w:rsidRDefault="00FB4A57" w:rsidP="0011728C">
      <w:pPr>
        <w:pStyle w:val="Heading2NoNum"/>
      </w:pPr>
      <w:r>
        <w:t xml:space="preserve">Output </w:t>
      </w:r>
      <w:r w:rsidR="00CF6949">
        <w:t>groups</w:t>
      </w:r>
    </w:p>
    <w:p w14:paraId="0F08E6C9" w14:textId="77777777" w:rsidR="00F9789E" w:rsidRDefault="00865A4E" w:rsidP="00F43173">
      <w:r>
        <w:t>T</w:t>
      </w:r>
      <w:r w:rsidR="00FB4A57">
        <w:t>he aggregation of outputs into manageable groups to assist planning, budgeting, performance monitoring and reporting.</w:t>
      </w:r>
    </w:p>
    <w:p w14:paraId="0F08E6CA" w14:textId="77777777" w:rsidR="00F9789E" w:rsidRDefault="00FB4A57" w:rsidP="007770BB">
      <w:pPr>
        <w:pStyle w:val="Heading2NoNum"/>
      </w:pPr>
      <w:r>
        <w:t xml:space="preserve">Output </w:t>
      </w:r>
      <w:r w:rsidR="00CF6949">
        <w:t>management</w:t>
      </w:r>
    </w:p>
    <w:p w14:paraId="0F08E6CB" w14:textId="77777777" w:rsidR="00F9789E" w:rsidRDefault="00FB4A57" w:rsidP="00F43173">
      <w:r>
        <w:t>The Government, as purchaser, decides which</w:t>
      </w:r>
      <w:r w:rsidR="00CA27E3">
        <w:t xml:space="preserve"> outputs it will purchase from d</w:t>
      </w:r>
      <w:r>
        <w:t xml:space="preserve">epartments at specified levels of quality, quantity and price. As </w:t>
      </w:r>
      <w:r w:rsidR="00937FCB">
        <w:t xml:space="preserve">the </w:t>
      </w:r>
      <w:r>
        <w:t>owner, the Government deci</w:t>
      </w:r>
      <w:r w:rsidR="00CA27E3">
        <w:t>des the investment required in d</w:t>
      </w:r>
      <w:r>
        <w:t>epartments to enable them to maintain their capacity to meet output delivery targets.</w:t>
      </w:r>
    </w:p>
    <w:p w14:paraId="0F08E6CC" w14:textId="77777777" w:rsidR="00F9789E" w:rsidRDefault="00FB4A57" w:rsidP="007770BB">
      <w:pPr>
        <w:pStyle w:val="Heading2NoNum"/>
      </w:pPr>
      <w:r>
        <w:t xml:space="preserve">Output </w:t>
      </w:r>
      <w:r w:rsidR="00CF6949">
        <w:t>manager</w:t>
      </w:r>
    </w:p>
    <w:p w14:paraId="0F08E6CD" w14:textId="77777777" w:rsidR="00FB4A57" w:rsidRDefault="00285786" w:rsidP="00F43173">
      <w:r>
        <w:t>T</w:t>
      </w:r>
      <w:r w:rsidR="00FB4A57">
        <w:t xml:space="preserve">hose responsible for planning resources, monitoring and forecasting pressures, </w:t>
      </w:r>
      <w:r w:rsidR="0033281F">
        <w:t xml:space="preserve">as well as </w:t>
      </w:r>
      <w:r w:rsidR="00CA27E3">
        <w:t>for the non–p</w:t>
      </w:r>
      <w:r w:rsidR="00FB4A57">
        <w:t>eople related output delivery budgets including consultants, communications, marketing, publications legal, travel</w:t>
      </w:r>
      <w:r>
        <w:t>,</w:t>
      </w:r>
      <w:r w:rsidR="00FB4A57">
        <w:t xml:space="preserve"> etc. They are responsible for the contribution margin line (the difference between revenue and direct costs).</w:t>
      </w:r>
    </w:p>
    <w:p w14:paraId="0F08E6CE" w14:textId="77777777" w:rsidR="005F30A8" w:rsidRDefault="005F30A8" w:rsidP="005F30A8">
      <w:pPr>
        <w:pStyle w:val="Heading2NoNum"/>
      </w:pPr>
      <w:r>
        <w:lastRenderedPageBreak/>
        <w:t>Output performance measures</w:t>
      </w:r>
    </w:p>
    <w:p w14:paraId="0F08E6CF" w14:textId="77777777" w:rsidR="00F9789E" w:rsidRDefault="005F30A8" w:rsidP="00F43173">
      <w:r>
        <w:t>S</w:t>
      </w:r>
      <w:r w:rsidR="00FB4A57">
        <w:t>pecify a department’s expected service delivery performance. They are used to demonstrate the efficiency and effectiveness of output delivery (quantity, quality and timeliness) and the achievement of value for money (cost). As such they must be selected on the basis of their capacity to measure the extent and standard of output delivery</w:t>
      </w:r>
      <w:r w:rsidR="00BD185E">
        <w:t xml:space="preserve"> (refer to Budget Paper No. 3, Chapter 2)</w:t>
      </w:r>
      <w:r w:rsidR="00FB4A57">
        <w:t>.</w:t>
      </w:r>
    </w:p>
    <w:p w14:paraId="0F08E6D0" w14:textId="77777777" w:rsidR="00FB4A57" w:rsidRDefault="00FB4A57" w:rsidP="007770BB">
      <w:pPr>
        <w:pStyle w:val="Heading2NoNum"/>
      </w:pPr>
      <w:r>
        <w:t>Outturn</w:t>
      </w:r>
    </w:p>
    <w:p w14:paraId="0F08E6D1" w14:textId="77777777" w:rsidR="00FB4A57" w:rsidRDefault="00FB4A57" w:rsidP="00F43173">
      <w:r>
        <w:t>Predicted financial position at the end of the financial year.</w:t>
      </w:r>
    </w:p>
    <w:p w14:paraId="0F08E6D2" w14:textId="77777777" w:rsidR="00F9789E" w:rsidRDefault="00CA27E3" w:rsidP="007770BB">
      <w:pPr>
        <w:pStyle w:val="Heading2NoNum"/>
      </w:pPr>
      <w:r>
        <w:t>Own-</w:t>
      </w:r>
      <w:r w:rsidR="00CF6949">
        <w:t>source revenue</w:t>
      </w:r>
    </w:p>
    <w:p w14:paraId="0F08E6D3" w14:textId="77777777" w:rsidR="00F9789E" w:rsidRDefault="00FB4A57" w:rsidP="00F43173">
      <w:r>
        <w:t>Revenue other than from intergovernmental (Commonwealth) grants. It includes taxes, sales of goods and services, fees, dividends, interest and other revenues (including fines and miscellaneous revenue).</w:t>
      </w:r>
      <w:r w:rsidR="00BC1677">
        <w:t xml:space="preserve"> </w:t>
      </w:r>
      <w:r>
        <w:t>It excludes tied and untied grants from the Commonwealth.</w:t>
      </w:r>
    </w:p>
    <w:p w14:paraId="0F08E6D4" w14:textId="77777777" w:rsidR="00CF6949" w:rsidRDefault="00CF6949" w:rsidP="00CF6949">
      <w:pPr>
        <w:pStyle w:val="Heading1NoNum"/>
      </w:pPr>
      <w:r>
        <w:t>P</w:t>
      </w:r>
    </w:p>
    <w:p w14:paraId="0F08E6D5" w14:textId="77777777" w:rsidR="00FB4A57" w:rsidRDefault="00FB4A57" w:rsidP="007770BB">
      <w:pPr>
        <w:pStyle w:val="Heading2NoNum"/>
      </w:pPr>
      <w:r>
        <w:t>Payables</w:t>
      </w:r>
    </w:p>
    <w:p w14:paraId="0F08E6D6" w14:textId="77777777" w:rsidR="00F9789E" w:rsidRDefault="00FB4A57" w:rsidP="00F43173">
      <w:r>
        <w:t>Includes short and long-term trade debt and accounts payable, grants and interest payable.</w:t>
      </w:r>
    </w:p>
    <w:p w14:paraId="0F08E6D7" w14:textId="77777777" w:rsidR="00F9789E" w:rsidRDefault="00FB4A57" w:rsidP="007770BB">
      <w:pPr>
        <w:pStyle w:val="Heading2NoNum"/>
      </w:pPr>
      <w:r>
        <w:t>Payments</w:t>
      </w:r>
    </w:p>
    <w:p w14:paraId="0F08E6D8" w14:textId="77777777" w:rsidR="00F9789E" w:rsidRDefault="00FB4A57" w:rsidP="00F43173">
      <w:r>
        <w:t>Cash costs associated with the provision of services.</w:t>
      </w:r>
    </w:p>
    <w:p w14:paraId="0F08E6D9" w14:textId="77777777" w:rsidR="00F9789E" w:rsidRDefault="00FB4A57" w:rsidP="007770BB">
      <w:pPr>
        <w:pStyle w:val="Heading2NoNum"/>
      </w:pPr>
      <w:r>
        <w:t>Payments on behalf of the State</w:t>
      </w:r>
    </w:p>
    <w:p w14:paraId="0F08E6DA" w14:textId="77777777" w:rsidR="00F9789E" w:rsidRDefault="00FB4A57" w:rsidP="00F43173">
      <w:r>
        <w:t>An appropriation which provides for payments to be made on behalf of the State. The department making the payment has no direct control with respect to the quantity of outputs delivered.</w:t>
      </w:r>
    </w:p>
    <w:p w14:paraId="0F08E6DB" w14:textId="77777777" w:rsidR="00F9789E" w:rsidRDefault="00FB4A57" w:rsidP="007770BB">
      <w:pPr>
        <w:pStyle w:val="Heading2NoNum"/>
      </w:pPr>
      <w:r>
        <w:t xml:space="preserve">Performance </w:t>
      </w:r>
      <w:r w:rsidR="00CF6949">
        <w:t>indicator</w:t>
      </w:r>
    </w:p>
    <w:p w14:paraId="0F08E6DC" w14:textId="77777777" w:rsidR="00FB4A57" w:rsidRDefault="00A56882" w:rsidP="00F43173">
      <w:r>
        <w:t>P</w:t>
      </w:r>
      <w:r w:rsidR="00FB4A57">
        <w:t>rovides information that gives reasonable assurance that an objective has been or is being achieved (a pointer).</w:t>
      </w:r>
    </w:p>
    <w:p w14:paraId="0F08E6DD" w14:textId="77777777" w:rsidR="00FB4A57" w:rsidRDefault="00FB4A57" w:rsidP="007770BB">
      <w:pPr>
        <w:pStyle w:val="Heading2NoNum"/>
      </w:pPr>
      <w:r>
        <w:t>Performance measures</w:t>
      </w:r>
    </w:p>
    <w:p w14:paraId="0F08E6DE" w14:textId="77777777" w:rsidR="00F9789E" w:rsidRDefault="00A56882" w:rsidP="00F43173">
      <w:r>
        <w:t>T</w:t>
      </w:r>
      <w:r w:rsidR="00FB4A57">
        <w:t>he tool used to measure actual performance against an objective or output (a ‘ruler’). Output performance measures are expressed in terms of quantity, quality, timeliness or cost.</w:t>
      </w:r>
    </w:p>
    <w:p w14:paraId="0F08E6DF" w14:textId="77777777" w:rsidR="00F9789E" w:rsidRDefault="00FB4A57" w:rsidP="007770BB">
      <w:pPr>
        <w:pStyle w:val="Heading2NoNum"/>
      </w:pPr>
      <w:r>
        <w:t xml:space="preserve">Performance </w:t>
      </w:r>
      <w:r w:rsidR="00CF6949">
        <w:t>targets</w:t>
      </w:r>
    </w:p>
    <w:p w14:paraId="0F08E6E0" w14:textId="77777777" w:rsidR="00F9789E" w:rsidRDefault="00FB4A57" w:rsidP="00F43173">
      <w:r>
        <w:t>Intended output delivery levels expressed in terms of each performance measure. Targets are used as a benchmark to assess performance in delivering budget outputs.</w:t>
      </w:r>
    </w:p>
    <w:p w14:paraId="0F08E6E1" w14:textId="77777777" w:rsidR="00F9789E" w:rsidRDefault="00FB4A57" w:rsidP="007770BB">
      <w:pPr>
        <w:pStyle w:val="Heading2NoNum"/>
      </w:pPr>
      <w:r>
        <w:t>Prepayments</w:t>
      </w:r>
    </w:p>
    <w:p w14:paraId="0F08E6E2" w14:textId="77777777" w:rsidR="00F9789E" w:rsidRDefault="00FB4A57" w:rsidP="00F43173">
      <w:r>
        <w:t>Refers to payments in advance of receipt of goods or services (i.e. where payment is made in the current reporting period but receipt of goods or services is not until the next reporting period), or expenditure made in one accounting period covering a term extending into the next accounting period. Examples include amounts paid for items such as rent, motor vehicle registrations and insurance paid in advance.</w:t>
      </w:r>
    </w:p>
    <w:p w14:paraId="0F08E6E3" w14:textId="77777777" w:rsidR="00927E09" w:rsidRDefault="00927E09" w:rsidP="007770BB">
      <w:pPr>
        <w:pStyle w:val="Heading2NoNum"/>
      </w:pPr>
      <w:r>
        <w:t>Pre-election Budget Update</w:t>
      </w:r>
    </w:p>
    <w:p w14:paraId="0F08E6E4" w14:textId="77777777" w:rsidR="00927E09" w:rsidRPr="00927E09" w:rsidRDefault="004C6D58" w:rsidP="00F43173">
      <w:pPr>
        <w:rPr>
          <w:lang w:eastAsia="en-US"/>
        </w:rPr>
      </w:pPr>
      <w:r w:rsidRPr="004C6D58">
        <w:rPr>
          <w:lang w:eastAsia="en-US"/>
        </w:rPr>
        <w:t xml:space="preserve">If a writ is issued for a general election within the meaning of section 3 of the </w:t>
      </w:r>
      <w:r w:rsidRPr="004C6D58">
        <w:rPr>
          <w:i/>
          <w:lang w:eastAsia="en-US"/>
        </w:rPr>
        <w:t>Electoral Act 2002</w:t>
      </w:r>
      <w:r w:rsidRPr="004C6D58">
        <w:rPr>
          <w:lang w:eastAsia="en-US"/>
        </w:rPr>
        <w:t xml:space="preserve">, the Secretary </w:t>
      </w:r>
      <w:r>
        <w:rPr>
          <w:lang w:eastAsia="en-US"/>
        </w:rPr>
        <w:t xml:space="preserve">of the Department of Treasury and Finance </w:t>
      </w:r>
      <w:r w:rsidRPr="004C6D58">
        <w:rPr>
          <w:lang w:eastAsia="en-US"/>
        </w:rPr>
        <w:t>must prepare a pre-election budget update</w:t>
      </w:r>
      <w:r>
        <w:rPr>
          <w:lang w:eastAsia="en-US"/>
        </w:rPr>
        <w:t xml:space="preserve"> in accordance with the requirements set out in section 27B of the </w:t>
      </w:r>
      <w:r w:rsidRPr="004C6D58">
        <w:rPr>
          <w:i/>
          <w:lang w:eastAsia="en-US"/>
        </w:rPr>
        <w:t>Financial Management Act 1994</w:t>
      </w:r>
      <w:r>
        <w:rPr>
          <w:lang w:eastAsia="en-US"/>
        </w:rPr>
        <w:t xml:space="preserve">. </w:t>
      </w:r>
      <w:r w:rsidRPr="004C6D58">
        <w:rPr>
          <w:lang w:eastAsia="en-US"/>
        </w:rPr>
        <w:t xml:space="preserve">The </w:t>
      </w:r>
      <w:r w:rsidRPr="004C6D58">
        <w:rPr>
          <w:lang w:eastAsia="en-US"/>
        </w:rPr>
        <w:lastRenderedPageBreak/>
        <w:t>purpose of a pre-election budget update is to provide updated information on the estimated financial statements.</w:t>
      </w:r>
    </w:p>
    <w:p w14:paraId="0F08E6E5" w14:textId="77777777" w:rsidR="00FB4A57" w:rsidRDefault="00FB4A57" w:rsidP="007770BB">
      <w:pPr>
        <w:pStyle w:val="Heading2NoNum"/>
      </w:pPr>
      <w:r>
        <w:t>Produced assets</w:t>
      </w:r>
    </w:p>
    <w:p w14:paraId="0F08E6E6" w14:textId="77777777" w:rsidR="00FB4A57" w:rsidRDefault="00FB4A57" w:rsidP="00F43173">
      <w:pPr>
        <w:rPr>
          <w:lang w:eastAsia="en-US"/>
        </w:rPr>
      </w:pPr>
      <w:r>
        <w:rPr>
          <w:lang w:eastAsia="en-US"/>
        </w:rPr>
        <w:t>Produced assets include buildings, plant and equipment, inventories, cultivated assets and certain</w:t>
      </w:r>
      <w:r w:rsidR="001B246B">
        <w:rPr>
          <w:lang w:eastAsia="en-US"/>
        </w:rPr>
        <w:t xml:space="preserve"> </w:t>
      </w:r>
      <w:r>
        <w:rPr>
          <w:lang w:eastAsia="en-US"/>
        </w:rPr>
        <w:t>intangible assets. Intangible produced assets may include computer software, motion picture films and</w:t>
      </w:r>
      <w:r w:rsidR="001B246B">
        <w:rPr>
          <w:lang w:eastAsia="en-US"/>
        </w:rPr>
        <w:t xml:space="preserve"> </w:t>
      </w:r>
      <w:r>
        <w:rPr>
          <w:lang w:eastAsia="en-US"/>
        </w:rPr>
        <w:t xml:space="preserve">research and development costs (which does not include the </w:t>
      </w:r>
      <w:r w:rsidR="00BC0647">
        <w:rPr>
          <w:lang w:eastAsia="en-US"/>
        </w:rPr>
        <w:t>start-up</w:t>
      </w:r>
      <w:r>
        <w:rPr>
          <w:lang w:eastAsia="en-US"/>
        </w:rPr>
        <w:t xml:space="preserve"> costs associated with capital</w:t>
      </w:r>
      <w:r w:rsidR="001B246B">
        <w:rPr>
          <w:lang w:eastAsia="en-US"/>
        </w:rPr>
        <w:t xml:space="preserve"> </w:t>
      </w:r>
      <w:r>
        <w:rPr>
          <w:lang w:eastAsia="en-US"/>
        </w:rPr>
        <w:t>projects).</w:t>
      </w:r>
    </w:p>
    <w:p w14:paraId="0F08E6E7" w14:textId="77777777" w:rsidR="00FB4A57" w:rsidRDefault="00FB4A57" w:rsidP="007770BB">
      <w:pPr>
        <w:pStyle w:val="Heading2NoNum"/>
      </w:pPr>
      <w:r>
        <w:t>Productivity</w:t>
      </w:r>
    </w:p>
    <w:p w14:paraId="0F08E6E8" w14:textId="77777777" w:rsidR="00FB4A57" w:rsidRDefault="004C6D58" w:rsidP="00F43173">
      <w:r w:rsidRPr="004C6D58">
        <w:t>Productivity is an average measure of the efficiency of production. It can be expressed as the ratio of output to inputs used in the production process, i.e. output per unit of input. When all outputs and inputs are included in the productivity measure it is called total productivity. Outputs and inputs are defined in the total productivity measure as their economic values. The value of outputs minus the value of inputs is a measure of the income generated in a production process. It is a measure of total efficiency of a production process and as such the objective to be maximi</w:t>
      </w:r>
      <w:r w:rsidR="00AC7BE1">
        <w:t>s</w:t>
      </w:r>
      <w:r w:rsidRPr="004C6D58">
        <w:t xml:space="preserve">ed in </w:t>
      </w:r>
      <w:r w:rsidR="00AC7BE1">
        <w:t xml:space="preserve">the </w:t>
      </w:r>
      <w:r w:rsidRPr="004C6D58">
        <w:t>production process.</w:t>
      </w:r>
      <w:r>
        <w:t xml:space="preserve"> </w:t>
      </w:r>
      <w:r w:rsidR="00FB4A57">
        <w:t>There are a number of productivity measures, including:</w:t>
      </w:r>
    </w:p>
    <w:p w14:paraId="0F08E6E9" w14:textId="77777777" w:rsidR="00FB4A57" w:rsidRPr="0052205F" w:rsidRDefault="00AC7BE1" w:rsidP="00CF4760">
      <w:pPr>
        <w:pStyle w:val="Bullet1"/>
        <w:numPr>
          <w:ilvl w:val="0"/>
          <w:numId w:val="20"/>
        </w:numPr>
        <w:tabs>
          <w:tab w:val="clear" w:pos="1077"/>
          <w:tab w:val="num" w:pos="709"/>
        </w:tabs>
        <w:ind w:left="709" w:hanging="425"/>
      </w:pPr>
      <w:r w:rsidRPr="0052205F">
        <w:t>c</w:t>
      </w:r>
      <w:r w:rsidR="00FB4A57" w:rsidRPr="0052205F">
        <w:t xml:space="preserve">apital productivity estimates </w:t>
      </w:r>
      <w:r w:rsidR="0033281F" w:rsidRPr="0052205F">
        <w:t xml:space="preserve">– </w:t>
      </w:r>
      <w:r w:rsidR="00FB4A57" w:rsidRPr="0052205F">
        <w:t>indexes of real GDP per unit of capital services used in production</w:t>
      </w:r>
      <w:r w:rsidRPr="0052205F">
        <w:t>;</w:t>
      </w:r>
    </w:p>
    <w:p w14:paraId="0F08E6EA" w14:textId="77777777" w:rsidR="00F9789E" w:rsidRPr="0052205F" w:rsidRDefault="00AC7BE1" w:rsidP="00CF4760">
      <w:pPr>
        <w:pStyle w:val="Bullet1"/>
        <w:numPr>
          <w:ilvl w:val="0"/>
          <w:numId w:val="20"/>
        </w:numPr>
        <w:tabs>
          <w:tab w:val="clear" w:pos="1077"/>
          <w:tab w:val="num" w:pos="709"/>
        </w:tabs>
        <w:ind w:left="709" w:hanging="425"/>
      </w:pPr>
      <w:r w:rsidRPr="0052205F">
        <w:t>l</w:t>
      </w:r>
      <w:r w:rsidR="00FB4A57" w:rsidRPr="0052205F">
        <w:t xml:space="preserve">abour productivity estimates </w:t>
      </w:r>
      <w:r w:rsidR="0033281F" w:rsidRPr="0052205F">
        <w:t xml:space="preserve">– </w:t>
      </w:r>
      <w:r w:rsidR="00FB4A57" w:rsidRPr="0052205F">
        <w:t>indexes of real GDP per capita or per hour worked</w:t>
      </w:r>
      <w:r w:rsidRPr="0052205F">
        <w:t>; and</w:t>
      </w:r>
    </w:p>
    <w:p w14:paraId="0F08E6EB" w14:textId="77777777" w:rsidR="00F9789E" w:rsidRPr="0052205F" w:rsidRDefault="00AC7BE1" w:rsidP="00CF4760">
      <w:pPr>
        <w:pStyle w:val="Bullet1"/>
        <w:numPr>
          <w:ilvl w:val="0"/>
          <w:numId w:val="20"/>
        </w:numPr>
        <w:tabs>
          <w:tab w:val="clear" w:pos="1077"/>
          <w:tab w:val="num" w:pos="709"/>
        </w:tabs>
        <w:ind w:left="709" w:hanging="425"/>
      </w:pPr>
      <w:r w:rsidRPr="0052205F">
        <w:t>m</w:t>
      </w:r>
      <w:r w:rsidR="00FB4A57" w:rsidRPr="0052205F">
        <w:t xml:space="preserve">ultifactor productivity estimates </w:t>
      </w:r>
      <w:r w:rsidR="0033281F" w:rsidRPr="0052205F">
        <w:t xml:space="preserve">– </w:t>
      </w:r>
      <w:r w:rsidR="00FB4A57" w:rsidRPr="0052205F">
        <w:t>indexes of real GDP per combined unit of labour and capital.</w:t>
      </w:r>
    </w:p>
    <w:p w14:paraId="0F08E6EC" w14:textId="77777777" w:rsidR="00F9789E" w:rsidRDefault="00FB4A57" w:rsidP="007770BB">
      <w:pPr>
        <w:pStyle w:val="Heading2NoNum"/>
      </w:pPr>
      <w:r>
        <w:t>Provisions</w:t>
      </w:r>
    </w:p>
    <w:p w14:paraId="0F08E6ED" w14:textId="77777777" w:rsidR="00BC0647" w:rsidRDefault="00FB4A57" w:rsidP="00F43173">
      <w:r>
        <w:t>The meaning of the term ‘provisions’ alters slightly with its context</w:t>
      </w:r>
      <w:r w:rsidR="00374D68">
        <w:t>:</w:t>
      </w:r>
    </w:p>
    <w:p w14:paraId="0F08E6EE" w14:textId="77777777" w:rsidR="00BC0647" w:rsidRDefault="00FB4A57" w:rsidP="00CF4760">
      <w:pPr>
        <w:pStyle w:val="Bullet1"/>
        <w:numPr>
          <w:ilvl w:val="0"/>
          <w:numId w:val="23"/>
        </w:numPr>
        <w:tabs>
          <w:tab w:val="clear" w:pos="1077"/>
          <w:tab w:val="num" w:pos="851"/>
        </w:tabs>
        <w:ind w:left="851" w:hanging="567"/>
      </w:pPr>
      <w:r>
        <w:t xml:space="preserve">In relation to an operating statement, it means an amount charged as an expense to recognise: </w:t>
      </w:r>
    </w:p>
    <w:p w14:paraId="0F08E6EF" w14:textId="77777777" w:rsidR="00BC0647" w:rsidRDefault="00FB4A57" w:rsidP="0052205F">
      <w:pPr>
        <w:pStyle w:val="Bullet2"/>
        <w:numPr>
          <w:ilvl w:val="1"/>
          <w:numId w:val="22"/>
        </w:numPr>
      </w:pPr>
      <w:r>
        <w:t xml:space="preserve">a liability that </w:t>
      </w:r>
      <w:r w:rsidR="00456400">
        <w:t>has been provided for based on estimates</w:t>
      </w:r>
      <w:r>
        <w:t xml:space="preserve">; or </w:t>
      </w:r>
    </w:p>
    <w:p w14:paraId="0F08E6F0" w14:textId="77777777" w:rsidR="00BC0647" w:rsidRDefault="00FB4A57" w:rsidP="0052205F">
      <w:pPr>
        <w:pStyle w:val="Bullet2"/>
        <w:numPr>
          <w:ilvl w:val="1"/>
          <w:numId w:val="22"/>
        </w:numPr>
      </w:pPr>
      <w:r>
        <w:t>a reduction in the carrying amount of an asset by way of depreciation or amortisation of the asset or diminution in value of the asset</w:t>
      </w:r>
      <w:r w:rsidR="00AC7BE1">
        <w:t>.</w:t>
      </w:r>
    </w:p>
    <w:p w14:paraId="0F08E6F1" w14:textId="77777777" w:rsidR="00E670B9" w:rsidRPr="00CA27E3" w:rsidRDefault="00FB4A57" w:rsidP="00CF4760">
      <w:pPr>
        <w:pStyle w:val="Bullet1"/>
        <w:numPr>
          <w:ilvl w:val="0"/>
          <w:numId w:val="21"/>
        </w:numPr>
        <w:tabs>
          <w:tab w:val="clear" w:pos="1077"/>
          <w:tab w:val="num" w:pos="851"/>
        </w:tabs>
        <w:ind w:left="851" w:hanging="567"/>
      </w:pPr>
      <w:r>
        <w:t>In relation to a statement of financial position, it refers to amounts in paragraph (a) that have accumulated from previous financial years and the current financial year in relation to assets or liabilities included in that statement.</w:t>
      </w:r>
    </w:p>
    <w:p w14:paraId="0F08E6F2" w14:textId="77777777" w:rsidR="00F9789E" w:rsidRDefault="00CA27E3" w:rsidP="007770BB">
      <w:pPr>
        <w:pStyle w:val="Heading2NoNum"/>
      </w:pPr>
      <w:r>
        <w:t>Public a</w:t>
      </w:r>
      <w:r w:rsidR="00FB4A57">
        <w:t>ccount</w:t>
      </w:r>
    </w:p>
    <w:p w14:paraId="0F08E6F3" w14:textId="77777777" w:rsidR="00F9789E" w:rsidRDefault="00AC7BE1" w:rsidP="00F43173">
      <w:r>
        <w:t>T</w:t>
      </w:r>
      <w:r w:rsidR="00FB4A57">
        <w:t>he Government's official bank account. All the bank accounts of the State, maintained at various commercial banks, in which the mone</w:t>
      </w:r>
      <w:r w:rsidR="00CA27E3">
        <w:t>ys of the consolidated fund and the trust f</w:t>
      </w:r>
      <w:r w:rsidR="00FB4A57">
        <w:t>und</w:t>
      </w:r>
      <w:r>
        <w:t xml:space="preserve"> are held</w:t>
      </w:r>
      <w:r w:rsidR="00FB4A57">
        <w:t>.</w:t>
      </w:r>
    </w:p>
    <w:p w14:paraId="0F08E6F4" w14:textId="77777777" w:rsidR="00235F88" w:rsidRDefault="00235F88" w:rsidP="007770BB">
      <w:pPr>
        <w:pStyle w:val="Heading2NoNum"/>
      </w:pPr>
      <w:r>
        <w:t>Public construction</w:t>
      </w:r>
    </w:p>
    <w:p w14:paraId="0F08E6F5" w14:textId="77777777" w:rsidR="00235F88" w:rsidRPr="00235F88" w:rsidRDefault="00235F88" w:rsidP="00F43173">
      <w:pPr>
        <w:rPr>
          <w:rFonts w:eastAsiaTheme="minorHAnsi"/>
        </w:rPr>
      </w:pPr>
      <w:r w:rsidRPr="00235F88">
        <w:rPr>
          <w:rFonts w:eastAsiaTheme="minorHAnsi"/>
          <w:lang w:eastAsia="en-US"/>
        </w:rPr>
        <w:t xml:space="preserve">Under the </w:t>
      </w:r>
      <w:r w:rsidRPr="00235F88">
        <w:rPr>
          <w:rFonts w:eastAsiaTheme="minorHAnsi"/>
          <w:i/>
          <w:lang w:eastAsia="en-US"/>
        </w:rPr>
        <w:t>Project Development And Construction Management Act 1994</w:t>
      </w:r>
      <w:r w:rsidRPr="00235F88">
        <w:rPr>
          <w:rFonts w:eastAsiaTheme="minorHAnsi"/>
          <w:lang w:eastAsia="en-US"/>
        </w:rPr>
        <w:t xml:space="preserve"> (Vic) (PDCM Act) public construction consists of any matter relating to the construction, maintenance, rehabilitation, alteration, extension or demolition of any improvements on land by, or on behalf of, departments and public bodies and includes design and construction practices, tendering processes, project delivery and contract administration.</w:t>
      </w:r>
    </w:p>
    <w:p w14:paraId="0F08E6F6" w14:textId="77777777" w:rsidR="00F9789E" w:rsidRDefault="00CF6949" w:rsidP="007770BB">
      <w:pPr>
        <w:pStyle w:val="Heading2NoNum"/>
      </w:pPr>
      <w:r>
        <w:t>Public financial corporation (PFC)</w:t>
      </w:r>
    </w:p>
    <w:p w14:paraId="0F08E6F7" w14:textId="77777777" w:rsidR="00FB4A57" w:rsidRDefault="00CA27E3" w:rsidP="00F43173">
      <w:r>
        <w:t>Government-controlled entities that</w:t>
      </w:r>
      <w:r w:rsidR="00FB4A57">
        <w:t xml:space="preserve"> perform statutory insurance and central bank functions, accept demand, time or savings deposits and/or are authorised to incur liabilities and acquire financial assets in the market on their own account.</w:t>
      </w:r>
    </w:p>
    <w:p w14:paraId="0F08E6F8" w14:textId="77777777" w:rsidR="00FB4A57" w:rsidRPr="00CF6949" w:rsidRDefault="00CF6949" w:rsidP="00F43173">
      <w:r w:rsidRPr="00CF6949">
        <w:t>or</w:t>
      </w:r>
    </w:p>
    <w:p w14:paraId="0F08E6F9" w14:textId="77777777" w:rsidR="00FB4A57" w:rsidRDefault="00AC7BE1" w:rsidP="00F43173">
      <w:r>
        <w:t>B</w:t>
      </w:r>
      <w:r w:rsidR="00FB4A57">
        <w:t>odies primarily engaged in the provision of financial intermediation services or auxiliary financial services. They are able to incur financial liabilities (e.g. taking deposits, issuing securities or providing insurance services) and acquire financial assets in the market on their own account.</w:t>
      </w:r>
    </w:p>
    <w:p w14:paraId="0F08E6FA" w14:textId="77777777" w:rsidR="004C6D58" w:rsidRDefault="004C6D58" w:rsidP="007770BB">
      <w:pPr>
        <w:pStyle w:val="Heading2NoNum"/>
      </w:pPr>
      <w:r>
        <w:lastRenderedPageBreak/>
        <w:t>Public ledger</w:t>
      </w:r>
    </w:p>
    <w:p w14:paraId="0F08E6FB" w14:textId="77777777" w:rsidR="004C6D58" w:rsidRPr="004C6D58" w:rsidRDefault="004C6D58" w:rsidP="00F43173">
      <w:pPr>
        <w:rPr>
          <w:lang w:eastAsia="en-US"/>
        </w:rPr>
      </w:pPr>
      <w:r>
        <w:rPr>
          <w:lang w:eastAsia="en-US"/>
        </w:rPr>
        <w:t>The public ledger is established and maintained</w:t>
      </w:r>
      <w:r w:rsidR="00CA27E3">
        <w:rPr>
          <w:lang w:eastAsia="en-US"/>
        </w:rPr>
        <w:t xml:space="preserve"> to record transactions on the public a</w:t>
      </w:r>
      <w:r>
        <w:rPr>
          <w:lang w:eastAsia="en-US"/>
        </w:rPr>
        <w:t>ccount; expenses and obligations incurred that a</w:t>
      </w:r>
      <w:r w:rsidR="00CA27E3">
        <w:rPr>
          <w:lang w:eastAsia="en-US"/>
        </w:rPr>
        <w:t>re to be met out of the public a</w:t>
      </w:r>
      <w:r>
        <w:rPr>
          <w:lang w:eastAsia="en-US"/>
        </w:rPr>
        <w:t>ccount; and such other transactions and such account balances as the Minister determines. Currently the public ledger is maintained as part of the State Resource Information Management System.</w:t>
      </w:r>
    </w:p>
    <w:p w14:paraId="0F08E6FC" w14:textId="77777777" w:rsidR="00FB4A57" w:rsidRDefault="00CF6949" w:rsidP="007770BB">
      <w:pPr>
        <w:pStyle w:val="Heading2NoNum"/>
      </w:pPr>
      <w:r>
        <w:t xml:space="preserve">Public </w:t>
      </w:r>
      <w:r w:rsidR="00FB4A57">
        <w:t>no</w:t>
      </w:r>
      <w:r>
        <w:t>n-financial corporation (PNFC)</w:t>
      </w:r>
    </w:p>
    <w:p w14:paraId="0F08E6FD" w14:textId="77777777" w:rsidR="00FB4A57" w:rsidRDefault="00CA27E3" w:rsidP="00F43173">
      <w:r>
        <w:t>Government-</w:t>
      </w:r>
      <w:r w:rsidR="00FB4A57">
        <w:t>controlled entities that derive their funding mainly from the provi</w:t>
      </w:r>
      <w:r>
        <w:t>sion of goods and services that</w:t>
      </w:r>
      <w:r w:rsidR="00FB4A57">
        <w:t xml:space="preserve"> are sold in markets and are non-regulatory in nature.</w:t>
      </w:r>
    </w:p>
    <w:p w14:paraId="0F08E6FE" w14:textId="77777777" w:rsidR="00FB4A57" w:rsidRPr="00CF6949" w:rsidRDefault="00CF6949" w:rsidP="00F43173">
      <w:r w:rsidRPr="00CF6949">
        <w:t>or</w:t>
      </w:r>
    </w:p>
    <w:p w14:paraId="0F08E6FF" w14:textId="77777777" w:rsidR="00FB4A57" w:rsidRDefault="00FB4A57" w:rsidP="00F43173">
      <w:r>
        <w:t xml:space="preserve">The PNFC sector comprises bodies mainly engaged in the production of </w:t>
      </w:r>
      <w:r w:rsidR="00456400">
        <w:t xml:space="preserve">market </w:t>
      </w:r>
      <w:r>
        <w:t xml:space="preserve">goods and </w:t>
      </w:r>
      <w:r w:rsidR="00456400">
        <w:t xml:space="preserve">non-financial </w:t>
      </w:r>
      <w:r>
        <w:t xml:space="preserve">services (of a non-financial nature) for sale in the market place at prices that aim to recover most of the costs involved (e.g. water and port authorities). In general, PNFCs are legally distinguishable from the governments </w:t>
      </w:r>
      <w:r w:rsidR="00BC5D0C">
        <w:t xml:space="preserve">that </w:t>
      </w:r>
      <w:r>
        <w:t>own them.</w:t>
      </w:r>
    </w:p>
    <w:p w14:paraId="0F08E700" w14:textId="77777777" w:rsidR="00FB4A57" w:rsidRDefault="00FB4A57" w:rsidP="007770BB">
      <w:pPr>
        <w:pStyle w:val="Heading2NoNum"/>
      </w:pPr>
      <w:r>
        <w:t>Public private partnership (PPP)</w:t>
      </w:r>
    </w:p>
    <w:p w14:paraId="0F08E701" w14:textId="77777777" w:rsidR="00F9789E" w:rsidRDefault="00FB4A57" w:rsidP="00F43173">
      <w:r>
        <w:t xml:space="preserve">A long-term contract between the public and private sectors where government (or direct users) pays the private sector to deliver infrastructure and related services on behalf of, or in support, of government's broader service responsibilities. PPPs typically </w:t>
      </w:r>
      <w:r w:rsidR="00BC5D0C">
        <w:t xml:space="preserve">require </w:t>
      </w:r>
      <w:r>
        <w:t>the private sector parties who build</w:t>
      </w:r>
      <w:r w:rsidR="00BC5D0C">
        <w:t xml:space="preserve"> the</w:t>
      </w:r>
      <w:r>
        <w:t xml:space="preserve"> infrastructure </w:t>
      </w:r>
      <w:r w:rsidR="00BC5D0C">
        <w:t xml:space="preserve">to be </w:t>
      </w:r>
      <w:r>
        <w:t>responsible for its condition and performance on a whole-of-life-basis.</w:t>
      </w:r>
    </w:p>
    <w:p w14:paraId="0F08E702" w14:textId="77777777" w:rsidR="00294592" w:rsidRDefault="00294592" w:rsidP="007770BB">
      <w:pPr>
        <w:pStyle w:val="Heading2NoNum"/>
      </w:pPr>
      <w:r>
        <w:t>Purchases of non-financial assets</w:t>
      </w:r>
    </w:p>
    <w:p w14:paraId="0F08E703" w14:textId="77777777" w:rsidR="00294592" w:rsidRDefault="00294592" w:rsidP="00F43173">
      <w:r>
        <w:t>Cash payments to acquire property, plant and equipment, intangibles and other long-term assets. These payments include those relating to capitalised development costs and self-constructed property, plant and equipment.</w:t>
      </w:r>
    </w:p>
    <w:p w14:paraId="0F08E704" w14:textId="77777777" w:rsidR="00294592" w:rsidRDefault="00294592" w:rsidP="00294592">
      <w:pPr>
        <w:pStyle w:val="Heading1NoNum"/>
      </w:pPr>
      <w:r>
        <w:t>Q</w:t>
      </w:r>
    </w:p>
    <w:p w14:paraId="0F08E705" w14:textId="77777777" w:rsidR="00F43173" w:rsidRPr="006C25F9" w:rsidRDefault="00F43173" w:rsidP="00F43173">
      <w:pPr>
        <w:rPr>
          <w:lang w:eastAsia="en-US"/>
        </w:rPr>
      </w:pPr>
      <w:r>
        <w:rPr>
          <w:lang w:eastAsia="en-US"/>
        </w:rPr>
        <w:t>Nil</w:t>
      </w:r>
    </w:p>
    <w:p w14:paraId="0F08E706" w14:textId="77777777" w:rsidR="00294592" w:rsidRDefault="00294592" w:rsidP="00294592">
      <w:pPr>
        <w:pStyle w:val="Heading1NoNum"/>
      </w:pPr>
      <w:r>
        <w:t>R</w:t>
      </w:r>
    </w:p>
    <w:p w14:paraId="0F08E707" w14:textId="77777777" w:rsidR="00F9789E" w:rsidRDefault="00FB4A57" w:rsidP="007770BB">
      <w:pPr>
        <w:pStyle w:val="Heading2NoNum"/>
      </w:pPr>
      <w:r>
        <w:t>Real terms</w:t>
      </w:r>
    </w:p>
    <w:p w14:paraId="0F08E708" w14:textId="77777777" w:rsidR="00F9789E" w:rsidRDefault="00FB4A57" w:rsidP="00F43173">
      <w:r>
        <w:t>A monetary value expressed in constant prices, or adjusted to allow for inflation.</w:t>
      </w:r>
    </w:p>
    <w:p w14:paraId="0F08E709" w14:textId="77777777" w:rsidR="00F9789E" w:rsidRDefault="00FB4A57" w:rsidP="007770BB">
      <w:pPr>
        <w:pStyle w:val="Heading2NoNum"/>
      </w:pPr>
      <w:r w:rsidRPr="00294592">
        <w:t>Receipts</w:t>
      </w:r>
    </w:p>
    <w:p w14:paraId="0F08E70A" w14:textId="77777777" w:rsidR="00F9789E" w:rsidRDefault="00FB4A57" w:rsidP="00F43173">
      <w:r>
        <w:t>Cash amounts received by the State for any purpose.</w:t>
      </w:r>
    </w:p>
    <w:p w14:paraId="0F08E70B" w14:textId="77777777" w:rsidR="00FB4A57" w:rsidRDefault="00FB4A57" w:rsidP="007770BB">
      <w:pPr>
        <w:pStyle w:val="Heading2NoNum"/>
      </w:pPr>
      <w:r>
        <w:t>Receivables</w:t>
      </w:r>
    </w:p>
    <w:p w14:paraId="0F08E70C" w14:textId="77777777" w:rsidR="00FB4A57" w:rsidRDefault="00FB4A57" w:rsidP="00F43173">
      <w:r>
        <w:t>Includes short and long-term trade credit and accounts receivable, grants, taxes and interest receivable.</w:t>
      </w:r>
    </w:p>
    <w:p w14:paraId="0F08E70D" w14:textId="77777777" w:rsidR="00F9789E" w:rsidRDefault="00FB4A57" w:rsidP="007770BB">
      <w:pPr>
        <w:pStyle w:val="Heading2NoNum"/>
      </w:pPr>
      <w:r>
        <w:t>Reciprocal transfer</w:t>
      </w:r>
    </w:p>
    <w:p w14:paraId="0F08E70E" w14:textId="77777777" w:rsidR="00F9789E" w:rsidRDefault="00FB4A57" w:rsidP="00F43173">
      <w:r>
        <w:t>A transfer in which the entity receives assets or services or has liabilities extinguished and directly gives approximately equal value in the exchange to the other party or parties to the transfer.</w:t>
      </w:r>
    </w:p>
    <w:p w14:paraId="0F08E70F" w14:textId="77777777" w:rsidR="00F9789E" w:rsidRDefault="00FB4A57" w:rsidP="007770BB">
      <w:pPr>
        <w:pStyle w:val="Heading2NoNum"/>
      </w:pPr>
      <w:r>
        <w:t>Recognition</w:t>
      </w:r>
    </w:p>
    <w:p w14:paraId="0F08E710" w14:textId="77777777" w:rsidR="00F9789E" w:rsidRDefault="00FB4A57" w:rsidP="00F43173">
      <w:r>
        <w:t>The process of reporting on, or recording, or incorporating an asset, liability, revenue or expense into the financial statement of the entity.</w:t>
      </w:r>
    </w:p>
    <w:p w14:paraId="0F08E711" w14:textId="77777777" w:rsidR="00F9789E" w:rsidRDefault="00FB4A57" w:rsidP="007770BB">
      <w:pPr>
        <w:pStyle w:val="Heading2NoNum"/>
      </w:pPr>
      <w:r>
        <w:lastRenderedPageBreak/>
        <w:t>Recognition of assets</w:t>
      </w:r>
    </w:p>
    <w:p w14:paraId="0F08E712" w14:textId="77777777" w:rsidR="00D71E30" w:rsidRDefault="00FB4A57" w:rsidP="00F43173">
      <w:r>
        <w:t xml:space="preserve">An asset should be recognised in the statement of financial position when and only when: </w:t>
      </w:r>
    </w:p>
    <w:p w14:paraId="0F08E713" w14:textId="77777777" w:rsidR="00D71E30" w:rsidRDefault="00FB4A57" w:rsidP="00CF4760">
      <w:pPr>
        <w:pStyle w:val="Bullet3"/>
        <w:numPr>
          <w:ilvl w:val="0"/>
          <w:numId w:val="17"/>
        </w:numPr>
        <w:tabs>
          <w:tab w:val="clear" w:pos="1077"/>
          <w:tab w:val="num" w:pos="851"/>
        </w:tabs>
        <w:ind w:left="851" w:hanging="567"/>
      </w:pPr>
      <w:r>
        <w:t xml:space="preserve">it is probable that the future economic benefits embodied in the asset will eventuate; and </w:t>
      </w:r>
    </w:p>
    <w:p w14:paraId="0F08E714" w14:textId="77777777" w:rsidR="00F9789E" w:rsidRDefault="00FB4A57" w:rsidP="00CF4760">
      <w:pPr>
        <w:pStyle w:val="Bullet3"/>
        <w:numPr>
          <w:ilvl w:val="0"/>
          <w:numId w:val="17"/>
        </w:numPr>
        <w:tabs>
          <w:tab w:val="clear" w:pos="1077"/>
          <w:tab w:val="num" w:pos="851"/>
        </w:tabs>
        <w:ind w:left="851" w:hanging="567"/>
      </w:pPr>
      <w:r>
        <w:t>the asset possesses a cost or other value that can be measured reliably.</w:t>
      </w:r>
    </w:p>
    <w:p w14:paraId="0F08E715" w14:textId="77777777" w:rsidR="00F9789E" w:rsidRDefault="00FB4A57" w:rsidP="007770BB">
      <w:pPr>
        <w:pStyle w:val="Heading2NoNum"/>
      </w:pPr>
      <w:r>
        <w:t>Recognition of liabilities</w:t>
      </w:r>
    </w:p>
    <w:p w14:paraId="0F08E716" w14:textId="77777777" w:rsidR="00BD618B" w:rsidRDefault="00FB4A57" w:rsidP="00F43173">
      <w:r>
        <w:t xml:space="preserve">A liability should be recognised in the statement of financial position when and only when: </w:t>
      </w:r>
    </w:p>
    <w:p w14:paraId="0F08E717" w14:textId="77777777" w:rsidR="00BD618B" w:rsidRDefault="00FB4A57" w:rsidP="00CF4760">
      <w:pPr>
        <w:pStyle w:val="Bullet1"/>
        <w:numPr>
          <w:ilvl w:val="0"/>
          <w:numId w:val="18"/>
        </w:numPr>
        <w:tabs>
          <w:tab w:val="clear" w:pos="1077"/>
          <w:tab w:val="num" w:pos="851"/>
        </w:tabs>
        <w:ind w:left="851" w:hanging="567"/>
      </w:pPr>
      <w:r>
        <w:t xml:space="preserve">it is probable that </w:t>
      </w:r>
      <w:r w:rsidR="00211F28">
        <w:t xml:space="preserve">an outflow of resources embodying economic benefits will result from the settlement of a present obligation; </w:t>
      </w:r>
      <w:r>
        <w:t xml:space="preserve">and </w:t>
      </w:r>
    </w:p>
    <w:p w14:paraId="0F08E718" w14:textId="77777777" w:rsidR="00F9789E" w:rsidRDefault="00FB4A57" w:rsidP="00CF4760">
      <w:pPr>
        <w:pStyle w:val="Bullet1"/>
        <w:numPr>
          <w:ilvl w:val="0"/>
          <w:numId w:val="18"/>
        </w:numPr>
        <w:tabs>
          <w:tab w:val="clear" w:pos="1077"/>
          <w:tab w:val="num" w:pos="851"/>
        </w:tabs>
        <w:ind w:left="851" w:hanging="567"/>
      </w:pPr>
      <w:r>
        <w:t xml:space="preserve">the amount </w:t>
      </w:r>
      <w:r w:rsidR="00211F28">
        <w:t xml:space="preserve">at which the settlement will take place </w:t>
      </w:r>
      <w:r>
        <w:t>can be measured reliably.</w:t>
      </w:r>
    </w:p>
    <w:p w14:paraId="0F08E719" w14:textId="77777777" w:rsidR="00F9789E" w:rsidRDefault="00FB4A57" w:rsidP="007770BB">
      <w:pPr>
        <w:pStyle w:val="Heading2NoNum"/>
      </w:pPr>
      <w:r>
        <w:t>Recoverable amount</w:t>
      </w:r>
    </w:p>
    <w:p w14:paraId="0F08E71A" w14:textId="77777777" w:rsidR="00E670B9" w:rsidRDefault="00FB4A57" w:rsidP="00FE3ECB">
      <w:pPr>
        <w:rPr>
          <w:rFonts w:asciiTheme="majorHAnsi" w:eastAsia="Times New Roman" w:hAnsiTheme="majorHAnsi" w:cs="Calibri"/>
          <w:b/>
          <w:color w:val="4D4D4D"/>
          <w:spacing w:val="-2"/>
          <w:sz w:val="26"/>
          <w:szCs w:val="22"/>
          <w:lang w:eastAsia="en-US"/>
        </w:rPr>
      </w:pPr>
      <w:r>
        <w:t xml:space="preserve">In relation to an asset, the </w:t>
      </w:r>
      <w:r w:rsidR="00955841">
        <w:t>recoverable amount of an asset is the higher of its fair value less costs of disposal and its value in use</w:t>
      </w:r>
      <w:r>
        <w:t>.</w:t>
      </w:r>
    </w:p>
    <w:p w14:paraId="0F08E71B" w14:textId="77777777" w:rsidR="00F9789E" w:rsidRDefault="00294592" w:rsidP="007770BB">
      <w:pPr>
        <w:pStyle w:val="Heading2NoNum"/>
      </w:pPr>
      <w:r>
        <w:t>Recurrent/operating expenditure/output</w:t>
      </w:r>
    </w:p>
    <w:p w14:paraId="0F08E71C" w14:textId="77777777" w:rsidR="00F9789E" w:rsidRDefault="00FB4A57" w:rsidP="00F43173">
      <w:r>
        <w:t>Recurrent or operating expenses represent the annual expenditure on day-to-day operations of an organisation. Recurrent/operating expenditure is shown as an expense on the operating statement and typically includes payment for wages and salaries, the purchases of goods and services, interest, depreciation and operating grants to parties outside of government. Recurrent/operating expenditure excludes payments for capital investment.</w:t>
      </w:r>
    </w:p>
    <w:p w14:paraId="0F08E71D" w14:textId="77777777" w:rsidR="00FB4A57" w:rsidRDefault="00FB4A57" w:rsidP="00F43173">
      <w:r>
        <w:t>Output costs are a sub-set of recurrent /operating expenses.</w:t>
      </w:r>
      <w:r w:rsidR="00BC1677">
        <w:t xml:space="preserve"> </w:t>
      </w:r>
      <w:r>
        <w:t xml:space="preserve">Output costs represent the day to day costs of providing specific government services such as </w:t>
      </w:r>
      <w:r w:rsidR="00BD185E">
        <w:t>Acute H</w:t>
      </w:r>
      <w:r>
        <w:t xml:space="preserve">ealth </w:t>
      </w:r>
      <w:r w:rsidR="00BD185E">
        <w:t>S</w:t>
      </w:r>
      <w:r>
        <w:t xml:space="preserve">ervices and </w:t>
      </w:r>
      <w:r w:rsidR="00BD185E">
        <w:t>S</w:t>
      </w:r>
      <w:r>
        <w:t xml:space="preserve">chool </w:t>
      </w:r>
      <w:r w:rsidR="00BD185E">
        <w:t>E</w:t>
      </w:r>
      <w:r>
        <w:t>ducation</w:t>
      </w:r>
      <w:r w:rsidR="00BD185E">
        <w:t xml:space="preserve"> - Primary</w:t>
      </w:r>
      <w:r>
        <w:t xml:space="preserve"> (defined as </w:t>
      </w:r>
      <w:r w:rsidR="00BC1677">
        <w:t>‘</w:t>
      </w:r>
      <w:r>
        <w:t>outputs</w:t>
      </w:r>
      <w:r w:rsidR="00BC1677">
        <w:t>’</w:t>
      </w:r>
      <w:r>
        <w:t xml:space="preserve"> in Budget Paper No. 3</w:t>
      </w:r>
      <w:r w:rsidR="00BD185E">
        <w:t>).</w:t>
      </w:r>
      <w:r>
        <w:t>Output costs include wages and salaries, purchases of</w:t>
      </w:r>
      <w:r w:rsidR="00BC1677">
        <w:t xml:space="preserve"> </w:t>
      </w:r>
      <w:r>
        <w:t>goods and services and depreciation incurred in delivering the specified outputs/services.</w:t>
      </w:r>
    </w:p>
    <w:p w14:paraId="0F08E71E" w14:textId="77777777" w:rsidR="00FB4A57" w:rsidRDefault="00FB4A57" w:rsidP="00F43173">
      <w:r>
        <w:t>Recurrent expenditure/operating costs also includes other day to day costs not related to delivery of specific outputs/services such as interest expense on state borrowings.</w:t>
      </w:r>
    </w:p>
    <w:p w14:paraId="0F08E71F" w14:textId="77777777" w:rsidR="00F9789E" w:rsidRDefault="00FB4A57" w:rsidP="00F43173">
      <w:r>
        <w:t>In broad terms, expenditure which provides less than a 12</w:t>
      </w:r>
      <w:r w:rsidR="00BD618B">
        <w:t>-</w:t>
      </w:r>
      <w:r>
        <w:t>month benefit is generally regarded as recurrent/operating expenditure, whereas expenditure that provides benefit over several years is classified as capital expenditure – giving rise to an asset on the balance sheet.</w:t>
      </w:r>
    </w:p>
    <w:p w14:paraId="0F08E720" w14:textId="77777777" w:rsidR="00F9789E" w:rsidRDefault="00FB4A57" w:rsidP="007770BB">
      <w:pPr>
        <w:pStyle w:val="Heading2NoNum"/>
      </w:pPr>
      <w:r>
        <w:t>Refunds</w:t>
      </w:r>
    </w:p>
    <w:p w14:paraId="0F08E721" w14:textId="77777777" w:rsidR="00F9789E" w:rsidRDefault="00FB4A57" w:rsidP="00F43173">
      <w:r>
        <w:t>Negative revenues by way of cash or credit against future revenues.</w:t>
      </w:r>
    </w:p>
    <w:p w14:paraId="0F08E722" w14:textId="77777777" w:rsidR="00F9789E" w:rsidRDefault="00294592" w:rsidP="007770BB">
      <w:pPr>
        <w:pStyle w:val="Heading2NoNum"/>
      </w:pPr>
      <w:r>
        <w:t>Reprioritisations</w:t>
      </w:r>
    </w:p>
    <w:p w14:paraId="0F08E723" w14:textId="77777777" w:rsidR="00F9789E" w:rsidRDefault="00FB4A57" w:rsidP="00F43173">
      <w:r>
        <w:t xml:space="preserve">When </w:t>
      </w:r>
      <w:r w:rsidR="0033281F">
        <w:t xml:space="preserve">a </w:t>
      </w:r>
      <w:r>
        <w:t xml:space="preserve">program </w:t>
      </w:r>
      <w:r w:rsidR="005B66BB">
        <w:t xml:space="preserve">is funded </w:t>
      </w:r>
      <w:r>
        <w:t xml:space="preserve">from within its existing budget, either from reallocation of internal cost savings or estimates. The reprioritisation </w:t>
      </w:r>
      <w:r w:rsidR="0033281F">
        <w:t xml:space="preserve">may </w:t>
      </w:r>
      <w:r>
        <w:t>defer or replace the delivery of another internally funded project or service.</w:t>
      </w:r>
    </w:p>
    <w:p w14:paraId="0F08E724" w14:textId="77777777" w:rsidR="00235F88" w:rsidRDefault="00235F88" w:rsidP="007770BB">
      <w:pPr>
        <w:pStyle w:val="Heading2NoNum"/>
        <w:rPr>
          <w:lang w:val="en"/>
        </w:rPr>
      </w:pPr>
      <w:r w:rsidRPr="00235F88">
        <w:rPr>
          <w:lang w:val="en"/>
        </w:rPr>
        <w:t xml:space="preserve">Request for tender </w:t>
      </w:r>
    </w:p>
    <w:p w14:paraId="0F08E725" w14:textId="77777777" w:rsidR="00235F88" w:rsidRPr="00235F88" w:rsidRDefault="00235F88" w:rsidP="00F43173">
      <w:r w:rsidRPr="00235F88">
        <w:t>A request for offer against a set of clearly defined and specified requirements. Tenderers are advised of all requirements involved including the conditions of tendering and proposed contract conditions.</w:t>
      </w:r>
    </w:p>
    <w:p w14:paraId="0F08E726" w14:textId="77777777" w:rsidR="00FB4A57" w:rsidRDefault="00FB4A57" w:rsidP="007770BB">
      <w:pPr>
        <w:pStyle w:val="Heading2NoNum"/>
      </w:pPr>
      <w:r>
        <w:t>Roads</w:t>
      </w:r>
    </w:p>
    <w:p w14:paraId="0F08E727" w14:textId="77777777" w:rsidR="00FB4A57" w:rsidRDefault="00FB4A57" w:rsidP="00F43173">
      <w:r>
        <w:t>Roads include road pavement and road works in progress. All land under roads is included under the</w:t>
      </w:r>
      <w:r w:rsidR="00294592">
        <w:t xml:space="preserve"> </w:t>
      </w:r>
      <w:r>
        <w:t>category of ‘land’.</w:t>
      </w:r>
    </w:p>
    <w:p w14:paraId="0F08E728" w14:textId="77777777" w:rsidR="00FB4A57" w:rsidRDefault="00FB4A57" w:rsidP="007770BB">
      <w:pPr>
        <w:pStyle w:val="Heading2NoNum"/>
      </w:pPr>
      <w:r>
        <w:t>Road infrastructure</w:t>
      </w:r>
    </w:p>
    <w:p w14:paraId="0F08E729" w14:textId="77777777" w:rsidR="00FB4A57" w:rsidRDefault="00FB4A57" w:rsidP="00F43173">
      <w:r>
        <w:t>Road infrastructure mainly includes sound barriers, bridges and traffic signal control systems.</w:t>
      </w:r>
    </w:p>
    <w:p w14:paraId="0F08E72A" w14:textId="77777777" w:rsidR="00294592" w:rsidRDefault="00294592" w:rsidP="00294592">
      <w:pPr>
        <w:pStyle w:val="Heading1NoNum"/>
      </w:pPr>
      <w:r>
        <w:lastRenderedPageBreak/>
        <w:t>S</w:t>
      </w:r>
    </w:p>
    <w:p w14:paraId="0F08E72B" w14:textId="77777777" w:rsidR="00FB4A57" w:rsidRDefault="00FB4A57" w:rsidP="007770BB">
      <w:pPr>
        <w:pStyle w:val="Heading2NoNum"/>
      </w:pPr>
      <w:r>
        <w:t>Sale of goods and services</w:t>
      </w:r>
    </w:p>
    <w:p w14:paraId="0F08E72C" w14:textId="77777777" w:rsidR="00FB4A57" w:rsidRDefault="00FB4A57" w:rsidP="00F43173">
      <w:r>
        <w:t>Refers to revenue from the direct provision of goods and services, and includes fees and charges for</w:t>
      </w:r>
      <w:r w:rsidR="00294592">
        <w:t xml:space="preserve"> </w:t>
      </w:r>
      <w:r>
        <w:t>services rendered, sales of goods and services, fees from regulatory services and work done as an agent</w:t>
      </w:r>
      <w:r w:rsidR="00294592">
        <w:t xml:space="preserve"> </w:t>
      </w:r>
      <w:r>
        <w:t>for private enterprises. It also includes rental income under operating leases and on produced assets</w:t>
      </w:r>
      <w:r w:rsidR="00294592">
        <w:t xml:space="preserve"> </w:t>
      </w:r>
      <w:r>
        <w:t>such as buildings and entertainment, but excludes rent income from the use of non-produced assets</w:t>
      </w:r>
      <w:r w:rsidR="00294592">
        <w:t xml:space="preserve"> </w:t>
      </w:r>
      <w:r>
        <w:t>such as land. User charges include sale of goods and services revenue.</w:t>
      </w:r>
    </w:p>
    <w:p w14:paraId="0F08E72D" w14:textId="77777777" w:rsidR="00475B51" w:rsidRDefault="00475B51" w:rsidP="007770BB">
      <w:pPr>
        <w:pStyle w:val="Heading2NoNum"/>
      </w:pPr>
      <w:r>
        <w:t>Sensitivity analysis</w:t>
      </w:r>
    </w:p>
    <w:p w14:paraId="0F08E72E" w14:textId="77777777" w:rsidR="00475B51" w:rsidRDefault="000149BD" w:rsidP="00F43173">
      <w:r>
        <w:t>A</w:t>
      </w:r>
      <w:r w:rsidR="00475B51" w:rsidRPr="00475B51">
        <w:t xml:space="preserve"> technique used to determine how different values of an independent variable will impact a particular dependent variable under a given set of assumptions. </w:t>
      </w:r>
    </w:p>
    <w:p w14:paraId="0F08E72F" w14:textId="77777777" w:rsidR="00EE1912" w:rsidRDefault="00EE1912" w:rsidP="00EE1912">
      <w:pPr>
        <w:pStyle w:val="Heading2NoNum"/>
      </w:pPr>
      <w:r>
        <w:t>Special appropriations</w:t>
      </w:r>
    </w:p>
    <w:p w14:paraId="0F08E730" w14:textId="77777777" w:rsidR="00EE1912" w:rsidRDefault="00EE1912" w:rsidP="00EE1912">
      <w:r>
        <w:t>Used for ongoing payments which need to be made independently of the government’s annual budget priorities. Special appropriations represent a standing authority and do not lapse each year as annual appropriations do, but remain in force until amended or repealed by Parliament.</w:t>
      </w:r>
    </w:p>
    <w:p w14:paraId="0F08E731" w14:textId="77777777" w:rsidR="00F9789E" w:rsidRPr="00475B51" w:rsidRDefault="00294592" w:rsidP="007770BB">
      <w:pPr>
        <w:pStyle w:val="Heading2NoNum"/>
      </w:pPr>
      <w:r w:rsidRPr="00475B51">
        <w:t>State final demand</w:t>
      </w:r>
    </w:p>
    <w:p w14:paraId="0F08E732" w14:textId="77777777" w:rsidR="00FB4A57" w:rsidRDefault="00294592" w:rsidP="00F43173">
      <w:r>
        <w:t>State final demand (</w:t>
      </w:r>
      <w:r w:rsidR="00FB4A57">
        <w:t>SFD</w:t>
      </w:r>
      <w:r>
        <w:t>)</w:t>
      </w:r>
      <w:r w:rsidR="00FB4A57">
        <w:t xml:space="preserve"> is a subset of GSP, and excludes international and interstate trade flows.</w:t>
      </w:r>
      <w:r w:rsidR="00BC1677">
        <w:t xml:space="preserve"> </w:t>
      </w:r>
      <w:r w:rsidR="00FB4A57">
        <w:t>As the remaining items (consumption by households and government, investment by private businesses and government [including government-owned businesses], and dwelling investment) can be more readily estimated, the ABS produces quarterly estimates of SFD at the same time it releases national quarterly GDP data. SFD is therefore used as a proxy for tracking economic growth at the state level between annual releases of GSP.</w:t>
      </w:r>
      <w:r w:rsidR="00BC1677">
        <w:t xml:space="preserve"> </w:t>
      </w:r>
      <w:r w:rsidR="00FB4A57">
        <w:t>Government/DTF forecasts of Victorian SFD are not publicly released.</w:t>
      </w:r>
    </w:p>
    <w:p w14:paraId="0F08E733" w14:textId="77777777" w:rsidR="004C6D58" w:rsidRDefault="004C6D58" w:rsidP="007770BB">
      <w:pPr>
        <w:pStyle w:val="Heading2NoNum"/>
      </w:pPr>
      <w:r>
        <w:t>State Resource Information Management System</w:t>
      </w:r>
    </w:p>
    <w:p w14:paraId="0F08E734" w14:textId="77777777" w:rsidR="004C6D58" w:rsidRPr="004C6D58" w:rsidRDefault="004C6D58" w:rsidP="00F43173">
      <w:pPr>
        <w:rPr>
          <w:lang w:eastAsia="en-US"/>
        </w:rPr>
      </w:pPr>
      <w:r>
        <w:rPr>
          <w:lang w:eastAsia="en-US"/>
        </w:rPr>
        <w:t xml:space="preserve">The </w:t>
      </w:r>
      <w:r w:rsidRPr="004C6D58">
        <w:rPr>
          <w:lang w:eastAsia="en-US"/>
        </w:rPr>
        <w:t>State Resource Information Management System (SRIMS) is a secure, integrated, robust and scalable system to support the Department of Treasury and Finance in its ‘head office’ role to provide</w:t>
      </w:r>
      <w:r w:rsidR="000149BD">
        <w:rPr>
          <w:lang w:eastAsia="en-US"/>
        </w:rPr>
        <w:t xml:space="preserve"> the</w:t>
      </w:r>
      <w:r w:rsidRPr="004C6D58">
        <w:rPr>
          <w:lang w:eastAsia="en-US"/>
        </w:rPr>
        <w:t xml:space="preserve"> Government with financial and performance information to support strateg</w:t>
      </w:r>
      <w:r w:rsidR="00BD618B">
        <w:rPr>
          <w:lang w:eastAsia="en-US"/>
        </w:rPr>
        <w:t xml:space="preserve">ic resource allocation decision </w:t>
      </w:r>
      <w:r w:rsidRPr="004C6D58">
        <w:rPr>
          <w:lang w:eastAsia="en-US"/>
        </w:rPr>
        <w:t>making from a whole</w:t>
      </w:r>
      <w:r w:rsidR="000149BD">
        <w:rPr>
          <w:lang w:eastAsia="en-US"/>
        </w:rPr>
        <w:t xml:space="preserve"> </w:t>
      </w:r>
      <w:r w:rsidRPr="004C6D58">
        <w:rPr>
          <w:lang w:eastAsia="en-US"/>
        </w:rPr>
        <w:t>of</w:t>
      </w:r>
      <w:r w:rsidR="000149BD">
        <w:rPr>
          <w:lang w:eastAsia="en-US"/>
        </w:rPr>
        <w:t xml:space="preserve"> </w:t>
      </w:r>
      <w:r w:rsidRPr="004C6D58">
        <w:rPr>
          <w:lang w:eastAsia="en-US"/>
        </w:rPr>
        <w:t>government perspective</w:t>
      </w:r>
      <w:r>
        <w:rPr>
          <w:lang w:eastAsia="en-US"/>
        </w:rPr>
        <w:t>.</w:t>
      </w:r>
    </w:p>
    <w:p w14:paraId="0F08E735" w14:textId="77777777" w:rsidR="00FB4A57" w:rsidRDefault="00FB4A57" w:rsidP="007770BB">
      <w:pPr>
        <w:pStyle w:val="Heading2NoNum"/>
      </w:pPr>
      <w:r>
        <w:t>Superannuation interest expense</w:t>
      </w:r>
    </w:p>
    <w:p w14:paraId="0F08E736" w14:textId="77777777" w:rsidR="00FB4A57" w:rsidRDefault="00FB4A57" w:rsidP="00F43173">
      <w:r>
        <w:t>The expense resulting from the increase in the liability due to the fact that, for all participants in the</w:t>
      </w:r>
      <w:r w:rsidR="00294592">
        <w:t xml:space="preserve"> </w:t>
      </w:r>
      <w:r>
        <w:t>scheme, retirement (and death) is one year nearer, and so one fewer discount factors must be used to</w:t>
      </w:r>
      <w:r w:rsidR="00294592">
        <w:t xml:space="preserve"> </w:t>
      </w:r>
      <w:r>
        <w:t>calculate the present value of the benefits for each future year. The net superannuation interest expense</w:t>
      </w:r>
      <w:r w:rsidR="00294592">
        <w:t xml:space="preserve"> </w:t>
      </w:r>
      <w:r>
        <w:t xml:space="preserve">is calculated using the discount rate (a long-term </w:t>
      </w:r>
      <w:r w:rsidR="000149BD">
        <w:t>g</w:t>
      </w:r>
      <w:r>
        <w:t>overnment bond rate) without reference to the</w:t>
      </w:r>
      <w:r w:rsidR="00294592">
        <w:t xml:space="preserve"> </w:t>
      </w:r>
      <w:r>
        <w:t>expected rate of investment return on plan assets.</w:t>
      </w:r>
    </w:p>
    <w:p w14:paraId="0F08E737" w14:textId="77777777" w:rsidR="00FB4A57" w:rsidRDefault="00FB4A57" w:rsidP="007770BB">
      <w:pPr>
        <w:pStyle w:val="Heading2NoNum"/>
      </w:pPr>
      <w:r>
        <w:t>Superannuation – other</w:t>
      </w:r>
    </w:p>
    <w:p w14:paraId="0F08E738" w14:textId="77777777" w:rsidR="00FB4A57" w:rsidRDefault="00FB4A57" w:rsidP="00F43173">
      <w:r>
        <w:t>Includes all superannuation expenses from transactions except superannuation interest cost. It</w:t>
      </w:r>
      <w:r w:rsidR="00294592">
        <w:t xml:space="preserve"> </w:t>
      </w:r>
      <w:r>
        <w:t>generally includes current service cost, which is the increase in entitlements associated with the</w:t>
      </w:r>
      <w:r w:rsidR="00294592">
        <w:t xml:space="preserve"> </w:t>
      </w:r>
      <w:r>
        <w:t>employment services provided by employees in the current period. Superannuation actuarial</w:t>
      </w:r>
      <w:r w:rsidR="00294592">
        <w:t xml:space="preserve"> </w:t>
      </w:r>
      <w:r>
        <w:t>gains/losses are excluded as they are considered other economic flows.</w:t>
      </w:r>
    </w:p>
    <w:p w14:paraId="0F08E739" w14:textId="77777777" w:rsidR="00E77EFE" w:rsidRDefault="00E77EFE" w:rsidP="00F43173">
      <w:pPr>
        <w:rPr>
          <w:rFonts w:asciiTheme="majorHAnsi" w:hAnsiTheme="majorHAnsi"/>
          <w:color w:val="4D4D4D"/>
          <w:spacing w:val="-2"/>
          <w:sz w:val="30"/>
          <w:lang w:eastAsia="en-US"/>
        </w:rPr>
      </w:pPr>
      <w:r>
        <w:br w:type="page"/>
      </w:r>
    </w:p>
    <w:p w14:paraId="0F08E73A" w14:textId="77777777" w:rsidR="00294592" w:rsidRDefault="00294592" w:rsidP="00294592">
      <w:pPr>
        <w:pStyle w:val="Heading1NoNum"/>
      </w:pPr>
      <w:r>
        <w:lastRenderedPageBreak/>
        <w:t>T</w:t>
      </w:r>
    </w:p>
    <w:p w14:paraId="0F08E73B" w14:textId="77777777" w:rsidR="00FB4A57" w:rsidRDefault="00FB4A57" w:rsidP="007770BB">
      <w:pPr>
        <w:pStyle w:val="Heading2NoNum"/>
      </w:pPr>
      <w:r>
        <w:t>Taxation revenue</w:t>
      </w:r>
    </w:p>
    <w:p w14:paraId="0F08E73C" w14:textId="77777777" w:rsidR="00FB4A57" w:rsidRDefault="009A77CD" w:rsidP="00F43173">
      <w:r>
        <w:t>R</w:t>
      </w:r>
      <w:r w:rsidR="00FB4A57">
        <w:t>epresents revenue received from the State’s taxpayers and includes: payroll tax, land</w:t>
      </w:r>
      <w:r w:rsidR="00294592">
        <w:t xml:space="preserve"> </w:t>
      </w:r>
      <w:r w:rsidR="00FB4A57">
        <w:t>tax, duties levied principally on conveyances and land transfers, gambling taxes levied mainly on private</w:t>
      </w:r>
      <w:r w:rsidR="00294592">
        <w:t xml:space="preserve"> </w:t>
      </w:r>
      <w:r w:rsidR="00FB4A57">
        <w:t>lotteries, electronic gaming machines, casino operations and racing, insurance duty relating to</w:t>
      </w:r>
      <w:r w:rsidR="00294592">
        <w:t xml:space="preserve"> </w:t>
      </w:r>
      <w:r w:rsidR="00FB4A57">
        <w:t xml:space="preserve">compulsory third party and non-life policies, Fire Services Property Levy, </w:t>
      </w:r>
      <w:r w:rsidR="00244FBB">
        <w:t xml:space="preserve">Congestion Levy, </w:t>
      </w:r>
      <w:r w:rsidR="00FB4A57">
        <w:t>motor vehicle taxes, including registration fees and duty on registrations</w:t>
      </w:r>
      <w:r w:rsidR="00294592">
        <w:t xml:space="preserve"> </w:t>
      </w:r>
      <w:r w:rsidR="00FB4A57">
        <w:t>and transfers, levies (including the environmental levy) on statutory corporations in other sectors of</w:t>
      </w:r>
      <w:r w:rsidR="00294592">
        <w:t xml:space="preserve"> </w:t>
      </w:r>
      <w:r w:rsidR="00FB4A57">
        <w:t>government</w:t>
      </w:r>
      <w:r>
        <w:t>,</w:t>
      </w:r>
      <w:r w:rsidR="00FB4A57">
        <w:t xml:space="preserve"> and other taxes, including landfill levies, licence and concession fees.</w:t>
      </w:r>
    </w:p>
    <w:p w14:paraId="0F08E73D" w14:textId="77777777" w:rsidR="00F9789E" w:rsidRDefault="00294592" w:rsidP="007770BB">
      <w:pPr>
        <w:pStyle w:val="Heading2NoNum"/>
      </w:pPr>
      <w:r>
        <w:t>Total estimated investment</w:t>
      </w:r>
      <w:r w:rsidR="0033281F">
        <w:t xml:space="preserve"> (TEI)</w:t>
      </w:r>
    </w:p>
    <w:p w14:paraId="0F08E73E" w14:textId="77777777" w:rsidR="00FB4A57" w:rsidRDefault="009A77CD" w:rsidP="00F43173">
      <w:r>
        <w:t>R</w:t>
      </w:r>
      <w:r w:rsidR="00FB4A57">
        <w:t>epresents an estimate of the funds required to complete the acquisition or construction of an approved asset investment/infrastructure project (such as construction of a new road, construction of new hospital or major upgrade to existing school facilities).</w:t>
      </w:r>
    </w:p>
    <w:p w14:paraId="0F08E73F" w14:textId="77777777" w:rsidR="00FB4A57" w:rsidRDefault="00FB4A57" w:rsidP="00F43173">
      <w:r>
        <w:t>The construction period of a significant infrastructure asset may extend beyond one year.</w:t>
      </w:r>
      <w:r w:rsidR="00BC1677">
        <w:t xml:space="preserve"> </w:t>
      </w:r>
      <w:r>
        <w:t>The TEI represents the full amount of funding required to complete construction over the full period of construction.</w:t>
      </w:r>
      <w:r w:rsidR="00BC1677">
        <w:t xml:space="preserve"> </w:t>
      </w:r>
      <w:r>
        <w:t>The TEI may include funding from different sources such as State and Commonwealth funding contributions.</w:t>
      </w:r>
    </w:p>
    <w:p w14:paraId="0F08E740" w14:textId="77777777" w:rsidR="00FB4A57" w:rsidRDefault="00FB4A57" w:rsidP="007770BB">
      <w:pPr>
        <w:pStyle w:val="Heading2NoNum"/>
      </w:pPr>
      <w:r>
        <w:t>Transactions</w:t>
      </w:r>
    </w:p>
    <w:p w14:paraId="0F08E741" w14:textId="77777777" w:rsidR="00294592" w:rsidRDefault="00FB4A57" w:rsidP="00F43173">
      <w:r>
        <w:t>Transactions are those economic flows that are considered to arise as a result of policy decisions,</w:t>
      </w:r>
      <w:r w:rsidR="00294592">
        <w:t xml:space="preserve"> </w:t>
      </w:r>
      <w:r>
        <w:t>usually an interaction between two entities by mutual agreement. They also include flows within an</w:t>
      </w:r>
      <w:r w:rsidR="00294592">
        <w:t xml:space="preserve"> </w:t>
      </w:r>
      <w:r>
        <w:t>entity such as depreciation where the owner is simultaneously acting as the owner of the depreciating</w:t>
      </w:r>
      <w:r w:rsidR="00294592">
        <w:t xml:space="preserve"> </w:t>
      </w:r>
      <w:r>
        <w:t>asset and as the consumer of the service provided by the asset.</w:t>
      </w:r>
      <w:r w:rsidR="00294592">
        <w:t xml:space="preserve"> </w:t>
      </w:r>
    </w:p>
    <w:p w14:paraId="0F08E742" w14:textId="77777777" w:rsidR="00F9789E" w:rsidRDefault="00FB4A57" w:rsidP="00F43173">
      <w:r>
        <w:t>Taxation is regarded as mutually agreed interactions between the Government and taxpayers.</w:t>
      </w:r>
      <w:r w:rsidR="00294592">
        <w:t xml:space="preserve"> </w:t>
      </w:r>
      <w:r>
        <w:t>Transactions can be in kind (e.g. assets provided/given free of charge or for nominal consideration) or</w:t>
      </w:r>
      <w:r w:rsidR="00294592">
        <w:t xml:space="preserve"> </w:t>
      </w:r>
      <w:r>
        <w:t>where the final consideration is cash. In simple terms, transactions arise from the policy decisions of the Government.</w:t>
      </w:r>
    </w:p>
    <w:p w14:paraId="0F08E743" w14:textId="77777777" w:rsidR="00FB4A57" w:rsidRDefault="00FB4A57" w:rsidP="007770BB">
      <w:pPr>
        <w:pStyle w:val="Heading2NoNum"/>
      </w:pPr>
      <w:r>
        <w:t>Tax-</w:t>
      </w:r>
      <w:r w:rsidR="00294592">
        <w:t>equivalent payments</w:t>
      </w:r>
    </w:p>
    <w:p w14:paraId="0F08E744" w14:textId="77777777" w:rsidR="00F9789E" w:rsidRDefault="00FB4A57" w:rsidP="00F43173">
      <w:r>
        <w:t xml:space="preserve">Payments which a government business enterprise is required to make in order to ensure that it has the same taxation obligations as private sector firms. </w:t>
      </w:r>
      <w:r w:rsidR="00456400">
        <w:t>While most government departments and agencies are exempt from Federal income tax, certain larger PNFC and PFC entities are subject to income tax-equivalent payable to the general government sector in accordance with the National Tax Equivalent Regime (NTER). The primary objective of NTER is to promote competitive neutrality, through uniformly applying income tax laws, between NTER entities and their privately held counterparts</w:t>
      </w:r>
      <w:r>
        <w:t>.</w:t>
      </w:r>
    </w:p>
    <w:p w14:paraId="0F08E745" w14:textId="77777777" w:rsidR="00FB4A57" w:rsidRDefault="00FB4A57" w:rsidP="007770BB">
      <w:pPr>
        <w:pStyle w:val="Heading2NoNum"/>
      </w:pPr>
      <w:r>
        <w:t>Taxation</w:t>
      </w:r>
    </w:p>
    <w:p w14:paraId="0F08E746" w14:textId="77777777" w:rsidR="00F9789E" w:rsidRDefault="00FB4A57" w:rsidP="00F43173">
      <w:r>
        <w:t>Includes a number of compulsory levies imposed by the State that are mainly designed to raise revenue, and are prescribed under State tax legislation.</w:t>
      </w:r>
    </w:p>
    <w:p w14:paraId="0F08E747" w14:textId="77777777" w:rsidR="00FB4A57" w:rsidRDefault="00FB4A57" w:rsidP="007770BB">
      <w:pPr>
        <w:pStyle w:val="Heading2NoNum"/>
      </w:pPr>
      <w:r>
        <w:t>Taxing Bill</w:t>
      </w:r>
    </w:p>
    <w:p w14:paraId="0F08E748" w14:textId="77777777" w:rsidR="00F9789E" w:rsidRDefault="00FB4A57" w:rsidP="00F43173">
      <w:r>
        <w:t>A Bill that authorises taxation measures.</w:t>
      </w:r>
    </w:p>
    <w:p w14:paraId="0F08E749" w14:textId="77777777" w:rsidR="00FB4A57" w:rsidRDefault="00FB4A57" w:rsidP="007770BB">
      <w:pPr>
        <w:pStyle w:val="Heading2NoNum"/>
      </w:pPr>
      <w:r w:rsidRPr="003D4058">
        <w:t>Temporary</w:t>
      </w:r>
      <w:r>
        <w:t xml:space="preserve"> </w:t>
      </w:r>
      <w:r w:rsidR="00BD618B">
        <w:t>a</w:t>
      </w:r>
      <w:r>
        <w:t>dvance</w:t>
      </w:r>
    </w:p>
    <w:p w14:paraId="0F08E74A" w14:textId="77777777" w:rsidR="00A237F1" w:rsidRPr="00F22117" w:rsidRDefault="009A77CD" w:rsidP="00F22117">
      <w:r>
        <w:t>A</w:t>
      </w:r>
      <w:r w:rsidR="00FB4A57">
        <w:t xml:space="preserve">n advance provided by the Treasurer under Section 35 of the </w:t>
      </w:r>
      <w:r w:rsidR="00FB4A57" w:rsidRPr="00F27BAB">
        <w:rPr>
          <w:i/>
        </w:rPr>
        <w:t>Financial Management Act 1994</w:t>
      </w:r>
      <w:r w:rsidR="00FB4A57">
        <w:t xml:space="preserve"> to a Minister to enable him/her to meet urgent claims in the current budget year before Parliamentary sanction is obtained.</w:t>
      </w:r>
      <w:r w:rsidR="000B1F42">
        <w:t xml:space="preserve"> Parliamentary sanction is obtained when the subsequent year’s appropriation bill is debated </w:t>
      </w:r>
      <w:r w:rsidR="00A26C0D">
        <w:t xml:space="preserve">and passed </w:t>
      </w:r>
      <w:r w:rsidR="000B1F42">
        <w:t>in the Parliament.</w:t>
      </w:r>
    </w:p>
    <w:p w14:paraId="0F08E74B" w14:textId="77777777" w:rsidR="00FB4A57" w:rsidRDefault="00FB4A57" w:rsidP="007770BB">
      <w:pPr>
        <w:pStyle w:val="Heading2NoNum"/>
      </w:pPr>
      <w:r>
        <w:lastRenderedPageBreak/>
        <w:t>Tender</w:t>
      </w:r>
    </w:p>
    <w:p w14:paraId="0F08E74C" w14:textId="77777777" w:rsidR="00F9789E" w:rsidRDefault="009A77CD" w:rsidP="00F43173">
      <w:r>
        <w:t>A</w:t>
      </w:r>
      <w:r w:rsidR="00FB4A57">
        <w:t xml:space="preserve"> document in the form of an offer to supply goods and/or services, usually submitted in response to a public or selective invitation or </w:t>
      </w:r>
      <w:r w:rsidR="00BD618B">
        <w:t>r</w:t>
      </w:r>
      <w:r w:rsidR="00FB4A57">
        <w:t xml:space="preserve">equest for </w:t>
      </w:r>
      <w:r w:rsidR="00BD618B">
        <w:t>t</w:t>
      </w:r>
      <w:r w:rsidR="00FB4A57">
        <w:t>ender.</w:t>
      </w:r>
    </w:p>
    <w:p w14:paraId="0F08E74D" w14:textId="77777777" w:rsidR="00FB4A57" w:rsidRDefault="00BD618B" w:rsidP="007770BB">
      <w:pPr>
        <w:pStyle w:val="Heading2NoNum"/>
      </w:pPr>
      <w:r>
        <w:t>Tender b</w:t>
      </w:r>
      <w:r w:rsidR="00FB4A57">
        <w:t>ox</w:t>
      </w:r>
    </w:p>
    <w:p w14:paraId="0F08E74E" w14:textId="77777777" w:rsidR="00F9789E" w:rsidRDefault="009A77CD" w:rsidP="00F43173">
      <w:r>
        <w:t>A</w:t>
      </w:r>
      <w:r w:rsidR="00FB4A57">
        <w:t xml:space="preserve"> secure location within which tenders, offers, quotations or bids are placed by a stipulated closing time.</w:t>
      </w:r>
    </w:p>
    <w:p w14:paraId="0F08E74F" w14:textId="77777777" w:rsidR="00FB4A57" w:rsidRDefault="00FB4A57" w:rsidP="007770BB">
      <w:pPr>
        <w:pStyle w:val="Heading2NoNum"/>
      </w:pPr>
      <w:r>
        <w:t xml:space="preserve">Treasurer's </w:t>
      </w:r>
      <w:r w:rsidR="00BD618B">
        <w:t>a</w:t>
      </w:r>
      <w:r>
        <w:t>dvance</w:t>
      </w:r>
    </w:p>
    <w:p w14:paraId="0F08E750" w14:textId="77777777" w:rsidR="00F9789E" w:rsidRDefault="000B1F42" w:rsidP="00F43173">
      <w:r>
        <w:t xml:space="preserve">See </w:t>
      </w:r>
      <w:r w:rsidR="00BD618B">
        <w:t>‘</w:t>
      </w:r>
      <w:r>
        <w:t>Advance to the Treasurer</w:t>
      </w:r>
      <w:r w:rsidR="00BD618B">
        <w:t>’</w:t>
      </w:r>
      <w:r>
        <w:t xml:space="preserve"> in this glossary.</w:t>
      </w:r>
    </w:p>
    <w:p w14:paraId="0F08E751" w14:textId="77777777" w:rsidR="00FB4A57" w:rsidRDefault="00FB4A57" w:rsidP="007770BB">
      <w:pPr>
        <w:pStyle w:val="Heading2NoNum"/>
      </w:pPr>
      <w:r>
        <w:t>Trend series</w:t>
      </w:r>
    </w:p>
    <w:p w14:paraId="0F08E752" w14:textId="77777777" w:rsidR="00F9789E" w:rsidRDefault="00FB4A57" w:rsidP="00F43173">
      <w:r>
        <w:t>A smoothed seasonally adjusted series of estimates.</w:t>
      </w:r>
    </w:p>
    <w:p w14:paraId="0F08E753" w14:textId="77777777" w:rsidR="00FB4A57" w:rsidRDefault="00294592" w:rsidP="007770BB">
      <w:pPr>
        <w:pStyle w:val="Heading2NoNum"/>
      </w:pPr>
      <w:r>
        <w:t>Triple</w:t>
      </w:r>
      <w:r>
        <w:noBreakHyphen/>
      </w:r>
      <w:r w:rsidR="00FB4A57">
        <w:t xml:space="preserve">A </w:t>
      </w:r>
      <w:r>
        <w:t>rating</w:t>
      </w:r>
    </w:p>
    <w:p w14:paraId="0F08E754" w14:textId="77777777" w:rsidR="00F9789E" w:rsidRDefault="00FB4A57" w:rsidP="00F43173">
      <w:r>
        <w:t>The highest quality bond rating or grade assigned to an issue or issuing company by a ratings agency. The rating or grade is awarded after an assessment of the risk of certain bonds through the study of all information provided to the public. The rating reflects the company's ability to meet the promised principal and interested payments.</w:t>
      </w:r>
      <w:r w:rsidR="000B1F42">
        <w:t xml:space="preserve"> See </w:t>
      </w:r>
      <w:r w:rsidR="00BD618B">
        <w:t>‘</w:t>
      </w:r>
      <w:r w:rsidR="000B1F42">
        <w:t>Credit rating</w:t>
      </w:r>
      <w:r w:rsidR="00BD618B">
        <w:t>’</w:t>
      </w:r>
      <w:r w:rsidR="000B1F42">
        <w:t xml:space="preserve"> in this glossary.</w:t>
      </w:r>
    </w:p>
    <w:p w14:paraId="0F08E755" w14:textId="77777777" w:rsidR="00FB4A57" w:rsidRDefault="00BD618B" w:rsidP="007770BB">
      <w:pPr>
        <w:pStyle w:val="Heading2NoNum"/>
      </w:pPr>
      <w:r>
        <w:t>Triple-</w:t>
      </w:r>
      <w:r w:rsidR="00294592">
        <w:t>bottom line</w:t>
      </w:r>
    </w:p>
    <w:p w14:paraId="0F08E756" w14:textId="77777777" w:rsidR="00F9789E" w:rsidRDefault="00FB4A57" w:rsidP="00F43173">
      <w:r>
        <w:t>A policy approach whereby the Government’s social, economic and environmental responsibilities are balanced.</w:t>
      </w:r>
    </w:p>
    <w:p w14:paraId="0F08E757" w14:textId="77777777" w:rsidR="00FB4A57" w:rsidRDefault="00FB4A57" w:rsidP="007770BB">
      <w:pPr>
        <w:pStyle w:val="Heading2NoNum"/>
      </w:pPr>
      <w:r>
        <w:t xml:space="preserve">Trust </w:t>
      </w:r>
      <w:r w:rsidR="00294592">
        <w:t>accounts</w:t>
      </w:r>
    </w:p>
    <w:p w14:paraId="0F08E758" w14:textId="77777777" w:rsidR="00F9789E" w:rsidRDefault="009A77CD" w:rsidP="00F43173">
      <w:r>
        <w:t>S</w:t>
      </w:r>
      <w:r w:rsidR="00FB4A57">
        <w:t xml:space="preserve">eparate accounts within the </w:t>
      </w:r>
      <w:r w:rsidR="00BD618B">
        <w:t>t</w:t>
      </w:r>
      <w:r w:rsidR="00FB4A57">
        <w:t xml:space="preserve">rust </w:t>
      </w:r>
      <w:r w:rsidR="00BD618B">
        <w:t>f</w:t>
      </w:r>
      <w:r w:rsidR="00FB4A57">
        <w:t>und, which contain moneys held on trust. The specific purpose</w:t>
      </w:r>
      <w:r w:rsidR="00BD618B">
        <w:t xml:space="preserve"> for the establishment of each trust a</w:t>
      </w:r>
      <w:r w:rsidR="00FB4A57">
        <w:t xml:space="preserve">ccount is defined by the Minister, pursuant to section 19 of the </w:t>
      </w:r>
      <w:r w:rsidR="00FB4A57" w:rsidRPr="00294592">
        <w:rPr>
          <w:i/>
        </w:rPr>
        <w:t>Financial Management Act 1994</w:t>
      </w:r>
      <w:r w:rsidR="00FB4A57">
        <w:t xml:space="preserve">, or is contained in a separate statute. Each specific </w:t>
      </w:r>
      <w:r w:rsidR="00BD618B">
        <w:t>t</w:t>
      </w:r>
      <w:r w:rsidR="00FB4A57">
        <w:t xml:space="preserve">rust </w:t>
      </w:r>
      <w:r w:rsidR="00BD618B">
        <w:t>a</w:t>
      </w:r>
      <w:r w:rsidR="00FB4A57">
        <w:t>ccount is identified by a unique trust authority (</w:t>
      </w:r>
      <w:r w:rsidR="00DA0222">
        <w:t>i.e.</w:t>
      </w:r>
      <w:r w:rsidR="00FB4A57">
        <w:t xml:space="preserve"> t</w:t>
      </w:r>
      <w:r w:rsidR="00BD618B">
        <w:t>he third segment of the public l</w:t>
      </w:r>
      <w:r w:rsidR="00FB4A57">
        <w:t>edger chart of accounts) and contains ledger accounts which can potentially record revenue, expenses, investments, assets and liabilities (i.e. the full range of natural accounts) for certain departmental activities.</w:t>
      </w:r>
    </w:p>
    <w:p w14:paraId="0F08E759" w14:textId="77777777" w:rsidR="00FB4A57" w:rsidRDefault="00BD618B" w:rsidP="007770BB">
      <w:pPr>
        <w:pStyle w:val="Heading2NoNum"/>
      </w:pPr>
      <w:r>
        <w:t>Trust f</w:t>
      </w:r>
      <w:r w:rsidR="00FB4A57">
        <w:t>und</w:t>
      </w:r>
    </w:p>
    <w:p w14:paraId="0F08E75A" w14:textId="77777777" w:rsidR="00FB4A57" w:rsidRDefault="00BD618B" w:rsidP="00F43173">
      <w:r>
        <w:t>Forms part of the State's public a</w:t>
      </w:r>
      <w:r w:rsidR="00FB4A57">
        <w:t>c</w:t>
      </w:r>
      <w:r>
        <w:t>count, and comprises around 80 trust accounts. The trust f</w:t>
      </w:r>
      <w:r w:rsidR="00FB4A57">
        <w:t>und does not</w:t>
      </w:r>
      <w:r>
        <w:t xml:space="preserve"> form part of the consolidated f</w:t>
      </w:r>
      <w:r w:rsidR="00FB4A57">
        <w:t>und.</w:t>
      </w:r>
    </w:p>
    <w:p w14:paraId="0F08E75B" w14:textId="77777777" w:rsidR="00294592" w:rsidRDefault="00294592" w:rsidP="00294592">
      <w:pPr>
        <w:pStyle w:val="Heading1NoNum"/>
      </w:pPr>
      <w:r>
        <w:t>U</w:t>
      </w:r>
    </w:p>
    <w:p w14:paraId="0F08E75C" w14:textId="77777777" w:rsidR="000B1F42" w:rsidRDefault="000B1F42" w:rsidP="007770BB">
      <w:pPr>
        <w:pStyle w:val="Heading2NoNum"/>
      </w:pPr>
      <w:r>
        <w:t>Unclaimed monies</w:t>
      </w:r>
    </w:p>
    <w:p w14:paraId="0F08E75D" w14:textId="77777777" w:rsidR="00A237F1" w:rsidRPr="00CF4760" w:rsidRDefault="000B1F42" w:rsidP="00CF4760">
      <w:r>
        <w:t xml:space="preserve">The </w:t>
      </w:r>
      <w:r w:rsidRPr="00294592">
        <w:rPr>
          <w:i/>
        </w:rPr>
        <w:t>Unclaimed Moneys Act 1962</w:t>
      </w:r>
      <w:r>
        <w:t xml:space="preserve"> provides for the administration, management, receipt and payment of certain funds that are legally payable to an owner and have remained unclaimed for at least 12 months after they became payable. These funds include dividends, salaries, wages, bonds, deposits, trusts and superannuation benefits. Receipts from other acts and regulations include unclaimed amounts from Tattersall/Tattslotto prizes, Keno, poker machines and Tabcorp/racing dividends.</w:t>
      </w:r>
    </w:p>
    <w:p w14:paraId="0F08E75E" w14:textId="77777777" w:rsidR="00FB4A57" w:rsidRDefault="00FB4A57" w:rsidP="007770BB">
      <w:pPr>
        <w:pStyle w:val="Heading2NoNum"/>
      </w:pPr>
      <w:r>
        <w:t>Unemployed persons</w:t>
      </w:r>
    </w:p>
    <w:p w14:paraId="0F08E75F" w14:textId="77777777" w:rsidR="00F9789E" w:rsidRDefault="00FB4A57" w:rsidP="00F43173">
      <w:r>
        <w:t>Persons aged 15 years and over who were not employed and were either (</w:t>
      </w:r>
      <w:r w:rsidR="009A77CD">
        <w:t>a</w:t>
      </w:r>
      <w:r>
        <w:t>) actively looking for work and available to start work, or (</w:t>
      </w:r>
      <w:r w:rsidR="009A77CD">
        <w:t>b</w:t>
      </w:r>
      <w:r>
        <w:t>) were waiting to start a new job within four weeks and could have started the job.</w:t>
      </w:r>
    </w:p>
    <w:p w14:paraId="0F08E760" w14:textId="77777777" w:rsidR="00FB4A57" w:rsidRDefault="00FB4A57" w:rsidP="007770BB">
      <w:pPr>
        <w:pStyle w:val="Heading2NoNum"/>
      </w:pPr>
      <w:r>
        <w:lastRenderedPageBreak/>
        <w:t>Unemployment rate</w:t>
      </w:r>
    </w:p>
    <w:p w14:paraId="0F08E761" w14:textId="77777777" w:rsidR="00F9789E" w:rsidRDefault="00FB4A57" w:rsidP="00F43173">
      <w:r>
        <w:t xml:space="preserve">For any group, the number of unemployed persons expressed as a percentage of the labour force in the same group, where labour force is </w:t>
      </w:r>
      <w:r w:rsidR="009A77CD">
        <w:t xml:space="preserve">the </w:t>
      </w:r>
      <w:r>
        <w:t>sum of persons who are employed and unemployed.</w:t>
      </w:r>
    </w:p>
    <w:p w14:paraId="0F08E762" w14:textId="77777777" w:rsidR="00FB4A57" w:rsidRDefault="00FB4A57" w:rsidP="007770BB">
      <w:pPr>
        <w:pStyle w:val="Heading2NoNum"/>
      </w:pPr>
      <w:r>
        <w:t xml:space="preserve">Unfunded </w:t>
      </w:r>
      <w:r w:rsidR="00294592">
        <w:t>superannuation liabilities</w:t>
      </w:r>
    </w:p>
    <w:p w14:paraId="0F08E763" w14:textId="77777777" w:rsidR="00F9789E" w:rsidRDefault="00FB4A57" w:rsidP="00F43173">
      <w:r>
        <w:t>The present value of future benefits, determined by actuarial assessment, that a superannuation scheme’s members have a</w:t>
      </w:r>
      <w:r w:rsidR="00BD618B">
        <w:t>ccrued during past service that</w:t>
      </w:r>
      <w:r>
        <w:t xml:space="preserve"> are not covered by fund assets. Unfunded superannuation liabilities arise when superannuation costs are not contributed as the members’ benefits accrue.</w:t>
      </w:r>
    </w:p>
    <w:p w14:paraId="0F08E764" w14:textId="77777777" w:rsidR="00FB4A57" w:rsidRDefault="00FB4A57" w:rsidP="007770BB">
      <w:pPr>
        <w:pStyle w:val="Heading2NoNum"/>
      </w:pPr>
      <w:r>
        <w:t xml:space="preserve">Unit </w:t>
      </w:r>
      <w:r w:rsidR="00294592">
        <w:t>cost</w:t>
      </w:r>
    </w:p>
    <w:p w14:paraId="0F08E765" w14:textId="77777777" w:rsidR="00F9789E" w:rsidRDefault="009A77CD" w:rsidP="00F43173">
      <w:r>
        <w:t>T</w:t>
      </w:r>
      <w:r w:rsidR="00FB4A57">
        <w:t>he full cost divided by the number of output units produced.</w:t>
      </w:r>
    </w:p>
    <w:p w14:paraId="0F08E766" w14:textId="77777777" w:rsidR="00FB4A57" w:rsidRDefault="00FB4A57" w:rsidP="007770BB">
      <w:pPr>
        <w:pStyle w:val="Heading2NoNum"/>
      </w:pPr>
      <w:r>
        <w:t xml:space="preserve">Units of </w:t>
      </w:r>
      <w:r w:rsidR="00294592">
        <w:t xml:space="preserve">use </w:t>
      </w:r>
      <w:r>
        <w:t>(</w:t>
      </w:r>
      <w:r w:rsidR="00294592">
        <w:t>depreciation</w:t>
      </w:r>
      <w:r>
        <w:t>)</w:t>
      </w:r>
    </w:p>
    <w:p w14:paraId="0F08E767" w14:textId="77777777" w:rsidR="00F9789E" w:rsidRDefault="00FB4A57" w:rsidP="00F43173">
      <w:r>
        <w:t>Allocates depreciation in terms of economic units of production or usage rather than on the basis of time.</w:t>
      </w:r>
    </w:p>
    <w:p w14:paraId="0F08E768" w14:textId="77777777" w:rsidR="00FB4A57" w:rsidRDefault="00FB4A57" w:rsidP="007770BB">
      <w:pPr>
        <w:pStyle w:val="Heading2NoNum"/>
      </w:pPr>
      <w:r>
        <w:t xml:space="preserve">User </w:t>
      </w:r>
      <w:r w:rsidR="00294592">
        <w:t>charges</w:t>
      </w:r>
    </w:p>
    <w:p w14:paraId="0F08E769" w14:textId="77777777" w:rsidR="00FB4A57" w:rsidRDefault="009A77CD" w:rsidP="00F43173">
      <w:r>
        <w:t>R</w:t>
      </w:r>
      <w:r w:rsidR="00BD618B">
        <w:t>eceipts that</w:t>
      </w:r>
      <w:r w:rsidR="00FB4A57">
        <w:t xml:space="preserve"> satisfy the following criteria: the receipt should </w:t>
      </w:r>
      <w:r>
        <w:t xml:space="preserve">originate </w:t>
      </w:r>
      <w:r w:rsidR="00FB4A57">
        <w:t xml:space="preserve">from payments </w:t>
      </w:r>
      <w:r>
        <w:t xml:space="preserve">that </w:t>
      </w:r>
      <w:r w:rsidR="00FB4A57">
        <w:t>are made voluntarily for goods and services provided; and the payments made and the benefits gained by the user can be clearly linked to the cost of providing the products and services.</w:t>
      </w:r>
    </w:p>
    <w:p w14:paraId="0F08E76A" w14:textId="77777777" w:rsidR="00294592" w:rsidRDefault="00294592" w:rsidP="00294592">
      <w:pPr>
        <w:pStyle w:val="Heading1NoNum"/>
      </w:pPr>
      <w:r>
        <w:t>V</w:t>
      </w:r>
    </w:p>
    <w:p w14:paraId="0F08E76B" w14:textId="77777777" w:rsidR="00FB4A57" w:rsidRDefault="00FB4A57" w:rsidP="007770BB">
      <w:pPr>
        <w:pStyle w:val="Heading2NoNum"/>
      </w:pPr>
      <w:r>
        <w:t xml:space="preserve">Value for </w:t>
      </w:r>
      <w:r w:rsidR="00294592">
        <w:t>money</w:t>
      </w:r>
    </w:p>
    <w:p w14:paraId="0F08E76C" w14:textId="77777777" w:rsidR="00F9789E" w:rsidRDefault="00FB4A57" w:rsidP="00F43173">
      <w:r>
        <w:t xml:space="preserve">Value for money (with a focus on objectives, whole of life costs and risk management) is a key criterion for each output evaluation project. There are often also non-financial matters to be considered in evaluating value for money. </w:t>
      </w:r>
      <w:r w:rsidR="009A77CD">
        <w:t>Refers to</w:t>
      </w:r>
      <w:r>
        <w:t xml:space="preserve"> much more than mere efficiency since it relates to the achievement of departmental objectives and/or delivery of outputs. Value for money links the output evaluation and output price review activities for consideration by </w:t>
      </w:r>
      <w:r w:rsidR="000B1F42">
        <w:t>the Government as part of the budget process</w:t>
      </w:r>
      <w:r>
        <w:t>.</w:t>
      </w:r>
    </w:p>
    <w:p w14:paraId="0F08E76D" w14:textId="77777777" w:rsidR="00FB4A57" w:rsidRDefault="00FB4A57" w:rsidP="007770BB">
      <w:pPr>
        <w:pStyle w:val="Heading2NoNum"/>
      </w:pPr>
      <w:r>
        <w:t>Variance</w:t>
      </w:r>
    </w:p>
    <w:p w14:paraId="0F08E76E" w14:textId="77777777" w:rsidR="00F9789E" w:rsidRDefault="00FB4A57" w:rsidP="00F43173">
      <w:r>
        <w:t>The difference between the profiled budget and actual expenditure or revenue.</w:t>
      </w:r>
    </w:p>
    <w:p w14:paraId="0F08E76F" w14:textId="77777777" w:rsidR="00FB4A57" w:rsidRDefault="00FB4A57" w:rsidP="007770BB">
      <w:pPr>
        <w:pStyle w:val="Heading2NoNum"/>
      </w:pPr>
      <w:r>
        <w:t>Vesting</w:t>
      </w:r>
    </w:p>
    <w:p w14:paraId="0F08E770" w14:textId="77777777" w:rsidR="00F9789E" w:rsidRDefault="00FB4A57" w:rsidP="00F43173">
      <w:r>
        <w:t>The transfer of certain rights in relation to an asset or assets to a department. In most cases the transfer of the rights does not amount to a transfer of legal ownership. It does generally amount to a transfer of economic benefits embodied in the asset or assets.</w:t>
      </w:r>
    </w:p>
    <w:p w14:paraId="0F08E771" w14:textId="77777777" w:rsidR="00294592" w:rsidRDefault="00294592" w:rsidP="00294592">
      <w:pPr>
        <w:pStyle w:val="Heading1NoNum"/>
      </w:pPr>
      <w:r>
        <w:t>W</w:t>
      </w:r>
    </w:p>
    <w:p w14:paraId="0F08E772" w14:textId="77777777" w:rsidR="00FB4A57" w:rsidRDefault="00FB4A57" w:rsidP="007770BB">
      <w:pPr>
        <w:pStyle w:val="Heading2NoNum"/>
      </w:pPr>
      <w:r>
        <w:t>Warrant</w:t>
      </w:r>
    </w:p>
    <w:p w14:paraId="0F08E773" w14:textId="77777777" w:rsidR="00F9789E" w:rsidRDefault="009A77CD" w:rsidP="00F43173">
      <w:r>
        <w:t>A</w:t>
      </w:r>
      <w:r w:rsidR="00FB4A57">
        <w:t xml:space="preserve"> written authority to </w:t>
      </w:r>
      <w:r w:rsidR="00A26C0D">
        <w:t xml:space="preserve">draw </w:t>
      </w:r>
      <w:r w:rsidR="00FB4A57">
        <w:t>specified sums during the financial year from the Consolidated Fund which must be signed by the Treasurer, the Auditor-General and the Governor.</w:t>
      </w:r>
    </w:p>
    <w:p w14:paraId="0F08E774" w14:textId="77777777" w:rsidR="00FB4A57" w:rsidRDefault="00FB4A57" w:rsidP="007770BB">
      <w:pPr>
        <w:pStyle w:val="Heading2NoNum"/>
      </w:pPr>
      <w:r>
        <w:t xml:space="preserve">Working </w:t>
      </w:r>
      <w:r w:rsidR="00294592">
        <w:t>accounts</w:t>
      </w:r>
    </w:p>
    <w:p w14:paraId="0F08E775" w14:textId="77777777" w:rsidR="00F9789E" w:rsidRDefault="009A77CD" w:rsidP="00F43173">
      <w:r>
        <w:t>A</w:t>
      </w:r>
      <w:r w:rsidR="00BD618B">
        <w:t xml:space="preserve"> trust f</w:t>
      </w:r>
      <w:r w:rsidR="00FB4A57">
        <w:t xml:space="preserve">und facility designed to provide departments </w:t>
      </w:r>
      <w:r>
        <w:t xml:space="preserve">with </w:t>
      </w:r>
      <w:r w:rsidR="00FB4A57">
        <w:t>direct access to user charge receipts for those activities conducted on a commercial basis separately from core departmental operations.</w:t>
      </w:r>
    </w:p>
    <w:p w14:paraId="0F08E776" w14:textId="77777777" w:rsidR="00FB4A57" w:rsidRDefault="00294592" w:rsidP="007770BB">
      <w:pPr>
        <w:pStyle w:val="Heading2NoNum"/>
      </w:pPr>
      <w:r>
        <w:lastRenderedPageBreak/>
        <w:t>Write</w:t>
      </w:r>
      <w:r>
        <w:noBreakHyphen/>
        <w:t>off</w:t>
      </w:r>
    </w:p>
    <w:p w14:paraId="0F08E777" w14:textId="77777777" w:rsidR="00F9789E" w:rsidRDefault="00FB4A57" w:rsidP="00F43173">
      <w:r>
        <w:t>In relation to amounts receivable, recognition that an amount so receivable is uncollectable.</w:t>
      </w:r>
    </w:p>
    <w:p w14:paraId="0F08E778" w14:textId="77777777" w:rsidR="00FB4A57" w:rsidRDefault="00F22117" w:rsidP="007770BB">
      <w:pPr>
        <w:pStyle w:val="Heading2NoNum"/>
      </w:pPr>
      <w:r>
        <w:t>Written-</w:t>
      </w:r>
      <w:r w:rsidR="00294592">
        <w:t>down value</w:t>
      </w:r>
    </w:p>
    <w:p w14:paraId="0F08E779" w14:textId="77777777" w:rsidR="00F9789E" w:rsidRDefault="009A77CD" w:rsidP="00F43173">
      <w:r>
        <w:t>T</w:t>
      </w:r>
      <w:r w:rsidR="00FB4A57">
        <w:t xml:space="preserve">he gross value of an asset (acquisition cost or </w:t>
      </w:r>
      <w:r w:rsidR="000356F8">
        <w:t>fair value</w:t>
      </w:r>
      <w:r w:rsidR="00FB4A57">
        <w:t>) less accumulated depreciation.</w:t>
      </w:r>
    </w:p>
    <w:p w14:paraId="0F08E77A" w14:textId="77777777" w:rsidR="00FB4A57" w:rsidRDefault="00FB4A57" w:rsidP="00F43173"/>
    <w:p w14:paraId="0F08E77B" w14:textId="77777777" w:rsidR="00F43173" w:rsidRDefault="00F43173" w:rsidP="00F43173">
      <w:pPr>
        <w:pStyle w:val="Heading1NoNum"/>
      </w:pPr>
      <w:r>
        <w:t>X</w:t>
      </w:r>
    </w:p>
    <w:p w14:paraId="0F08E77C" w14:textId="77777777" w:rsidR="00F43173" w:rsidRPr="006C25F9" w:rsidRDefault="00F43173" w:rsidP="00F43173">
      <w:pPr>
        <w:rPr>
          <w:lang w:eastAsia="en-US"/>
        </w:rPr>
      </w:pPr>
      <w:r>
        <w:rPr>
          <w:lang w:eastAsia="en-US"/>
        </w:rPr>
        <w:t>Nil</w:t>
      </w:r>
    </w:p>
    <w:p w14:paraId="0F08E77D" w14:textId="77777777" w:rsidR="00F43173" w:rsidRDefault="00F43173" w:rsidP="00F43173">
      <w:pPr>
        <w:pStyle w:val="Heading1NoNum"/>
      </w:pPr>
      <w:r>
        <w:t>Y</w:t>
      </w:r>
    </w:p>
    <w:p w14:paraId="0F08E77E" w14:textId="77777777" w:rsidR="00F43173" w:rsidRPr="006C25F9" w:rsidRDefault="00F43173" w:rsidP="00F43173">
      <w:pPr>
        <w:rPr>
          <w:lang w:eastAsia="en-US"/>
        </w:rPr>
      </w:pPr>
      <w:r>
        <w:rPr>
          <w:lang w:eastAsia="en-US"/>
        </w:rPr>
        <w:t>Nil</w:t>
      </w:r>
    </w:p>
    <w:p w14:paraId="0F08E77F" w14:textId="77777777" w:rsidR="00F43173" w:rsidRDefault="00A41B1D" w:rsidP="00F43173">
      <w:pPr>
        <w:pStyle w:val="Heading1NoNum"/>
      </w:pPr>
      <w:r>
        <w:t>Z</w:t>
      </w:r>
    </w:p>
    <w:p w14:paraId="0F08E780" w14:textId="77777777" w:rsidR="00F43173" w:rsidRPr="006C25F9" w:rsidRDefault="00F43173" w:rsidP="00F43173">
      <w:pPr>
        <w:rPr>
          <w:lang w:eastAsia="en-US"/>
        </w:rPr>
      </w:pPr>
      <w:r>
        <w:rPr>
          <w:lang w:eastAsia="en-US"/>
        </w:rPr>
        <w:t>Nil</w:t>
      </w:r>
    </w:p>
    <w:p w14:paraId="0F08E781" w14:textId="77777777" w:rsidR="00294592" w:rsidRDefault="00294592" w:rsidP="00F43173"/>
    <w:p w14:paraId="0F08E782" w14:textId="77777777" w:rsidR="00F43173" w:rsidRDefault="00F43173" w:rsidP="00F43173"/>
    <w:p w14:paraId="0F08E783" w14:textId="77777777" w:rsidR="00F43173" w:rsidRDefault="00F43173" w:rsidP="00F43173">
      <w:pPr>
        <w:sectPr w:rsidR="00F43173" w:rsidSect="0080243F">
          <w:headerReference w:type="even" r:id="rId19"/>
          <w:headerReference w:type="default" r:id="rId20"/>
          <w:footerReference w:type="even" r:id="rId21"/>
          <w:footerReference w:type="default" r:id="rId22"/>
          <w:type w:val="oddPage"/>
          <w:pgSz w:w="11906" w:h="16838" w:code="9"/>
          <w:pgMar w:top="1627" w:right="1008" w:bottom="1138" w:left="1008" w:header="288" w:footer="288" w:gutter="0"/>
          <w:pgNumType w:start="1"/>
          <w:cols w:space="708"/>
          <w:docGrid w:linePitch="360"/>
        </w:sectPr>
      </w:pPr>
    </w:p>
    <w:p w14:paraId="0F08E784" w14:textId="77777777" w:rsidR="00E670B9" w:rsidRDefault="00E670B9">
      <w:pPr>
        <w:spacing w:before="0" w:after="0" w:line="240" w:lineRule="auto"/>
      </w:pPr>
    </w:p>
    <w:p w14:paraId="0F08E785" w14:textId="77777777" w:rsidR="00F43173" w:rsidRDefault="00F43173" w:rsidP="00F43173"/>
    <w:sectPr w:rsidR="00F43173" w:rsidSect="00F43173">
      <w:headerReference w:type="even" r:id="rId23"/>
      <w:headerReference w:type="default" r:id="rId24"/>
      <w:footerReference w:type="even" r:id="rId25"/>
      <w:footerReference w:type="default" r:id="rId26"/>
      <w:type w:val="evenPage"/>
      <w:pgSz w:w="11906" w:h="16838" w:code="9"/>
      <w:pgMar w:top="1627" w:right="1008" w:bottom="1138" w:left="1008" w:header="288"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23DAD" w14:textId="77777777" w:rsidR="000669F4" w:rsidRDefault="000669F4" w:rsidP="00F43173">
      <w:r>
        <w:separator/>
      </w:r>
    </w:p>
    <w:p w14:paraId="28250BDD" w14:textId="77777777" w:rsidR="000669F4" w:rsidRDefault="000669F4" w:rsidP="00F43173"/>
    <w:p w14:paraId="3044D3FC" w14:textId="77777777" w:rsidR="000669F4" w:rsidRDefault="000669F4" w:rsidP="00F43173"/>
  </w:endnote>
  <w:endnote w:type="continuationSeparator" w:id="0">
    <w:p w14:paraId="204D3648" w14:textId="77777777" w:rsidR="000669F4" w:rsidRDefault="000669F4" w:rsidP="00F43173">
      <w:r>
        <w:continuationSeparator/>
      </w:r>
    </w:p>
    <w:p w14:paraId="4D282021" w14:textId="77777777" w:rsidR="000669F4" w:rsidRDefault="000669F4" w:rsidP="00F43173"/>
    <w:p w14:paraId="17655FC4" w14:textId="77777777" w:rsidR="000669F4" w:rsidRDefault="000669F4" w:rsidP="00F43173"/>
  </w:endnote>
  <w:endnote w:type="continuationNotice" w:id="1">
    <w:p w14:paraId="51F521EE" w14:textId="77777777" w:rsidR="000669F4" w:rsidRDefault="000669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3" w14:textId="0884BC1C" w:rsidR="004B3536" w:rsidRPr="002B047E" w:rsidRDefault="004B3536" w:rsidP="00E670B9">
    <w:pPr>
      <w:pStyle w:val="Footer"/>
      <w:tabs>
        <w:tab w:val="clear" w:pos="9026"/>
        <w:tab w:val="right" w:pos="9900"/>
      </w:tabs>
    </w:pPr>
    <w:r w:rsidRPr="006C25F9">
      <w:rPr>
        <w:b/>
        <w:color w:val="0063A6" w:themeColor="accent1"/>
      </w:rPr>
      <w:fldChar w:fldCharType="begin"/>
    </w:r>
    <w:r w:rsidRPr="006C25F9">
      <w:rPr>
        <w:b/>
        <w:color w:val="0063A6" w:themeColor="accent1"/>
      </w:rPr>
      <w:instrText xml:space="preserve"> StyleRef “Title” </w:instrText>
    </w:r>
    <w:r w:rsidRPr="006C25F9">
      <w:rPr>
        <w:b/>
        <w:color w:val="0063A6" w:themeColor="accent1"/>
      </w:rPr>
      <w:fldChar w:fldCharType="separate"/>
    </w:r>
    <w:r>
      <w:rPr>
        <w:b/>
        <w:color w:val="0063A6" w:themeColor="accent1"/>
      </w:rPr>
      <w:t>Treasury and Finance glossary for budget and financial reports</w:t>
    </w:r>
    <w:r w:rsidRPr="006C25F9">
      <w:rPr>
        <w:b/>
        <w:color w:val="0063A6" w:themeColor="accent1"/>
      </w:rPr>
      <w:fldChar w:fldCharType="end"/>
    </w:r>
    <w:r w:rsidRPr="002B047E">
      <w:tab/>
      <w:t xml:space="preserve">Page </w:t>
    </w:r>
    <w:r w:rsidRPr="002B047E">
      <w:fldChar w:fldCharType="begin"/>
    </w:r>
    <w:r w:rsidRPr="002B047E">
      <w:instrText xml:space="preserve"> Page </w:instrText>
    </w:r>
    <w:r w:rsidRPr="002B047E">
      <w:fldChar w:fldCharType="separate"/>
    </w:r>
    <w:r>
      <w:t>2</w:t>
    </w:r>
    <w:r w:rsidRPr="002B047E">
      <w:fldChar w:fldCharType="end"/>
    </w:r>
  </w:p>
  <w:p w14:paraId="0F08E794" w14:textId="77777777" w:rsidR="004B3536" w:rsidRDefault="004B3536" w:rsidP="00E670B9">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57" w:type="dxa"/>
        <w:right w:w="57" w:type="dxa"/>
      </w:tblCellMar>
      <w:tblLook w:val="0600" w:firstRow="0" w:lastRow="0" w:firstColumn="0" w:lastColumn="0" w:noHBand="1" w:noVBand="1"/>
    </w:tblPr>
    <w:tblGrid>
      <w:gridCol w:w="9127"/>
      <w:gridCol w:w="877"/>
    </w:tblGrid>
    <w:tr w:rsidR="004B3536" w14:paraId="0F08E797" w14:textId="77777777" w:rsidTr="009E723C">
      <w:trPr>
        <w:cantSplit/>
      </w:trPr>
      <w:tc>
        <w:tcPr>
          <w:tcW w:w="8266" w:type="dxa"/>
          <w:shd w:val="clear" w:color="auto" w:fill="auto"/>
          <w:vAlign w:val="center"/>
        </w:tcPr>
        <w:p w14:paraId="0F08E795" w14:textId="2A4A895F" w:rsidR="004B3536" w:rsidRPr="009E723C" w:rsidRDefault="004B3536" w:rsidP="002B047E">
          <w:pPr>
            <w:pStyle w:val="Footer"/>
            <w:rPr>
              <w:sz w:val="16"/>
            </w:rPr>
          </w:pPr>
          <w:r>
            <w:drawing>
              <wp:anchor distT="0" distB="0" distL="114300" distR="114300" simplePos="0" relativeHeight="251658248" behindDoc="0" locked="0" layoutInCell="1" allowOverlap="1" wp14:anchorId="0F08E7AD" wp14:editId="0F08E7AE">
                <wp:simplePos x="0" y="0"/>
                <wp:positionH relativeFrom="column">
                  <wp:posOffset>4428490</wp:posOffset>
                </wp:positionH>
                <wp:positionV relativeFrom="page">
                  <wp:posOffset>-295910</wp:posOffset>
                </wp:positionV>
                <wp:extent cx="1956435" cy="582930"/>
                <wp:effectExtent l="0" t="0" r="5715" b="7620"/>
                <wp:wrapNone/>
                <wp:docPr id="4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tc>
      <w:tc>
        <w:tcPr>
          <w:tcW w:w="794" w:type="dxa"/>
          <w:shd w:val="clear" w:color="auto" w:fill="auto"/>
        </w:tcPr>
        <w:p w14:paraId="0F08E796" w14:textId="77777777" w:rsidR="004B3536" w:rsidRPr="0018749C" w:rsidRDefault="004B3536" w:rsidP="002B047E">
          <w:pPr>
            <w:pStyle w:val="Footer"/>
            <w:rPr>
              <w:rStyle w:val="PageNumber"/>
            </w:rPr>
          </w:pPr>
        </w:p>
      </w:tc>
    </w:tr>
  </w:tbl>
  <w:p w14:paraId="0F08E798" w14:textId="77777777" w:rsidR="004B3536" w:rsidRDefault="004B3536" w:rsidP="002B0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A" w14:textId="77777777" w:rsidR="004B3536" w:rsidRDefault="004B3536" w:rsidP="002B047E">
    <w:pPr>
      <w:pStyle w:val="Footer"/>
    </w:pPr>
    <w:r>
      <w:drawing>
        <wp:anchor distT="0" distB="0" distL="114300" distR="114300" simplePos="0" relativeHeight="251658245" behindDoc="0" locked="0" layoutInCell="1" allowOverlap="1" wp14:anchorId="0F08E7BB" wp14:editId="0F08E7BC">
          <wp:simplePos x="0" y="0"/>
          <wp:positionH relativeFrom="column">
            <wp:posOffset>5676636</wp:posOffset>
          </wp:positionH>
          <wp:positionV relativeFrom="page">
            <wp:posOffset>9972040</wp:posOffset>
          </wp:positionV>
          <wp:extent cx="822960" cy="466344"/>
          <wp:effectExtent l="0" t="0" r="0" b="0"/>
          <wp:wrapNone/>
          <wp:docPr id="55" name="Vic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_Blu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2960" cy="4663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E" w14:textId="23CFCA3D" w:rsidR="004B3536" w:rsidRPr="002B047E" w:rsidRDefault="004B3536" w:rsidP="00E670B9">
    <w:pPr>
      <w:pStyle w:val="Footer"/>
      <w:tabs>
        <w:tab w:val="clear" w:pos="9026"/>
        <w:tab w:val="right" w:pos="9900"/>
      </w:tabs>
    </w:pPr>
    <w:r w:rsidRPr="006C25F9">
      <w:rPr>
        <w:b/>
        <w:color w:val="0063A6" w:themeColor="accent1"/>
      </w:rPr>
      <w:fldChar w:fldCharType="begin"/>
    </w:r>
    <w:r w:rsidRPr="006C25F9">
      <w:rPr>
        <w:b/>
        <w:color w:val="0063A6" w:themeColor="accent1"/>
      </w:rPr>
      <w:instrText xml:space="preserve"> StyleRef “Title” </w:instrText>
    </w:r>
    <w:r w:rsidRPr="006C25F9">
      <w:rPr>
        <w:b/>
        <w:color w:val="0063A6" w:themeColor="accent1"/>
      </w:rPr>
      <w:fldChar w:fldCharType="separate"/>
    </w:r>
    <w:r w:rsidR="00065EC7">
      <w:rPr>
        <w:b/>
        <w:color w:val="0063A6" w:themeColor="accent1"/>
      </w:rPr>
      <w:t>Treasury and Finance glossary for budget and financial reports</w:t>
    </w:r>
    <w:r w:rsidRPr="006C25F9">
      <w:rPr>
        <w:b/>
        <w:color w:val="0063A6" w:themeColor="accent1"/>
      </w:rPr>
      <w:fldChar w:fldCharType="end"/>
    </w:r>
    <w:r w:rsidRPr="002B047E">
      <w:tab/>
      <w:t xml:space="preserve">Page </w:t>
    </w:r>
    <w:r w:rsidRPr="002B047E">
      <w:fldChar w:fldCharType="begin"/>
    </w:r>
    <w:r w:rsidRPr="002B047E">
      <w:instrText xml:space="preserve"> Page </w:instrText>
    </w:r>
    <w:r w:rsidRPr="002B047E">
      <w:fldChar w:fldCharType="separate"/>
    </w:r>
    <w:r>
      <w:t>4</w:t>
    </w:r>
    <w:r w:rsidRPr="002B047E">
      <w:fldChar w:fldCharType="end"/>
    </w:r>
  </w:p>
  <w:p w14:paraId="0F08E79F" w14:textId="77777777" w:rsidR="004B3536" w:rsidRDefault="004B3536" w:rsidP="00E670B9">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A0" w14:textId="19882E9D" w:rsidR="004B3536" w:rsidRPr="002B047E" w:rsidRDefault="004B3536" w:rsidP="00F43173">
    <w:pPr>
      <w:pStyle w:val="Footer"/>
      <w:tabs>
        <w:tab w:val="clear" w:pos="9026"/>
        <w:tab w:val="right" w:pos="9900"/>
      </w:tabs>
    </w:pPr>
    <w:r w:rsidRPr="006C25F9">
      <w:rPr>
        <w:b/>
        <w:color w:val="0063A6" w:themeColor="accent1"/>
      </w:rPr>
      <w:fldChar w:fldCharType="begin"/>
    </w:r>
    <w:r w:rsidRPr="006C25F9">
      <w:rPr>
        <w:b/>
        <w:color w:val="0063A6" w:themeColor="accent1"/>
      </w:rPr>
      <w:instrText xml:space="preserve"> StyleRef “Title” </w:instrText>
    </w:r>
    <w:r w:rsidRPr="006C25F9">
      <w:rPr>
        <w:b/>
        <w:color w:val="0063A6" w:themeColor="accent1"/>
      </w:rPr>
      <w:fldChar w:fldCharType="separate"/>
    </w:r>
    <w:r w:rsidR="00065EC7">
      <w:rPr>
        <w:b/>
        <w:color w:val="0063A6" w:themeColor="accent1"/>
      </w:rPr>
      <w:t>Treasury and Finance glossary for budget and financial reports</w:t>
    </w:r>
    <w:r w:rsidRPr="006C25F9">
      <w:rPr>
        <w:b/>
        <w:color w:val="0063A6" w:themeColor="accent1"/>
      </w:rPr>
      <w:fldChar w:fldCharType="end"/>
    </w:r>
    <w:r w:rsidRPr="002B047E">
      <w:tab/>
      <w:t xml:space="preserve">Page </w:t>
    </w:r>
    <w:r w:rsidRPr="002B047E">
      <w:fldChar w:fldCharType="begin"/>
    </w:r>
    <w:r w:rsidRPr="002B047E">
      <w:instrText xml:space="preserve"> Page </w:instrText>
    </w:r>
    <w:r w:rsidRPr="002B047E">
      <w:fldChar w:fldCharType="separate"/>
    </w:r>
    <w:r>
      <w:t>1</w:t>
    </w:r>
    <w:r w:rsidRPr="002B047E">
      <w:fldChar w:fldCharType="end"/>
    </w:r>
  </w:p>
  <w:p w14:paraId="0F08E7A1" w14:textId="77777777" w:rsidR="004B3536" w:rsidRDefault="004B3536" w:rsidP="00F43173">
    <w:pPr>
      <w:pStyle w:val="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A5" w14:textId="747631D5" w:rsidR="004B3536" w:rsidRDefault="004B3536">
    <w:pPr>
      <w:pStyle w:val="Footer"/>
    </w:pPr>
    <w:r w:rsidRPr="00F43173">
      <w:drawing>
        <wp:anchor distT="0" distB="0" distL="114300" distR="114300" simplePos="0" relativeHeight="251658251" behindDoc="0" locked="0" layoutInCell="1" allowOverlap="1" wp14:anchorId="0F08E7C9" wp14:editId="0F08E7CA">
          <wp:simplePos x="0" y="0"/>
          <wp:positionH relativeFrom="column">
            <wp:posOffset>4610100</wp:posOffset>
          </wp:positionH>
          <wp:positionV relativeFrom="page">
            <wp:posOffset>9478010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A6" w14:textId="41EE77C9" w:rsidR="004B3536" w:rsidRPr="00F43173" w:rsidRDefault="004B3536" w:rsidP="00F43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FCA30" w14:textId="77777777" w:rsidR="000669F4" w:rsidRDefault="000669F4" w:rsidP="00F43173">
      <w:r>
        <w:separator/>
      </w:r>
    </w:p>
    <w:p w14:paraId="79CC9BBB" w14:textId="77777777" w:rsidR="000669F4" w:rsidRDefault="000669F4" w:rsidP="00F43173"/>
  </w:footnote>
  <w:footnote w:type="continuationSeparator" w:id="0">
    <w:p w14:paraId="618818C6" w14:textId="77777777" w:rsidR="000669F4" w:rsidRDefault="000669F4" w:rsidP="00F43173">
      <w:r>
        <w:continuationSeparator/>
      </w:r>
    </w:p>
    <w:p w14:paraId="3D2B5D77" w14:textId="77777777" w:rsidR="000669F4" w:rsidRDefault="000669F4" w:rsidP="00F43173"/>
    <w:p w14:paraId="43AD6989" w14:textId="77777777" w:rsidR="000669F4" w:rsidRDefault="000669F4" w:rsidP="00F43173"/>
  </w:footnote>
  <w:footnote w:type="continuationNotice" w:id="1">
    <w:p w14:paraId="68BEDE37" w14:textId="77777777" w:rsidR="000669F4" w:rsidRDefault="000669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1" w14:textId="77777777" w:rsidR="00E85EC9" w:rsidRDefault="00E85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2" w14:textId="77777777" w:rsidR="004B3536" w:rsidRPr="00E77EFE" w:rsidRDefault="004B3536" w:rsidP="00F43173">
    <w:pPr>
      <w:pStyle w:val="Header"/>
    </w:pPr>
    <w:r>
      <w:drawing>
        <wp:anchor distT="0" distB="0" distL="114300" distR="114300" simplePos="0" relativeHeight="251658246" behindDoc="0" locked="0" layoutInCell="1" allowOverlap="1" wp14:anchorId="0F08E7A7" wp14:editId="0F08E7A8">
          <wp:simplePos x="0" y="0"/>
          <wp:positionH relativeFrom="column">
            <wp:posOffset>-658191</wp:posOffset>
          </wp:positionH>
          <wp:positionV relativeFrom="page">
            <wp:posOffset>-17780</wp:posOffset>
          </wp:positionV>
          <wp:extent cx="7585871" cy="10722954"/>
          <wp:effectExtent l="0" t="0" r="0" b="2540"/>
          <wp:wrapNone/>
          <wp:docPr id="47"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5871" cy="10722954"/>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9" w14:textId="77777777" w:rsidR="004B3536" w:rsidRDefault="004B3536" w:rsidP="00F43173">
    <w:pPr>
      <w:pStyle w:val="Header"/>
    </w:pPr>
    <w:r>
      <w:drawing>
        <wp:anchor distT="0" distB="0" distL="114300" distR="114300" simplePos="0" relativeHeight="251658244" behindDoc="1" locked="0" layoutInCell="1" allowOverlap="1" wp14:anchorId="0F08E7AF" wp14:editId="0F08E7B0">
          <wp:simplePos x="0" y="0"/>
          <wp:positionH relativeFrom="column">
            <wp:posOffset>-640080</wp:posOffset>
          </wp:positionH>
          <wp:positionV relativeFrom="paragraph">
            <wp:posOffset>-59055</wp:posOffset>
          </wp:positionV>
          <wp:extent cx="4438650" cy="450551"/>
          <wp:effectExtent l="0" t="0" r="0" b="6985"/>
          <wp:wrapNone/>
          <wp:docPr id="49" name="Picture 49" descr="C:\Documents and Settings\dstea\My Documents\WIP\DTFDarkPurple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stea\My Documents\WIP\DTFDarkPurpleWide.jpg"/>
                  <pic:cNvPicPr>
                    <a:picLocks noChangeAspect="1" noChangeArrowheads="1"/>
                  </pic:cNvPicPr>
                </pic:nvPicPr>
                <pic:blipFill rotWithShape="1">
                  <a:blip r:embed="rId1" cstate="print">
                    <a:clrChange>
                      <a:clrFrom>
                        <a:srgbClr val="F2ECEC"/>
                      </a:clrFrom>
                      <a:clrTo>
                        <a:srgbClr val="F2ECEC">
                          <a:alpha val="0"/>
                        </a:srgbClr>
                      </a:clrTo>
                    </a:clrChange>
                    <a:extLst>
                      <a:ext uri="{28A0092B-C50C-407E-A947-70E740481C1C}">
                        <a14:useLocalDpi xmlns:a14="http://schemas.microsoft.com/office/drawing/2010/main" val="0"/>
                      </a:ext>
                    </a:extLst>
                  </a:blip>
                  <a:srcRect/>
                  <a:stretch/>
                </pic:blipFill>
                <pic:spPr bwMode="auto">
                  <a:xfrm rot="10800000">
                    <a:off x="0" y="0"/>
                    <a:ext cx="4438650" cy="4505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3" behindDoc="1" locked="0" layoutInCell="1" allowOverlap="1" wp14:anchorId="0F08E7B1" wp14:editId="0F08E7B2">
          <wp:simplePos x="0" y="0"/>
          <wp:positionH relativeFrom="column">
            <wp:posOffset>-720090</wp:posOffset>
          </wp:positionH>
          <wp:positionV relativeFrom="paragraph">
            <wp:posOffset>-180340</wp:posOffset>
          </wp:positionV>
          <wp:extent cx="3988435" cy="367030"/>
          <wp:effectExtent l="0" t="0" r="0" b="0"/>
          <wp:wrapNone/>
          <wp:docPr id="50" name="GoldCover" descr="C:\Users\SPF\Documents\TMC\DTF\DTF graphics\Narrow Strip Yellow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F\Documents\TMC\DTF\DTF graphics\Narrow Strip Yellow Landscape.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274"/>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0" layoutInCell="1" allowOverlap="1" wp14:anchorId="0F08E7B3" wp14:editId="0F08E7B4">
          <wp:simplePos x="0" y="0"/>
          <wp:positionH relativeFrom="page">
            <wp:posOffset>-635</wp:posOffset>
          </wp:positionH>
          <wp:positionV relativeFrom="page">
            <wp:posOffset>-635</wp:posOffset>
          </wp:positionV>
          <wp:extent cx="3484880" cy="367030"/>
          <wp:effectExtent l="0" t="0" r="1270" b="0"/>
          <wp:wrapNone/>
          <wp:docPr id="51" name="BlueCover" descr="Banner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Bl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8488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inline distT="0" distB="0" distL="0" distR="0" wp14:anchorId="0F08E7B5" wp14:editId="0F08E7B6">
          <wp:extent cx="2162175" cy="133350"/>
          <wp:effectExtent l="0" t="0" r="0" b="0"/>
          <wp:docPr id="52" name="DTF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r w:rsidRPr="00B662CC">
      <w:drawing>
        <wp:anchor distT="0" distB="0" distL="114300" distR="114300" simplePos="0" relativeHeight="251658242" behindDoc="1" locked="0" layoutInCell="1" allowOverlap="1" wp14:anchorId="0F08E7B7" wp14:editId="0F08E7B8">
          <wp:simplePos x="0" y="0"/>
          <wp:positionH relativeFrom="column">
            <wp:posOffset>-720090</wp:posOffset>
          </wp:positionH>
          <wp:positionV relativeFrom="paragraph">
            <wp:posOffset>-180340</wp:posOffset>
          </wp:positionV>
          <wp:extent cx="3988435" cy="370205"/>
          <wp:effectExtent l="0" t="0" r="0" b="0"/>
          <wp:wrapNone/>
          <wp:docPr id="53" name="PurpleCover" descr="C:\Users\SPF\Documents\TMC\DTF\DTF graphics\Narrow Strip Purple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F\Documents\TMC\DTF\DTF graphics\Narrow Strip Purple Landscape.png"/>
                  <pic:cNvPicPr>
                    <a:picLocks noChangeAspect="1" noChangeArrowheads="1"/>
                  </pic:cNvPicPr>
                </pic:nvPicPr>
                <pic:blipFill rotWithShape="1">
                  <a:blip r:embed="rId5">
                    <a:extLst>
                      <a:ext uri="{28A0092B-C50C-407E-A947-70E740481C1C}">
                        <a14:useLocalDpi xmlns:a14="http://schemas.microsoft.com/office/drawing/2010/main" val="0"/>
                      </a:ext>
                    </a:extLst>
                  </a:blip>
                  <a:srcRect l="6274"/>
                  <a:stretch/>
                </pic:blipFill>
                <pic:spPr bwMode="auto">
                  <a:xfrm>
                    <a:off x="0" y="0"/>
                    <a:ext cx="3988435" cy="370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662CC">
      <w:drawing>
        <wp:anchor distT="0" distB="0" distL="114300" distR="114300" simplePos="0" relativeHeight="251658241" behindDoc="1" locked="0" layoutInCell="1" allowOverlap="1" wp14:anchorId="0F08E7B9" wp14:editId="0F08E7BA">
          <wp:simplePos x="0" y="0"/>
          <wp:positionH relativeFrom="column">
            <wp:posOffset>-720090</wp:posOffset>
          </wp:positionH>
          <wp:positionV relativeFrom="paragraph">
            <wp:posOffset>-180340</wp:posOffset>
          </wp:positionV>
          <wp:extent cx="3988435" cy="367030"/>
          <wp:effectExtent l="0" t="0" r="0" b="0"/>
          <wp:wrapNone/>
          <wp:docPr id="54" name="OrangeCover" descr="C:\Users\SPF\Documents\TMC\DTF\DTF graphics\Narrow Strip Orange Landscape.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F\Documents\TMC\DTF\DTF graphics\Narrow Strip Orange Landscape.png"/>
                  <pic:cNvPicPr>
                    <a:picLocks noChangeAspect="1" noChangeArrowheads="1"/>
                  </pic:cNvPicPr>
                </pic:nvPicPr>
                <pic:blipFill rotWithShape="1">
                  <a:blip r:embed="rId6">
                    <a:extLst>
                      <a:ext uri="{28A0092B-C50C-407E-A947-70E740481C1C}">
                        <a14:useLocalDpi xmlns:a14="http://schemas.microsoft.com/office/drawing/2010/main" val="0"/>
                      </a:ext>
                    </a:extLst>
                  </a:blip>
                  <a:srcRect l="6406"/>
                  <a:stretch/>
                </pic:blipFill>
                <pic:spPr bwMode="auto">
                  <a:xfrm>
                    <a:off x="0" y="0"/>
                    <a:ext cx="3988435" cy="36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B" w14:textId="77777777" w:rsidR="004B3536" w:rsidRDefault="004B3536">
    <w:pPr>
      <w:pStyle w:val="Header"/>
    </w:pPr>
    <w:r>
      <w:drawing>
        <wp:anchor distT="0" distB="0" distL="114300" distR="114300" simplePos="0" relativeHeight="251658249" behindDoc="0" locked="0" layoutInCell="1" allowOverlap="1" wp14:anchorId="0F08E7BD" wp14:editId="0F08E7BE">
          <wp:simplePos x="0" y="0"/>
          <wp:positionH relativeFrom="column">
            <wp:posOffset>-644847</wp:posOffset>
          </wp:positionH>
          <wp:positionV relativeFrom="page">
            <wp:posOffset>-18415</wp:posOffset>
          </wp:positionV>
          <wp:extent cx="7589520" cy="740664"/>
          <wp:effectExtent l="0" t="0" r="0" b="2540"/>
          <wp:wrapNone/>
          <wp:docPr id="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74066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9C" w14:textId="77777777" w:rsidR="004B3536" w:rsidRPr="00E77EFE" w:rsidRDefault="004B3536" w:rsidP="00F43173">
    <w:pPr>
      <w:pStyle w:val="Header"/>
    </w:pPr>
    <w:r>
      <w:drawing>
        <wp:anchor distT="0" distB="0" distL="114300" distR="114300" simplePos="0" relativeHeight="251658247" behindDoc="0" locked="0" layoutInCell="1" allowOverlap="1" wp14:anchorId="0F08E7BF" wp14:editId="0F08E7C0">
          <wp:simplePos x="0" y="0"/>
          <wp:positionH relativeFrom="column">
            <wp:posOffset>-648252</wp:posOffset>
          </wp:positionH>
          <wp:positionV relativeFrom="page">
            <wp:posOffset>-22529</wp:posOffset>
          </wp:positionV>
          <wp:extent cx="7591245" cy="740985"/>
          <wp:effectExtent l="0" t="0" r="0" b="2540"/>
          <wp:wrapNone/>
          <wp:docPr id="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p w14:paraId="0F08E79D" w14:textId="77777777" w:rsidR="004B3536" w:rsidRDefault="004B3536" w:rsidP="00F431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A2" w14:textId="77777777" w:rsidR="004B3536" w:rsidRDefault="004B3536">
    <w:pPr>
      <w:pStyle w:val="Header"/>
    </w:pPr>
    <w:r w:rsidRPr="00F43173">
      <w:drawing>
        <wp:anchor distT="0" distB="0" distL="114300" distR="114300" simplePos="0" relativeHeight="251658250" behindDoc="0" locked="0" layoutInCell="1" allowOverlap="1" wp14:anchorId="0F08E7C5" wp14:editId="0F08E7C6">
          <wp:simplePos x="0" y="0"/>
          <wp:positionH relativeFrom="column">
            <wp:posOffset>-657973</wp:posOffset>
          </wp:positionH>
          <wp:positionV relativeFrom="page">
            <wp:posOffset>-11695</wp:posOffset>
          </wp:positionV>
          <wp:extent cx="7680960" cy="10863072"/>
          <wp:effectExtent l="0" t="0" r="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0960" cy="10863072"/>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E7A3" w14:textId="77777777" w:rsidR="004B3536" w:rsidRPr="00E77EFE" w:rsidRDefault="004B3536" w:rsidP="00F43173">
    <w:pPr>
      <w:pStyle w:val="Header"/>
    </w:pPr>
  </w:p>
  <w:p w14:paraId="0F08E7A4" w14:textId="77777777" w:rsidR="004B3536" w:rsidRDefault="004B3536" w:rsidP="00F43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39B662A"/>
    <w:multiLevelType w:val="hybridMultilevel"/>
    <w:tmpl w:val="2FC61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17">
      <w:start w:val="1"/>
      <w:numFmt w:val="lowerLetter"/>
      <w:lvlText w:val="%5)"/>
      <w:lvlJc w:val="left"/>
      <w:pPr>
        <w:ind w:left="3600" w:hanging="360"/>
      </w:pPr>
      <w:rPr>
        <w:rFont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5" w15:restartNumberingAfterBreak="0">
    <w:nsid w:val="1FD573FE"/>
    <w:multiLevelType w:val="multilevel"/>
    <w:tmpl w:val="64E650E2"/>
    <w:lvl w:ilvl="0">
      <w:start w:val="1"/>
      <w:numFmt w:val="bullet"/>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6" w15:restartNumberingAfterBreak="0">
    <w:nsid w:val="21207429"/>
    <w:multiLevelType w:val="multilevel"/>
    <w:tmpl w:val="FAA892AC"/>
    <w:lvl w:ilvl="0">
      <w:start w:val="1"/>
      <w:numFmt w:val="lowerLetter"/>
      <w:lvlText w:val="%1)"/>
      <w:lvlJc w:val="left"/>
      <w:pPr>
        <w:tabs>
          <w:tab w:val="num" w:pos="1512"/>
        </w:tabs>
        <w:ind w:left="1512" w:hanging="792"/>
      </w:pPr>
      <w:rPr>
        <w:rFonts w:hint="default"/>
      </w:rPr>
    </w:lvl>
    <w:lvl w:ilvl="1">
      <w:start w:val="1"/>
      <w:numFmt w:val="decimal"/>
      <w:lvlText w:val="%1.%2"/>
      <w:lvlJc w:val="left"/>
      <w:pPr>
        <w:tabs>
          <w:tab w:val="num" w:pos="1512"/>
        </w:tabs>
        <w:ind w:left="1512" w:hanging="792"/>
      </w:pPr>
      <w:rPr>
        <w:rFonts w:hint="default"/>
      </w:rPr>
    </w:lvl>
    <w:lvl w:ilvl="2">
      <w:start w:val="1"/>
      <w:numFmt w:val="none"/>
      <w:suff w:val="nothing"/>
      <w:lvlText w:val=""/>
      <w:lvlJc w:val="left"/>
      <w:pPr>
        <w:ind w:left="720" w:firstLine="0"/>
      </w:pPr>
      <w:rPr>
        <w:rFonts w:hint="default"/>
      </w:rPr>
    </w:lvl>
    <w:lvl w:ilvl="3">
      <w:start w:val="1"/>
      <w:numFmt w:val="none"/>
      <w:suff w:val="nothing"/>
      <w:lvlText w:val=""/>
      <w:lvlJc w:val="right"/>
      <w:pPr>
        <w:ind w:left="720" w:firstLine="0"/>
      </w:pPr>
      <w:rPr>
        <w:rFonts w:hint="default"/>
      </w:rPr>
    </w:lvl>
    <w:lvl w:ilvl="4">
      <w:start w:val="1"/>
      <w:numFmt w:val="bullet"/>
      <w:lvlText w:val=""/>
      <w:lvlJc w:val="left"/>
      <w:pPr>
        <w:tabs>
          <w:tab w:val="num" w:pos="1728"/>
        </w:tabs>
        <w:ind w:left="1512" w:hanging="432"/>
      </w:pPr>
      <w:rPr>
        <w:rFonts w:ascii="Symbol" w:hAnsi="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2232"/>
        </w:tabs>
        <w:ind w:left="2232" w:hanging="504"/>
      </w:pPr>
      <w:rPr>
        <w:rFonts w:hint="default"/>
      </w:rPr>
    </w:lvl>
    <w:lvl w:ilvl="6">
      <w:start w:val="1"/>
      <w:numFmt w:val="lowerRoman"/>
      <w:lvlText w:val="%7)"/>
      <w:lvlJc w:val="right"/>
      <w:pPr>
        <w:ind w:left="2016" w:hanging="288"/>
      </w:pPr>
      <w:rPr>
        <w:rFonts w:hint="default"/>
      </w:rPr>
    </w:lvl>
    <w:lvl w:ilvl="7">
      <w:start w:val="1"/>
      <w:numFmt w:val="lowerLetter"/>
      <w:lvlText w:val="%8."/>
      <w:lvlJc w:val="left"/>
      <w:pPr>
        <w:ind w:left="2160" w:hanging="432"/>
      </w:pPr>
      <w:rPr>
        <w:rFonts w:hint="default"/>
      </w:rPr>
    </w:lvl>
    <w:lvl w:ilvl="8">
      <w:start w:val="1"/>
      <w:numFmt w:val="lowerRoman"/>
      <w:lvlText w:val="%9."/>
      <w:lvlJc w:val="right"/>
      <w:pPr>
        <w:ind w:left="2304" w:hanging="144"/>
      </w:pPr>
      <w:rPr>
        <w:rFonts w:hint="default"/>
      </w:rPr>
    </w:lvl>
  </w:abstractNum>
  <w:abstractNum w:abstractNumId="7" w15:restartNumberingAfterBreak="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8"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AA4F9A"/>
    <w:multiLevelType w:val="multilevel"/>
    <w:tmpl w:val="F8E06E4C"/>
    <w:lvl w:ilvl="0">
      <w:start w:val="1"/>
      <w:numFmt w:val="lowerLetter"/>
      <w:lvlText w:val="%1)"/>
      <w:lvlJc w:val="left"/>
      <w:pPr>
        <w:tabs>
          <w:tab w:val="num" w:pos="1077"/>
        </w:tabs>
        <w:ind w:left="1077" w:hanging="283"/>
      </w:pPr>
      <w:rPr>
        <w:rFonts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0" w15:restartNumberingAfterBreak="0">
    <w:nsid w:val="3A464FC4"/>
    <w:multiLevelType w:val="multilevel"/>
    <w:tmpl w:val="2C309DE6"/>
    <w:lvl w:ilvl="0">
      <w:start w:val="1"/>
      <w:numFmt w:val="decimal"/>
      <w:lvlRestart w:val="0"/>
      <w:pStyle w:val="Heading1"/>
      <w:lvlText w:val="%1."/>
      <w:lvlJc w:val="left"/>
      <w:pPr>
        <w:tabs>
          <w:tab w:val="num" w:pos="792"/>
        </w:tabs>
        <w:ind w:left="792" w:hanging="792"/>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right"/>
      <w:pPr>
        <w:ind w:left="0" w:firstLine="0"/>
      </w:pPr>
      <w:rPr>
        <w:rFonts w:hint="default"/>
      </w:rPr>
    </w:lvl>
    <w:lvl w:ilvl="4">
      <w:start w:val="1"/>
      <w:numFmt w:val="lowerLetter"/>
      <w:pStyle w:val="Numlist"/>
      <w:lvlText w:val="(%5)"/>
      <w:lvlJc w:val="left"/>
      <w:pPr>
        <w:tabs>
          <w:tab w:val="num" w:pos="1008"/>
        </w:tabs>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pStyle w:val="Numlist2"/>
      <w:lvlText w:val="(%6)"/>
      <w:lvlJc w:val="left"/>
      <w:pPr>
        <w:tabs>
          <w:tab w:val="num" w:pos="1512"/>
        </w:tabs>
        <w:ind w:left="1512" w:hanging="504"/>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446D3A6A"/>
    <w:multiLevelType w:val="multilevel"/>
    <w:tmpl w:val="4324380E"/>
    <w:lvl w:ilvl="0">
      <w:start w:val="1"/>
      <w:numFmt w:val="lowerLetter"/>
      <w:pStyle w:val="Bullet1"/>
      <w:lvlText w:val="%1)"/>
      <w:lvlJc w:val="left"/>
      <w:pPr>
        <w:tabs>
          <w:tab w:val="num" w:pos="1077"/>
        </w:tabs>
        <w:ind w:left="1077" w:hanging="283"/>
      </w:pPr>
      <w:rPr>
        <w:rFonts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2"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F07743"/>
    <w:multiLevelType w:val="multilevel"/>
    <w:tmpl w:val="527A79E8"/>
    <w:lvl w:ilvl="0">
      <w:start w:val="1"/>
      <w:numFmt w:val="decimal"/>
      <w:lvlRestart w:val="0"/>
      <w:pStyle w:val="TableTextNumbered"/>
      <w:suff w:val="nothing"/>
      <w:lvlText w:val="%1"/>
      <w:lvlJc w:val="left"/>
      <w:pPr>
        <w:ind w:left="0" w:firstLine="227"/>
      </w:pPr>
      <w:rPr>
        <w:rFonts w:hint="default"/>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4834874"/>
    <w:multiLevelType w:val="multilevel"/>
    <w:tmpl w:val="7EA27982"/>
    <w:lvl w:ilvl="0">
      <w:start w:val="1"/>
      <w:numFmt w:val="bullet"/>
      <w:lvlText w:val=""/>
      <w:lvlJc w:val="left"/>
      <w:pPr>
        <w:tabs>
          <w:tab w:val="num" w:pos="1077"/>
        </w:tabs>
        <w:ind w:left="1077" w:hanging="283"/>
      </w:pPr>
      <w:rPr>
        <w:rFonts w:ascii="Symbol" w:hAnsi="Symbol" w:hint="default"/>
        <w:b w:val="0"/>
        <w:i w:val="0"/>
        <w:vanish w:val="0"/>
        <w:color w:val="auto"/>
        <w:sz w:val="20"/>
      </w:rPr>
    </w:lvl>
    <w:lvl w:ilvl="1">
      <w:start w:val="1"/>
      <w:numFmt w:val="bullet"/>
      <w:lvlText w:val="–"/>
      <w:lvlJc w:val="left"/>
      <w:pPr>
        <w:tabs>
          <w:tab w:val="num" w:pos="1361"/>
        </w:tabs>
        <w:ind w:left="1361" w:hanging="284"/>
      </w:pPr>
      <w:rPr>
        <w:rFonts w:ascii="Calibri" w:hAnsi="Calibri" w:cs="Calibri"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6"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17" w15:restartNumberingAfterBreak="0">
    <w:nsid w:val="71E948C7"/>
    <w:multiLevelType w:val="hybridMultilevel"/>
    <w:tmpl w:val="5E9E6C72"/>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75046542"/>
    <w:multiLevelType w:val="hybridMultilevel"/>
    <w:tmpl w:val="A874186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9CE39B4"/>
    <w:multiLevelType w:val="multilevel"/>
    <w:tmpl w:val="C1B49516"/>
    <w:lvl w:ilvl="0">
      <w:start w:val="1"/>
      <w:numFmt w:val="lowerLetter"/>
      <w:lvlText w:val="%1)"/>
      <w:lvlJc w:val="left"/>
      <w:pPr>
        <w:tabs>
          <w:tab w:val="num" w:pos="1077"/>
        </w:tabs>
        <w:ind w:left="1077" w:hanging="283"/>
      </w:pPr>
      <w:rPr>
        <w:rFonts w:hint="default"/>
        <w:b w:val="0"/>
        <w:i w:val="0"/>
        <w:vanish w:val="0"/>
        <w:color w:val="auto"/>
        <w:sz w:val="20"/>
      </w:rPr>
    </w:lvl>
    <w:lvl w:ilvl="1">
      <w:start w:val="1"/>
      <w:numFmt w:val="lowerRoman"/>
      <w:lvlText w:val="%2."/>
      <w:lvlJc w:val="right"/>
      <w:pPr>
        <w:tabs>
          <w:tab w:val="num" w:pos="1361"/>
        </w:tabs>
        <w:ind w:left="1361" w:hanging="284"/>
      </w:pPr>
      <w:rPr>
        <w:rFonts w:hint="default"/>
        <w:b w:val="0"/>
        <w:i w:val="0"/>
        <w:vanish w:val="0"/>
        <w:color w:val="auto"/>
        <w:sz w:val="20"/>
      </w:rPr>
    </w:lvl>
    <w:lvl w:ilvl="2">
      <w:start w:val="1"/>
      <w:numFmt w:val="bullet"/>
      <w:lvlText w:val=""/>
      <w:lvlJc w:val="left"/>
      <w:pPr>
        <w:tabs>
          <w:tab w:val="num" w:pos="1644"/>
        </w:tabs>
        <w:ind w:left="1644" w:hanging="283"/>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num w:numId="1" w16cid:durableId="188448082">
    <w:abstractNumId w:val="7"/>
  </w:num>
  <w:num w:numId="2" w16cid:durableId="272833088">
    <w:abstractNumId w:val="2"/>
  </w:num>
  <w:num w:numId="3" w16cid:durableId="618071599">
    <w:abstractNumId w:val="1"/>
  </w:num>
  <w:num w:numId="4" w16cid:durableId="1253121606">
    <w:abstractNumId w:val="0"/>
  </w:num>
  <w:num w:numId="5" w16cid:durableId="997730077">
    <w:abstractNumId w:val="4"/>
  </w:num>
  <w:num w:numId="6" w16cid:durableId="819271729">
    <w:abstractNumId w:val="8"/>
  </w:num>
  <w:num w:numId="7" w16cid:durableId="728652794">
    <w:abstractNumId w:val="13"/>
  </w:num>
  <w:num w:numId="8" w16cid:durableId="656420068">
    <w:abstractNumId w:val="12"/>
  </w:num>
  <w:num w:numId="9" w16cid:durableId="1347905172">
    <w:abstractNumId w:val="11"/>
  </w:num>
  <w:num w:numId="10" w16cid:durableId="590554145">
    <w:abstractNumId w:val="14"/>
  </w:num>
  <w:num w:numId="11" w16cid:durableId="1608007123">
    <w:abstractNumId w:val="16"/>
  </w:num>
  <w:num w:numId="12" w16cid:durableId="437986358">
    <w:abstractNumId w:val="10"/>
  </w:num>
  <w:num w:numId="13" w16cid:durableId="1655989622">
    <w:abstractNumId w:val="17"/>
  </w:num>
  <w:num w:numId="14" w16cid:durableId="1070227682">
    <w:abstractNumId w:val="3"/>
  </w:num>
  <w:num w:numId="15" w16cid:durableId="551573435">
    <w:abstractNumId w:val="6"/>
  </w:num>
  <w:num w:numId="16" w16cid:durableId="1151404163">
    <w:abstractNumId w:val="18"/>
  </w:num>
  <w:num w:numId="17" w16cid:durableId="132601866">
    <w:abstractNumId w:val="9"/>
  </w:num>
  <w:num w:numId="18" w16cid:durableId="11055439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66226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970897">
    <w:abstractNumId w:val="5"/>
  </w:num>
  <w:num w:numId="21" w16cid:durableId="501971225">
    <w:abstractNumId w:val="11"/>
  </w:num>
  <w:num w:numId="22" w16cid:durableId="935556074">
    <w:abstractNumId w:val="19"/>
  </w:num>
  <w:num w:numId="23" w16cid:durableId="73557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031470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trackRevisions/>
  <w:doNotTrackFormattin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A57"/>
    <w:rsid w:val="000032B1"/>
    <w:rsid w:val="000149BD"/>
    <w:rsid w:val="000214CD"/>
    <w:rsid w:val="0002218A"/>
    <w:rsid w:val="000246F4"/>
    <w:rsid w:val="00026B06"/>
    <w:rsid w:val="000356F8"/>
    <w:rsid w:val="00055ED8"/>
    <w:rsid w:val="00061322"/>
    <w:rsid w:val="00063A98"/>
    <w:rsid w:val="00065EC7"/>
    <w:rsid w:val="000669F4"/>
    <w:rsid w:val="00073D02"/>
    <w:rsid w:val="00076E31"/>
    <w:rsid w:val="00082173"/>
    <w:rsid w:val="00093BFA"/>
    <w:rsid w:val="00094CCC"/>
    <w:rsid w:val="000A595E"/>
    <w:rsid w:val="000B1F42"/>
    <w:rsid w:val="000C0AEC"/>
    <w:rsid w:val="000C4868"/>
    <w:rsid w:val="000C71B6"/>
    <w:rsid w:val="000D3924"/>
    <w:rsid w:val="000E5D9D"/>
    <w:rsid w:val="000F0DC7"/>
    <w:rsid w:val="000F1D02"/>
    <w:rsid w:val="000F1D57"/>
    <w:rsid w:val="000F1F4F"/>
    <w:rsid w:val="000F6F9F"/>
    <w:rsid w:val="00105248"/>
    <w:rsid w:val="00111009"/>
    <w:rsid w:val="0011728C"/>
    <w:rsid w:val="0013693E"/>
    <w:rsid w:val="00141DF5"/>
    <w:rsid w:val="0014210F"/>
    <w:rsid w:val="001427F1"/>
    <w:rsid w:val="00154425"/>
    <w:rsid w:val="00172709"/>
    <w:rsid w:val="0017485B"/>
    <w:rsid w:val="00176B8A"/>
    <w:rsid w:val="00191266"/>
    <w:rsid w:val="00196021"/>
    <w:rsid w:val="001A5CFC"/>
    <w:rsid w:val="001B1F08"/>
    <w:rsid w:val="001B246B"/>
    <w:rsid w:val="001C1088"/>
    <w:rsid w:val="001D3C29"/>
    <w:rsid w:val="001D6E16"/>
    <w:rsid w:val="00211F28"/>
    <w:rsid w:val="00221178"/>
    <w:rsid w:val="0023221C"/>
    <w:rsid w:val="0023284E"/>
    <w:rsid w:val="00232D73"/>
    <w:rsid w:val="00235F88"/>
    <w:rsid w:val="00244FBB"/>
    <w:rsid w:val="00254356"/>
    <w:rsid w:val="00257C2D"/>
    <w:rsid w:val="002645DF"/>
    <w:rsid w:val="002730E4"/>
    <w:rsid w:val="00277B32"/>
    <w:rsid w:val="00285786"/>
    <w:rsid w:val="00287647"/>
    <w:rsid w:val="00294592"/>
    <w:rsid w:val="00297CA4"/>
    <w:rsid w:val="002B047E"/>
    <w:rsid w:val="002B1BAC"/>
    <w:rsid w:val="002B738B"/>
    <w:rsid w:val="002C0DAC"/>
    <w:rsid w:val="002C7A7F"/>
    <w:rsid w:val="002D1F44"/>
    <w:rsid w:val="002E0E8D"/>
    <w:rsid w:val="002E1FB8"/>
    <w:rsid w:val="002E34B6"/>
    <w:rsid w:val="002F1FC7"/>
    <w:rsid w:val="002F3B71"/>
    <w:rsid w:val="002F482F"/>
    <w:rsid w:val="00305365"/>
    <w:rsid w:val="00311284"/>
    <w:rsid w:val="00320ED8"/>
    <w:rsid w:val="00326562"/>
    <w:rsid w:val="0033281F"/>
    <w:rsid w:val="00333DDE"/>
    <w:rsid w:val="0036395E"/>
    <w:rsid w:val="00374D68"/>
    <w:rsid w:val="00376774"/>
    <w:rsid w:val="00384AFE"/>
    <w:rsid w:val="0038549D"/>
    <w:rsid w:val="00390A5A"/>
    <w:rsid w:val="00395368"/>
    <w:rsid w:val="003A65FD"/>
    <w:rsid w:val="003B032D"/>
    <w:rsid w:val="003D0EF7"/>
    <w:rsid w:val="003D2B23"/>
    <w:rsid w:val="003D4058"/>
    <w:rsid w:val="003D76AF"/>
    <w:rsid w:val="003D78BD"/>
    <w:rsid w:val="003E45CD"/>
    <w:rsid w:val="003E7965"/>
    <w:rsid w:val="003F1454"/>
    <w:rsid w:val="00416557"/>
    <w:rsid w:val="004239A0"/>
    <w:rsid w:val="00440D64"/>
    <w:rsid w:val="00445BE4"/>
    <w:rsid w:val="004525CD"/>
    <w:rsid w:val="00456400"/>
    <w:rsid w:val="0047530B"/>
    <w:rsid w:val="00475B51"/>
    <w:rsid w:val="004800BD"/>
    <w:rsid w:val="0048579A"/>
    <w:rsid w:val="004A31E6"/>
    <w:rsid w:val="004B34D5"/>
    <w:rsid w:val="004B3536"/>
    <w:rsid w:val="004B4205"/>
    <w:rsid w:val="004C6D58"/>
    <w:rsid w:val="004C712A"/>
    <w:rsid w:val="004D42C2"/>
    <w:rsid w:val="004E129D"/>
    <w:rsid w:val="004E6A4F"/>
    <w:rsid w:val="0050200D"/>
    <w:rsid w:val="00505B6C"/>
    <w:rsid w:val="00507487"/>
    <w:rsid w:val="00512B79"/>
    <w:rsid w:val="00513053"/>
    <w:rsid w:val="0052205F"/>
    <w:rsid w:val="0053025C"/>
    <w:rsid w:val="0053463C"/>
    <w:rsid w:val="00534768"/>
    <w:rsid w:val="00544593"/>
    <w:rsid w:val="00557A7A"/>
    <w:rsid w:val="00560621"/>
    <w:rsid w:val="00572184"/>
    <w:rsid w:val="00574434"/>
    <w:rsid w:val="00580E08"/>
    <w:rsid w:val="00593963"/>
    <w:rsid w:val="005A375D"/>
    <w:rsid w:val="005B309E"/>
    <w:rsid w:val="005B66BB"/>
    <w:rsid w:val="005F30A8"/>
    <w:rsid w:val="005F6661"/>
    <w:rsid w:val="00602774"/>
    <w:rsid w:val="00614BEC"/>
    <w:rsid w:val="006212BA"/>
    <w:rsid w:val="00622106"/>
    <w:rsid w:val="00624961"/>
    <w:rsid w:val="006278A5"/>
    <w:rsid w:val="0063338A"/>
    <w:rsid w:val="00633822"/>
    <w:rsid w:val="006526A7"/>
    <w:rsid w:val="00657878"/>
    <w:rsid w:val="00663478"/>
    <w:rsid w:val="006659A0"/>
    <w:rsid w:val="006816B9"/>
    <w:rsid w:val="00693E9F"/>
    <w:rsid w:val="006A0055"/>
    <w:rsid w:val="006A2198"/>
    <w:rsid w:val="006A2BDD"/>
    <w:rsid w:val="006B1B36"/>
    <w:rsid w:val="006C25F9"/>
    <w:rsid w:val="006D25D9"/>
    <w:rsid w:val="006D6FAD"/>
    <w:rsid w:val="006E19AD"/>
    <w:rsid w:val="006E490A"/>
    <w:rsid w:val="006F0D3A"/>
    <w:rsid w:val="00706808"/>
    <w:rsid w:val="00733A3D"/>
    <w:rsid w:val="00737228"/>
    <w:rsid w:val="00740DD8"/>
    <w:rsid w:val="00741910"/>
    <w:rsid w:val="007534A6"/>
    <w:rsid w:val="007716CA"/>
    <w:rsid w:val="00776220"/>
    <w:rsid w:val="007770BB"/>
    <w:rsid w:val="00783C11"/>
    <w:rsid w:val="007841E5"/>
    <w:rsid w:val="007879ED"/>
    <w:rsid w:val="00791E74"/>
    <w:rsid w:val="0079356C"/>
    <w:rsid w:val="007976CE"/>
    <w:rsid w:val="007A0606"/>
    <w:rsid w:val="007B5908"/>
    <w:rsid w:val="007C0A9C"/>
    <w:rsid w:val="007C4EB9"/>
    <w:rsid w:val="007E0F1B"/>
    <w:rsid w:val="007E22AE"/>
    <w:rsid w:val="007F0C55"/>
    <w:rsid w:val="007F20F6"/>
    <w:rsid w:val="0080243F"/>
    <w:rsid w:val="008248F5"/>
    <w:rsid w:val="008267B5"/>
    <w:rsid w:val="00826A9E"/>
    <w:rsid w:val="00832709"/>
    <w:rsid w:val="0085016D"/>
    <w:rsid w:val="00851D88"/>
    <w:rsid w:val="00856583"/>
    <w:rsid w:val="00865A4E"/>
    <w:rsid w:val="00866ECA"/>
    <w:rsid w:val="0086741D"/>
    <w:rsid w:val="00870E98"/>
    <w:rsid w:val="0087452B"/>
    <w:rsid w:val="008806CE"/>
    <w:rsid w:val="00881974"/>
    <w:rsid w:val="0089062A"/>
    <w:rsid w:val="0089266E"/>
    <w:rsid w:val="008A1FB1"/>
    <w:rsid w:val="008A2DB3"/>
    <w:rsid w:val="008A4A37"/>
    <w:rsid w:val="008A4E8E"/>
    <w:rsid w:val="008B36AA"/>
    <w:rsid w:val="008C2541"/>
    <w:rsid w:val="008D2274"/>
    <w:rsid w:val="008E6579"/>
    <w:rsid w:val="008E68F4"/>
    <w:rsid w:val="008F3658"/>
    <w:rsid w:val="00900607"/>
    <w:rsid w:val="00900A67"/>
    <w:rsid w:val="00906CD3"/>
    <w:rsid w:val="0091533A"/>
    <w:rsid w:val="00915469"/>
    <w:rsid w:val="0092184A"/>
    <w:rsid w:val="009249B2"/>
    <w:rsid w:val="009257D9"/>
    <w:rsid w:val="00927E09"/>
    <w:rsid w:val="00933919"/>
    <w:rsid w:val="00937FCB"/>
    <w:rsid w:val="00955841"/>
    <w:rsid w:val="00962A17"/>
    <w:rsid w:val="009854A2"/>
    <w:rsid w:val="009857E4"/>
    <w:rsid w:val="00987513"/>
    <w:rsid w:val="00992D9D"/>
    <w:rsid w:val="00996F50"/>
    <w:rsid w:val="009A77CD"/>
    <w:rsid w:val="009B3368"/>
    <w:rsid w:val="009B6857"/>
    <w:rsid w:val="009C1C9C"/>
    <w:rsid w:val="009C20CC"/>
    <w:rsid w:val="009D3C80"/>
    <w:rsid w:val="009D4A7B"/>
    <w:rsid w:val="009E3F65"/>
    <w:rsid w:val="009E723C"/>
    <w:rsid w:val="00A003BB"/>
    <w:rsid w:val="00A16BB8"/>
    <w:rsid w:val="00A21D42"/>
    <w:rsid w:val="00A237F1"/>
    <w:rsid w:val="00A239D1"/>
    <w:rsid w:val="00A23D1A"/>
    <w:rsid w:val="00A26C0D"/>
    <w:rsid w:val="00A26EC0"/>
    <w:rsid w:val="00A41B1D"/>
    <w:rsid w:val="00A43FFF"/>
    <w:rsid w:val="00A46302"/>
    <w:rsid w:val="00A56882"/>
    <w:rsid w:val="00A61177"/>
    <w:rsid w:val="00A915CC"/>
    <w:rsid w:val="00AA05DE"/>
    <w:rsid w:val="00AB4214"/>
    <w:rsid w:val="00AC18AA"/>
    <w:rsid w:val="00AC5AF8"/>
    <w:rsid w:val="00AC7BE1"/>
    <w:rsid w:val="00AD0D31"/>
    <w:rsid w:val="00AD1EE4"/>
    <w:rsid w:val="00AD4BB2"/>
    <w:rsid w:val="00AE0AFE"/>
    <w:rsid w:val="00AE5072"/>
    <w:rsid w:val="00B002CB"/>
    <w:rsid w:val="00B04FE3"/>
    <w:rsid w:val="00B112C1"/>
    <w:rsid w:val="00B1262D"/>
    <w:rsid w:val="00B30858"/>
    <w:rsid w:val="00B41F9C"/>
    <w:rsid w:val="00B5194E"/>
    <w:rsid w:val="00B57764"/>
    <w:rsid w:val="00B662CC"/>
    <w:rsid w:val="00B74682"/>
    <w:rsid w:val="00B85001"/>
    <w:rsid w:val="00B8747C"/>
    <w:rsid w:val="00B96BBD"/>
    <w:rsid w:val="00BC0647"/>
    <w:rsid w:val="00BC07AD"/>
    <w:rsid w:val="00BC1677"/>
    <w:rsid w:val="00BC312D"/>
    <w:rsid w:val="00BC5D0C"/>
    <w:rsid w:val="00BC69C4"/>
    <w:rsid w:val="00BC7942"/>
    <w:rsid w:val="00BD0A41"/>
    <w:rsid w:val="00BD185E"/>
    <w:rsid w:val="00BD2796"/>
    <w:rsid w:val="00BD4DA5"/>
    <w:rsid w:val="00BD618B"/>
    <w:rsid w:val="00BE5883"/>
    <w:rsid w:val="00BF2AF9"/>
    <w:rsid w:val="00BF36D7"/>
    <w:rsid w:val="00BF3C45"/>
    <w:rsid w:val="00C12E0A"/>
    <w:rsid w:val="00C27252"/>
    <w:rsid w:val="00C418AC"/>
    <w:rsid w:val="00C51D53"/>
    <w:rsid w:val="00C61441"/>
    <w:rsid w:val="00C94A6B"/>
    <w:rsid w:val="00CA27E3"/>
    <w:rsid w:val="00CA2B62"/>
    <w:rsid w:val="00CC11AD"/>
    <w:rsid w:val="00CC19B2"/>
    <w:rsid w:val="00CC1A97"/>
    <w:rsid w:val="00CC321A"/>
    <w:rsid w:val="00CD1558"/>
    <w:rsid w:val="00CE019D"/>
    <w:rsid w:val="00CE26BD"/>
    <w:rsid w:val="00CF2BC6"/>
    <w:rsid w:val="00CF3EE1"/>
    <w:rsid w:val="00CF4760"/>
    <w:rsid w:val="00CF6949"/>
    <w:rsid w:val="00D00061"/>
    <w:rsid w:val="00D033C3"/>
    <w:rsid w:val="00D14F44"/>
    <w:rsid w:val="00D3036C"/>
    <w:rsid w:val="00D4288C"/>
    <w:rsid w:val="00D54D3C"/>
    <w:rsid w:val="00D619C3"/>
    <w:rsid w:val="00D67F6E"/>
    <w:rsid w:val="00D71E30"/>
    <w:rsid w:val="00D76F9D"/>
    <w:rsid w:val="00DA0222"/>
    <w:rsid w:val="00DB68B9"/>
    <w:rsid w:val="00DC7308"/>
    <w:rsid w:val="00DD2973"/>
    <w:rsid w:val="00DE0C47"/>
    <w:rsid w:val="00DE6AAF"/>
    <w:rsid w:val="00E026C1"/>
    <w:rsid w:val="00E1771E"/>
    <w:rsid w:val="00E205C6"/>
    <w:rsid w:val="00E21522"/>
    <w:rsid w:val="00E25717"/>
    <w:rsid w:val="00E37D1B"/>
    <w:rsid w:val="00E416FE"/>
    <w:rsid w:val="00E44609"/>
    <w:rsid w:val="00E45183"/>
    <w:rsid w:val="00E459D4"/>
    <w:rsid w:val="00E46280"/>
    <w:rsid w:val="00E46E43"/>
    <w:rsid w:val="00E508CF"/>
    <w:rsid w:val="00E5608B"/>
    <w:rsid w:val="00E56692"/>
    <w:rsid w:val="00E66976"/>
    <w:rsid w:val="00E670B9"/>
    <w:rsid w:val="00E720A2"/>
    <w:rsid w:val="00E777BD"/>
    <w:rsid w:val="00E77EFE"/>
    <w:rsid w:val="00E82B9C"/>
    <w:rsid w:val="00E85EC9"/>
    <w:rsid w:val="00E90E6D"/>
    <w:rsid w:val="00EA2E91"/>
    <w:rsid w:val="00EB0E86"/>
    <w:rsid w:val="00EC26D2"/>
    <w:rsid w:val="00EE1912"/>
    <w:rsid w:val="00EE515B"/>
    <w:rsid w:val="00EF4E77"/>
    <w:rsid w:val="00F03E3C"/>
    <w:rsid w:val="00F105E4"/>
    <w:rsid w:val="00F13A5A"/>
    <w:rsid w:val="00F15DD7"/>
    <w:rsid w:val="00F17BE8"/>
    <w:rsid w:val="00F205C6"/>
    <w:rsid w:val="00F22117"/>
    <w:rsid w:val="00F229E7"/>
    <w:rsid w:val="00F269DE"/>
    <w:rsid w:val="00F27BAB"/>
    <w:rsid w:val="00F33821"/>
    <w:rsid w:val="00F42F9C"/>
    <w:rsid w:val="00F43173"/>
    <w:rsid w:val="00F50D90"/>
    <w:rsid w:val="00F87CB0"/>
    <w:rsid w:val="00F92125"/>
    <w:rsid w:val="00F9789E"/>
    <w:rsid w:val="00FA77C0"/>
    <w:rsid w:val="00FB29EF"/>
    <w:rsid w:val="00FB38FE"/>
    <w:rsid w:val="00FB4A57"/>
    <w:rsid w:val="00FC10B3"/>
    <w:rsid w:val="00FC110B"/>
    <w:rsid w:val="00FD0A30"/>
    <w:rsid w:val="00FD1F46"/>
    <w:rsid w:val="00FE3ECB"/>
    <w:rsid w:val="00FF3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8E505"/>
  <w15:docId w15:val="{812B8F7B-4B00-4EB3-B3A5-18A5B5BC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3"/>
    <w:lsdException w:name="heading 2" w:semiHidden="1" w:uiPriority="3" w:unhideWhenUsed="1"/>
    <w:lsdException w:name="heading 3" w:semiHidden="1" w:uiPriority="3" w:unhideWhenUsed="1"/>
    <w:lsdException w:name="heading 4" w:semiHidden="1" w:uiPriority="3" w:unhideWhenUsed="1"/>
    <w:lsdException w:name="heading 5" w:semiHidden="1" w:uiPriority="3" w:unhideWhenUsed="1"/>
    <w:lsdException w:name="heading 6" w:semiHidden="1" w:uiPriority="3" w:unhideWhenUsed="1"/>
    <w:lsdException w:name="heading 7" w:semiHidden="1" w:uiPriority="3" w:unhideWhenUsed="1"/>
    <w:lsdException w:name="heading 8" w:semiHidden="1" w:uiPriority="3" w:unhideWhenUsed="1"/>
    <w:lsdException w:name="heading 9" w:semiHidden="1" w:uiPriority="3" w:unhideWhenUsed="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F43173"/>
    <w:pPr>
      <w:spacing w:before="60" w:after="60" w:line="276" w:lineRule="auto"/>
    </w:pPr>
    <w:rPr>
      <w:rFonts w:asciiTheme="minorHAnsi" w:eastAsiaTheme="minorEastAsia" w:hAnsiTheme="minorHAnsi" w:cstheme="minorBidi"/>
      <w:spacing w:val="2"/>
      <w:lang w:eastAsia="en-AU"/>
    </w:rPr>
  </w:style>
  <w:style w:type="paragraph" w:styleId="Heading1">
    <w:name w:val="heading 1"/>
    <w:basedOn w:val="Heading1NoNum"/>
    <w:next w:val="Normal"/>
    <w:link w:val="Heading1Char"/>
    <w:uiPriority w:val="3"/>
    <w:unhideWhenUsed/>
    <w:rsid w:val="00663478"/>
    <w:pPr>
      <w:numPr>
        <w:numId w:val="12"/>
      </w:numPr>
      <w:outlineLvl w:val="0"/>
    </w:pPr>
  </w:style>
  <w:style w:type="paragraph" w:styleId="Heading2">
    <w:name w:val="heading 2"/>
    <w:next w:val="Normal"/>
    <w:link w:val="Heading2Char"/>
    <w:uiPriority w:val="3"/>
    <w:unhideWhenUsed/>
    <w:rsid w:val="00663478"/>
    <w:pPr>
      <w:widowControl w:val="0"/>
      <w:numPr>
        <w:ilvl w:val="1"/>
        <w:numId w:val="12"/>
      </w:numPr>
      <w:spacing w:before="240"/>
      <w:outlineLvl w:val="1"/>
    </w:pPr>
    <w:rPr>
      <w:rFonts w:asciiTheme="majorHAnsi" w:eastAsia="Times New Roman" w:hAnsiTheme="majorHAnsi" w:cs="Calibri"/>
      <w:b/>
      <w:color w:val="4D4D4D"/>
      <w:sz w:val="26"/>
      <w:szCs w:val="22"/>
    </w:rPr>
  </w:style>
  <w:style w:type="paragraph" w:styleId="Heading3">
    <w:name w:val="heading 3"/>
    <w:basedOn w:val="Heading2"/>
    <w:next w:val="Normal"/>
    <w:link w:val="Heading3Char"/>
    <w:uiPriority w:val="3"/>
    <w:unhideWhenUsed/>
    <w:rsid w:val="00657878"/>
    <w:pPr>
      <w:numPr>
        <w:ilvl w:val="2"/>
      </w:numPr>
      <w:spacing w:before="200"/>
      <w:outlineLvl w:val="2"/>
    </w:pPr>
    <w:rPr>
      <w:sz w:val="24"/>
    </w:rPr>
  </w:style>
  <w:style w:type="paragraph" w:styleId="Heading4">
    <w:name w:val="heading 4"/>
    <w:basedOn w:val="Heading3"/>
    <w:next w:val="Normal"/>
    <w:link w:val="Heading4Char"/>
    <w:uiPriority w:val="3"/>
    <w:unhideWhenUsed/>
    <w:rsid w:val="0047530B"/>
    <w:pPr>
      <w:numPr>
        <w:ilvl w:val="3"/>
      </w:numPr>
      <w:spacing w:before="160" w:line="280" w:lineRule="atLeast"/>
      <w:outlineLvl w:val="3"/>
    </w:pPr>
    <w:rPr>
      <w:sz w:val="22"/>
    </w:rPr>
  </w:style>
  <w:style w:type="paragraph" w:styleId="Heading5">
    <w:name w:val="heading 5"/>
    <w:basedOn w:val="Heading4"/>
    <w:next w:val="Normal"/>
    <w:link w:val="Heading5Char"/>
    <w:uiPriority w:val="3"/>
    <w:semiHidden/>
    <w:rsid w:val="0047530B"/>
    <w:pPr>
      <w:numPr>
        <w:ilvl w:val="0"/>
        <w:numId w:val="0"/>
      </w:numPr>
      <w:tabs>
        <w:tab w:val="num" w:pos="1354"/>
      </w:tabs>
      <w:ind w:left="1354" w:hanging="562"/>
      <w:outlineLvl w:val="4"/>
    </w:pPr>
    <w:rPr>
      <w:b w:val="0"/>
      <w:bCs/>
      <w:color w:val="404040"/>
    </w:rPr>
  </w:style>
  <w:style w:type="paragraph" w:styleId="Heading6">
    <w:name w:val="heading 6"/>
    <w:basedOn w:val="Heading5"/>
    <w:next w:val="Normal"/>
    <w:link w:val="Heading6Char"/>
    <w:uiPriority w:val="3"/>
    <w:semiHidden/>
    <w:rsid w:val="0047530B"/>
    <w:pPr>
      <w:numPr>
        <w:ilvl w:val="5"/>
      </w:numPr>
      <w:tabs>
        <w:tab w:val="num" w:pos="1354"/>
      </w:tabs>
      <w:ind w:left="1354" w:hanging="562"/>
      <w:outlineLvl w:val="5"/>
    </w:pPr>
    <w:rPr>
      <w:iCs/>
    </w:rPr>
  </w:style>
  <w:style w:type="paragraph" w:styleId="Heading7">
    <w:name w:val="heading 7"/>
    <w:basedOn w:val="Heading6"/>
    <w:next w:val="Normal"/>
    <w:link w:val="Heading7Char"/>
    <w:uiPriority w:val="3"/>
    <w:semiHidden/>
    <w:rsid w:val="0047530B"/>
    <w:pPr>
      <w:numPr>
        <w:ilvl w:val="6"/>
      </w:numPr>
      <w:tabs>
        <w:tab w:val="num" w:pos="1354"/>
      </w:tabs>
      <w:ind w:left="1354" w:hanging="562"/>
      <w:outlineLvl w:val="6"/>
    </w:pPr>
    <w:rPr>
      <w:i/>
    </w:rPr>
  </w:style>
  <w:style w:type="paragraph" w:styleId="Heading8">
    <w:name w:val="heading 8"/>
    <w:basedOn w:val="Heading7"/>
    <w:next w:val="Normal"/>
    <w:link w:val="Heading8Char"/>
    <w:uiPriority w:val="3"/>
    <w:semiHidden/>
    <w:rsid w:val="0047530B"/>
    <w:pPr>
      <w:numPr>
        <w:ilvl w:val="7"/>
      </w:numPr>
      <w:tabs>
        <w:tab w:val="num" w:pos="1354"/>
      </w:tabs>
      <w:ind w:left="1354" w:hanging="562"/>
      <w:outlineLvl w:val="7"/>
    </w:pPr>
    <w:rPr>
      <w:b/>
    </w:rPr>
  </w:style>
  <w:style w:type="paragraph" w:styleId="Heading9">
    <w:name w:val="heading 9"/>
    <w:basedOn w:val="Heading8"/>
    <w:next w:val="Normal"/>
    <w:link w:val="Heading9Char"/>
    <w:uiPriority w:val="3"/>
    <w:semiHidden/>
    <w:rsid w:val="0047530B"/>
    <w:pPr>
      <w:numPr>
        <w:ilvl w:val="8"/>
      </w:numPr>
      <w:tabs>
        <w:tab w:val="num" w:pos="1354"/>
      </w:tabs>
      <w:ind w:left="1354" w:hanging="56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49"/>
    <w:semiHidden/>
    <w:rsid w:val="0047530B"/>
    <w:pPr>
      <w:spacing w:after="120"/>
      <w:ind w:left="1440" w:right="1440"/>
    </w:pPr>
  </w:style>
  <w:style w:type="paragraph" w:styleId="BodyText">
    <w:name w:val="Body Text"/>
    <w:basedOn w:val="Normal"/>
    <w:link w:val="BodyTextChar"/>
    <w:rsid w:val="00F205C6"/>
    <w:pPr>
      <w:spacing w:before="120" w:after="120" w:line="300" w:lineRule="auto"/>
      <w:ind w:left="792"/>
    </w:pPr>
  </w:style>
  <w:style w:type="character" w:customStyle="1" w:styleId="BodyTextChar">
    <w:name w:val="Body Text Char"/>
    <w:basedOn w:val="DefaultParagraphFont"/>
    <w:link w:val="BodyText"/>
    <w:rsid w:val="00F205C6"/>
    <w:rPr>
      <w:rFonts w:eastAsia="Times New Roman" w:cs="Calibri"/>
      <w:sz w:val="22"/>
      <w:szCs w:val="22"/>
      <w:lang w:eastAsia="en-AU"/>
    </w:rPr>
  </w:style>
  <w:style w:type="paragraph" w:styleId="BodyText2">
    <w:name w:val="Body Text 2"/>
    <w:basedOn w:val="Normal"/>
    <w:link w:val="BodyText2Char"/>
    <w:semiHidden/>
    <w:rsid w:val="0047530B"/>
    <w:pPr>
      <w:spacing w:after="120" w:line="480" w:lineRule="auto"/>
    </w:pPr>
  </w:style>
  <w:style w:type="character" w:customStyle="1" w:styleId="BodyText2Char">
    <w:name w:val="Body Text 2 Char"/>
    <w:basedOn w:val="DefaultParagraphFont"/>
    <w:link w:val="BodyText2"/>
    <w:semiHidden/>
    <w:rsid w:val="00B662CC"/>
    <w:rPr>
      <w:rFonts w:eastAsia="Times New Roman" w:cs="Calibri"/>
      <w:sz w:val="22"/>
      <w:szCs w:val="22"/>
      <w:lang w:eastAsia="en-AU"/>
    </w:rPr>
  </w:style>
  <w:style w:type="paragraph" w:styleId="BodyText3">
    <w:name w:val="Body Text 3"/>
    <w:basedOn w:val="Normal"/>
    <w:link w:val="BodyText3Char"/>
    <w:semiHidden/>
    <w:rsid w:val="0047530B"/>
    <w:pPr>
      <w:spacing w:after="120"/>
    </w:pPr>
    <w:rPr>
      <w:sz w:val="16"/>
      <w:szCs w:val="16"/>
    </w:rPr>
  </w:style>
  <w:style w:type="character" w:customStyle="1" w:styleId="BodyText3Char">
    <w:name w:val="Body Text 3 Char"/>
    <w:basedOn w:val="DefaultParagraphFont"/>
    <w:link w:val="BodyText3"/>
    <w:semiHidden/>
    <w:rsid w:val="00B662CC"/>
    <w:rPr>
      <w:rFonts w:eastAsia="Times New Roman" w:cs="Calibri"/>
      <w:sz w:val="16"/>
      <w:szCs w:val="16"/>
      <w:lang w:eastAsia="en-AU"/>
    </w:rPr>
  </w:style>
  <w:style w:type="paragraph" w:styleId="BodyTextFirstIndent">
    <w:name w:val="Body Text First Indent"/>
    <w:basedOn w:val="BodyText"/>
    <w:link w:val="BodyTextFirstIndentChar"/>
    <w:semiHidden/>
    <w:rsid w:val="0047530B"/>
    <w:pPr>
      <w:ind w:firstLine="210"/>
    </w:pPr>
  </w:style>
  <w:style w:type="character" w:customStyle="1" w:styleId="BodyTextFirstIndentChar">
    <w:name w:val="Body Text First Indent Char"/>
    <w:basedOn w:val="BodyTextChar"/>
    <w:link w:val="BodyTextFirstIndent"/>
    <w:semiHidden/>
    <w:rsid w:val="00B662CC"/>
    <w:rPr>
      <w:rFonts w:eastAsia="Times New Roman" w:cs="Calibri"/>
      <w:sz w:val="22"/>
      <w:szCs w:val="22"/>
      <w:lang w:eastAsia="en-AU"/>
    </w:rPr>
  </w:style>
  <w:style w:type="paragraph" w:styleId="BodyTextIndent">
    <w:name w:val="Body Text Indent"/>
    <w:basedOn w:val="Normal"/>
    <w:link w:val="BodyTextIndentChar"/>
    <w:rsid w:val="00EC26D2"/>
    <w:pPr>
      <w:spacing w:line="300" w:lineRule="auto"/>
      <w:ind w:left="1440"/>
    </w:pPr>
    <w:rPr>
      <w:lang w:eastAsia="en-US"/>
    </w:rPr>
  </w:style>
  <w:style w:type="character" w:customStyle="1" w:styleId="BodyTextIndentChar">
    <w:name w:val="Body Text Indent Char"/>
    <w:basedOn w:val="DefaultParagraphFont"/>
    <w:link w:val="BodyTextIndent"/>
    <w:rsid w:val="00EC26D2"/>
    <w:rPr>
      <w:rFonts w:eastAsia="Times New Roman" w:cs="Calibri"/>
      <w:sz w:val="22"/>
      <w:szCs w:val="22"/>
    </w:rPr>
  </w:style>
  <w:style w:type="paragraph" w:styleId="BodyTextFirstIndent2">
    <w:name w:val="Body Text First Indent 2"/>
    <w:basedOn w:val="BodyTextIndent"/>
    <w:link w:val="BodyTextFirstIndent2Char"/>
    <w:semiHidden/>
    <w:rsid w:val="0047530B"/>
    <w:pPr>
      <w:ind w:firstLine="210"/>
    </w:pPr>
  </w:style>
  <w:style w:type="character" w:customStyle="1" w:styleId="BodyTextFirstIndent2Char">
    <w:name w:val="Body Text First Indent 2 Char"/>
    <w:basedOn w:val="BodyTextIndentChar"/>
    <w:link w:val="BodyTextFirstIndent2"/>
    <w:semiHidden/>
    <w:rsid w:val="00B662CC"/>
    <w:rPr>
      <w:rFonts w:eastAsia="Times New Roman" w:cs="Calibri"/>
      <w:sz w:val="22"/>
      <w:szCs w:val="22"/>
      <w:lang w:eastAsia="en-AU"/>
    </w:rPr>
  </w:style>
  <w:style w:type="paragraph" w:styleId="BodyTextIndent2">
    <w:name w:val="Body Text Indent 2"/>
    <w:basedOn w:val="Normal"/>
    <w:link w:val="BodyTextIndent2Char"/>
    <w:semiHidden/>
    <w:rsid w:val="0047530B"/>
    <w:pPr>
      <w:spacing w:after="120" w:line="480" w:lineRule="auto"/>
      <w:ind w:left="283"/>
    </w:pPr>
  </w:style>
  <w:style w:type="character" w:customStyle="1" w:styleId="BodyTextIndent2Char">
    <w:name w:val="Body Text Indent 2 Char"/>
    <w:basedOn w:val="DefaultParagraphFont"/>
    <w:link w:val="BodyTextIndent2"/>
    <w:semiHidden/>
    <w:rsid w:val="00B662CC"/>
    <w:rPr>
      <w:rFonts w:eastAsia="Times New Roman" w:cs="Calibri"/>
      <w:sz w:val="22"/>
      <w:szCs w:val="22"/>
      <w:lang w:eastAsia="en-AU"/>
    </w:rPr>
  </w:style>
  <w:style w:type="paragraph" w:styleId="BodyTextIndent3">
    <w:name w:val="Body Text Indent 3"/>
    <w:basedOn w:val="Normal"/>
    <w:link w:val="BodyTextIndent3Char"/>
    <w:uiPriority w:val="99"/>
    <w:semiHidden/>
    <w:rsid w:val="004753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5365"/>
    <w:rPr>
      <w:rFonts w:eastAsia="Times New Roman" w:cs="Calibri"/>
      <w:sz w:val="16"/>
      <w:szCs w:val="16"/>
      <w:lang w:eastAsia="en-AU"/>
    </w:rPr>
  </w:style>
  <w:style w:type="character" w:styleId="BookTitle">
    <w:name w:val="Book Title"/>
    <w:uiPriority w:val="33"/>
    <w:semiHidden/>
    <w:rsid w:val="0047530B"/>
    <w:rPr>
      <w:rFonts w:ascii="Calibri" w:hAnsi="Calibri"/>
      <w:b/>
      <w:bCs/>
      <w:smallCaps/>
      <w:spacing w:val="5"/>
    </w:rPr>
  </w:style>
  <w:style w:type="paragraph" w:customStyle="1" w:styleId="Bullet1">
    <w:name w:val="Bullet 1"/>
    <w:uiPriority w:val="1"/>
    <w:qFormat/>
    <w:rsid w:val="007770BB"/>
    <w:pPr>
      <w:numPr>
        <w:numId w:val="9"/>
      </w:numPr>
      <w:spacing w:before="60" w:after="60" w:line="264" w:lineRule="auto"/>
      <w:contextualSpacing/>
    </w:pPr>
    <w:rPr>
      <w:rFonts w:asciiTheme="minorHAnsi" w:hAnsiTheme="minorHAnsi" w:cs="Calibri"/>
      <w:spacing w:val="2"/>
      <w:sz w:val="21"/>
      <w:szCs w:val="22"/>
    </w:rPr>
  </w:style>
  <w:style w:type="paragraph" w:customStyle="1" w:styleId="Bullet2">
    <w:name w:val="Bullet 2"/>
    <w:basedOn w:val="Bullet1"/>
    <w:uiPriority w:val="1"/>
    <w:qFormat/>
    <w:rsid w:val="00B74682"/>
    <w:pPr>
      <w:numPr>
        <w:numId w:val="0"/>
      </w:numPr>
      <w:tabs>
        <w:tab w:val="left" w:pos="1620"/>
      </w:tabs>
    </w:pPr>
  </w:style>
  <w:style w:type="paragraph" w:customStyle="1" w:styleId="Numlist">
    <w:name w:val="Num list"/>
    <w:uiPriority w:val="2"/>
    <w:rsid w:val="007770BB"/>
    <w:pPr>
      <w:numPr>
        <w:ilvl w:val="4"/>
        <w:numId w:val="12"/>
      </w:numPr>
      <w:spacing w:before="60" w:after="60" w:line="264" w:lineRule="auto"/>
    </w:pPr>
    <w:rPr>
      <w:rFonts w:asciiTheme="minorHAnsi" w:eastAsia="Times New Roman" w:hAnsiTheme="minorHAnsi" w:cs="Calibri"/>
      <w:spacing w:val="2"/>
      <w:sz w:val="21"/>
      <w:szCs w:val="22"/>
      <w:lang w:eastAsia="en-AU"/>
    </w:rPr>
  </w:style>
  <w:style w:type="paragraph" w:styleId="Caption">
    <w:name w:val="caption"/>
    <w:basedOn w:val="Normal"/>
    <w:next w:val="Pictwide"/>
    <w:uiPriority w:val="21"/>
    <w:qFormat/>
    <w:rsid w:val="00DB68B9"/>
    <w:pPr>
      <w:keepNext/>
      <w:keepLines/>
      <w:tabs>
        <w:tab w:val="left" w:pos="851"/>
      </w:tabs>
      <w:spacing w:before="240"/>
      <w:ind w:left="792"/>
    </w:pPr>
    <w:rPr>
      <w:b/>
    </w:rPr>
  </w:style>
  <w:style w:type="paragraph" w:customStyle="1" w:styleId="CaptionTable">
    <w:name w:val="Caption Table"/>
    <w:basedOn w:val="Normal"/>
    <w:uiPriority w:val="22"/>
    <w:semiHidden/>
    <w:rsid w:val="0047530B"/>
    <w:rPr>
      <w:b/>
    </w:rPr>
  </w:style>
  <w:style w:type="paragraph" w:styleId="Closing">
    <w:name w:val="Closing"/>
    <w:basedOn w:val="Normal"/>
    <w:link w:val="ClosingChar"/>
    <w:uiPriority w:val="49"/>
    <w:semiHidden/>
    <w:rsid w:val="0047530B"/>
    <w:pPr>
      <w:ind w:left="4252"/>
    </w:pPr>
  </w:style>
  <w:style w:type="character" w:customStyle="1" w:styleId="ClosingChar">
    <w:name w:val="Closing Char"/>
    <w:basedOn w:val="DefaultParagraphFont"/>
    <w:link w:val="Closing"/>
    <w:uiPriority w:val="49"/>
    <w:semiHidden/>
    <w:rsid w:val="00B662CC"/>
    <w:rPr>
      <w:rFonts w:eastAsia="Times New Roman" w:cs="Calibri"/>
      <w:sz w:val="22"/>
      <w:szCs w:val="22"/>
      <w:lang w:eastAsia="en-AU"/>
    </w:rPr>
  </w:style>
  <w:style w:type="character" w:styleId="CommentReference">
    <w:name w:val="annotation reference"/>
    <w:uiPriority w:val="49"/>
    <w:semiHidden/>
    <w:rsid w:val="0047530B"/>
    <w:rPr>
      <w:rFonts w:ascii="Calibri" w:hAnsi="Calibri"/>
      <w:sz w:val="16"/>
    </w:rPr>
  </w:style>
  <w:style w:type="paragraph" w:styleId="CommentText">
    <w:name w:val="annotation text"/>
    <w:basedOn w:val="Normal"/>
    <w:link w:val="CommentTextChar"/>
    <w:uiPriority w:val="49"/>
    <w:semiHidden/>
    <w:rsid w:val="0047530B"/>
  </w:style>
  <w:style w:type="character" w:customStyle="1" w:styleId="CommentTextChar">
    <w:name w:val="Comment Text Char"/>
    <w:basedOn w:val="DefaultParagraphFont"/>
    <w:link w:val="CommentText"/>
    <w:uiPriority w:val="49"/>
    <w:semiHidden/>
    <w:rsid w:val="00B662CC"/>
    <w:rPr>
      <w:rFonts w:eastAsia="Times New Roman" w:cs="Calibri"/>
      <w:sz w:val="22"/>
      <w:szCs w:val="22"/>
      <w:lang w:eastAsia="en-AU"/>
    </w:rPr>
  </w:style>
  <w:style w:type="paragraph" w:styleId="CommentSubject">
    <w:name w:val="annotation subject"/>
    <w:basedOn w:val="CommentText"/>
    <w:next w:val="CommentText"/>
    <w:link w:val="CommentSubjectChar"/>
    <w:uiPriority w:val="49"/>
    <w:semiHidden/>
    <w:rsid w:val="0047530B"/>
    <w:rPr>
      <w:b/>
      <w:bCs/>
    </w:rPr>
  </w:style>
  <w:style w:type="character" w:customStyle="1" w:styleId="CommentSubjectChar">
    <w:name w:val="Comment Subject Char"/>
    <w:basedOn w:val="CommentTextChar"/>
    <w:link w:val="CommentSubject"/>
    <w:uiPriority w:val="49"/>
    <w:semiHidden/>
    <w:rsid w:val="00B662CC"/>
    <w:rPr>
      <w:rFonts w:eastAsia="Times New Roman" w:cs="Calibri"/>
      <w:b/>
      <w:bCs/>
      <w:sz w:val="22"/>
      <w:szCs w:val="22"/>
      <w:lang w:eastAsia="en-AU"/>
    </w:rPr>
  </w:style>
  <w:style w:type="paragraph" w:customStyle="1" w:styleId="CoverTitle">
    <w:name w:val="Cover Title"/>
    <w:basedOn w:val="Normal"/>
    <w:uiPriority w:val="30"/>
    <w:semiHidden/>
    <w:rsid w:val="0047530B"/>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7530B"/>
    <w:pPr>
      <w:spacing w:line="240" w:lineRule="auto"/>
      <w:contextualSpacing/>
    </w:pPr>
    <w:rPr>
      <w:b w:val="0"/>
      <w:sz w:val="40"/>
      <w:szCs w:val="40"/>
    </w:rPr>
  </w:style>
  <w:style w:type="paragraph" w:styleId="Date">
    <w:name w:val="Date"/>
    <w:basedOn w:val="Normal"/>
    <w:next w:val="Normal"/>
    <w:link w:val="DateChar"/>
    <w:uiPriority w:val="49"/>
    <w:semiHidden/>
    <w:rsid w:val="0047530B"/>
    <w:pPr>
      <w:ind w:left="1411"/>
    </w:pPr>
  </w:style>
  <w:style w:type="character" w:customStyle="1" w:styleId="DateChar">
    <w:name w:val="Date Char"/>
    <w:basedOn w:val="DefaultParagraphFont"/>
    <w:link w:val="Date"/>
    <w:uiPriority w:val="49"/>
    <w:semiHidden/>
    <w:rsid w:val="00B662CC"/>
    <w:rPr>
      <w:rFonts w:eastAsia="Times New Roman" w:cs="Calibri"/>
      <w:sz w:val="22"/>
      <w:szCs w:val="22"/>
      <w:lang w:eastAsia="en-AU"/>
    </w:rPr>
  </w:style>
  <w:style w:type="paragraph" w:styleId="DocumentMap">
    <w:name w:val="Document Map"/>
    <w:basedOn w:val="Normal"/>
    <w:link w:val="DocumentMapChar"/>
    <w:uiPriority w:val="49"/>
    <w:semiHidden/>
    <w:rsid w:val="0047530B"/>
    <w:pPr>
      <w:shd w:val="clear" w:color="auto" w:fill="000080"/>
    </w:pPr>
  </w:style>
  <w:style w:type="character" w:customStyle="1" w:styleId="DocumentMapChar">
    <w:name w:val="Document Map Char"/>
    <w:basedOn w:val="DefaultParagraphFont"/>
    <w:link w:val="DocumentMap"/>
    <w:uiPriority w:val="49"/>
    <w:semiHidden/>
    <w:rsid w:val="00B662CC"/>
    <w:rPr>
      <w:rFonts w:eastAsia="Times New Roman" w:cs="Calibri"/>
      <w:sz w:val="22"/>
      <w:szCs w:val="22"/>
      <w:shd w:val="clear" w:color="auto" w:fill="000080"/>
      <w:lang w:eastAsia="en-AU"/>
    </w:rPr>
  </w:style>
  <w:style w:type="paragraph" w:styleId="E-mailSignature">
    <w:name w:val="E-mail Signature"/>
    <w:basedOn w:val="Normal"/>
    <w:link w:val="E-mailSignatureChar"/>
    <w:uiPriority w:val="49"/>
    <w:semiHidden/>
    <w:rsid w:val="0047530B"/>
  </w:style>
  <w:style w:type="character" w:customStyle="1" w:styleId="E-mailSignatureChar">
    <w:name w:val="E-mail Signature Char"/>
    <w:basedOn w:val="DefaultParagraphFont"/>
    <w:link w:val="E-mailSignature"/>
    <w:uiPriority w:val="49"/>
    <w:semiHidden/>
    <w:rsid w:val="00B662CC"/>
    <w:rPr>
      <w:rFonts w:eastAsia="Times New Roman" w:cs="Calibri"/>
      <w:sz w:val="22"/>
      <w:szCs w:val="22"/>
      <w:lang w:eastAsia="en-AU"/>
    </w:rPr>
  </w:style>
  <w:style w:type="character" w:styleId="Emphasis">
    <w:name w:val="Emphasis"/>
    <w:uiPriority w:val="20"/>
    <w:semiHidden/>
    <w:rsid w:val="0047530B"/>
    <w:rPr>
      <w:i/>
      <w:iCs/>
    </w:rPr>
  </w:style>
  <w:style w:type="character" w:styleId="EndnoteReference">
    <w:name w:val="endnote reference"/>
    <w:uiPriority w:val="49"/>
    <w:semiHidden/>
    <w:rsid w:val="0047530B"/>
    <w:rPr>
      <w:vertAlign w:val="superscript"/>
    </w:rPr>
  </w:style>
  <w:style w:type="paragraph" w:styleId="EndnoteText">
    <w:name w:val="endnote text"/>
    <w:basedOn w:val="Normal"/>
    <w:link w:val="EndnoteTextChar"/>
    <w:uiPriority w:val="49"/>
    <w:semiHidden/>
    <w:rsid w:val="0047530B"/>
  </w:style>
  <w:style w:type="character" w:customStyle="1" w:styleId="EndnoteTextChar">
    <w:name w:val="Endnote Text Char"/>
    <w:basedOn w:val="DefaultParagraphFont"/>
    <w:link w:val="EndnoteText"/>
    <w:uiPriority w:val="49"/>
    <w:semiHidden/>
    <w:rsid w:val="00B662CC"/>
    <w:rPr>
      <w:rFonts w:eastAsia="Times New Roman" w:cs="Calibri"/>
      <w:sz w:val="22"/>
      <w:szCs w:val="22"/>
      <w:lang w:eastAsia="en-AU"/>
    </w:rPr>
  </w:style>
  <w:style w:type="paragraph" w:styleId="EnvelopeAddress">
    <w:name w:val="envelope address"/>
    <w:basedOn w:val="Normal"/>
    <w:uiPriority w:val="49"/>
    <w:semiHidden/>
    <w:rsid w:val="0047530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7530B"/>
  </w:style>
  <w:style w:type="character" w:styleId="FollowedHyperlink">
    <w:name w:val="FollowedHyperlink"/>
    <w:uiPriority w:val="99"/>
    <w:semiHidden/>
    <w:unhideWhenUsed/>
    <w:rsid w:val="0047530B"/>
    <w:rPr>
      <w:color w:val="800080"/>
      <w:u w:val="single"/>
    </w:rPr>
  </w:style>
  <w:style w:type="paragraph" w:styleId="Footer">
    <w:name w:val="footer"/>
    <w:link w:val="FooterChar"/>
    <w:uiPriority w:val="24"/>
    <w:rsid w:val="002B047E"/>
    <w:pPr>
      <w:tabs>
        <w:tab w:val="right" w:pos="9026"/>
      </w:tabs>
      <w:spacing w:before="160"/>
    </w:pPr>
    <w:rPr>
      <w:rFonts w:asciiTheme="minorHAnsi" w:eastAsiaTheme="minorEastAsia" w:hAnsiTheme="minorHAnsi" w:cstheme="minorBidi"/>
      <w:noProof/>
      <w:spacing w:val="2"/>
      <w:sz w:val="18"/>
      <w:szCs w:val="18"/>
      <w:lang w:eastAsia="en-AU"/>
    </w:rPr>
  </w:style>
  <w:style w:type="character" w:customStyle="1" w:styleId="FooterChar">
    <w:name w:val="Footer Char"/>
    <w:basedOn w:val="DefaultParagraphFont"/>
    <w:link w:val="Footer"/>
    <w:uiPriority w:val="24"/>
    <w:rsid w:val="002B047E"/>
    <w:rPr>
      <w:rFonts w:asciiTheme="minorHAnsi" w:eastAsiaTheme="minorEastAsia" w:hAnsiTheme="minorHAnsi" w:cstheme="minorBidi"/>
      <w:noProof/>
      <w:spacing w:val="2"/>
      <w:sz w:val="18"/>
      <w:szCs w:val="18"/>
      <w:lang w:eastAsia="en-AU"/>
    </w:rPr>
  </w:style>
  <w:style w:type="character" w:styleId="FootnoteReference">
    <w:name w:val="footnote reference"/>
    <w:uiPriority w:val="49"/>
    <w:semiHidden/>
    <w:rsid w:val="0047530B"/>
    <w:rPr>
      <w:vertAlign w:val="superscript"/>
    </w:rPr>
  </w:style>
  <w:style w:type="paragraph" w:styleId="FootnoteText">
    <w:name w:val="footnote text"/>
    <w:basedOn w:val="Normal"/>
    <w:link w:val="FootnoteTextChar"/>
    <w:uiPriority w:val="49"/>
    <w:semiHidden/>
    <w:rsid w:val="0047530B"/>
  </w:style>
  <w:style w:type="character" w:customStyle="1" w:styleId="FootnoteTextChar">
    <w:name w:val="Footnote Text Char"/>
    <w:basedOn w:val="DefaultParagraphFont"/>
    <w:link w:val="FootnoteText"/>
    <w:uiPriority w:val="49"/>
    <w:semiHidden/>
    <w:rsid w:val="00B662CC"/>
    <w:rPr>
      <w:rFonts w:eastAsia="Times New Roman" w:cs="Calibri"/>
      <w:sz w:val="22"/>
      <w:szCs w:val="22"/>
      <w:lang w:eastAsia="en-AU"/>
    </w:rPr>
  </w:style>
  <w:style w:type="paragraph" w:customStyle="1" w:styleId="FrontPagesLeft">
    <w:name w:val="Front Pages Left"/>
    <w:basedOn w:val="Normal"/>
    <w:uiPriority w:val="31"/>
    <w:semiHidden/>
    <w:qFormat/>
    <w:rsid w:val="0047530B"/>
    <w:pPr>
      <w:spacing w:before="0" w:after="0" w:line="200" w:lineRule="atLeast"/>
      <w:ind w:right="6237"/>
    </w:pPr>
    <w:rPr>
      <w:color w:val="000000"/>
      <w:sz w:val="18"/>
      <w:lang w:eastAsia="en-US"/>
    </w:rPr>
  </w:style>
  <w:style w:type="paragraph" w:styleId="Header">
    <w:name w:val="header"/>
    <w:basedOn w:val="Normal"/>
    <w:link w:val="HeaderChar"/>
    <w:uiPriority w:val="24"/>
    <w:rsid w:val="00F13A5A"/>
    <w:pPr>
      <w:tabs>
        <w:tab w:val="center" w:pos="4320"/>
        <w:tab w:val="right" w:pos="8640"/>
      </w:tabs>
      <w:spacing w:before="260" w:after="0"/>
      <w:ind w:right="-446"/>
      <w:jc w:val="right"/>
    </w:pPr>
    <w:rPr>
      <w:noProof/>
      <w:color w:val="0063A6" w:themeColor="accent1"/>
      <w:sz w:val="28"/>
    </w:rPr>
  </w:style>
  <w:style w:type="character" w:customStyle="1" w:styleId="HeaderChar">
    <w:name w:val="Header Char"/>
    <w:basedOn w:val="DefaultParagraphFont"/>
    <w:link w:val="Header"/>
    <w:uiPriority w:val="24"/>
    <w:rsid w:val="00F13A5A"/>
    <w:rPr>
      <w:rFonts w:eastAsia="Times New Roman" w:cs="Calibri"/>
      <w:noProof/>
      <w:color w:val="0063A6" w:themeColor="accent1"/>
      <w:sz w:val="28"/>
      <w:szCs w:val="22"/>
      <w:lang w:eastAsia="en-AU"/>
    </w:rPr>
  </w:style>
  <w:style w:type="character" w:customStyle="1" w:styleId="Heading1Char">
    <w:name w:val="Heading 1 Char"/>
    <w:basedOn w:val="DefaultParagraphFont"/>
    <w:link w:val="Heading1"/>
    <w:uiPriority w:val="3"/>
    <w:rsid w:val="00663478"/>
    <w:rPr>
      <w:rFonts w:asciiTheme="majorHAnsi" w:eastAsia="Times New Roman" w:hAnsiTheme="majorHAnsi" w:cs="Calibri"/>
      <w:b/>
      <w:color w:val="4D4D4D"/>
      <w:spacing w:val="-2"/>
      <w:sz w:val="30"/>
      <w:szCs w:val="22"/>
    </w:rPr>
  </w:style>
  <w:style w:type="paragraph" w:customStyle="1" w:styleId="Heading1NoNum">
    <w:name w:val="Heading 1 NoNum"/>
    <w:next w:val="Normal"/>
    <w:uiPriority w:val="4"/>
    <w:qFormat/>
    <w:rsid w:val="007770BB"/>
    <w:pPr>
      <w:keepNext/>
      <w:spacing w:before="300" w:after="120" w:line="360" w:lineRule="auto"/>
      <w:jc w:val="center"/>
    </w:pPr>
    <w:rPr>
      <w:rFonts w:asciiTheme="majorHAnsi" w:eastAsia="Times New Roman" w:hAnsiTheme="majorHAnsi" w:cs="Calibri"/>
      <w:b/>
      <w:color w:val="4D4D4D"/>
      <w:spacing w:val="-2"/>
      <w:sz w:val="30"/>
      <w:szCs w:val="22"/>
    </w:rPr>
  </w:style>
  <w:style w:type="character" w:customStyle="1" w:styleId="Heading2Char">
    <w:name w:val="Heading 2 Char"/>
    <w:basedOn w:val="DefaultParagraphFont"/>
    <w:link w:val="Heading2"/>
    <w:uiPriority w:val="3"/>
    <w:rsid w:val="00663478"/>
    <w:rPr>
      <w:rFonts w:asciiTheme="majorHAnsi" w:eastAsia="Times New Roman" w:hAnsiTheme="majorHAnsi" w:cs="Calibri"/>
      <w:b/>
      <w:color w:val="4D4D4D"/>
      <w:sz w:val="26"/>
      <w:szCs w:val="22"/>
    </w:rPr>
  </w:style>
  <w:style w:type="paragraph" w:customStyle="1" w:styleId="Heading2NoNum">
    <w:name w:val="Heading 2 NoNum"/>
    <w:basedOn w:val="Heading2"/>
    <w:next w:val="Normal"/>
    <w:uiPriority w:val="4"/>
    <w:qFormat/>
    <w:rsid w:val="007770BB"/>
    <w:pPr>
      <w:keepNext/>
      <w:numPr>
        <w:ilvl w:val="0"/>
        <w:numId w:val="0"/>
      </w:numPr>
      <w:spacing w:before="180" w:after="120"/>
    </w:pPr>
    <w:rPr>
      <w:spacing w:val="-2"/>
    </w:rPr>
  </w:style>
  <w:style w:type="character" w:customStyle="1" w:styleId="Heading3Char">
    <w:name w:val="Heading 3 Char"/>
    <w:basedOn w:val="DefaultParagraphFont"/>
    <w:link w:val="Heading3"/>
    <w:uiPriority w:val="3"/>
    <w:rsid w:val="0047530B"/>
    <w:rPr>
      <w:rFonts w:asciiTheme="majorHAnsi" w:eastAsia="Times New Roman" w:hAnsiTheme="majorHAnsi" w:cs="Calibri"/>
      <w:b/>
      <w:color w:val="4D4D4D"/>
      <w:sz w:val="24"/>
      <w:szCs w:val="22"/>
    </w:rPr>
  </w:style>
  <w:style w:type="paragraph" w:customStyle="1" w:styleId="Numlist2">
    <w:name w:val="Num list 2"/>
    <w:uiPriority w:val="2"/>
    <w:rsid w:val="00F43173"/>
    <w:pPr>
      <w:numPr>
        <w:ilvl w:val="5"/>
        <w:numId w:val="12"/>
      </w:numPr>
      <w:spacing w:before="60" w:after="60" w:line="264" w:lineRule="auto"/>
    </w:pPr>
    <w:rPr>
      <w:rFonts w:ascii="Arial" w:eastAsia="Times New Roman" w:hAnsi="Arial" w:cs="Calibri"/>
      <w:spacing w:val="2"/>
      <w:sz w:val="21"/>
      <w:szCs w:val="22"/>
      <w:lang w:eastAsia="en-AU"/>
    </w:rPr>
  </w:style>
  <w:style w:type="character" w:customStyle="1" w:styleId="Heading4Char">
    <w:name w:val="Heading 4 Char"/>
    <w:basedOn w:val="DefaultParagraphFont"/>
    <w:link w:val="Heading4"/>
    <w:uiPriority w:val="3"/>
    <w:rsid w:val="0047530B"/>
    <w:rPr>
      <w:rFonts w:asciiTheme="majorHAnsi" w:eastAsia="Times New Roman" w:hAnsiTheme="majorHAnsi" w:cs="Calibri"/>
      <w:b/>
      <w:color w:val="4D4D4D"/>
      <w:sz w:val="22"/>
      <w:szCs w:val="22"/>
    </w:rPr>
  </w:style>
  <w:style w:type="paragraph" w:customStyle="1" w:styleId="Notes">
    <w:name w:val="Notes"/>
    <w:uiPriority w:val="20"/>
    <w:qFormat/>
    <w:rsid w:val="002F3B71"/>
    <w:pPr>
      <w:spacing w:before="60" w:after="120"/>
      <w:ind w:left="1440"/>
    </w:pPr>
    <w:rPr>
      <w:rFonts w:eastAsia="Times New Roman" w:cs="Calibri"/>
      <w:szCs w:val="22"/>
    </w:rPr>
  </w:style>
  <w:style w:type="character" w:customStyle="1" w:styleId="Heading5Char">
    <w:name w:val="Heading 5 Char"/>
    <w:basedOn w:val="DefaultParagraphFont"/>
    <w:link w:val="Heading5"/>
    <w:uiPriority w:val="3"/>
    <w:semiHidden/>
    <w:rsid w:val="00881974"/>
    <w:rPr>
      <w:rFonts w:eastAsia="Times New Roman" w:cs="Calibri"/>
      <w:bCs/>
      <w:color w:val="404040"/>
      <w:sz w:val="22"/>
      <w:szCs w:val="22"/>
    </w:rPr>
  </w:style>
  <w:style w:type="character" w:customStyle="1" w:styleId="Heading6Char">
    <w:name w:val="Heading 6 Char"/>
    <w:basedOn w:val="DefaultParagraphFont"/>
    <w:link w:val="Heading6"/>
    <w:uiPriority w:val="3"/>
    <w:semiHidden/>
    <w:rsid w:val="00881974"/>
    <w:rPr>
      <w:rFonts w:eastAsia="Times New Roman" w:cs="Calibri"/>
      <w:b/>
      <w:bCs/>
      <w:iCs/>
      <w:color w:val="404040"/>
      <w:sz w:val="22"/>
      <w:szCs w:val="22"/>
    </w:rPr>
  </w:style>
  <w:style w:type="character" w:customStyle="1" w:styleId="Heading7Char">
    <w:name w:val="Heading 7 Char"/>
    <w:basedOn w:val="DefaultParagraphFont"/>
    <w:link w:val="Heading7"/>
    <w:uiPriority w:val="3"/>
    <w:semiHidden/>
    <w:rsid w:val="00881974"/>
    <w:rPr>
      <w:rFonts w:eastAsia="Times New Roman" w:cs="Calibri"/>
      <w:b/>
      <w:bCs/>
      <w:i/>
      <w:iCs/>
      <w:color w:val="404040"/>
      <w:sz w:val="22"/>
      <w:szCs w:val="22"/>
    </w:rPr>
  </w:style>
  <w:style w:type="character" w:customStyle="1" w:styleId="Heading8Char">
    <w:name w:val="Heading 8 Char"/>
    <w:basedOn w:val="DefaultParagraphFont"/>
    <w:link w:val="Heading8"/>
    <w:uiPriority w:val="3"/>
    <w:semiHidden/>
    <w:rsid w:val="00881974"/>
    <w:rPr>
      <w:rFonts w:eastAsia="Times New Roman" w:cs="Calibri"/>
      <w:bCs/>
      <w:i/>
      <w:iCs/>
      <w:color w:val="404040"/>
      <w:sz w:val="22"/>
      <w:szCs w:val="22"/>
    </w:rPr>
  </w:style>
  <w:style w:type="character" w:customStyle="1" w:styleId="Heading9Char">
    <w:name w:val="Heading 9 Char"/>
    <w:basedOn w:val="DefaultParagraphFont"/>
    <w:link w:val="Heading9"/>
    <w:uiPriority w:val="3"/>
    <w:semiHidden/>
    <w:rsid w:val="00881974"/>
    <w:rPr>
      <w:rFonts w:eastAsia="Times New Roman" w:cs="Calibri"/>
      <w:bCs/>
      <w:i/>
      <w:iCs/>
      <w:color w:val="404040"/>
      <w:sz w:val="22"/>
      <w:szCs w:val="22"/>
    </w:rPr>
  </w:style>
  <w:style w:type="character" w:styleId="HTMLAcronym">
    <w:name w:val="HTML Acronym"/>
    <w:basedOn w:val="DefaultParagraphFont"/>
    <w:uiPriority w:val="99"/>
    <w:semiHidden/>
    <w:rsid w:val="0047530B"/>
  </w:style>
  <w:style w:type="paragraph" w:styleId="HTMLAddress">
    <w:name w:val="HTML Address"/>
    <w:basedOn w:val="Normal"/>
    <w:link w:val="HTMLAddressChar"/>
    <w:uiPriority w:val="49"/>
    <w:semiHidden/>
    <w:rsid w:val="0047530B"/>
    <w:rPr>
      <w:i/>
      <w:iCs/>
    </w:rPr>
  </w:style>
  <w:style w:type="character" w:customStyle="1" w:styleId="HTMLAddressChar">
    <w:name w:val="HTML Address Char"/>
    <w:basedOn w:val="DefaultParagraphFont"/>
    <w:link w:val="HTMLAddress"/>
    <w:uiPriority w:val="49"/>
    <w:semiHidden/>
    <w:rsid w:val="00B662CC"/>
    <w:rPr>
      <w:rFonts w:eastAsia="Times New Roman" w:cs="Calibri"/>
      <w:i/>
      <w:iCs/>
      <w:sz w:val="22"/>
      <w:szCs w:val="22"/>
      <w:lang w:eastAsia="en-AU"/>
    </w:rPr>
  </w:style>
  <w:style w:type="character" w:styleId="HTMLCite">
    <w:name w:val="HTML Cite"/>
    <w:uiPriority w:val="99"/>
    <w:semiHidden/>
    <w:rsid w:val="0047530B"/>
    <w:rPr>
      <w:i/>
      <w:iCs/>
    </w:rPr>
  </w:style>
  <w:style w:type="character" w:styleId="HTMLCode">
    <w:name w:val="HTML Code"/>
    <w:uiPriority w:val="99"/>
    <w:semiHidden/>
    <w:rsid w:val="0047530B"/>
    <w:rPr>
      <w:sz w:val="20"/>
      <w:szCs w:val="20"/>
    </w:rPr>
  </w:style>
  <w:style w:type="character" w:styleId="HTMLDefinition">
    <w:name w:val="HTML Definition"/>
    <w:uiPriority w:val="99"/>
    <w:semiHidden/>
    <w:rsid w:val="0047530B"/>
    <w:rPr>
      <w:i/>
      <w:iCs/>
    </w:rPr>
  </w:style>
  <w:style w:type="character" w:styleId="HTMLKeyboard">
    <w:name w:val="HTML Keyboard"/>
    <w:uiPriority w:val="99"/>
    <w:semiHidden/>
    <w:rsid w:val="0047530B"/>
    <w:rPr>
      <w:sz w:val="20"/>
      <w:szCs w:val="20"/>
    </w:rPr>
  </w:style>
  <w:style w:type="paragraph" w:styleId="HTMLPreformatted">
    <w:name w:val="HTML Preformatted"/>
    <w:basedOn w:val="Normal"/>
    <w:link w:val="HTMLPreformattedChar"/>
    <w:uiPriority w:val="49"/>
    <w:semiHidden/>
    <w:rsid w:val="0047530B"/>
  </w:style>
  <w:style w:type="character" w:customStyle="1" w:styleId="HTMLPreformattedChar">
    <w:name w:val="HTML Preformatted Char"/>
    <w:basedOn w:val="DefaultParagraphFont"/>
    <w:link w:val="HTMLPreformatted"/>
    <w:uiPriority w:val="49"/>
    <w:semiHidden/>
    <w:rsid w:val="00B662CC"/>
    <w:rPr>
      <w:rFonts w:eastAsia="Times New Roman" w:cs="Calibri"/>
      <w:sz w:val="22"/>
      <w:szCs w:val="22"/>
      <w:lang w:eastAsia="en-AU"/>
    </w:rPr>
  </w:style>
  <w:style w:type="character" w:styleId="HTMLSample">
    <w:name w:val="HTML Sample"/>
    <w:uiPriority w:val="99"/>
    <w:semiHidden/>
    <w:rsid w:val="0047530B"/>
    <w:rPr>
      <w:sz w:val="24"/>
      <w:szCs w:val="24"/>
    </w:rPr>
  </w:style>
  <w:style w:type="character" w:styleId="HTMLTypewriter">
    <w:name w:val="HTML Typewriter"/>
    <w:uiPriority w:val="99"/>
    <w:semiHidden/>
    <w:rsid w:val="0047530B"/>
    <w:rPr>
      <w:sz w:val="20"/>
      <w:szCs w:val="20"/>
    </w:rPr>
  </w:style>
  <w:style w:type="character" w:styleId="HTMLVariable">
    <w:name w:val="HTML Variable"/>
    <w:uiPriority w:val="99"/>
    <w:semiHidden/>
    <w:rsid w:val="0047530B"/>
    <w:rPr>
      <w:i/>
      <w:iCs/>
    </w:rPr>
  </w:style>
  <w:style w:type="character" w:styleId="Hyperlink">
    <w:name w:val="Hyperlink"/>
    <w:uiPriority w:val="99"/>
    <w:semiHidden/>
    <w:rsid w:val="0047530B"/>
    <w:rPr>
      <w:color w:val="404040"/>
      <w:u w:val="single"/>
    </w:rPr>
  </w:style>
  <w:style w:type="paragraph" w:styleId="Index1">
    <w:name w:val="index 1"/>
    <w:basedOn w:val="Normal"/>
    <w:next w:val="Normal"/>
    <w:autoRedefine/>
    <w:uiPriority w:val="49"/>
    <w:semiHidden/>
    <w:rsid w:val="00F92125"/>
    <w:pPr>
      <w:ind w:left="200" w:hanging="200"/>
    </w:pPr>
  </w:style>
  <w:style w:type="paragraph" w:styleId="Index2">
    <w:name w:val="index 2"/>
    <w:basedOn w:val="Normal"/>
    <w:next w:val="Normal"/>
    <w:autoRedefine/>
    <w:uiPriority w:val="49"/>
    <w:semiHidden/>
    <w:rsid w:val="00F92125"/>
    <w:pPr>
      <w:ind w:left="400" w:hanging="200"/>
    </w:pPr>
  </w:style>
  <w:style w:type="paragraph" w:styleId="Index3">
    <w:name w:val="index 3"/>
    <w:basedOn w:val="Normal"/>
    <w:next w:val="Normal"/>
    <w:autoRedefine/>
    <w:uiPriority w:val="49"/>
    <w:semiHidden/>
    <w:rsid w:val="00F92125"/>
    <w:pPr>
      <w:ind w:left="600" w:hanging="200"/>
    </w:pPr>
  </w:style>
  <w:style w:type="paragraph" w:styleId="Index4">
    <w:name w:val="index 4"/>
    <w:basedOn w:val="Normal"/>
    <w:next w:val="Normal"/>
    <w:autoRedefine/>
    <w:uiPriority w:val="49"/>
    <w:semiHidden/>
    <w:rsid w:val="00F92125"/>
    <w:pPr>
      <w:ind w:left="800" w:hanging="200"/>
    </w:pPr>
  </w:style>
  <w:style w:type="paragraph" w:styleId="Index5">
    <w:name w:val="index 5"/>
    <w:basedOn w:val="Normal"/>
    <w:next w:val="Normal"/>
    <w:autoRedefine/>
    <w:uiPriority w:val="49"/>
    <w:semiHidden/>
    <w:rsid w:val="00F92125"/>
    <w:pPr>
      <w:ind w:left="1000" w:hanging="200"/>
    </w:pPr>
  </w:style>
  <w:style w:type="paragraph" w:styleId="Index6">
    <w:name w:val="index 6"/>
    <w:basedOn w:val="Normal"/>
    <w:next w:val="Normal"/>
    <w:autoRedefine/>
    <w:uiPriority w:val="49"/>
    <w:semiHidden/>
    <w:rsid w:val="00F92125"/>
    <w:pPr>
      <w:ind w:left="1200" w:hanging="200"/>
    </w:pPr>
  </w:style>
  <w:style w:type="paragraph" w:styleId="Index7">
    <w:name w:val="index 7"/>
    <w:basedOn w:val="Normal"/>
    <w:next w:val="Normal"/>
    <w:autoRedefine/>
    <w:uiPriority w:val="49"/>
    <w:semiHidden/>
    <w:rsid w:val="00F92125"/>
    <w:pPr>
      <w:ind w:left="1400" w:hanging="200"/>
    </w:pPr>
  </w:style>
  <w:style w:type="paragraph" w:styleId="Index8">
    <w:name w:val="index 8"/>
    <w:basedOn w:val="Normal"/>
    <w:next w:val="Normal"/>
    <w:autoRedefine/>
    <w:uiPriority w:val="49"/>
    <w:semiHidden/>
    <w:rsid w:val="00F92125"/>
    <w:pPr>
      <w:ind w:left="1600" w:hanging="200"/>
    </w:pPr>
  </w:style>
  <w:style w:type="paragraph" w:styleId="Index9">
    <w:name w:val="index 9"/>
    <w:basedOn w:val="Normal"/>
    <w:next w:val="Normal"/>
    <w:autoRedefine/>
    <w:uiPriority w:val="49"/>
    <w:semiHidden/>
    <w:rsid w:val="00F92125"/>
    <w:pPr>
      <w:ind w:left="1800" w:hanging="200"/>
    </w:pPr>
  </w:style>
  <w:style w:type="paragraph" w:styleId="IndexHeading">
    <w:name w:val="index heading"/>
    <w:basedOn w:val="Normal"/>
    <w:next w:val="Index1"/>
    <w:uiPriority w:val="49"/>
    <w:semiHidden/>
    <w:rsid w:val="0047530B"/>
    <w:rPr>
      <w:b/>
      <w:bCs/>
    </w:rPr>
  </w:style>
  <w:style w:type="character" w:styleId="IntenseEmphasis">
    <w:name w:val="Intense Emphasis"/>
    <w:uiPriority w:val="21"/>
    <w:semiHidden/>
    <w:rsid w:val="00B662CC"/>
    <w:rPr>
      <w:b/>
      <w:bCs/>
      <w:i/>
      <w:iCs/>
      <w:color w:val="4F81BD"/>
    </w:rPr>
  </w:style>
  <w:style w:type="character" w:styleId="IntenseReference">
    <w:name w:val="Intense Reference"/>
    <w:uiPriority w:val="32"/>
    <w:semiHidden/>
    <w:rsid w:val="00B662CC"/>
    <w:rPr>
      <w:b/>
      <w:bCs/>
      <w:smallCaps/>
      <w:color w:val="C0504D"/>
      <w:spacing w:val="5"/>
      <w:u w:val="single"/>
    </w:rPr>
  </w:style>
  <w:style w:type="character" w:styleId="LineNumber">
    <w:name w:val="line number"/>
    <w:basedOn w:val="DefaultParagraphFont"/>
    <w:uiPriority w:val="49"/>
    <w:semiHidden/>
    <w:rsid w:val="00B662CC"/>
  </w:style>
  <w:style w:type="paragraph" w:styleId="List">
    <w:name w:val="List"/>
    <w:basedOn w:val="Normal"/>
    <w:uiPriority w:val="49"/>
    <w:semiHidden/>
    <w:rsid w:val="00B662CC"/>
    <w:pPr>
      <w:ind w:left="283" w:hanging="283"/>
    </w:pPr>
  </w:style>
  <w:style w:type="paragraph" w:styleId="List2">
    <w:name w:val="List 2"/>
    <w:basedOn w:val="Normal"/>
    <w:uiPriority w:val="49"/>
    <w:semiHidden/>
    <w:rsid w:val="00B662CC"/>
    <w:pPr>
      <w:ind w:left="566" w:hanging="283"/>
    </w:pPr>
  </w:style>
  <w:style w:type="paragraph" w:styleId="List3">
    <w:name w:val="List 3"/>
    <w:basedOn w:val="Normal"/>
    <w:uiPriority w:val="49"/>
    <w:semiHidden/>
    <w:rsid w:val="00B662CC"/>
    <w:pPr>
      <w:ind w:left="849" w:hanging="283"/>
    </w:pPr>
  </w:style>
  <w:style w:type="paragraph" w:styleId="List4">
    <w:name w:val="List 4"/>
    <w:basedOn w:val="Normal"/>
    <w:uiPriority w:val="49"/>
    <w:semiHidden/>
    <w:rsid w:val="00B662CC"/>
    <w:pPr>
      <w:ind w:left="1132" w:hanging="283"/>
    </w:pPr>
  </w:style>
  <w:style w:type="paragraph" w:styleId="List5">
    <w:name w:val="List 5"/>
    <w:basedOn w:val="Normal"/>
    <w:uiPriority w:val="49"/>
    <w:semiHidden/>
    <w:rsid w:val="00B662CC"/>
    <w:pPr>
      <w:ind w:left="1415" w:hanging="283"/>
    </w:pPr>
  </w:style>
  <w:style w:type="paragraph" w:styleId="ListBullet">
    <w:name w:val="List Bullet"/>
    <w:basedOn w:val="Normal"/>
    <w:uiPriority w:val="99"/>
    <w:semiHidden/>
    <w:rsid w:val="00B662CC"/>
    <w:pPr>
      <w:numPr>
        <w:numId w:val="2"/>
      </w:numPr>
      <w:contextualSpacing/>
    </w:pPr>
  </w:style>
  <w:style w:type="paragraph" w:styleId="ListBullet2">
    <w:name w:val="List Bullet 2"/>
    <w:basedOn w:val="Normal"/>
    <w:uiPriority w:val="99"/>
    <w:semiHidden/>
    <w:rsid w:val="00B662CC"/>
    <w:pPr>
      <w:numPr>
        <w:numId w:val="3"/>
      </w:numPr>
      <w:contextualSpacing/>
    </w:pPr>
  </w:style>
  <w:style w:type="paragraph" w:styleId="ListBullet3">
    <w:name w:val="List Bullet 3"/>
    <w:basedOn w:val="Normal"/>
    <w:uiPriority w:val="99"/>
    <w:semiHidden/>
    <w:unhideWhenUsed/>
    <w:rsid w:val="00B662CC"/>
    <w:pPr>
      <w:numPr>
        <w:numId w:val="4"/>
      </w:numPr>
      <w:contextualSpacing/>
    </w:pPr>
  </w:style>
  <w:style w:type="paragraph" w:styleId="ListBullet4">
    <w:name w:val="List Bullet 4"/>
    <w:basedOn w:val="Normal"/>
    <w:uiPriority w:val="49"/>
    <w:semiHidden/>
    <w:rsid w:val="00B662CC"/>
    <w:pPr>
      <w:tabs>
        <w:tab w:val="num" w:pos="1209"/>
      </w:tabs>
      <w:ind w:left="1209" w:hanging="360"/>
    </w:pPr>
  </w:style>
  <w:style w:type="paragraph" w:styleId="ListBullet5">
    <w:name w:val="List Bullet 5"/>
    <w:basedOn w:val="Normal"/>
    <w:uiPriority w:val="49"/>
    <w:semiHidden/>
    <w:rsid w:val="00B662CC"/>
    <w:pPr>
      <w:tabs>
        <w:tab w:val="num" w:pos="1492"/>
      </w:tabs>
      <w:ind w:left="1492" w:hanging="360"/>
    </w:pPr>
  </w:style>
  <w:style w:type="paragraph" w:customStyle="1" w:styleId="ListBulletBold">
    <w:name w:val="List Bullet Bold"/>
    <w:basedOn w:val="Normal"/>
    <w:next w:val="Normal"/>
    <w:uiPriority w:val="49"/>
    <w:semiHidden/>
    <w:rsid w:val="00B662CC"/>
    <w:rPr>
      <w:b/>
    </w:rPr>
  </w:style>
  <w:style w:type="paragraph" w:styleId="ListContinue">
    <w:name w:val="List Continue"/>
    <w:basedOn w:val="Normal"/>
    <w:uiPriority w:val="8"/>
    <w:semiHidden/>
    <w:qFormat/>
    <w:rsid w:val="00B662CC"/>
    <w:pPr>
      <w:spacing w:before="0" w:after="0"/>
      <w:ind w:left="1077"/>
    </w:pPr>
  </w:style>
  <w:style w:type="paragraph" w:styleId="ListContinue2">
    <w:name w:val="List Continue 2"/>
    <w:basedOn w:val="Normal"/>
    <w:uiPriority w:val="8"/>
    <w:semiHidden/>
    <w:rsid w:val="00B662CC"/>
    <w:pPr>
      <w:spacing w:before="0" w:after="0"/>
      <w:ind w:left="1361"/>
    </w:pPr>
  </w:style>
  <w:style w:type="paragraph" w:styleId="ListContinue3">
    <w:name w:val="List Continue 3"/>
    <w:basedOn w:val="Normal"/>
    <w:uiPriority w:val="8"/>
    <w:semiHidden/>
    <w:rsid w:val="00B662CC"/>
    <w:pPr>
      <w:spacing w:before="0" w:after="0"/>
      <w:ind w:left="1644"/>
    </w:pPr>
  </w:style>
  <w:style w:type="paragraph" w:styleId="ListContinue4">
    <w:name w:val="List Continue 4"/>
    <w:basedOn w:val="Normal"/>
    <w:uiPriority w:val="49"/>
    <w:semiHidden/>
    <w:rsid w:val="00B662CC"/>
    <w:pPr>
      <w:spacing w:after="120"/>
      <w:ind w:left="1132"/>
    </w:pPr>
  </w:style>
  <w:style w:type="paragraph" w:styleId="ListContinue5">
    <w:name w:val="List Continue 5"/>
    <w:basedOn w:val="Normal"/>
    <w:uiPriority w:val="49"/>
    <w:semiHidden/>
    <w:rsid w:val="00B662CC"/>
    <w:pPr>
      <w:spacing w:after="120"/>
      <w:ind w:left="1415"/>
    </w:pPr>
  </w:style>
  <w:style w:type="paragraph" w:styleId="ListNumber">
    <w:name w:val="List Number"/>
    <w:basedOn w:val="Normal"/>
    <w:uiPriority w:val="7"/>
    <w:semiHidden/>
    <w:qFormat/>
    <w:rsid w:val="00B662CC"/>
    <w:pPr>
      <w:numPr>
        <w:numId w:val="5"/>
      </w:numPr>
      <w:contextualSpacing/>
    </w:pPr>
  </w:style>
  <w:style w:type="paragraph" w:styleId="ListNumber2">
    <w:name w:val="List Number 2"/>
    <w:basedOn w:val="Normal"/>
    <w:uiPriority w:val="7"/>
    <w:semiHidden/>
    <w:rsid w:val="00B662CC"/>
    <w:pPr>
      <w:numPr>
        <w:ilvl w:val="1"/>
        <w:numId w:val="5"/>
      </w:numPr>
      <w:contextualSpacing/>
    </w:pPr>
  </w:style>
  <w:style w:type="paragraph" w:styleId="ListNumber3">
    <w:name w:val="List Number 3"/>
    <w:basedOn w:val="Normal"/>
    <w:uiPriority w:val="7"/>
    <w:semiHidden/>
    <w:rsid w:val="00B662CC"/>
    <w:pPr>
      <w:numPr>
        <w:ilvl w:val="2"/>
        <w:numId w:val="5"/>
      </w:numPr>
      <w:contextualSpacing/>
    </w:pPr>
  </w:style>
  <w:style w:type="paragraph" w:styleId="ListNumber4">
    <w:name w:val="List Number 4"/>
    <w:basedOn w:val="Normal"/>
    <w:uiPriority w:val="49"/>
    <w:semiHidden/>
    <w:rsid w:val="00B662CC"/>
    <w:pPr>
      <w:tabs>
        <w:tab w:val="num" w:pos="1209"/>
      </w:tabs>
      <w:ind w:left="1209" w:hanging="360"/>
    </w:pPr>
  </w:style>
  <w:style w:type="paragraph" w:styleId="ListNumber5">
    <w:name w:val="List Number 5"/>
    <w:basedOn w:val="Normal"/>
    <w:uiPriority w:val="49"/>
    <w:semiHidden/>
    <w:rsid w:val="00B662CC"/>
    <w:pPr>
      <w:tabs>
        <w:tab w:val="num" w:pos="1492"/>
      </w:tabs>
      <w:ind w:left="1492" w:hanging="360"/>
    </w:pPr>
  </w:style>
  <w:style w:type="paragraph" w:styleId="ListParagraph">
    <w:name w:val="List Paragraph"/>
    <w:basedOn w:val="Normal"/>
    <w:uiPriority w:val="34"/>
    <w:semiHidden/>
    <w:rsid w:val="00B662CC"/>
    <w:pPr>
      <w:ind w:left="720"/>
      <w:contextualSpacing/>
    </w:pPr>
  </w:style>
  <w:style w:type="paragraph" w:styleId="MacroText">
    <w:name w:val="macro"/>
    <w:link w:val="MacroTextChar"/>
    <w:uiPriority w:val="49"/>
    <w:semiHidden/>
    <w:rsid w:val="00B662CC"/>
    <w:rPr>
      <w:rFonts w:eastAsia="Times New Roman" w:cs="Calibri"/>
      <w:sz w:val="22"/>
      <w:szCs w:val="22"/>
      <w:lang w:eastAsia="en-AU"/>
    </w:rPr>
  </w:style>
  <w:style w:type="character" w:customStyle="1" w:styleId="MacroTextChar">
    <w:name w:val="Macro Text Char"/>
    <w:basedOn w:val="DefaultParagraphFont"/>
    <w:link w:val="MacroText"/>
    <w:uiPriority w:val="49"/>
    <w:semiHidden/>
    <w:rsid w:val="00B662CC"/>
    <w:rPr>
      <w:rFonts w:eastAsia="Times New Roman" w:cs="Calibri"/>
      <w:sz w:val="22"/>
      <w:szCs w:val="22"/>
      <w:lang w:eastAsia="en-AU"/>
    </w:rPr>
  </w:style>
  <w:style w:type="paragraph" w:styleId="MessageHeader">
    <w:name w:val="Message Header"/>
    <w:basedOn w:val="Normal"/>
    <w:link w:val="MessageHeaderChar"/>
    <w:uiPriority w:val="49"/>
    <w:semiHidden/>
    <w:rsid w:val="0047530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B662CC"/>
    <w:rPr>
      <w:rFonts w:eastAsia="Times New Roman" w:cs="Calibri"/>
      <w:sz w:val="24"/>
      <w:szCs w:val="24"/>
      <w:shd w:val="pct20" w:color="auto" w:fill="auto"/>
      <w:lang w:eastAsia="en-AU"/>
    </w:rPr>
  </w:style>
  <w:style w:type="paragraph" w:styleId="NormalWeb">
    <w:name w:val="Normal (Web)"/>
    <w:basedOn w:val="Normal"/>
    <w:uiPriority w:val="49"/>
    <w:semiHidden/>
    <w:rsid w:val="0047530B"/>
    <w:rPr>
      <w:sz w:val="24"/>
      <w:szCs w:val="24"/>
    </w:rPr>
  </w:style>
  <w:style w:type="paragraph" w:styleId="NormalIndent">
    <w:name w:val="Normal Indent"/>
    <w:basedOn w:val="Normal"/>
    <w:semiHidden/>
    <w:rsid w:val="0047530B"/>
    <w:pPr>
      <w:spacing w:line="240" w:lineRule="exact"/>
      <w:ind w:left="1077" w:right="284"/>
    </w:pPr>
  </w:style>
  <w:style w:type="paragraph" w:customStyle="1" w:styleId="NormalIndentItalics">
    <w:name w:val="Normal Indent Italics"/>
    <w:basedOn w:val="NormalIndent"/>
    <w:uiPriority w:val="13"/>
    <w:semiHidden/>
    <w:qFormat/>
    <w:rsid w:val="0047530B"/>
    <w:rPr>
      <w:i/>
    </w:rPr>
  </w:style>
  <w:style w:type="paragraph" w:styleId="NoteHeading">
    <w:name w:val="Note Heading"/>
    <w:basedOn w:val="Normal"/>
    <w:next w:val="Normal"/>
    <w:link w:val="NoteHeadingChar"/>
    <w:semiHidden/>
    <w:rsid w:val="0047530B"/>
  </w:style>
  <w:style w:type="character" w:customStyle="1" w:styleId="NoteHeadingChar">
    <w:name w:val="Note Heading Char"/>
    <w:basedOn w:val="DefaultParagraphFont"/>
    <w:link w:val="NoteHeading"/>
    <w:semiHidden/>
    <w:rsid w:val="00B662CC"/>
    <w:rPr>
      <w:rFonts w:eastAsia="Times New Roman" w:cs="Calibri"/>
      <w:sz w:val="22"/>
      <w:szCs w:val="22"/>
      <w:lang w:eastAsia="en-AU"/>
    </w:rPr>
  </w:style>
  <w:style w:type="paragraph" w:customStyle="1" w:styleId="NoteNormal">
    <w:name w:val="Note Normal"/>
    <w:basedOn w:val="Normal"/>
    <w:uiPriority w:val="49"/>
    <w:semiHidden/>
    <w:rsid w:val="0047530B"/>
    <w:pPr>
      <w:keepNext/>
      <w:keepLines/>
      <w:spacing w:before="80" w:after="80"/>
    </w:pPr>
    <w:rPr>
      <w:color w:val="000000"/>
      <w:sz w:val="18"/>
      <w:lang w:eastAsia="en-US"/>
    </w:rPr>
  </w:style>
  <w:style w:type="character" w:styleId="PageNumber">
    <w:name w:val="page number"/>
    <w:uiPriority w:val="49"/>
    <w:semiHidden/>
    <w:rsid w:val="0047530B"/>
    <w:rPr>
      <w:b/>
      <w:color w:val="4C4C4C"/>
      <w:sz w:val="28"/>
    </w:rPr>
  </w:style>
  <w:style w:type="paragraph" w:customStyle="1" w:styleId="Pictwide">
    <w:name w:val="Pict wide"/>
    <w:basedOn w:val="Normal"/>
    <w:next w:val="Normal"/>
    <w:uiPriority w:val="13"/>
    <w:semiHidden/>
    <w:qFormat/>
    <w:rsid w:val="0047530B"/>
    <w:pPr>
      <w:widowControl w:val="0"/>
      <w:spacing w:before="160" w:after="320"/>
    </w:pPr>
    <w:rPr>
      <w:sz w:val="24"/>
    </w:rPr>
  </w:style>
  <w:style w:type="character" w:styleId="PlaceholderText">
    <w:name w:val="Placeholder Text"/>
    <w:uiPriority w:val="99"/>
    <w:semiHidden/>
    <w:rsid w:val="0047530B"/>
    <w:rPr>
      <w:color w:val="808080"/>
    </w:rPr>
  </w:style>
  <w:style w:type="paragraph" w:styleId="PlainText">
    <w:name w:val="Plain Text"/>
    <w:basedOn w:val="Normal"/>
    <w:link w:val="PlainTextChar"/>
    <w:uiPriority w:val="49"/>
    <w:semiHidden/>
    <w:rsid w:val="0047530B"/>
  </w:style>
  <w:style w:type="character" w:customStyle="1" w:styleId="PlainTextChar">
    <w:name w:val="Plain Text Char"/>
    <w:basedOn w:val="DefaultParagraphFont"/>
    <w:link w:val="PlainText"/>
    <w:uiPriority w:val="49"/>
    <w:semiHidden/>
    <w:rsid w:val="00B662CC"/>
    <w:rPr>
      <w:rFonts w:eastAsia="Times New Roman" w:cs="Calibri"/>
      <w:sz w:val="22"/>
      <w:szCs w:val="22"/>
      <w:lang w:eastAsia="en-AU"/>
    </w:rPr>
  </w:style>
  <w:style w:type="paragraph" w:customStyle="1" w:styleId="Quotation">
    <w:name w:val="Quotation"/>
    <w:basedOn w:val="Normal"/>
    <w:next w:val="Normal"/>
    <w:uiPriority w:val="49"/>
    <w:semiHidden/>
    <w:rsid w:val="0047530B"/>
    <w:pPr>
      <w:keepLines/>
      <w:spacing w:before="40"/>
      <w:jc w:val="center"/>
    </w:pPr>
    <w:rPr>
      <w:i/>
      <w:iCs/>
      <w:color w:val="003399"/>
      <w:sz w:val="18"/>
      <w:lang w:eastAsia="en-US"/>
    </w:rPr>
  </w:style>
  <w:style w:type="paragraph" w:customStyle="1" w:styleId="QuoteName">
    <w:name w:val="Quote Name"/>
    <w:basedOn w:val="Normal"/>
    <w:uiPriority w:val="49"/>
    <w:semiHidden/>
    <w:rsid w:val="0047530B"/>
    <w:pPr>
      <w:spacing w:after="0"/>
      <w:ind w:left="902" w:right="822"/>
      <w:jc w:val="right"/>
    </w:pPr>
    <w:rPr>
      <w:caps/>
      <w:color w:val="800000"/>
      <w:sz w:val="16"/>
    </w:rPr>
  </w:style>
  <w:style w:type="paragraph" w:customStyle="1" w:styleId="RuledLines">
    <w:name w:val="Ruled Lines"/>
    <w:basedOn w:val="Normal"/>
    <w:semiHidden/>
    <w:rsid w:val="0047530B"/>
    <w:pPr>
      <w:pBdr>
        <w:bottom w:val="single" w:sz="4" w:space="1" w:color="auto"/>
        <w:between w:val="single" w:sz="4" w:space="1" w:color="auto"/>
      </w:pBdr>
      <w:spacing w:line="360" w:lineRule="auto"/>
    </w:pPr>
  </w:style>
  <w:style w:type="paragraph" w:styleId="Salutation">
    <w:name w:val="Salutation"/>
    <w:basedOn w:val="Normal"/>
    <w:next w:val="Normal"/>
    <w:link w:val="SalutationChar"/>
    <w:uiPriority w:val="49"/>
    <w:semiHidden/>
    <w:rsid w:val="0047530B"/>
  </w:style>
  <w:style w:type="character" w:customStyle="1" w:styleId="SalutationChar">
    <w:name w:val="Salutation Char"/>
    <w:basedOn w:val="DefaultParagraphFont"/>
    <w:link w:val="Salutation"/>
    <w:uiPriority w:val="49"/>
    <w:semiHidden/>
    <w:rsid w:val="00B662CC"/>
    <w:rPr>
      <w:rFonts w:eastAsia="Times New Roman" w:cs="Calibri"/>
      <w:sz w:val="22"/>
      <w:szCs w:val="22"/>
      <w:lang w:eastAsia="en-AU"/>
    </w:rPr>
  </w:style>
  <w:style w:type="paragraph" w:styleId="Signature">
    <w:name w:val="Signature"/>
    <w:basedOn w:val="Normal"/>
    <w:link w:val="SignatureChar"/>
    <w:uiPriority w:val="49"/>
    <w:semiHidden/>
    <w:rsid w:val="0047530B"/>
    <w:pPr>
      <w:ind w:left="4252"/>
    </w:pPr>
  </w:style>
  <w:style w:type="character" w:customStyle="1" w:styleId="SignatureChar">
    <w:name w:val="Signature Char"/>
    <w:basedOn w:val="DefaultParagraphFont"/>
    <w:link w:val="Signature"/>
    <w:uiPriority w:val="49"/>
    <w:semiHidden/>
    <w:rsid w:val="00B662CC"/>
    <w:rPr>
      <w:rFonts w:eastAsia="Times New Roman" w:cs="Calibri"/>
      <w:sz w:val="22"/>
      <w:szCs w:val="22"/>
      <w:lang w:eastAsia="en-AU"/>
    </w:rPr>
  </w:style>
  <w:style w:type="paragraph" w:customStyle="1" w:styleId="Spacer">
    <w:name w:val="Spacer"/>
    <w:basedOn w:val="Normal"/>
    <w:uiPriority w:val="13"/>
    <w:semiHidden/>
    <w:qFormat/>
    <w:rsid w:val="0047530B"/>
    <w:pPr>
      <w:spacing w:before="0" w:after="0" w:line="120" w:lineRule="atLeast"/>
    </w:pPr>
    <w:rPr>
      <w:sz w:val="12"/>
    </w:rPr>
  </w:style>
  <w:style w:type="character" w:styleId="Strong">
    <w:name w:val="Strong"/>
    <w:uiPriority w:val="22"/>
    <w:qFormat/>
    <w:rsid w:val="00B662CC"/>
    <w:rPr>
      <w:b/>
      <w:bCs/>
    </w:rPr>
  </w:style>
  <w:style w:type="paragraph" w:styleId="Subtitle">
    <w:name w:val="Subtitle"/>
    <w:basedOn w:val="Normal"/>
    <w:link w:val="SubtitleChar"/>
    <w:uiPriority w:val="29"/>
    <w:rsid w:val="00B662CC"/>
    <w:pPr>
      <w:spacing w:before="0"/>
      <w:ind w:right="4536"/>
    </w:pPr>
    <w:rPr>
      <w:color w:val="4C4C4C"/>
      <w:sz w:val="40"/>
      <w:szCs w:val="24"/>
    </w:rPr>
  </w:style>
  <w:style w:type="character" w:customStyle="1" w:styleId="SubtitleChar">
    <w:name w:val="Subtitle Char"/>
    <w:basedOn w:val="DefaultParagraphFont"/>
    <w:link w:val="Subtitle"/>
    <w:uiPriority w:val="29"/>
    <w:rsid w:val="00B662CC"/>
    <w:rPr>
      <w:rFonts w:eastAsia="Times New Roman" w:cs="Calibri"/>
      <w:color w:val="4C4C4C"/>
      <w:sz w:val="40"/>
      <w:szCs w:val="24"/>
      <w:lang w:eastAsia="en-AU"/>
    </w:rPr>
  </w:style>
  <w:style w:type="character" w:styleId="SubtleEmphasis">
    <w:name w:val="Subtle Emphasis"/>
    <w:uiPriority w:val="19"/>
    <w:semiHidden/>
    <w:rsid w:val="00B662CC"/>
    <w:rPr>
      <w:i/>
      <w:iCs/>
      <w:color w:val="808080"/>
    </w:rPr>
  </w:style>
  <w:style w:type="character" w:styleId="SubtleReference">
    <w:name w:val="Subtle Reference"/>
    <w:uiPriority w:val="31"/>
    <w:semiHidden/>
    <w:rsid w:val="00B662CC"/>
    <w:rPr>
      <w:smallCaps/>
      <w:color w:val="C0504D"/>
      <w:u w:val="single"/>
    </w:rPr>
  </w:style>
  <w:style w:type="paragraph" w:customStyle="1" w:styleId="TableBullet">
    <w:name w:val="Table Bullet"/>
    <w:basedOn w:val="TableText"/>
    <w:uiPriority w:val="17"/>
    <w:qFormat/>
    <w:rsid w:val="0047530B"/>
    <w:pPr>
      <w:numPr>
        <w:numId w:val="11"/>
      </w:numPr>
      <w:spacing w:before="0" w:after="0"/>
    </w:pPr>
  </w:style>
  <w:style w:type="paragraph" w:customStyle="1" w:styleId="TableBulletDash">
    <w:name w:val="Table Bullet Dash"/>
    <w:basedOn w:val="Normal"/>
    <w:uiPriority w:val="17"/>
    <w:rsid w:val="00EC26D2"/>
    <w:pPr>
      <w:numPr>
        <w:ilvl w:val="1"/>
        <w:numId w:val="11"/>
      </w:numPr>
      <w:spacing w:before="0" w:after="0"/>
    </w:pPr>
  </w:style>
  <w:style w:type="paragraph" w:customStyle="1" w:styleId="TableHeader">
    <w:name w:val="Table Header"/>
    <w:basedOn w:val="TableText"/>
    <w:uiPriority w:val="17"/>
    <w:qFormat/>
    <w:rsid w:val="00EC26D2"/>
    <w:pPr>
      <w:keepNext/>
      <w:spacing w:before="40" w:after="40"/>
    </w:pPr>
    <w:rPr>
      <w:color w:val="F2F2F2" w:themeColor="background1" w:themeShade="F2"/>
      <w:sz w:val="24"/>
    </w:rPr>
  </w:style>
  <w:style w:type="paragraph" w:customStyle="1" w:styleId="TableHeaderMinutes">
    <w:name w:val="Table Header Minutes"/>
    <w:basedOn w:val="TableHeader"/>
    <w:semiHidden/>
    <w:rsid w:val="00F92125"/>
    <w:rPr>
      <w:bCs/>
      <w:color w:val="auto"/>
      <w:sz w:val="20"/>
      <w:szCs w:val="17"/>
    </w:rPr>
  </w:style>
  <w:style w:type="paragraph" w:styleId="Title">
    <w:name w:val="Title"/>
    <w:basedOn w:val="Normal"/>
    <w:link w:val="TitleChar"/>
    <w:uiPriority w:val="99"/>
    <w:qFormat/>
    <w:rsid w:val="00E77EFE"/>
    <w:pPr>
      <w:spacing w:before="0" w:after="100" w:line="252" w:lineRule="auto"/>
    </w:pPr>
    <w:rPr>
      <w:rFonts w:asciiTheme="majorHAnsi" w:hAnsiTheme="majorHAnsi" w:cstheme="majorHAnsi"/>
      <w:b/>
      <w:color w:val="FFFFFF" w:themeColor="background1"/>
      <w:spacing w:val="-2"/>
      <w:sz w:val="60"/>
    </w:rPr>
  </w:style>
  <w:style w:type="character" w:customStyle="1" w:styleId="TitleChar">
    <w:name w:val="Title Char"/>
    <w:basedOn w:val="DefaultParagraphFont"/>
    <w:link w:val="Title"/>
    <w:uiPriority w:val="99"/>
    <w:rsid w:val="00E77EFE"/>
    <w:rPr>
      <w:rFonts w:asciiTheme="majorHAnsi" w:eastAsia="Times New Roman" w:hAnsiTheme="majorHAnsi" w:cstheme="majorHAnsi"/>
      <w:b/>
      <w:color w:val="FFFFFF" w:themeColor="background1"/>
      <w:spacing w:val="-2"/>
      <w:sz w:val="60"/>
      <w:szCs w:val="22"/>
      <w:lang w:eastAsia="en-AU"/>
    </w:rPr>
  </w:style>
  <w:style w:type="paragraph" w:styleId="TOAHeading">
    <w:name w:val="toa heading"/>
    <w:basedOn w:val="Normal"/>
    <w:next w:val="Normal"/>
    <w:uiPriority w:val="39"/>
    <w:semiHidden/>
    <w:rsid w:val="0047530B"/>
    <w:pPr>
      <w:spacing w:before="120"/>
    </w:pPr>
    <w:rPr>
      <w:b/>
      <w:bCs/>
      <w:sz w:val="24"/>
      <w:szCs w:val="24"/>
    </w:rPr>
  </w:style>
  <w:style w:type="paragraph" w:styleId="TOC1">
    <w:name w:val="toc 1"/>
    <w:basedOn w:val="Normal"/>
    <w:next w:val="Normal"/>
    <w:autoRedefine/>
    <w:uiPriority w:val="39"/>
    <w:rsid w:val="0047530B"/>
    <w:pPr>
      <w:tabs>
        <w:tab w:val="right" w:leader="dot" w:pos="9639"/>
      </w:tabs>
      <w:spacing w:before="240"/>
      <w:ind w:right="567" w:hanging="794"/>
    </w:pPr>
    <w:rPr>
      <w:noProof/>
      <w:color w:val="4C4C4C"/>
      <w:sz w:val="24"/>
      <w:szCs w:val="28"/>
    </w:rPr>
  </w:style>
  <w:style w:type="paragraph" w:styleId="TOC2">
    <w:name w:val="toc 2"/>
    <w:next w:val="Normal"/>
    <w:autoRedefine/>
    <w:uiPriority w:val="39"/>
    <w:semiHidden/>
    <w:rsid w:val="0047530B"/>
    <w:pPr>
      <w:tabs>
        <w:tab w:val="right" w:leader="dot" w:pos="9639"/>
      </w:tabs>
      <w:spacing w:before="20"/>
      <w:ind w:left="1248" w:right="567" w:hanging="454"/>
      <w:contextualSpacing/>
    </w:pPr>
    <w:rPr>
      <w:rFonts w:eastAsia="Times New Roman" w:cs="Calibri"/>
      <w:noProof/>
      <w:color w:val="000000"/>
      <w:szCs w:val="28"/>
      <w:lang w:eastAsia="en-AU"/>
    </w:rPr>
  </w:style>
  <w:style w:type="paragraph" w:styleId="TOC3">
    <w:name w:val="toc 3"/>
    <w:next w:val="Normal"/>
    <w:autoRedefine/>
    <w:uiPriority w:val="39"/>
    <w:semiHidden/>
    <w:rsid w:val="0047530B"/>
    <w:pPr>
      <w:tabs>
        <w:tab w:val="left" w:pos="1248"/>
        <w:tab w:val="right" w:leader="dot" w:pos="9639"/>
      </w:tabs>
      <w:spacing w:before="20"/>
      <w:ind w:left="1701" w:right="567" w:hanging="567"/>
    </w:pPr>
    <w:rPr>
      <w:rFonts w:eastAsia="Times New Roman" w:cs="Calibri"/>
      <w:noProof/>
      <w:color w:val="4C4C4C"/>
      <w:sz w:val="18"/>
      <w:szCs w:val="22"/>
      <w:lang w:eastAsia="en-AU"/>
    </w:rPr>
  </w:style>
  <w:style w:type="paragraph" w:styleId="TOC4">
    <w:name w:val="toc 4"/>
    <w:basedOn w:val="Normal"/>
    <w:next w:val="Normal"/>
    <w:autoRedefine/>
    <w:uiPriority w:val="39"/>
    <w:semiHidden/>
    <w:unhideWhenUsed/>
    <w:rsid w:val="0047530B"/>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47530B"/>
    <w:pPr>
      <w:tabs>
        <w:tab w:val="left" w:pos="1701"/>
      </w:tabs>
      <w:spacing w:before="0"/>
      <w:ind w:left="0" w:right="-7" w:firstLine="0"/>
    </w:pPr>
    <w:rPr>
      <w:caps/>
      <w:color w:val="800000"/>
    </w:rPr>
  </w:style>
  <w:style w:type="paragraph" w:styleId="TOC6">
    <w:name w:val="toc 6"/>
    <w:basedOn w:val="Normal"/>
    <w:next w:val="Normal"/>
    <w:autoRedefine/>
    <w:uiPriority w:val="49"/>
    <w:semiHidden/>
    <w:rsid w:val="0047530B"/>
    <w:pPr>
      <w:spacing w:before="40" w:after="20"/>
      <w:ind w:left="1418" w:hanging="1418"/>
    </w:pPr>
    <w:rPr>
      <w:b/>
      <w:sz w:val="16"/>
    </w:rPr>
  </w:style>
  <w:style w:type="paragraph" w:styleId="TOC7">
    <w:name w:val="toc 7"/>
    <w:basedOn w:val="Normal"/>
    <w:next w:val="Normal"/>
    <w:autoRedefine/>
    <w:uiPriority w:val="49"/>
    <w:semiHidden/>
    <w:rsid w:val="0047530B"/>
    <w:pPr>
      <w:ind w:left="1440"/>
    </w:pPr>
  </w:style>
  <w:style w:type="paragraph" w:styleId="TOC8">
    <w:name w:val="toc 8"/>
    <w:basedOn w:val="Normal"/>
    <w:next w:val="Normal"/>
    <w:autoRedefine/>
    <w:uiPriority w:val="49"/>
    <w:semiHidden/>
    <w:rsid w:val="0047530B"/>
    <w:pPr>
      <w:ind w:left="1680"/>
    </w:pPr>
  </w:style>
  <w:style w:type="paragraph" w:styleId="TOC9">
    <w:name w:val="toc 9"/>
    <w:basedOn w:val="Normal"/>
    <w:next w:val="Normal"/>
    <w:autoRedefine/>
    <w:uiPriority w:val="49"/>
    <w:semiHidden/>
    <w:rsid w:val="0047530B"/>
    <w:pPr>
      <w:ind w:left="2835" w:right="2835"/>
    </w:pPr>
  </w:style>
  <w:style w:type="paragraph" w:styleId="TOCHeading">
    <w:name w:val="TOC Heading"/>
    <w:uiPriority w:val="29"/>
    <w:qFormat/>
    <w:rsid w:val="0047530B"/>
    <w:pPr>
      <w:keepNext/>
      <w:pageBreakBefore/>
      <w:spacing w:after="1200"/>
      <w:ind w:left="794"/>
    </w:pPr>
    <w:rPr>
      <w:rFonts w:eastAsia="Times New Roman" w:cs="Calibri"/>
      <w:color w:val="4C4C4C"/>
      <w:sz w:val="40"/>
      <w:szCs w:val="22"/>
      <w:lang w:eastAsia="en-AU"/>
    </w:rPr>
  </w:style>
  <w:style w:type="table" w:styleId="TableGrid">
    <w:name w:val="Table Grid"/>
    <w:basedOn w:val="TableNormal"/>
    <w:rsid w:val="000A595E"/>
    <w:rPr>
      <w:rFonts w:eastAsia="Times New Roman"/>
      <w:lang w:eastAsia="en-AU"/>
    </w:rPr>
    <w:tblPr>
      <w:tblStyleRowBandSize w:val="1"/>
      <w:tblStyleColBandSize w:val="1"/>
      <w:tblInd w:w="108"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BalloonText">
    <w:name w:val="Balloon Text"/>
    <w:basedOn w:val="Normal"/>
    <w:link w:val="BalloonTextChar"/>
    <w:uiPriority w:val="49"/>
    <w:semiHidden/>
    <w:rsid w:val="0047530B"/>
    <w:rPr>
      <w:sz w:val="16"/>
      <w:szCs w:val="16"/>
    </w:rPr>
  </w:style>
  <w:style w:type="character" w:customStyle="1" w:styleId="BalloonTextChar">
    <w:name w:val="Balloon Text Char"/>
    <w:basedOn w:val="DefaultParagraphFont"/>
    <w:link w:val="BalloonText"/>
    <w:uiPriority w:val="49"/>
    <w:semiHidden/>
    <w:rsid w:val="00B662CC"/>
    <w:rPr>
      <w:rFonts w:eastAsia="Times New Roman" w:cs="Calibri"/>
      <w:sz w:val="16"/>
      <w:szCs w:val="16"/>
      <w:lang w:eastAsia="en-AU"/>
    </w:rPr>
  </w:style>
  <w:style w:type="paragraph" w:customStyle="1" w:styleId="TableText">
    <w:name w:val="Table Text"/>
    <w:basedOn w:val="Normal"/>
    <w:uiPriority w:val="15"/>
    <w:qFormat/>
    <w:rsid w:val="00B662CC"/>
    <w:pPr>
      <w:spacing w:before="20" w:after="20"/>
    </w:pPr>
  </w:style>
  <w:style w:type="paragraph" w:customStyle="1" w:styleId="TableTextNumbered">
    <w:name w:val="Table Text Numbered"/>
    <w:basedOn w:val="TableText"/>
    <w:semiHidden/>
    <w:rsid w:val="00B662CC"/>
    <w:pPr>
      <w:numPr>
        <w:numId w:val="10"/>
      </w:numPr>
    </w:pPr>
  </w:style>
  <w:style w:type="paragraph" w:customStyle="1" w:styleId="BreakoutNormal">
    <w:name w:val="Breakout Normal"/>
    <w:basedOn w:val="Normal"/>
    <w:uiPriority w:val="4"/>
    <w:semiHidden/>
    <w:rsid w:val="00B662CC"/>
  </w:style>
  <w:style w:type="paragraph" w:customStyle="1" w:styleId="BreakoutList1">
    <w:name w:val="Breakout List 1"/>
    <w:basedOn w:val="BreakoutNormal"/>
    <w:uiPriority w:val="4"/>
    <w:semiHidden/>
    <w:rsid w:val="00B662CC"/>
    <w:pPr>
      <w:numPr>
        <w:numId w:val="1"/>
      </w:numPr>
    </w:pPr>
  </w:style>
  <w:style w:type="paragraph" w:customStyle="1" w:styleId="BreakoutList2">
    <w:name w:val="Breakout List 2"/>
    <w:basedOn w:val="BreakoutList1"/>
    <w:uiPriority w:val="4"/>
    <w:semiHidden/>
    <w:rsid w:val="00B662CC"/>
    <w:pPr>
      <w:numPr>
        <w:ilvl w:val="1"/>
      </w:numPr>
    </w:pPr>
  </w:style>
  <w:style w:type="table" w:customStyle="1" w:styleId="MRFWPtable">
    <w:name w:val="MRF WP table"/>
    <w:basedOn w:val="TableNormal"/>
    <w:uiPriority w:val="99"/>
    <w:rsid w:val="00094CCC"/>
    <w:rPr>
      <w:rFonts w:asciiTheme="minorHAnsi" w:hAnsiTheme="minorHAnsi" w:cstheme="minorBidi"/>
      <w:sz w:val="22"/>
      <w:szCs w:val="22"/>
    </w:rPr>
    <w:tblPr>
      <w:tblInd w:w="907" w:type="dxa"/>
      <w:tblBorders>
        <w:top w:val="single" w:sz="4" w:space="0" w:color="201547" w:themeColor="text2"/>
        <w:bottom w:val="single" w:sz="4" w:space="0" w:color="201547" w:themeColor="text2"/>
      </w:tblBorders>
    </w:tblPr>
    <w:tcPr>
      <w:shd w:val="clear" w:color="auto" w:fill="FFFFFF" w:themeFill="background1"/>
    </w:tcPr>
    <w:tblStylePr w:type="firstRow">
      <w:rPr>
        <w:color w:val="FFFFFF" w:themeColor="background1"/>
      </w:rPr>
      <w:tblPr/>
      <w:tcPr>
        <w:tcBorders>
          <w:top w:val="single" w:sz="6" w:space="0" w:color="0F0248" w:themeColor="accent2"/>
          <w:bottom w:val="single" w:sz="6" w:space="0" w:color="0F0248" w:themeColor="accent2"/>
        </w:tcBorders>
        <w:shd w:val="clear" w:color="auto" w:fill="0F0248" w:themeFill="accent2"/>
      </w:tcPr>
    </w:tblStylePr>
  </w:style>
  <w:style w:type="paragraph" w:customStyle="1" w:styleId="NormalTight">
    <w:name w:val="Normal Tight"/>
    <w:basedOn w:val="Normal"/>
    <w:semiHidden/>
    <w:rsid w:val="00B662CC"/>
  </w:style>
  <w:style w:type="numbering" w:styleId="ArticleSection">
    <w:name w:val="Outline List 3"/>
    <w:basedOn w:val="NoList"/>
    <w:uiPriority w:val="99"/>
    <w:semiHidden/>
    <w:unhideWhenUsed/>
    <w:rsid w:val="0047530B"/>
    <w:pPr>
      <w:numPr>
        <w:numId w:val="8"/>
      </w:numPr>
    </w:pPr>
  </w:style>
  <w:style w:type="paragraph" w:styleId="Bibliography">
    <w:name w:val="Bibliography"/>
    <w:basedOn w:val="Normal"/>
    <w:next w:val="Normal"/>
    <w:uiPriority w:val="37"/>
    <w:semiHidden/>
    <w:unhideWhenUsed/>
    <w:rsid w:val="0047530B"/>
    <w:pPr>
      <w:spacing w:after="120"/>
    </w:pPr>
    <w:rPr>
      <w:i/>
      <w:sz w:val="18"/>
    </w:rPr>
  </w:style>
  <w:style w:type="numbering" w:styleId="111111">
    <w:name w:val="Outline List 2"/>
    <w:basedOn w:val="NoList"/>
    <w:uiPriority w:val="99"/>
    <w:semiHidden/>
    <w:unhideWhenUsed/>
    <w:rsid w:val="0047530B"/>
    <w:pPr>
      <w:numPr>
        <w:numId w:val="6"/>
      </w:numPr>
    </w:pPr>
  </w:style>
  <w:style w:type="numbering" w:styleId="1ai">
    <w:name w:val="Outline List 1"/>
    <w:basedOn w:val="NoList"/>
    <w:uiPriority w:val="99"/>
    <w:semiHidden/>
    <w:unhideWhenUsed/>
    <w:rsid w:val="0047530B"/>
    <w:pPr>
      <w:numPr>
        <w:numId w:val="7"/>
      </w:numPr>
    </w:pPr>
  </w:style>
  <w:style w:type="paragraph" w:customStyle="1" w:styleId="Abstract">
    <w:name w:val="Abstract"/>
    <w:qFormat/>
    <w:rsid w:val="000A595E"/>
    <w:pPr>
      <w:spacing w:before="240" w:line="300" w:lineRule="auto"/>
      <w:ind w:left="720" w:right="720"/>
    </w:pPr>
    <w:rPr>
      <w:rFonts w:eastAsia="Times New Roman" w:cs="Calibri"/>
      <w:sz w:val="22"/>
      <w:szCs w:val="22"/>
      <w:lang w:eastAsia="en-AU"/>
    </w:rPr>
  </w:style>
  <w:style w:type="paragraph" w:customStyle="1" w:styleId="Author">
    <w:name w:val="Author"/>
    <w:basedOn w:val="Title"/>
    <w:next w:val="Normal"/>
    <w:uiPriority w:val="99"/>
    <w:qFormat/>
    <w:rsid w:val="006D25D9"/>
    <w:pPr>
      <w:spacing w:before="120" w:after="600"/>
    </w:pPr>
    <w:rPr>
      <w:color w:val="57068C"/>
      <w:sz w:val="28"/>
    </w:rPr>
  </w:style>
  <w:style w:type="paragraph" w:customStyle="1" w:styleId="Tablenotes">
    <w:name w:val="Table notes"/>
    <w:basedOn w:val="Notes"/>
    <w:uiPriority w:val="17"/>
    <w:qFormat/>
    <w:rsid w:val="00CC1A97"/>
    <w:pPr>
      <w:spacing w:after="60"/>
      <w:ind w:left="1170" w:hanging="378"/>
    </w:pPr>
  </w:style>
  <w:style w:type="paragraph" w:customStyle="1" w:styleId="Tablenumbers">
    <w:name w:val="Table numbers"/>
    <w:basedOn w:val="TableText"/>
    <w:uiPriority w:val="16"/>
    <w:qFormat/>
    <w:rsid w:val="002F3B71"/>
    <w:pPr>
      <w:jc w:val="right"/>
    </w:pPr>
  </w:style>
  <w:style w:type="table" w:styleId="LightShading">
    <w:name w:val="Light Shading"/>
    <w:basedOn w:val="TableNormal"/>
    <w:uiPriority w:val="60"/>
    <w:rsid w:val="00073D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073D02"/>
    <w:rPr>
      <w:color w:val="004A7C" w:themeColor="accent1" w:themeShade="BF"/>
    </w:rPr>
    <w:tblPr>
      <w:tblStyleRowBandSize w:val="1"/>
      <w:tblStyleColBandSize w:val="1"/>
      <w:tblInd w:w="907" w:type="dxa"/>
      <w:tblBorders>
        <w:top w:val="single" w:sz="8" w:space="0" w:color="0063A6" w:themeColor="accent1"/>
        <w:bottom w:val="single" w:sz="8" w:space="0" w:color="0063A6" w:themeColor="accent1"/>
      </w:tblBorders>
    </w:tblPr>
    <w:tblStylePr w:type="fir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lastRow">
      <w:pPr>
        <w:spacing w:before="0" w:after="0" w:line="240" w:lineRule="auto"/>
      </w:pPr>
      <w:rPr>
        <w:b/>
        <w:bCs/>
      </w:rPr>
      <w:tblPr/>
      <w:tcPr>
        <w:tcBorders>
          <w:top w:val="single" w:sz="8" w:space="0" w:color="0063A6" w:themeColor="accent1"/>
          <w:left w:val="nil"/>
          <w:bottom w:val="single" w:sz="8" w:space="0" w:color="0063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DCFF" w:themeFill="accent1" w:themeFillTint="3F"/>
      </w:tcPr>
    </w:tblStylePr>
    <w:tblStylePr w:type="band1Horz">
      <w:tblPr/>
      <w:tcPr>
        <w:tcBorders>
          <w:left w:val="nil"/>
          <w:right w:val="nil"/>
          <w:insideH w:val="nil"/>
          <w:insideV w:val="nil"/>
        </w:tcBorders>
        <w:shd w:val="clear" w:color="auto" w:fill="AADCFF" w:themeFill="accent1" w:themeFillTint="3F"/>
      </w:tcPr>
    </w:tblStylePr>
  </w:style>
  <w:style w:type="table" w:styleId="LightShading-Accent2">
    <w:name w:val="Light Shading Accent 2"/>
    <w:basedOn w:val="TableNormal"/>
    <w:uiPriority w:val="60"/>
    <w:rsid w:val="00094CCC"/>
    <w:rPr>
      <w:color w:val="0B0135" w:themeColor="accent2" w:themeShade="BF"/>
    </w:rPr>
    <w:tblPr>
      <w:tblStyleRowBandSize w:val="1"/>
      <w:tblStyleColBandSize w:val="1"/>
      <w:tblInd w:w="907" w:type="dxa"/>
      <w:tblBorders>
        <w:top w:val="single" w:sz="8" w:space="0" w:color="0F0248" w:themeColor="accent2"/>
        <w:bottom w:val="single" w:sz="8" w:space="0" w:color="0F0248" w:themeColor="accent2"/>
      </w:tblBorders>
    </w:tblPr>
    <w:tblStylePr w:type="firstRow">
      <w:pPr>
        <w:spacing w:before="0" w:after="0" w:line="240" w:lineRule="auto"/>
      </w:pPr>
      <w:rPr>
        <w:b/>
        <w:bCs/>
      </w:rPr>
      <w:tblPr/>
      <w:tcPr>
        <w:tcBorders>
          <w:top w:val="single" w:sz="8" w:space="0" w:color="0F0248" w:themeColor="accent2"/>
          <w:left w:val="nil"/>
          <w:bottom w:val="single" w:sz="8" w:space="0" w:color="0F0248" w:themeColor="accent2"/>
          <w:right w:val="nil"/>
          <w:insideH w:val="nil"/>
          <w:insideV w:val="nil"/>
        </w:tcBorders>
      </w:tcPr>
    </w:tblStylePr>
    <w:tblStylePr w:type="lastRow">
      <w:pPr>
        <w:spacing w:before="0" w:after="0" w:line="240" w:lineRule="auto"/>
      </w:pPr>
      <w:rPr>
        <w:b/>
        <w:bCs/>
      </w:rPr>
      <w:tblPr/>
      <w:tcPr>
        <w:tcBorders>
          <w:top w:val="single" w:sz="8" w:space="0" w:color="0F0248" w:themeColor="accent2"/>
          <w:left w:val="nil"/>
          <w:bottom w:val="single" w:sz="8" w:space="0" w:color="0F02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95FC" w:themeFill="accent2" w:themeFillTint="3F"/>
      </w:tcPr>
    </w:tblStylePr>
    <w:tblStylePr w:type="band1Horz">
      <w:tblPr/>
      <w:tcPr>
        <w:tcBorders>
          <w:left w:val="nil"/>
          <w:right w:val="nil"/>
          <w:insideH w:val="nil"/>
          <w:insideV w:val="nil"/>
        </w:tcBorders>
        <w:shd w:val="clear" w:color="auto" w:fill="A895FC" w:themeFill="accent2" w:themeFillTint="3F"/>
      </w:tcPr>
    </w:tblStylePr>
  </w:style>
  <w:style w:type="table" w:styleId="LightShading-Accent3">
    <w:name w:val="Light Shading Accent 3"/>
    <w:basedOn w:val="TableNormal"/>
    <w:uiPriority w:val="60"/>
    <w:rsid w:val="00073D02"/>
    <w:rPr>
      <w:color w:val="4273AA" w:themeColor="accent3" w:themeShade="BF"/>
    </w:rPr>
    <w:tblPr>
      <w:tblStyleRowBandSize w:val="1"/>
      <w:tblStyleColBandSize w:val="1"/>
      <w:tblBorders>
        <w:top w:val="single" w:sz="8" w:space="0" w:color="749CC9" w:themeColor="accent3"/>
        <w:bottom w:val="single" w:sz="8" w:space="0" w:color="749CC9" w:themeColor="accent3"/>
      </w:tblBorders>
    </w:tblPr>
    <w:tblStylePr w:type="fir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lastRow">
      <w:pPr>
        <w:spacing w:before="0" w:after="0" w:line="240" w:lineRule="auto"/>
      </w:pPr>
      <w:rPr>
        <w:b/>
        <w:bCs/>
      </w:rPr>
      <w:tblPr/>
      <w:tcPr>
        <w:tcBorders>
          <w:top w:val="single" w:sz="8" w:space="0" w:color="749CC9" w:themeColor="accent3"/>
          <w:left w:val="nil"/>
          <w:bottom w:val="single" w:sz="8" w:space="0" w:color="749CC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6F1" w:themeFill="accent3" w:themeFillTint="3F"/>
      </w:tcPr>
    </w:tblStylePr>
    <w:tblStylePr w:type="band1Horz">
      <w:tblPr/>
      <w:tcPr>
        <w:tcBorders>
          <w:left w:val="nil"/>
          <w:right w:val="nil"/>
          <w:insideH w:val="nil"/>
          <w:insideV w:val="nil"/>
        </w:tcBorders>
        <w:shd w:val="clear" w:color="auto" w:fill="DCE6F1" w:themeFill="accent3" w:themeFillTint="3F"/>
      </w:tcPr>
    </w:tblStylePr>
  </w:style>
  <w:style w:type="table" w:styleId="LightShading-Accent4">
    <w:name w:val="Light Shading Accent 4"/>
    <w:basedOn w:val="TableNormal"/>
    <w:uiPriority w:val="60"/>
    <w:rsid w:val="00073D02"/>
    <w:rPr>
      <w:color w:val="00559A" w:themeColor="accent4" w:themeShade="BF"/>
    </w:rPr>
    <w:tblPr>
      <w:tblStyleRowBandSize w:val="1"/>
      <w:tblStyleColBandSize w:val="1"/>
      <w:tblBorders>
        <w:top w:val="single" w:sz="8" w:space="0" w:color="0072CE" w:themeColor="accent4"/>
        <w:bottom w:val="single" w:sz="8" w:space="0" w:color="0072CE" w:themeColor="accent4"/>
      </w:tblBorders>
    </w:tblPr>
    <w:tblStylePr w:type="fir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lastRow">
      <w:pPr>
        <w:spacing w:before="0" w:after="0" w:line="240" w:lineRule="auto"/>
      </w:pPr>
      <w:rPr>
        <w:b/>
        <w:bCs/>
      </w:rPr>
      <w:tblPr/>
      <w:tcPr>
        <w:tcBorders>
          <w:top w:val="single" w:sz="8" w:space="0" w:color="0072CE" w:themeColor="accent4"/>
          <w:left w:val="nil"/>
          <w:bottom w:val="single" w:sz="8" w:space="0" w:color="0072C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4" w:themeFillTint="3F"/>
      </w:tcPr>
    </w:tblStylePr>
    <w:tblStylePr w:type="band1Horz">
      <w:tblPr/>
      <w:tcPr>
        <w:tcBorders>
          <w:left w:val="nil"/>
          <w:right w:val="nil"/>
          <w:insideH w:val="nil"/>
          <w:insideV w:val="nil"/>
        </w:tcBorders>
        <w:shd w:val="clear" w:color="auto" w:fill="B3DDFF" w:themeFill="accent4" w:themeFillTint="3F"/>
      </w:tcPr>
    </w:tblStylePr>
  </w:style>
  <w:style w:type="paragraph" w:customStyle="1" w:styleId="Bullet3">
    <w:name w:val="Bullet 3"/>
    <w:basedOn w:val="Bullet1"/>
    <w:uiPriority w:val="99"/>
    <w:qFormat/>
    <w:rsid w:val="007770BB"/>
    <w:pPr>
      <w:tabs>
        <w:tab w:val="num" w:pos="-5241"/>
      </w:tabs>
      <w:ind w:left="1080"/>
    </w:pPr>
  </w:style>
  <w:style w:type="paragraph" w:styleId="Revision">
    <w:name w:val="Revision"/>
    <w:hidden/>
    <w:uiPriority w:val="99"/>
    <w:semiHidden/>
    <w:rsid w:val="007976CE"/>
    <w:rPr>
      <w:rFonts w:asciiTheme="minorHAnsi" w:eastAsiaTheme="minorEastAsia" w:hAnsiTheme="minorHAnsi" w:cstheme="minorBidi"/>
      <w:spacing w:val="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91194">
      <w:bodyDiv w:val="1"/>
      <w:marLeft w:val="0"/>
      <w:marRight w:val="0"/>
      <w:marTop w:val="0"/>
      <w:marBottom w:val="0"/>
      <w:divBdr>
        <w:top w:val="none" w:sz="0" w:space="0" w:color="auto"/>
        <w:left w:val="none" w:sz="0" w:space="0" w:color="auto"/>
        <w:bottom w:val="none" w:sz="0" w:space="0" w:color="auto"/>
        <w:right w:val="none" w:sz="0" w:space="0" w:color="auto"/>
      </w:divBdr>
      <w:divsChild>
        <w:div w:id="600260106">
          <w:marLeft w:val="0"/>
          <w:marRight w:val="0"/>
          <w:marTop w:val="0"/>
          <w:marBottom w:val="0"/>
          <w:divBdr>
            <w:top w:val="none" w:sz="0" w:space="0" w:color="auto"/>
            <w:left w:val="none" w:sz="0" w:space="0" w:color="auto"/>
            <w:bottom w:val="none" w:sz="0" w:space="0" w:color="auto"/>
            <w:right w:val="none" w:sz="0" w:space="0" w:color="auto"/>
          </w:divBdr>
        </w:div>
        <w:div w:id="622268257">
          <w:marLeft w:val="0"/>
          <w:marRight w:val="0"/>
          <w:marTop w:val="0"/>
          <w:marBottom w:val="0"/>
          <w:divBdr>
            <w:top w:val="none" w:sz="0" w:space="0" w:color="auto"/>
            <w:left w:val="none" w:sz="0" w:space="0" w:color="auto"/>
            <w:bottom w:val="none" w:sz="0" w:space="0" w:color="auto"/>
            <w:right w:val="none" w:sz="0" w:space="0" w:color="auto"/>
          </w:divBdr>
        </w:div>
      </w:divsChild>
    </w:div>
    <w:div w:id="477381161">
      <w:bodyDiv w:val="1"/>
      <w:marLeft w:val="0"/>
      <w:marRight w:val="0"/>
      <w:marTop w:val="0"/>
      <w:marBottom w:val="0"/>
      <w:divBdr>
        <w:top w:val="none" w:sz="0" w:space="0" w:color="auto"/>
        <w:left w:val="none" w:sz="0" w:space="0" w:color="auto"/>
        <w:bottom w:val="none" w:sz="0" w:space="0" w:color="auto"/>
        <w:right w:val="none" w:sz="0" w:space="0" w:color="auto"/>
      </w:divBdr>
      <w:divsChild>
        <w:div w:id="364598759">
          <w:marLeft w:val="0"/>
          <w:marRight w:val="0"/>
          <w:marTop w:val="0"/>
          <w:marBottom w:val="0"/>
          <w:divBdr>
            <w:top w:val="none" w:sz="0" w:space="0" w:color="auto"/>
            <w:left w:val="none" w:sz="0" w:space="0" w:color="auto"/>
            <w:bottom w:val="none" w:sz="0" w:space="0" w:color="auto"/>
            <w:right w:val="none" w:sz="0" w:space="0" w:color="auto"/>
          </w:divBdr>
        </w:div>
        <w:div w:id="508912944">
          <w:marLeft w:val="0"/>
          <w:marRight w:val="0"/>
          <w:marTop w:val="0"/>
          <w:marBottom w:val="0"/>
          <w:divBdr>
            <w:top w:val="none" w:sz="0" w:space="0" w:color="auto"/>
            <w:left w:val="none" w:sz="0" w:space="0" w:color="auto"/>
            <w:bottom w:val="none" w:sz="0" w:space="0" w:color="auto"/>
            <w:right w:val="none" w:sz="0" w:space="0" w:color="auto"/>
          </w:divBdr>
        </w:div>
      </w:divsChild>
    </w:div>
    <w:div w:id="814564456">
      <w:bodyDiv w:val="1"/>
      <w:marLeft w:val="0"/>
      <w:marRight w:val="0"/>
      <w:marTop w:val="0"/>
      <w:marBottom w:val="0"/>
      <w:divBdr>
        <w:top w:val="none" w:sz="0" w:space="0" w:color="auto"/>
        <w:left w:val="none" w:sz="0" w:space="0" w:color="auto"/>
        <w:bottom w:val="none" w:sz="0" w:space="0" w:color="auto"/>
        <w:right w:val="none" w:sz="0" w:space="0" w:color="auto"/>
      </w:divBdr>
      <w:divsChild>
        <w:div w:id="898634065">
          <w:marLeft w:val="0"/>
          <w:marRight w:val="0"/>
          <w:marTop w:val="0"/>
          <w:marBottom w:val="0"/>
          <w:divBdr>
            <w:top w:val="none" w:sz="0" w:space="0" w:color="auto"/>
            <w:left w:val="none" w:sz="0" w:space="0" w:color="auto"/>
            <w:bottom w:val="none" w:sz="0" w:space="0" w:color="auto"/>
            <w:right w:val="none" w:sz="0" w:space="0" w:color="auto"/>
          </w:divBdr>
        </w:div>
        <w:div w:id="1659924322">
          <w:marLeft w:val="0"/>
          <w:marRight w:val="0"/>
          <w:marTop w:val="0"/>
          <w:marBottom w:val="0"/>
          <w:divBdr>
            <w:top w:val="none" w:sz="0" w:space="0" w:color="auto"/>
            <w:left w:val="none" w:sz="0" w:space="0" w:color="auto"/>
            <w:bottom w:val="none" w:sz="0" w:space="0" w:color="auto"/>
            <w:right w:val="none" w:sz="0" w:space="0" w:color="auto"/>
          </w:divBdr>
        </w:div>
      </w:divsChild>
    </w:div>
    <w:div w:id="1608734722">
      <w:bodyDiv w:val="1"/>
      <w:marLeft w:val="0"/>
      <w:marRight w:val="0"/>
      <w:marTop w:val="0"/>
      <w:marBottom w:val="0"/>
      <w:divBdr>
        <w:top w:val="none" w:sz="0" w:space="0" w:color="auto"/>
        <w:left w:val="none" w:sz="0" w:space="0" w:color="auto"/>
        <w:bottom w:val="none" w:sz="0" w:space="0" w:color="auto"/>
        <w:right w:val="none" w:sz="0" w:space="0" w:color="auto"/>
      </w:divBdr>
      <w:divsChild>
        <w:div w:id="683626851">
          <w:marLeft w:val="0"/>
          <w:marRight w:val="0"/>
          <w:marTop w:val="0"/>
          <w:marBottom w:val="0"/>
          <w:divBdr>
            <w:top w:val="none" w:sz="0" w:space="0" w:color="auto"/>
            <w:left w:val="none" w:sz="0" w:space="0" w:color="auto"/>
            <w:bottom w:val="none" w:sz="0" w:space="0" w:color="auto"/>
            <w:right w:val="none" w:sz="0" w:space="0" w:color="auto"/>
          </w:divBdr>
        </w:div>
        <w:div w:id="1513302640">
          <w:marLeft w:val="0"/>
          <w:marRight w:val="0"/>
          <w:marTop w:val="0"/>
          <w:marBottom w:val="0"/>
          <w:divBdr>
            <w:top w:val="none" w:sz="0" w:space="0" w:color="auto"/>
            <w:left w:val="none" w:sz="0" w:space="0" w:color="auto"/>
            <w:bottom w:val="none" w:sz="0" w:space="0" w:color="auto"/>
            <w:right w:val="none" w:sz="0" w:space="0" w:color="auto"/>
          </w:divBdr>
        </w:div>
        <w:div w:id="1922137409">
          <w:marLeft w:val="0"/>
          <w:marRight w:val="0"/>
          <w:marTop w:val="0"/>
          <w:marBottom w:val="0"/>
          <w:divBdr>
            <w:top w:val="none" w:sz="0" w:space="0" w:color="auto"/>
            <w:left w:val="none" w:sz="0" w:space="0" w:color="auto"/>
            <w:bottom w:val="none" w:sz="0" w:space="0" w:color="auto"/>
            <w:right w:val="none" w:sz="0" w:space="0" w:color="auto"/>
          </w:divBdr>
        </w:div>
      </w:divsChild>
    </w:div>
    <w:div w:id="1644894396">
      <w:bodyDiv w:val="1"/>
      <w:marLeft w:val="0"/>
      <w:marRight w:val="0"/>
      <w:marTop w:val="0"/>
      <w:marBottom w:val="0"/>
      <w:divBdr>
        <w:top w:val="none" w:sz="0" w:space="0" w:color="auto"/>
        <w:left w:val="none" w:sz="0" w:space="0" w:color="auto"/>
        <w:bottom w:val="none" w:sz="0" w:space="0" w:color="auto"/>
        <w:right w:val="none" w:sz="0" w:space="0" w:color="auto"/>
      </w:divBdr>
      <w:divsChild>
        <w:div w:id="143859443">
          <w:marLeft w:val="0"/>
          <w:marRight w:val="0"/>
          <w:marTop w:val="0"/>
          <w:marBottom w:val="0"/>
          <w:divBdr>
            <w:top w:val="none" w:sz="0" w:space="0" w:color="auto"/>
            <w:left w:val="none" w:sz="0" w:space="0" w:color="auto"/>
            <w:bottom w:val="none" w:sz="0" w:space="0" w:color="auto"/>
            <w:right w:val="none" w:sz="0" w:space="0" w:color="auto"/>
          </w:divBdr>
        </w:div>
        <w:div w:id="627587153">
          <w:marLeft w:val="0"/>
          <w:marRight w:val="0"/>
          <w:marTop w:val="0"/>
          <w:marBottom w:val="0"/>
          <w:divBdr>
            <w:top w:val="none" w:sz="0" w:space="0" w:color="auto"/>
            <w:left w:val="none" w:sz="0" w:space="0" w:color="auto"/>
            <w:bottom w:val="none" w:sz="0" w:space="0" w:color="auto"/>
            <w:right w:val="none" w:sz="0" w:space="0" w:color="auto"/>
          </w:divBdr>
        </w:div>
      </w:divsChild>
    </w:div>
    <w:div w:id="1740321474">
      <w:bodyDiv w:val="1"/>
      <w:marLeft w:val="0"/>
      <w:marRight w:val="0"/>
      <w:marTop w:val="0"/>
      <w:marBottom w:val="0"/>
      <w:divBdr>
        <w:top w:val="none" w:sz="0" w:space="0" w:color="auto"/>
        <w:left w:val="none" w:sz="0" w:space="0" w:color="auto"/>
        <w:bottom w:val="none" w:sz="0" w:space="0" w:color="auto"/>
        <w:right w:val="none" w:sz="0" w:space="0" w:color="auto"/>
      </w:divBdr>
      <w:divsChild>
        <w:div w:id="105513939">
          <w:marLeft w:val="0"/>
          <w:marRight w:val="0"/>
          <w:marTop w:val="0"/>
          <w:marBottom w:val="0"/>
          <w:divBdr>
            <w:top w:val="none" w:sz="0" w:space="0" w:color="auto"/>
            <w:left w:val="none" w:sz="0" w:space="0" w:color="auto"/>
            <w:bottom w:val="none" w:sz="0" w:space="0" w:color="auto"/>
            <w:right w:val="none" w:sz="0" w:space="0" w:color="auto"/>
          </w:divBdr>
        </w:div>
        <w:div w:id="344096282">
          <w:marLeft w:val="0"/>
          <w:marRight w:val="0"/>
          <w:marTop w:val="0"/>
          <w:marBottom w:val="0"/>
          <w:divBdr>
            <w:top w:val="none" w:sz="0" w:space="0" w:color="auto"/>
            <w:left w:val="none" w:sz="0" w:space="0" w:color="auto"/>
            <w:bottom w:val="none" w:sz="0" w:space="0" w:color="auto"/>
            <w:right w:val="none" w:sz="0" w:space="0" w:color="auto"/>
          </w:divBdr>
        </w:div>
        <w:div w:id="589586894">
          <w:marLeft w:val="0"/>
          <w:marRight w:val="0"/>
          <w:marTop w:val="0"/>
          <w:marBottom w:val="0"/>
          <w:divBdr>
            <w:top w:val="none" w:sz="0" w:space="0" w:color="auto"/>
            <w:left w:val="none" w:sz="0" w:space="0" w:color="auto"/>
            <w:bottom w:val="none" w:sz="0" w:space="0" w:color="auto"/>
            <w:right w:val="none" w:sz="0" w:space="0" w:color="auto"/>
          </w:divBdr>
        </w:div>
        <w:div w:id="607279108">
          <w:marLeft w:val="0"/>
          <w:marRight w:val="0"/>
          <w:marTop w:val="0"/>
          <w:marBottom w:val="0"/>
          <w:divBdr>
            <w:top w:val="none" w:sz="0" w:space="0" w:color="auto"/>
            <w:left w:val="none" w:sz="0" w:space="0" w:color="auto"/>
            <w:bottom w:val="none" w:sz="0" w:space="0" w:color="auto"/>
            <w:right w:val="none" w:sz="0" w:space="0" w:color="auto"/>
          </w:divBdr>
        </w:div>
        <w:div w:id="648754453">
          <w:marLeft w:val="0"/>
          <w:marRight w:val="0"/>
          <w:marTop w:val="0"/>
          <w:marBottom w:val="0"/>
          <w:divBdr>
            <w:top w:val="none" w:sz="0" w:space="0" w:color="auto"/>
            <w:left w:val="none" w:sz="0" w:space="0" w:color="auto"/>
            <w:bottom w:val="none" w:sz="0" w:space="0" w:color="auto"/>
            <w:right w:val="none" w:sz="0" w:space="0" w:color="auto"/>
          </w:divBdr>
        </w:div>
        <w:div w:id="797603199">
          <w:marLeft w:val="0"/>
          <w:marRight w:val="0"/>
          <w:marTop w:val="0"/>
          <w:marBottom w:val="0"/>
          <w:divBdr>
            <w:top w:val="none" w:sz="0" w:space="0" w:color="auto"/>
            <w:left w:val="none" w:sz="0" w:space="0" w:color="auto"/>
            <w:bottom w:val="none" w:sz="0" w:space="0" w:color="auto"/>
            <w:right w:val="none" w:sz="0" w:space="0" w:color="auto"/>
          </w:divBdr>
        </w:div>
        <w:div w:id="897663350">
          <w:marLeft w:val="0"/>
          <w:marRight w:val="0"/>
          <w:marTop w:val="0"/>
          <w:marBottom w:val="0"/>
          <w:divBdr>
            <w:top w:val="none" w:sz="0" w:space="0" w:color="auto"/>
            <w:left w:val="none" w:sz="0" w:space="0" w:color="auto"/>
            <w:bottom w:val="none" w:sz="0" w:space="0" w:color="auto"/>
            <w:right w:val="none" w:sz="0" w:space="0" w:color="auto"/>
          </w:divBdr>
        </w:div>
        <w:div w:id="1121454081">
          <w:marLeft w:val="0"/>
          <w:marRight w:val="0"/>
          <w:marTop w:val="0"/>
          <w:marBottom w:val="0"/>
          <w:divBdr>
            <w:top w:val="none" w:sz="0" w:space="0" w:color="auto"/>
            <w:left w:val="none" w:sz="0" w:space="0" w:color="auto"/>
            <w:bottom w:val="none" w:sz="0" w:space="0" w:color="auto"/>
            <w:right w:val="none" w:sz="0" w:space="0" w:color="auto"/>
          </w:divBdr>
        </w:div>
        <w:div w:id="1132216656">
          <w:marLeft w:val="0"/>
          <w:marRight w:val="0"/>
          <w:marTop w:val="0"/>
          <w:marBottom w:val="0"/>
          <w:divBdr>
            <w:top w:val="none" w:sz="0" w:space="0" w:color="auto"/>
            <w:left w:val="none" w:sz="0" w:space="0" w:color="auto"/>
            <w:bottom w:val="none" w:sz="0" w:space="0" w:color="auto"/>
            <w:right w:val="none" w:sz="0" w:space="0" w:color="auto"/>
          </w:divBdr>
        </w:div>
        <w:div w:id="1216702674">
          <w:marLeft w:val="0"/>
          <w:marRight w:val="0"/>
          <w:marTop w:val="0"/>
          <w:marBottom w:val="0"/>
          <w:divBdr>
            <w:top w:val="none" w:sz="0" w:space="0" w:color="auto"/>
            <w:left w:val="none" w:sz="0" w:space="0" w:color="auto"/>
            <w:bottom w:val="none" w:sz="0" w:space="0" w:color="auto"/>
            <w:right w:val="none" w:sz="0" w:space="0" w:color="auto"/>
          </w:divBdr>
        </w:div>
        <w:div w:id="1476338944">
          <w:marLeft w:val="0"/>
          <w:marRight w:val="0"/>
          <w:marTop w:val="0"/>
          <w:marBottom w:val="0"/>
          <w:divBdr>
            <w:top w:val="none" w:sz="0" w:space="0" w:color="auto"/>
            <w:left w:val="none" w:sz="0" w:space="0" w:color="auto"/>
            <w:bottom w:val="none" w:sz="0" w:space="0" w:color="auto"/>
            <w:right w:val="none" w:sz="0" w:space="0" w:color="auto"/>
          </w:divBdr>
        </w:div>
        <w:div w:id="1557164457">
          <w:marLeft w:val="0"/>
          <w:marRight w:val="0"/>
          <w:marTop w:val="0"/>
          <w:marBottom w:val="0"/>
          <w:divBdr>
            <w:top w:val="none" w:sz="0" w:space="0" w:color="auto"/>
            <w:left w:val="none" w:sz="0" w:space="0" w:color="auto"/>
            <w:bottom w:val="none" w:sz="0" w:space="0" w:color="auto"/>
            <w:right w:val="none" w:sz="0" w:space="0" w:color="auto"/>
          </w:divBdr>
        </w:div>
        <w:div w:id="1602882260">
          <w:marLeft w:val="0"/>
          <w:marRight w:val="0"/>
          <w:marTop w:val="0"/>
          <w:marBottom w:val="0"/>
          <w:divBdr>
            <w:top w:val="none" w:sz="0" w:space="0" w:color="auto"/>
            <w:left w:val="none" w:sz="0" w:space="0" w:color="auto"/>
            <w:bottom w:val="none" w:sz="0" w:space="0" w:color="auto"/>
            <w:right w:val="none" w:sz="0" w:space="0" w:color="auto"/>
          </w:divBdr>
        </w:div>
        <w:div w:id="1677263841">
          <w:marLeft w:val="0"/>
          <w:marRight w:val="0"/>
          <w:marTop w:val="0"/>
          <w:marBottom w:val="0"/>
          <w:divBdr>
            <w:top w:val="none" w:sz="0" w:space="0" w:color="auto"/>
            <w:left w:val="none" w:sz="0" w:space="0" w:color="auto"/>
            <w:bottom w:val="none" w:sz="0" w:space="0" w:color="auto"/>
            <w:right w:val="none" w:sz="0" w:space="0" w:color="auto"/>
          </w:divBdr>
        </w:div>
        <w:div w:id="2031955031">
          <w:marLeft w:val="0"/>
          <w:marRight w:val="0"/>
          <w:marTop w:val="0"/>
          <w:marBottom w:val="0"/>
          <w:divBdr>
            <w:top w:val="none" w:sz="0" w:space="0" w:color="auto"/>
            <w:left w:val="none" w:sz="0" w:space="0" w:color="auto"/>
            <w:bottom w:val="none" w:sz="0" w:space="0" w:color="auto"/>
            <w:right w:val="none" w:sz="0" w:space="0" w:color="auto"/>
          </w:divBdr>
        </w:div>
        <w:div w:id="2110811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dtf.vic.gov.au/Publications/Victoria-Economy-publications/Macroeconomic-indicators" TargetMode="Externa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emf"/></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header5.xml.rels><?xml version="1.0" encoding="UTF-8" standalone="yes"?>
<Relationships xmlns="http://schemas.openxmlformats.org/package/2006/relationships"><Relationship Id="rId1" Type="http://schemas.openxmlformats.org/officeDocument/2006/relationships/image" Target="media/image10.png"/></Relationships>
</file>

<file path=word/_rels/header6.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DTF Dark Purpl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TF Powerpoint_Blu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TF Powerpoint_Blu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TF Powerpoint_Blu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TF Powerpoint_Blu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TF Powerpoint_Blu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TF Powerpoint_Blu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TF Powerpoint_Blu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TF Powerpoint_Blu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TF Powerpoint_Blu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TF Powerpoint_Blu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TF Powerpoint_Blu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TF Powerpoint_Blu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DTF Powerpoint_Blue 13">
        <a:dk1>
          <a:srgbClr val="000000"/>
        </a:dk1>
        <a:lt1>
          <a:srgbClr val="FFFFFF"/>
        </a:lt1>
        <a:dk2>
          <a:srgbClr val="000000"/>
        </a:dk2>
        <a:lt2>
          <a:srgbClr val="808080"/>
        </a:lt2>
        <a:accent1>
          <a:srgbClr val="FFC61E"/>
        </a:accent1>
        <a:accent2>
          <a:srgbClr val="005B99"/>
        </a:accent2>
        <a:accent3>
          <a:srgbClr val="FFFFFF"/>
        </a:accent3>
        <a:accent4>
          <a:srgbClr val="000000"/>
        </a:accent4>
        <a:accent5>
          <a:srgbClr val="FFDFAB"/>
        </a:accent5>
        <a:accent6>
          <a:srgbClr val="00528A"/>
        </a:accent6>
        <a:hlink>
          <a:srgbClr val="568E14"/>
        </a:hlink>
        <a:folHlink>
          <a:srgbClr val="75476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EA392B752BE49B3C028C91048665D" ma:contentTypeVersion="21" ma:contentTypeDescription="Create a new document." ma:contentTypeScope="" ma:versionID="6a6cf06c7dd9133bc5629e7f59fba5bf">
  <xsd:schema xmlns:xsd="http://www.w3.org/2001/XMLSchema" xmlns:xs="http://www.w3.org/2001/XMLSchema" xmlns:p="http://schemas.microsoft.com/office/2006/metadata/properties" xmlns:ns2="54fa2062-823d-4129-bf50-9d06573f15d9" xmlns:ns3="ad3f24bb-5695-4c38-b6b6-9946303e9b80" targetNamespace="http://schemas.microsoft.com/office/2006/metadata/properties" ma:root="true" ma:fieldsID="8d6a4a15f4de4e25f322100cc77bb78c" ns2:_="" ns3:_="">
    <xsd:import namespace="54fa2062-823d-4129-bf50-9d06573f15d9"/>
    <xsd:import namespace="ad3f24bb-5695-4c38-b6b6-9946303e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x0063_752" minOccurs="0"/>
                <xsd:element ref="ns2:_x0069_a99" minOccurs="0"/>
                <xsd:element ref="ns2:r9qe" minOccurs="0"/>
                <xsd:element ref="ns2:w0vv" minOccurs="0"/>
                <xsd:element ref="ns2:ybqk" minOccurs="0"/>
                <xsd:element ref="ns2:_x0079_061" minOccurs="0"/>
                <xsd:element ref="ns2:_x0065_qg3"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a2062-823d-4129-bf50-9d06573f1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63_752" ma:index="14" nillable="true" ma:displayName="Target audience" ma:internalName="_x0063_752">
      <xsd:simpleType>
        <xsd:restriction base="dms:Text"/>
      </xsd:simpleType>
    </xsd:element>
    <xsd:element name="_x0069_a99" ma:index="15" nillable="true" ma:displayName="Communications channel" ma:internalName="_x0069_a99">
      <xsd:simpleType>
        <xsd:restriction base="dms:Text"/>
      </xsd:simpleType>
    </xsd:element>
    <xsd:element name="r9qe" ma:index="16" nillable="true" ma:displayName="Timeline" ma:internalName="r9qe">
      <xsd:simpleType>
        <xsd:restriction base="dms:Text"/>
      </xsd:simpleType>
    </xsd:element>
    <xsd:element name="w0vv" ma:index="17" nillable="true" ma:displayName="Key messages" ma:internalName="w0vv">
      <xsd:simpleType>
        <xsd:restriction base="dms:Text"/>
      </xsd:simpleType>
    </xsd:element>
    <xsd:element name="ybqk" ma:index="18" nillable="true" ma:displayName="Supporting information" ma:internalName="ybqk">
      <xsd:simpleType>
        <xsd:restriction base="dms:Text"/>
      </xsd:simpleType>
    </xsd:element>
    <xsd:element name="_x0079_061" ma:index="19" nillable="true" ma:displayName="Supporting documents" ma:internalName="_x0079_061">
      <xsd:simpleType>
        <xsd:restriction base="dms:Text"/>
      </xsd:simpleType>
    </xsd:element>
    <xsd:element name="_x0065_qg3" ma:index="20" nillable="true" ma:displayName="Supporting images" ma:internalName="_x0065_qg3">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f24bb-5695-4c38-b6b6-9946303e9b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bqk xmlns="54fa2062-823d-4129-bf50-9d06573f15d9" xsi:nil="true"/>
    <_x0079_061 xmlns="54fa2062-823d-4129-bf50-9d06573f15d9" xsi:nil="true"/>
    <_x0063_752 xmlns="54fa2062-823d-4129-bf50-9d06573f15d9" xsi:nil="true"/>
    <_x0065_qg3 xmlns="54fa2062-823d-4129-bf50-9d06573f15d9" xsi:nil="true"/>
    <_x0069_a99 xmlns="54fa2062-823d-4129-bf50-9d06573f15d9" xsi:nil="true"/>
    <w0vv xmlns="54fa2062-823d-4129-bf50-9d06573f15d9" xsi:nil="true"/>
    <r9qe xmlns="54fa2062-823d-4129-bf50-9d06573f15d9"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D5A4EFF-7FC7-45F6-B963-00A38E0F6963}">
  <ds:schemaRefs>
    <ds:schemaRef ds:uri="http://schemas.openxmlformats.org/officeDocument/2006/bibliography"/>
  </ds:schemaRefs>
</ds:datastoreItem>
</file>

<file path=customXml/itemProps2.xml><?xml version="1.0" encoding="utf-8"?>
<ds:datastoreItem xmlns:ds="http://schemas.openxmlformats.org/officeDocument/2006/customXml" ds:itemID="{2624A9C4-8576-43F2-BEE9-3542054C7532}">
  <ds:schemaRefs>
    <ds:schemaRef ds:uri="http://schemas.microsoft.com/sharepoint/v3/contenttype/forms"/>
  </ds:schemaRefs>
</ds:datastoreItem>
</file>

<file path=customXml/itemProps3.xml><?xml version="1.0" encoding="utf-8"?>
<ds:datastoreItem xmlns:ds="http://schemas.openxmlformats.org/officeDocument/2006/customXml" ds:itemID="{4C5FB2A1-5044-4B09-8F61-7AE866C52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a2062-823d-4129-bf50-9d06573f15d9"/>
    <ds:schemaRef ds:uri="ad3f24bb-5695-4c38-b6b6-9946303e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03596-30B7-4A15-8D26-3AB110B84B6E}">
  <ds:schemaRefs>
    <ds:schemaRef ds:uri="http://schemas.microsoft.com/office/2006/metadata/properties"/>
    <ds:schemaRef ds:uri="http://schemas.microsoft.com/office/infopath/2007/PartnerControls"/>
    <ds:schemaRef ds:uri="54fa2062-823d-4129-bf50-9d06573f15d9"/>
  </ds:schemaRefs>
</ds:datastoreItem>
</file>

<file path=customXml/itemProps5.xml><?xml version="1.0" encoding="utf-8"?>
<ds:datastoreItem xmlns:ds="http://schemas.openxmlformats.org/officeDocument/2006/customXml" ds:itemID="{984B3016-718E-46CF-965B-E34167F3CED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34</Pages>
  <Words>11249</Words>
  <Characters>64236</Characters>
  <Application>Microsoft Office Word</Application>
  <DocSecurity>0</DocSecurity>
  <Lines>1126</Lines>
  <Paragraphs>732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74753</CharactersWithSpaces>
  <SharedDoc>false</SharedDoc>
  <HLinks>
    <vt:vector size="6" baseType="variant">
      <vt:variant>
        <vt:i4>1704016</vt:i4>
      </vt:variant>
      <vt:variant>
        <vt:i4>0</vt:i4>
      </vt:variant>
      <vt:variant>
        <vt:i4>0</vt:i4>
      </vt:variant>
      <vt:variant>
        <vt:i4>5</vt:i4>
      </vt:variant>
      <vt:variant>
        <vt:lpwstr>http://www.dtf.vic.gov.au/Publications/Victoria-Economy-publications/Macroeconomic-indicators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dc:creator>
  <cp:keywords/>
  <cp:lastModifiedBy>Paul Bowerman (DTF)</cp:lastModifiedBy>
  <cp:revision>18</cp:revision>
  <cp:lastPrinted>2016-08-09T18:29:00Z</cp:lastPrinted>
  <dcterms:created xsi:type="dcterms:W3CDTF">2020-07-23T18:54:00Z</dcterms:created>
  <dcterms:modified xsi:type="dcterms:W3CDTF">2024-12-18T03:48:00Z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39cc11e5-03ef-489e-b483-5f771975e8ce</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0x010100F78EA392B752BE49B3C028C91048665D</vt:lpwstr>
  </property>
  <property fmtid="{D5CDD505-2E9C-101B-9397-08002B2CF9AE}" pid="6" name="MSIP_Label_bb4ee517-5ca4-4fff-98d2-ed4f906edd6d_Enabled">
    <vt:lpwstr>true</vt:lpwstr>
  </property>
  <property fmtid="{D5CDD505-2E9C-101B-9397-08002B2CF9AE}" pid="7" name="MSIP_Label_bb4ee517-5ca4-4fff-98d2-ed4f906edd6d_SetDate">
    <vt:lpwstr>2024-12-18T03:48:34Z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2cb4a111-db74-4a7c-8f45-3bf8fb939d37</vt:lpwstr>
  </property>
  <property fmtid="{D5CDD505-2E9C-101B-9397-08002B2CF9AE}" pid="12" name="MSIP_Label_bb4ee517-5ca4-4fff-98d2-ed4f906edd6d_ContentBits">
    <vt:lpwstr>0</vt:lpwstr>
  </property>
  <property fmtid="{D5CDD505-2E9C-101B-9397-08002B2CF9AE}" pid="13" name="GrammarlyDocumentId">
    <vt:lpwstr>01b55485573f303dc5836ca033521d60ce65b3e012e873de8c65420442ee40cc</vt:lpwstr>
  </property>
</Properties>
</file>