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454D9" w14:textId="6EEEBD2B" w:rsidR="00E5610B" w:rsidRDefault="00E5610B"/>
    <w:tbl>
      <w:tblPr>
        <w:tblStyle w:val="DTFtexttable"/>
        <w:tblW w:w="9237" w:type="dxa"/>
        <w:tblLayout w:type="fixed"/>
        <w:tblLook w:val="04A0" w:firstRow="1" w:lastRow="0" w:firstColumn="1" w:lastColumn="0" w:noHBand="0" w:noVBand="1"/>
      </w:tblPr>
      <w:tblGrid>
        <w:gridCol w:w="2293"/>
        <w:gridCol w:w="270"/>
        <w:gridCol w:w="540"/>
        <w:gridCol w:w="6134"/>
      </w:tblGrid>
      <w:tr w:rsidR="00493B55" w:rsidRPr="003C5E9F" w14:paraId="10743DBA" w14:textId="77777777" w:rsidTr="008554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3" w:type="dxa"/>
          </w:tcPr>
          <w:p w14:paraId="15121515" w14:textId="72FFFD29" w:rsidR="00845688" w:rsidRPr="003C5E9F" w:rsidRDefault="00845688" w:rsidP="003E1E41">
            <w:pPr>
              <w:pStyle w:val="FRDNumber"/>
            </w:pPr>
            <w:r w:rsidRPr="002E50A4">
              <w:t>FRD</w:t>
            </w:r>
            <w:r w:rsidRPr="003C5E9F">
              <w:t xml:space="preserve"> </w:t>
            </w:r>
            <w:r w:rsidR="008B6BDF">
              <w:t>108</w:t>
            </w:r>
          </w:p>
        </w:tc>
        <w:tc>
          <w:tcPr>
            <w:tcW w:w="270" w:type="dxa"/>
          </w:tcPr>
          <w:p w14:paraId="71BF82DE"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540" w:type="dxa"/>
          </w:tcPr>
          <w:p w14:paraId="5B0C8059"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6134" w:type="dxa"/>
          </w:tcPr>
          <w:p w14:paraId="09A4C05C" w14:textId="2DE6EBCB" w:rsidR="00845688" w:rsidRPr="002E50A4" w:rsidRDefault="008B6BDF" w:rsidP="00AF6425">
            <w:pPr>
              <w:pStyle w:val="FRDHeader"/>
              <w:cnfStyle w:val="100000000000" w:firstRow="1" w:lastRow="0" w:firstColumn="0" w:lastColumn="0" w:oddVBand="0" w:evenVBand="0" w:oddHBand="0" w:evenHBand="0" w:firstRowFirstColumn="0" w:firstRowLastColumn="0" w:lastRowFirstColumn="0" w:lastRowLastColumn="0"/>
            </w:pPr>
            <w:r w:rsidRPr="008B6BDF">
              <w:t>Classification of</w:t>
            </w:r>
            <w:r w:rsidR="00545B16" w:rsidRPr="008B6BDF">
              <w:t xml:space="preserve"> </w:t>
            </w:r>
            <w:r w:rsidR="006A16D7">
              <w:t>e</w:t>
            </w:r>
            <w:r w:rsidR="006A16D7" w:rsidRPr="008B6BDF">
              <w:t xml:space="preserve">ntities as </w:t>
            </w:r>
            <w:r w:rsidR="006A16D7">
              <w:t>f</w:t>
            </w:r>
            <w:r w:rsidR="006A16D7" w:rsidRPr="008B6BDF">
              <w:t>or</w:t>
            </w:r>
            <w:r w:rsidR="00545B16">
              <w:t>-</w:t>
            </w:r>
            <w:r w:rsidR="00545B16" w:rsidRPr="008B6BDF">
              <w:t>p</w:t>
            </w:r>
            <w:r w:rsidRPr="008B6BDF">
              <w:t>rofit</w:t>
            </w:r>
            <w:r w:rsidR="00A11C8A">
              <w:t xml:space="preserve"> </w:t>
            </w:r>
            <w:r w:rsidR="00041F54">
              <w:t>(</w:t>
            </w:r>
            <w:r w:rsidR="00DF371F">
              <w:t>December 2024</w:t>
            </w:r>
            <w:r w:rsidR="00041F54">
              <w:t>)</w:t>
            </w:r>
          </w:p>
        </w:tc>
      </w:tr>
      <w:tr w:rsidR="00493B55" w:rsidRPr="00E10ADB" w14:paraId="5C6A1DE7" w14:textId="77777777" w:rsidTr="008554CD">
        <w:trPr>
          <w:cnfStyle w:val="000000100000" w:firstRow="0" w:lastRow="0" w:firstColumn="0" w:lastColumn="0" w:oddVBand="0" w:evenVBand="0" w:oddHBand="1"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293" w:type="dxa"/>
          </w:tcPr>
          <w:p w14:paraId="5670B3CE" w14:textId="77777777" w:rsidR="00845688" w:rsidRPr="008A601F" w:rsidRDefault="00845688" w:rsidP="00DE779D">
            <w:pPr>
              <w:pStyle w:val="Tabletext"/>
            </w:pPr>
          </w:p>
        </w:tc>
        <w:tc>
          <w:tcPr>
            <w:tcW w:w="270" w:type="dxa"/>
          </w:tcPr>
          <w:p w14:paraId="3CAEB842"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540" w:type="dxa"/>
          </w:tcPr>
          <w:p w14:paraId="15DF8E53"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6134" w:type="dxa"/>
          </w:tcPr>
          <w:p w14:paraId="3C63D188"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r>
      <w:tr w:rsidR="00493B55" w:rsidRPr="00E10ADB" w14:paraId="2229D448" w14:textId="77777777" w:rsidTr="008554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E0A1C67" w14:textId="69DB00B3" w:rsidR="00845688" w:rsidRPr="008A601F" w:rsidRDefault="00845688" w:rsidP="008554CD">
            <w:pPr>
              <w:pStyle w:val="Normalgrey"/>
            </w:pPr>
            <w:r w:rsidRPr="008A601F">
              <w:t>Purpose</w:t>
            </w:r>
          </w:p>
        </w:tc>
        <w:tc>
          <w:tcPr>
            <w:tcW w:w="270" w:type="dxa"/>
          </w:tcPr>
          <w:p w14:paraId="14F0946E" w14:textId="77777777" w:rsidR="00845688" w:rsidRPr="000C72DA" w:rsidRDefault="00845688" w:rsidP="008554CD">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6C7B00EC" w14:textId="77777777" w:rsidR="00845688" w:rsidRPr="000C72DA" w:rsidRDefault="00845688" w:rsidP="00F646C1">
            <w:pPr>
              <w:pStyle w:val="Refnum2"/>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6134" w:type="dxa"/>
          </w:tcPr>
          <w:p w14:paraId="45DF4A15" w14:textId="77777777" w:rsidR="00845688" w:rsidRPr="00E43EFA" w:rsidRDefault="008B6BDF" w:rsidP="008554CD">
            <w:pPr>
              <w:pStyle w:val="Normalgrey"/>
              <w:cnfStyle w:val="000000010000" w:firstRow="0" w:lastRow="0" w:firstColumn="0" w:lastColumn="0" w:oddVBand="0" w:evenVBand="0" w:oddHBand="0" w:evenHBand="1" w:firstRowFirstColumn="0" w:firstRowLastColumn="0" w:lastRowFirstColumn="0" w:lastRowLastColumn="0"/>
            </w:pPr>
            <w:r w:rsidRPr="008B6BDF">
              <w:t xml:space="preserve">To direct designated entities to report on a </w:t>
            </w:r>
            <w:r w:rsidR="000C72DA">
              <w:t>‘</w:t>
            </w:r>
            <w:r w:rsidRPr="008B6BDF">
              <w:t>for-profit</w:t>
            </w:r>
            <w:r w:rsidR="000C72DA">
              <w:t>’</w:t>
            </w:r>
            <w:r w:rsidRPr="008B6BDF">
              <w:t xml:space="preserve"> basis.</w:t>
            </w:r>
          </w:p>
        </w:tc>
      </w:tr>
      <w:tr w:rsidR="00493B55" w:rsidRPr="00E10ADB" w14:paraId="30F7D191" w14:textId="77777777" w:rsidTr="00855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9C1A107" w14:textId="680B187D" w:rsidR="00845688" w:rsidRPr="002542D1" w:rsidRDefault="00845688" w:rsidP="008554CD">
            <w:pPr>
              <w:pStyle w:val="Normalbold"/>
            </w:pPr>
            <w:r w:rsidRPr="002542D1">
              <w:t>Application</w:t>
            </w:r>
          </w:p>
        </w:tc>
        <w:tc>
          <w:tcPr>
            <w:tcW w:w="270" w:type="dxa"/>
            <w:shd w:val="clear" w:color="auto" w:fill="F2F2F2" w:themeFill="background1" w:themeFillShade="F2"/>
          </w:tcPr>
          <w:p w14:paraId="544B5F56" w14:textId="77777777" w:rsidR="00845688" w:rsidRPr="002542D1" w:rsidRDefault="00845688" w:rsidP="008554CD">
            <w:pPr>
              <w:pStyle w:val="Refnum1grey"/>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6A953F41" w14:textId="77777777" w:rsidR="00845688" w:rsidRPr="002542D1" w:rsidRDefault="00845688" w:rsidP="00F646C1">
            <w:pPr>
              <w:pStyle w:val="Refnum2"/>
              <w:cnfStyle w:val="000000100000" w:firstRow="0" w:lastRow="0" w:firstColumn="0" w:lastColumn="0" w:oddVBand="0" w:evenVBand="0" w:oddHBand="1" w:evenHBand="0" w:firstRowFirstColumn="0" w:firstRowLastColumn="0" w:lastRowFirstColumn="0" w:lastRowLastColumn="0"/>
              <w:rPr>
                <w:b/>
              </w:rPr>
            </w:pPr>
          </w:p>
        </w:tc>
        <w:tc>
          <w:tcPr>
            <w:tcW w:w="6134" w:type="dxa"/>
            <w:shd w:val="clear" w:color="auto" w:fill="F2F2F2" w:themeFill="background1" w:themeFillShade="F2"/>
          </w:tcPr>
          <w:p w14:paraId="7AA898B8" w14:textId="77777777" w:rsidR="00845688" w:rsidRPr="008B6BDF" w:rsidRDefault="008B6BDF" w:rsidP="008554CD">
            <w:pPr>
              <w:pStyle w:val="Normalbold"/>
              <w:cnfStyle w:val="000000100000" w:firstRow="0" w:lastRow="0" w:firstColumn="0" w:lastColumn="0" w:oddVBand="0" w:evenVBand="0" w:oddHBand="1" w:evenHBand="0" w:firstRowFirstColumn="0" w:firstRowLastColumn="0" w:lastRowFirstColumn="0" w:lastRowLastColumn="0"/>
            </w:pPr>
            <w:r w:rsidRPr="008B6BDF">
              <w:t xml:space="preserve">Applies to all entities defined as either a public body or a department under section 3 of the </w:t>
            </w:r>
            <w:r w:rsidRPr="008B6BDF">
              <w:rPr>
                <w:i/>
                <w:iCs/>
              </w:rPr>
              <w:t>Financial Management Act</w:t>
            </w:r>
            <w:r w:rsidRPr="00F646C1">
              <w:rPr>
                <w:i/>
              </w:rPr>
              <w:t xml:space="preserve"> 1994</w:t>
            </w:r>
            <w:r w:rsidRPr="008B6BDF">
              <w:t>. Application by State owned corporations is encouraged.</w:t>
            </w:r>
          </w:p>
        </w:tc>
      </w:tr>
      <w:tr w:rsidR="000C72DA" w:rsidRPr="00E10ADB" w14:paraId="620D0A95" w14:textId="77777777" w:rsidTr="008554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2E2F71EE" w14:textId="0B4175EA" w:rsidR="000C72DA" w:rsidRPr="002542D1" w:rsidRDefault="000C72DA" w:rsidP="008554CD">
            <w:pPr>
              <w:pStyle w:val="Normalbold"/>
            </w:pPr>
            <w:r w:rsidRPr="002542D1">
              <w:t>Operative date</w:t>
            </w:r>
          </w:p>
        </w:tc>
        <w:tc>
          <w:tcPr>
            <w:tcW w:w="270" w:type="dxa"/>
            <w:shd w:val="clear" w:color="auto" w:fill="F2F2F2" w:themeFill="background1" w:themeFillShade="F2"/>
          </w:tcPr>
          <w:p w14:paraId="6D329186" w14:textId="77777777" w:rsidR="000C72DA" w:rsidRPr="002542D1" w:rsidRDefault="000C72DA" w:rsidP="008554CD">
            <w:pPr>
              <w:pStyle w:val="Refnum1grey"/>
              <w:cnfStyle w:val="000000010000" w:firstRow="0" w:lastRow="0" w:firstColumn="0" w:lastColumn="0" w:oddVBand="0" w:evenVBand="0" w:oddHBand="0" w:evenHBand="1" w:firstRowFirstColumn="0" w:firstRowLastColumn="0" w:lastRowFirstColumn="0" w:lastRowLastColumn="0"/>
              <w:rPr>
                <w:b/>
              </w:rPr>
            </w:pPr>
          </w:p>
        </w:tc>
        <w:tc>
          <w:tcPr>
            <w:tcW w:w="540" w:type="dxa"/>
            <w:shd w:val="clear" w:color="auto" w:fill="F2F2F2" w:themeFill="background1" w:themeFillShade="F2"/>
          </w:tcPr>
          <w:p w14:paraId="4805A842" w14:textId="77777777" w:rsidR="000C72DA" w:rsidRPr="002542D1" w:rsidRDefault="000C72DA">
            <w:pPr>
              <w:pStyle w:val="Refnum2"/>
              <w:cnfStyle w:val="000000010000" w:firstRow="0" w:lastRow="0" w:firstColumn="0" w:lastColumn="0" w:oddVBand="0" w:evenVBand="0" w:oddHBand="0" w:evenHBand="1" w:firstRowFirstColumn="0" w:firstRowLastColumn="0" w:lastRowFirstColumn="0" w:lastRowLastColumn="0"/>
              <w:rPr>
                <w:b/>
              </w:rPr>
            </w:pPr>
          </w:p>
        </w:tc>
        <w:tc>
          <w:tcPr>
            <w:tcW w:w="6134" w:type="dxa"/>
            <w:shd w:val="clear" w:color="auto" w:fill="F2F2F2" w:themeFill="background1" w:themeFillShade="F2"/>
          </w:tcPr>
          <w:p w14:paraId="1C14B915" w14:textId="50070FDE" w:rsidR="0007347E" w:rsidRPr="0007347E" w:rsidRDefault="000C72DA" w:rsidP="008554CD">
            <w:pPr>
              <w:pStyle w:val="Normalbold"/>
              <w:cnfStyle w:val="000000010000" w:firstRow="0" w:lastRow="0" w:firstColumn="0" w:lastColumn="0" w:oddVBand="0" w:evenVBand="0" w:oddHBand="0" w:evenHBand="1" w:firstRowFirstColumn="0" w:firstRowLastColumn="0" w:lastRowFirstColumn="0" w:lastRowLastColumn="0"/>
            </w:pPr>
            <w:r w:rsidRPr="00FD4AD0">
              <w:t>Annual reporting periods commencing on or after 1 July 20</w:t>
            </w:r>
            <w:r w:rsidR="00474DBD">
              <w:t>21</w:t>
            </w:r>
            <w:r w:rsidRPr="00FD4AD0">
              <w:t>.</w:t>
            </w:r>
          </w:p>
        </w:tc>
      </w:tr>
      <w:tr w:rsidR="000C72DA" w:rsidRPr="00E10ADB" w14:paraId="72FC5D9F" w14:textId="77777777" w:rsidTr="00855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9C711A0" w14:textId="447F79EC" w:rsidR="000C72DA" w:rsidRPr="002542D1" w:rsidRDefault="000C72DA" w:rsidP="008554CD">
            <w:pPr>
              <w:pStyle w:val="Normalbold"/>
            </w:pPr>
            <w:r w:rsidRPr="002542D1">
              <w:t>Requirements</w:t>
            </w:r>
          </w:p>
        </w:tc>
        <w:tc>
          <w:tcPr>
            <w:tcW w:w="270" w:type="dxa"/>
            <w:shd w:val="clear" w:color="auto" w:fill="F2F2F2" w:themeFill="background1" w:themeFillShade="F2"/>
          </w:tcPr>
          <w:p w14:paraId="04FBEB3D" w14:textId="77777777" w:rsidR="000C72DA" w:rsidRPr="002542D1" w:rsidRDefault="000C72DA" w:rsidP="008554CD">
            <w:pPr>
              <w:pStyle w:val="Refnum1grey"/>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4F7C3AE8" w14:textId="77777777" w:rsidR="000C72DA" w:rsidRPr="002542D1" w:rsidRDefault="000C72DA" w:rsidP="008554CD">
            <w:pPr>
              <w:pStyle w:val="Refnum2"/>
              <w:cnfStyle w:val="000000100000" w:firstRow="0" w:lastRow="0" w:firstColumn="0" w:lastColumn="0" w:oddVBand="0" w:evenVBand="0" w:oddHBand="1" w:evenHBand="0" w:firstRowFirstColumn="0" w:firstRowLastColumn="0" w:lastRowFirstColumn="0" w:lastRowLastColumn="0"/>
              <w:rPr>
                <w:b/>
              </w:rPr>
            </w:pPr>
          </w:p>
        </w:tc>
        <w:tc>
          <w:tcPr>
            <w:tcW w:w="6134" w:type="dxa"/>
            <w:shd w:val="clear" w:color="auto" w:fill="F2F2F2" w:themeFill="background1" w:themeFillShade="F2"/>
          </w:tcPr>
          <w:p w14:paraId="6BECB583" w14:textId="02400C38" w:rsidR="00A46DA2" w:rsidRPr="00D36764" w:rsidRDefault="000C72DA" w:rsidP="008554CD">
            <w:pPr>
              <w:pStyle w:val="Normalbold"/>
              <w:cnfStyle w:val="000000100000" w:firstRow="0" w:lastRow="0" w:firstColumn="0" w:lastColumn="0" w:oddVBand="0" w:evenVBand="0" w:oddHBand="1" w:evenHBand="0" w:firstRowFirstColumn="0" w:firstRowLastColumn="0" w:lastRowFirstColumn="0" w:lastRowLastColumn="0"/>
            </w:pPr>
            <w:r w:rsidRPr="008B6BDF">
              <w:t xml:space="preserve">The </w:t>
            </w:r>
            <w:r w:rsidR="00BC1CD3">
              <w:t>Minister for Finance</w:t>
            </w:r>
            <w:r w:rsidR="00470359">
              <w:t xml:space="preserve"> </w:t>
            </w:r>
            <w:r w:rsidRPr="008B6BDF">
              <w:t xml:space="preserve">has determined that </w:t>
            </w:r>
            <w:r w:rsidR="00885A1E" w:rsidRPr="008B6BDF">
              <w:t xml:space="preserve">the entities </w:t>
            </w:r>
            <w:r w:rsidRPr="008B6BDF">
              <w:t xml:space="preserve">listed in Appendix A in this Direction are </w:t>
            </w:r>
            <w:r>
              <w:t>‘</w:t>
            </w:r>
            <w:r w:rsidRPr="008B6BDF">
              <w:t>for-profit</w:t>
            </w:r>
            <w:r>
              <w:t>’</w:t>
            </w:r>
            <w:r w:rsidRPr="008B6BDF">
              <w:t xml:space="preserve"> entities. Entities not named in this </w:t>
            </w:r>
            <w:r w:rsidR="00924EC3">
              <w:t>FRD</w:t>
            </w:r>
            <w:r w:rsidR="00924EC3" w:rsidRPr="008B6BDF">
              <w:t xml:space="preserve"> </w:t>
            </w:r>
            <w:r w:rsidRPr="008B6BDF">
              <w:t xml:space="preserve">are classified as </w:t>
            </w:r>
            <w:r>
              <w:t>‘</w:t>
            </w:r>
            <w:r w:rsidRPr="008B6BDF">
              <w:t>not-for-profit</w:t>
            </w:r>
            <w:r>
              <w:t>’</w:t>
            </w:r>
            <w:r w:rsidRPr="008B6BDF">
              <w:t xml:space="preserve"> entities.</w:t>
            </w:r>
          </w:p>
        </w:tc>
      </w:tr>
      <w:tr w:rsidR="00D36764" w:rsidRPr="00E10ADB" w14:paraId="67887555" w14:textId="77777777" w:rsidTr="008554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56A0807D" w14:textId="103C30EF" w:rsidR="00D36764" w:rsidRPr="002542D1" w:rsidRDefault="00D36764" w:rsidP="008554CD">
            <w:pPr>
              <w:pStyle w:val="Normalbold"/>
            </w:pPr>
          </w:p>
        </w:tc>
        <w:tc>
          <w:tcPr>
            <w:tcW w:w="270" w:type="dxa"/>
            <w:shd w:val="clear" w:color="auto" w:fill="F2F2F2" w:themeFill="background1" w:themeFillShade="F2"/>
          </w:tcPr>
          <w:p w14:paraId="666E329E" w14:textId="77777777" w:rsidR="00D36764" w:rsidRPr="002542D1" w:rsidRDefault="00D36764" w:rsidP="008554CD">
            <w:pPr>
              <w:pStyle w:val="Normalgreybold"/>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2C98D73A" w14:textId="77777777" w:rsidR="00D36764" w:rsidRPr="002542D1" w:rsidRDefault="00D36764" w:rsidP="008554CD">
            <w:pPr>
              <w:pStyle w:val="Refnum2"/>
              <w:cnfStyle w:val="000000010000" w:firstRow="0" w:lastRow="0" w:firstColumn="0" w:lastColumn="0" w:oddVBand="0" w:evenVBand="0" w:oddHBand="0" w:evenHBand="1" w:firstRowFirstColumn="0" w:firstRowLastColumn="0" w:lastRowFirstColumn="0" w:lastRowLastColumn="0"/>
              <w:rPr>
                <w:b/>
              </w:rPr>
            </w:pPr>
          </w:p>
        </w:tc>
        <w:tc>
          <w:tcPr>
            <w:tcW w:w="6134" w:type="dxa"/>
            <w:shd w:val="clear" w:color="auto" w:fill="F2F2F2" w:themeFill="background1" w:themeFillShade="F2"/>
          </w:tcPr>
          <w:p w14:paraId="7E85A143" w14:textId="77777777" w:rsidR="00D36764" w:rsidRPr="008B6BDF" w:rsidRDefault="00D36764" w:rsidP="008554CD">
            <w:pPr>
              <w:pStyle w:val="Normalbold"/>
              <w:cnfStyle w:val="000000010000" w:firstRow="0" w:lastRow="0" w:firstColumn="0" w:lastColumn="0" w:oddVBand="0" w:evenVBand="0" w:oddHBand="0" w:evenHBand="1" w:firstRowFirstColumn="0" w:firstRowLastColumn="0" w:lastRowFirstColumn="0" w:lastRowLastColumn="0"/>
              <w:rPr>
                <w:bCs/>
              </w:rPr>
            </w:pPr>
            <w:r>
              <w:t>‘</w:t>
            </w:r>
            <w:r w:rsidRPr="00FD4AD0">
              <w:t>For-profit</w:t>
            </w:r>
            <w:r>
              <w:t>’</w:t>
            </w:r>
            <w:r w:rsidRPr="00FD4AD0">
              <w:t xml:space="preserve"> entities as listed in Appendix A cannot apply the additional Aus paragraphs applicable to </w:t>
            </w:r>
            <w:r>
              <w:t>‘</w:t>
            </w:r>
            <w:r w:rsidRPr="00FD4AD0">
              <w:t>not-for-profit</w:t>
            </w:r>
            <w:r>
              <w:t>’</w:t>
            </w:r>
            <w:r w:rsidRPr="00FD4AD0">
              <w:t xml:space="preserve"> entities under the Australian Accounting Standards.</w:t>
            </w:r>
          </w:p>
        </w:tc>
      </w:tr>
      <w:tr w:rsidR="00470359" w:rsidRPr="00E10ADB" w14:paraId="657E72B7" w14:textId="77777777" w:rsidTr="00855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6A7727E5" w14:textId="3945C3BC" w:rsidR="00470359" w:rsidRPr="00E2009B" w:rsidRDefault="00470359" w:rsidP="00470359">
            <w:pPr>
              <w:pStyle w:val="Normalgrey"/>
            </w:pPr>
            <w:r w:rsidRPr="00E2009B">
              <w:t>Background</w:t>
            </w:r>
          </w:p>
        </w:tc>
        <w:tc>
          <w:tcPr>
            <w:tcW w:w="270" w:type="dxa"/>
          </w:tcPr>
          <w:p w14:paraId="7842652A" w14:textId="77777777" w:rsidR="00470359" w:rsidRPr="00521483" w:rsidRDefault="00470359" w:rsidP="00470359">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262FE875" w14:textId="3450C4B2" w:rsidR="00470359" w:rsidRDefault="00470359" w:rsidP="00470359">
            <w:pPr>
              <w:ind w:left="-11"/>
              <w:cnfStyle w:val="000000100000" w:firstRow="0" w:lastRow="0" w:firstColumn="0" w:lastColumn="0" w:oddVBand="0" w:evenVBand="0" w:oddHBand="1" w:evenHBand="0" w:firstRowFirstColumn="0" w:firstRowLastColumn="0" w:lastRowFirstColumn="0" w:lastRowLastColumn="0"/>
            </w:pPr>
            <w:r>
              <w:t>5.1</w:t>
            </w:r>
          </w:p>
        </w:tc>
        <w:tc>
          <w:tcPr>
            <w:tcW w:w="6134" w:type="dxa"/>
          </w:tcPr>
          <w:p w14:paraId="730E2B4F" w14:textId="77777777" w:rsidR="00470359" w:rsidRDefault="00470359" w:rsidP="00470359">
            <w:pPr>
              <w:pStyle w:val="Normalgrey"/>
              <w:cnfStyle w:val="000000100000" w:firstRow="0" w:lastRow="0" w:firstColumn="0" w:lastColumn="0" w:oddVBand="0" w:evenVBand="0" w:oddHBand="1" w:evenHBand="0" w:firstRowFirstColumn="0" w:firstRowLastColumn="0" w:lastRowFirstColumn="0" w:lastRowLastColumn="0"/>
            </w:pPr>
            <w:r>
              <w:t xml:space="preserve">This Financial Reporting Direction is issued to clarify the Government’s intention that the designated entities report under Australian Accounting Standards on a ‘for-profit’ basis.  </w:t>
            </w:r>
          </w:p>
          <w:p w14:paraId="01A06C77" w14:textId="77777777" w:rsidR="00470359" w:rsidRDefault="00470359" w:rsidP="00470359">
            <w:pPr>
              <w:pStyle w:val="Normalgrey"/>
              <w:cnfStyle w:val="000000100000" w:firstRow="0" w:lastRow="0" w:firstColumn="0" w:lastColumn="0" w:oddVBand="0" w:evenVBand="0" w:oddHBand="1" w:evenHBand="0" w:firstRowFirstColumn="0" w:firstRowLastColumn="0" w:lastRowFirstColumn="0" w:lastRowLastColumn="0"/>
            </w:pPr>
            <w:r>
              <w:t>A number of Australian Accounting Standards are derived from international accounting pronouncements developed by the International Accounting Standards Board for application by profit oriented entities, which would allow most ‘for-profit’ entities to also comply with International Financial Reporting Standards when Australian Accounting Standards are applied.</w:t>
            </w:r>
          </w:p>
          <w:p w14:paraId="16F58F12" w14:textId="3FE7FB31" w:rsidR="00470359" w:rsidRDefault="00470359" w:rsidP="00470359">
            <w:pPr>
              <w:pStyle w:val="Normalgrey"/>
              <w:cnfStyle w:val="000000100000" w:firstRow="0" w:lastRow="0" w:firstColumn="0" w:lastColumn="0" w:oddVBand="0" w:evenVBand="0" w:oddHBand="1" w:evenHBand="0" w:firstRowFirstColumn="0" w:firstRowLastColumn="0" w:lastRowFirstColumn="0" w:lastRowLastColumn="0"/>
            </w:pPr>
            <w:r>
              <w:t>However, as Australian Accounting Standards are developed for application by both ‘for profit’ and ‘not-for-profit’ entities, the standards provide some relief, through additional Aus paragraphs, to ‘not-for-profit’ entities from certain aspects of the ‘for-profit’ reporting requirements.  ‘For-profit’ entities cannot apply the additional Aus paragraphs applicable to ‘not-for-profit’ entities under the Australian Accounting Standards.</w:t>
            </w:r>
          </w:p>
        </w:tc>
      </w:tr>
      <w:tr w:rsidR="00470359" w:rsidRPr="00E10ADB" w14:paraId="3ADBE6F1" w14:textId="77777777" w:rsidTr="008554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790A3097" w14:textId="6759BF5D" w:rsidR="00470359" w:rsidRPr="00E2009B" w:rsidRDefault="00470359" w:rsidP="00470359">
            <w:pPr>
              <w:pStyle w:val="Normalgrey"/>
            </w:pPr>
          </w:p>
        </w:tc>
        <w:tc>
          <w:tcPr>
            <w:tcW w:w="270" w:type="dxa"/>
          </w:tcPr>
          <w:p w14:paraId="16F71495" w14:textId="77777777" w:rsidR="00470359" w:rsidRPr="00521483" w:rsidRDefault="00470359" w:rsidP="00470359">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1FDD5832" w14:textId="0D80EC10" w:rsidR="00470359" w:rsidRPr="00472918" w:rsidRDefault="002542D1" w:rsidP="002542D1">
            <w:pPr>
              <w:pStyle w:val="Normalgrey"/>
              <w:cnfStyle w:val="000000010000" w:firstRow="0" w:lastRow="0" w:firstColumn="0" w:lastColumn="0" w:oddVBand="0" w:evenVBand="0" w:oddHBand="0" w:evenHBand="1" w:firstRowFirstColumn="0" w:firstRowLastColumn="0" w:lastRowFirstColumn="0" w:lastRowLastColumn="0"/>
            </w:pPr>
            <w:r>
              <w:t>5.2</w:t>
            </w:r>
          </w:p>
        </w:tc>
        <w:tc>
          <w:tcPr>
            <w:tcW w:w="6134" w:type="dxa"/>
          </w:tcPr>
          <w:p w14:paraId="383CF6FB" w14:textId="77777777" w:rsidR="00470359" w:rsidRDefault="00470359" w:rsidP="00470359">
            <w:pPr>
              <w:pStyle w:val="Normalgrey"/>
              <w:cnfStyle w:val="000000010000" w:firstRow="0" w:lastRow="0" w:firstColumn="0" w:lastColumn="0" w:oddVBand="0" w:evenVBand="0" w:oddHBand="0" w:evenHBand="1" w:firstRowFirstColumn="0" w:firstRowLastColumn="0" w:lastRowFirstColumn="0" w:lastRowLastColumn="0"/>
            </w:pPr>
            <w:r>
              <w:t>This FRD was revised in:</w:t>
            </w:r>
          </w:p>
          <w:p w14:paraId="483584FB" w14:textId="64A39D51" w:rsidR="00470359" w:rsidRDefault="00470359" w:rsidP="00470359">
            <w:pPr>
              <w:pStyle w:val="Bullet1grey"/>
              <w:contextualSpacing w:val="0"/>
              <w:cnfStyle w:val="000000010000" w:firstRow="0" w:lastRow="0" w:firstColumn="0" w:lastColumn="0" w:oddVBand="0" w:evenVBand="0" w:oddHBand="0" w:evenHBand="1" w:firstRowFirstColumn="0" w:firstRowLastColumn="0" w:lastRowFirstColumn="0" w:lastRowLastColumn="0"/>
            </w:pPr>
            <w:r>
              <w:t>June 2016 to:</w:t>
            </w:r>
          </w:p>
          <w:p w14:paraId="43D236EA" w14:textId="1D45D74A" w:rsidR="00470359" w:rsidRDefault="00470359" w:rsidP="00470359">
            <w:pPr>
              <w:pStyle w:val="Bullet2grey"/>
              <w:cnfStyle w:val="000000010000" w:firstRow="0" w:lastRow="0" w:firstColumn="0" w:lastColumn="0" w:oddVBand="0" w:evenVBand="0" w:oddHBand="0" w:evenHBand="1" w:firstRowFirstColumn="0" w:firstRowLastColumn="0" w:lastRowFirstColumn="0" w:lastRowLastColumn="0"/>
            </w:pPr>
            <w:r>
              <w:t xml:space="preserve">Remove Fed Square Pty Ltd as a for-profit entity in Appendix A. </w:t>
            </w:r>
            <w:r w:rsidRPr="00233754">
              <w:t xml:space="preserve">Fed Square </w:t>
            </w:r>
            <w:r>
              <w:t>Pty Ltd operates on a not-for-profit basis and is a corporate body that</w:t>
            </w:r>
            <w:r w:rsidRPr="00615ECE">
              <w:t xml:space="preserve"> is not required to comply with the FRDs under the </w:t>
            </w:r>
            <w:r w:rsidRPr="001F6CB6">
              <w:rPr>
                <w:i/>
              </w:rPr>
              <w:t>Financial Management Act 1994</w:t>
            </w:r>
            <w:r>
              <w:t xml:space="preserve">. </w:t>
            </w:r>
          </w:p>
          <w:p w14:paraId="4FD7BB3B" w14:textId="36D9AA07" w:rsidR="00470359" w:rsidRDefault="00470359" w:rsidP="00470359">
            <w:pPr>
              <w:pStyle w:val="Bullet2grey"/>
              <w:cnfStyle w:val="000000010000" w:firstRow="0" w:lastRow="0" w:firstColumn="0" w:lastColumn="0" w:oddVBand="0" w:evenVBand="0" w:oddHBand="0" w:evenHBand="1" w:firstRowFirstColumn="0" w:firstRowLastColumn="0" w:lastRowFirstColumn="0" w:lastRowLastColumn="0"/>
            </w:pPr>
            <w:r>
              <w:t xml:space="preserve">Remove first-time adoption requirements as they are no longer required. </w:t>
            </w:r>
          </w:p>
          <w:p w14:paraId="2236AFC9" w14:textId="1B60EB0E" w:rsidR="00470359" w:rsidRDefault="00470359" w:rsidP="00470359">
            <w:pPr>
              <w:pStyle w:val="Bullet1grey"/>
              <w:contextualSpacing w:val="0"/>
              <w:cnfStyle w:val="000000010000" w:firstRow="0" w:lastRow="0" w:firstColumn="0" w:lastColumn="0" w:oddVBand="0" w:evenVBand="0" w:oddHBand="0" w:evenHBand="1" w:firstRowFirstColumn="0" w:firstRowLastColumn="0" w:lastRowFirstColumn="0" w:lastRowLastColumn="0"/>
            </w:pPr>
            <w:r>
              <w:t xml:space="preserve">May 2017 to reflect the organisational changes as a result of Port of </w:t>
            </w:r>
            <w:r w:rsidRPr="0065000A">
              <w:t xml:space="preserve">Melbourne </w:t>
            </w:r>
            <w:r>
              <w:t xml:space="preserve">Lease Transaction and the merger of Urban Renewal Authority Victoria (Places Victoria) and Major Projects Victoria. </w:t>
            </w:r>
          </w:p>
          <w:p w14:paraId="2435B134" w14:textId="2A393CB5" w:rsidR="00470359" w:rsidRPr="00E2009B" w:rsidRDefault="00470359" w:rsidP="00470359">
            <w:pPr>
              <w:pStyle w:val="Bullet2grey"/>
              <w:cnfStyle w:val="000000010000" w:firstRow="0" w:lastRow="0" w:firstColumn="0" w:lastColumn="0" w:oddVBand="0" w:evenVBand="0" w:oddHBand="0" w:evenHBand="1" w:firstRowFirstColumn="0" w:firstRowLastColumn="0" w:lastRowFirstColumn="0" w:lastRowLastColumn="0"/>
            </w:pPr>
            <w:r>
              <w:t xml:space="preserve">Melbourne </w:t>
            </w:r>
            <w:r w:rsidRPr="0065000A">
              <w:t>Port Lessor</w:t>
            </w:r>
            <w:r>
              <w:t xml:space="preserve"> Pty Ltd (a Corporations Act entity) was established to hold the assets related to the lease of Port of Melbourne and act as the contract manager. Port of Melbourne Corporation was renamed as Victorian Ports Corporation (Melbourne) after transferring certain assets, rights and obligations to Melbourne </w:t>
            </w:r>
            <w:r w:rsidRPr="0065000A">
              <w:t>Port Lessor</w:t>
            </w:r>
            <w:r>
              <w:t xml:space="preserve"> Pty Ltd and the lessor of Port of Melbourne.</w:t>
            </w:r>
          </w:p>
        </w:tc>
      </w:tr>
      <w:tr w:rsidR="00470359" w:rsidRPr="00E10ADB" w14:paraId="7E335D22" w14:textId="77777777" w:rsidTr="00855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137773B" w14:textId="10A0B27B" w:rsidR="00470359" w:rsidRPr="00E2009B" w:rsidRDefault="00470359" w:rsidP="00470359">
            <w:pPr>
              <w:pStyle w:val="Normalgrey"/>
            </w:pPr>
          </w:p>
        </w:tc>
        <w:tc>
          <w:tcPr>
            <w:tcW w:w="270" w:type="dxa"/>
          </w:tcPr>
          <w:p w14:paraId="67E5D771" w14:textId="77777777" w:rsidR="00470359" w:rsidRPr="00521483" w:rsidRDefault="00470359" w:rsidP="00470359">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7786EF0D" w14:textId="77777777" w:rsidR="00470359" w:rsidRPr="00472918" w:rsidRDefault="00470359" w:rsidP="00470359">
            <w:pPr>
              <w:ind w:left="360"/>
              <w:cnfStyle w:val="000000100000" w:firstRow="0" w:lastRow="0" w:firstColumn="0" w:lastColumn="0" w:oddVBand="0" w:evenVBand="0" w:oddHBand="1" w:evenHBand="0" w:firstRowFirstColumn="0" w:firstRowLastColumn="0" w:lastRowFirstColumn="0" w:lastRowLastColumn="0"/>
            </w:pPr>
          </w:p>
        </w:tc>
        <w:tc>
          <w:tcPr>
            <w:tcW w:w="6134" w:type="dxa"/>
          </w:tcPr>
          <w:p w14:paraId="18EA19E7" w14:textId="06C8FDCD" w:rsidR="00470359" w:rsidRDefault="00470359" w:rsidP="00470359">
            <w:pPr>
              <w:pStyle w:val="Bullet2grey"/>
              <w:cnfStyle w:val="000000100000" w:firstRow="0" w:lastRow="0" w:firstColumn="0" w:lastColumn="0" w:oddVBand="0" w:evenVBand="0" w:oddHBand="1" w:evenHBand="0" w:firstRowFirstColumn="0" w:firstRowLastColumn="0" w:lastRowFirstColumn="0" w:lastRowLastColumn="0"/>
            </w:pPr>
            <w:r>
              <w:t>Major Projects Victoria (a not-for-profit entity) merged with Urban Renewal Authority Victoria (Places Victoria) to become Development Victoria. Development Victoria is classified as a for-profit entity because the operations brought from Urban Renewal Authority Victoria, previously a for-profit entity, constitutes a significant part of the new entity’s operation.</w:t>
            </w:r>
          </w:p>
          <w:p w14:paraId="11F42FB2" w14:textId="77777777" w:rsidR="00470359" w:rsidRDefault="00470359" w:rsidP="00470359">
            <w:pPr>
              <w:pStyle w:val="Bullet1grey"/>
              <w:cnfStyle w:val="000000100000" w:firstRow="0" w:lastRow="0" w:firstColumn="0" w:lastColumn="0" w:oddVBand="0" w:evenVBand="0" w:oddHBand="1" w:evenHBand="0" w:firstRowFirstColumn="0" w:firstRowLastColumn="0" w:lastRowFirstColumn="0" w:lastRowLastColumn="0"/>
            </w:pPr>
            <w:r>
              <w:t>April 2022 to update references to the Minister for Finance to the Assistant Treasurer.</w:t>
            </w:r>
          </w:p>
          <w:p w14:paraId="18039AC2" w14:textId="77777777" w:rsidR="00F206A8" w:rsidRDefault="00AB2F6C" w:rsidP="00470359">
            <w:pPr>
              <w:pStyle w:val="Bullet1grey"/>
              <w:cnfStyle w:val="000000100000" w:firstRow="0" w:lastRow="0" w:firstColumn="0" w:lastColumn="0" w:oddVBand="0" w:evenVBand="0" w:oddHBand="1" w:evenHBand="0" w:firstRowFirstColumn="0" w:firstRowLastColumn="0" w:lastRowFirstColumn="0" w:lastRowLastColumn="0"/>
            </w:pPr>
            <w:r>
              <w:t>June</w:t>
            </w:r>
            <w:r w:rsidR="00F206A8">
              <w:t xml:space="preserve"> 2022 to update the names of entities listed in Appendix A.</w:t>
            </w:r>
          </w:p>
          <w:p w14:paraId="6A231DE8" w14:textId="77777777" w:rsidR="006A16D7" w:rsidRDefault="006A16D7" w:rsidP="00470359">
            <w:pPr>
              <w:pStyle w:val="Bullet1grey"/>
              <w:cnfStyle w:val="000000100000" w:firstRow="0" w:lastRow="0" w:firstColumn="0" w:lastColumn="0" w:oddVBand="0" w:evenVBand="0" w:oddHBand="1" w:evenHBand="0" w:firstRowFirstColumn="0" w:firstRowLastColumn="0" w:lastRowFirstColumn="0" w:lastRowLastColumn="0"/>
            </w:pPr>
            <w:r>
              <w:t>August 2022 to include</w:t>
            </w:r>
            <w:r w:rsidR="00C26C26">
              <w:t xml:space="preserve"> North East Link</w:t>
            </w:r>
            <w:r>
              <w:t xml:space="preserve"> State Tolling Corporation in Appendix A.</w:t>
            </w:r>
          </w:p>
          <w:p w14:paraId="3A22E967" w14:textId="02794055" w:rsidR="00B303F4" w:rsidRDefault="00B303F4" w:rsidP="00470359">
            <w:pPr>
              <w:pStyle w:val="Bullet1grey"/>
              <w:cnfStyle w:val="000000100000" w:firstRow="0" w:lastRow="0" w:firstColumn="0" w:lastColumn="0" w:oddVBand="0" w:evenVBand="0" w:oddHBand="1" w:evenHBand="0" w:firstRowFirstColumn="0" w:firstRowLastColumn="0" w:lastRowFirstColumn="0" w:lastRowLastColumn="0"/>
            </w:pPr>
            <w:r>
              <w:t>December 2024 to update references to the Assistant Treasurer to the Minister for Finance.</w:t>
            </w:r>
          </w:p>
          <w:p w14:paraId="74B7FED9" w14:textId="7EF31842" w:rsidR="00DF371F" w:rsidRPr="00D642F8" w:rsidRDefault="00DF371F" w:rsidP="00470359">
            <w:pPr>
              <w:pStyle w:val="Bullet1grey"/>
              <w:cnfStyle w:val="000000100000" w:firstRow="0" w:lastRow="0" w:firstColumn="0" w:lastColumn="0" w:oddVBand="0" w:evenVBand="0" w:oddHBand="1" w:evenHBand="0" w:firstRowFirstColumn="0" w:firstRowLastColumn="0" w:lastRowFirstColumn="0" w:lastRowLastColumn="0"/>
            </w:pPr>
            <w:r w:rsidRPr="00D642F8">
              <w:t>December 2024 to make the following changes to Appendix A:</w:t>
            </w:r>
          </w:p>
          <w:p w14:paraId="7A9454D5" w14:textId="5B7C03F5" w:rsidR="00DF371F" w:rsidRPr="00D642F8" w:rsidRDefault="00DF371F" w:rsidP="00851C93">
            <w:pPr>
              <w:pStyle w:val="Bullet2"/>
              <w:cnfStyle w:val="000000100000" w:firstRow="0" w:lastRow="0" w:firstColumn="0" w:lastColumn="0" w:oddVBand="0" w:evenVBand="0" w:oddHBand="1" w:evenHBand="0" w:firstRowFirstColumn="0" w:firstRowLastColumn="0" w:lastRowFirstColumn="0" w:lastRowLastColumn="0"/>
              <w:rPr>
                <w:color w:val="4D4D4D"/>
                <w:sz w:val="18"/>
                <w:szCs w:val="18"/>
              </w:rPr>
            </w:pPr>
            <w:r w:rsidRPr="00D642F8">
              <w:rPr>
                <w:color w:val="4D4D4D"/>
                <w:sz w:val="18"/>
                <w:szCs w:val="18"/>
              </w:rPr>
              <w:t>Included SEC Victoria Pty Ltd and its subsidiaries SEC Infrastructure Pty Ltd and SEC Energy Pty Ltd;</w:t>
            </w:r>
          </w:p>
          <w:p w14:paraId="25C9630B" w14:textId="014381CF" w:rsidR="00DF371F" w:rsidRPr="00D642F8" w:rsidRDefault="00DF371F" w:rsidP="00851C93">
            <w:pPr>
              <w:pStyle w:val="Bullet2"/>
              <w:cnfStyle w:val="000000100000" w:firstRow="0" w:lastRow="0" w:firstColumn="0" w:lastColumn="0" w:oddVBand="0" w:evenVBand="0" w:oddHBand="1" w:evenHBand="0" w:firstRowFirstColumn="0" w:firstRowLastColumn="0" w:lastRowFirstColumn="0" w:lastRowLastColumn="0"/>
              <w:rPr>
                <w:color w:val="4D4D4D"/>
                <w:sz w:val="18"/>
                <w:szCs w:val="18"/>
              </w:rPr>
            </w:pPr>
            <w:r w:rsidRPr="00D642F8">
              <w:rPr>
                <w:color w:val="4D4D4D"/>
                <w:sz w:val="18"/>
                <w:szCs w:val="18"/>
              </w:rPr>
              <w:t xml:space="preserve">Removed the former State Electricity Commission of Victoria (abolished by the commencement of the </w:t>
            </w:r>
            <w:r w:rsidRPr="00D642F8">
              <w:rPr>
                <w:i/>
                <w:iCs/>
                <w:color w:val="4D4D4D"/>
                <w:sz w:val="18"/>
                <w:szCs w:val="18"/>
              </w:rPr>
              <w:t>State Electricity Commission Amendment Act 2024)</w:t>
            </w:r>
            <w:r w:rsidRPr="00D642F8">
              <w:rPr>
                <w:color w:val="4D4D4D"/>
                <w:sz w:val="18"/>
                <w:szCs w:val="18"/>
              </w:rPr>
              <w:t>;</w:t>
            </w:r>
          </w:p>
          <w:p w14:paraId="3BCB985F" w14:textId="77777777" w:rsidR="00DF371F" w:rsidRPr="00D642F8" w:rsidRDefault="00DF371F" w:rsidP="00851C93">
            <w:pPr>
              <w:pStyle w:val="Bullet2"/>
              <w:cnfStyle w:val="000000100000" w:firstRow="0" w:lastRow="0" w:firstColumn="0" w:lastColumn="0" w:oddVBand="0" w:evenVBand="0" w:oddHBand="1" w:evenHBand="0" w:firstRowFirstColumn="0" w:firstRowLastColumn="0" w:lastRowFirstColumn="0" w:lastRowLastColumn="0"/>
              <w:rPr>
                <w:color w:val="4D4D4D"/>
                <w:sz w:val="18"/>
                <w:szCs w:val="18"/>
              </w:rPr>
            </w:pPr>
            <w:r w:rsidRPr="00D642F8">
              <w:rPr>
                <w:color w:val="4D4D4D"/>
                <w:sz w:val="18"/>
                <w:szCs w:val="18"/>
              </w:rPr>
              <w:t xml:space="preserve">Removed the former VicForests (abolished by the commencement of the </w:t>
            </w:r>
            <w:r w:rsidRPr="00D642F8">
              <w:rPr>
                <w:i/>
                <w:iCs/>
                <w:color w:val="4D4D4D"/>
                <w:sz w:val="18"/>
                <w:szCs w:val="18"/>
              </w:rPr>
              <w:t>Sustainable Forests (Timber) Repeal Act 2024)</w:t>
            </w:r>
            <w:r w:rsidRPr="00D642F8">
              <w:rPr>
                <w:color w:val="4D4D4D"/>
                <w:sz w:val="18"/>
                <w:szCs w:val="18"/>
              </w:rPr>
              <w:t xml:space="preserve">; and </w:t>
            </w:r>
          </w:p>
          <w:p w14:paraId="6F1470AC" w14:textId="412ADFE5" w:rsidR="00DF371F" w:rsidRDefault="00DF371F" w:rsidP="00851C93">
            <w:pPr>
              <w:pStyle w:val="Bullet2"/>
              <w:cnfStyle w:val="000000100000" w:firstRow="0" w:lastRow="0" w:firstColumn="0" w:lastColumn="0" w:oddVBand="0" w:evenVBand="0" w:oddHBand="1" w:evenHBand="0" w:firstRowFirstColumn="0" w:firstRowLastColumn="0" w:lastRowFirstColumn="0" w:lastRowLastColumn="0"/>
            </w:pPr>
            <w:r w:rsidRPr="00D642F8">
              <w:rPr>
                <w:color w:val="4D4D4D"/>
                <w:sz w:val="18"/>
                <w:szCs w:val="18"/>
              </w:rPr>
              <w:t xml:space="preserve">Updated the name of the Port of Hastings Development Authority to the Port of Hastings Corporation (pursuant to the </w:t>
            </w:r>
            <w:r w:rsidRPr="00D642F8">
              <w:rPr>
                <w:i/>
                <w:iCs/>
                <w:color w:val="4D4D4D"/>
                <w:sz w:val="18"/>
                <w:szCs w:val="18"/>
              </w:rPr>
              <w:t>Transport Legislation Amendment (Port Reforms and Other Matters) Act 2022</w:t>
            </w:r>
            <w:r w:rsidRPr="00D642F8">
              <w:rPr>
                <w:color w:val="4D4D4D"/>
                <w:sz w:val="18"/>
                <w:szCs w:val="18"/>
              </w:rPr>
              <w:t>).</w:t>
            </w:r>
          </w:p>
        </w:tc>
      </w:tr>
    </w:tbl>
    <w:p w14:paraId="1388DBDD" w14:textId="3C7B4EF8" w:rsidR="001952A5" w:rsidRDefault="001952A5">
      <w:pPr>
        <w:spacing w:before="0" w:after="200"/>
        <w:rPr>
          <w:rFonts w:eastAsia="Times New Roman"/>
          <w:b/>
          <w:bCs/>
          <w:kern w:val="32"/>
          <w:sz w:val="28"/>
          <w:szCs w:val="32"/>
        </w:rPr>
      </w:pPr>
      <w:r>
        <w:br w:type="page"/>
      </w:r>
    </w:p>
    <w:p w14:paraId="0467602A" w14:textId="0FA16291" w:rsidR="00C24DF7" w:rsidRPr="008554CD" w:rsidRDefault="00C24DF7" w:rsidP="008554CD">
      <w:pPr>
        <w:pStyle w:val="Heading1"/>
        <w:rPr>
          <w:rFonts w:cstheme="majorHAnsi"/>
        </w:rPr>
      </w:pPr>
      <w:r w:rsidRPr="008554CD">
        <w:rPr>
          <w:rFonts w:cstheme="majorHAnsi"/>
        </w:rPr>
        <w:lastRenderedPageBreak/>
        <w:t xml:space="preserve">Appendix </w:t>
      </w:r>
      <w:r w:rsidR="00CD4AAD">
        <w:rPr>
          <w:rFonts w:cstheme="majorHAnsi"/>
        </w:rPr>
        <w:t>A</w:t>
      </w:r>
      <w:r w:rsidRPr="008554CD">
        <w:rPr>
          <w:rFonts w:cstheme="majorHAnsi"/>
        </w:rPr>
        <w:t xml:space="preserve"> – </w:t>
      </w:r>
      <w:r w:rsidR="00D84D16" w:rsidRPr="008554CD">
        <w:rPr>
          <w:rFonts w:cstheme="majorHAnsi"/>
        </w:rPr>
        <w:t>For-profit entities</w:t>
      </w:r>
    </w:p>
    <w:p w14:paraId="0CE0EB8D" w14:textId="77777777" w:rsidR="00C24DF7" w:rsidRPr="00C24DF7" w:rsidRDefault="00C24DF7" w:rsidP="008554CD">
      <w:pPr>
        <w:pStyle w:val="Bullet1"/>
        <w:contextualSpacing w:val="0"/>
      </w:pPr>
      <w:r w:rsidRPr="00C24DF7">
        <w:t xml:space="preserve">Melbourne Water </w:t>
      </w:r>
      <w:r w:rsidR="00287232">
        <w:t>Corporation</w:t>
      </w:r>
    </w:p>
    <w:p w14:paraId="63406311" w14:textId="3FD41F35" w:rsidR="00D3603F" w:rsidRPr="00C24DF7" w:rsidRDefault="00D3603F" w:rsidP="008554CD">
      <w:pPr>
        <w:pStyle w:val="Bullet1"/>
        <w:contextualSpacing w:val="0"/>
      </w:pPr>
      <w:r>
        <w:t>Greater Western Water</w:t>
      </w:r>
    </w:p>
    <w:p w14:paraId="7A20F5C9" w14:textId="77777777" w:rsidR="00C24DF7" w:rsidRPr="00C24DF7" w:rsidRDefault="00C24DF7" w:rsidP="008554CD">
      <w:pPr>
        <w:pStyle w:val="Bullet1"/>
        <w:contextualSpacing w:val="0"/>
      </w:pPr>
      <w:r w:rsidRPr="00C24DF7">
        <w:t xml:space="preserve">Yarra Valley Water </w:t>
      </w:r>
      <w:r w:rsidR="00287232">
        <w:t>Corporation</w:t>
      </w:r>
      <w:r w:rsidRPr="00C24DF7">
        <w:t xml:space="preserve"> </w:t>
      </w:r>
    </w:p>
    <w:p w14:paraId="5D8207F2" w14:textId="7D772C18" w:rsidR="00C24DF7" w:rsidRPr="00C24DF7" w:rsidRDefault="00C24DF7" w:rsidP="008554CD">
      <w:pPr>
        <w:pStyle w:val="Bullet1"/>
        <w:contextualSpacing w:val="0"/>
      </w:pPr>
      <w:r w:rsidRPr="00C24DF7">
        <w:t xml:space="preserve">South East Water </w:t>
      </w:r>
      <w:r w:rsidR="00287232">
        <w:t>Corporation</w:t>
      </w:r>
      <w:r w:rsidRPr="00C24DF7">
        <w:t xml:space="preserve"> </w:t>
      </w:r>
    </w:p>
    <w:p w14:paraId="6935C9EC" w14:textId="77777777" w:rsidR="00C24DF7" w:rsidRPr="00C24DF7" w:rsidRDefault="00C24DF7" w:rsidP="008554CD">
      <w:pPr>
        <w:pStyle w:val="Bullet1"/>
        <w:contextualSpacing w:val="0"/>
      </w:pPr>
      <w:r w:rsidRPr="00C24DF7">
        <w:t xml:space="preserve">Victorian Funds Management Corporation </w:t>
      </w:r>
    </w:p>
    <w:p w14:paraId="4F904CE8" w14:textId="0FC471B9" w:rsidR="00C24DF7" w:rsidRPr="00C24DF7" w:rsidRDefault="00C24DF7" w:rsidP="008554CD">
      <w:pPr>
        <w:pStyle w:val="Bullet1"/>
        <w:contextualSpacing w:val="0"/>
      </w:pPr>
      <w:r w:rsidRPr="00C24DF7">
        <w:t xml:space="preserve">Treasury Corporation of Victoria </w:t>
      </w:r>
    </w:p>
    <w:p w14:paraId="6DE348E1" w14:textId="2D28244C" w:rsidR="00C24DF7" w:rsidRPr="00C24DF7" w:rsidRDefault="00C24DF7" w:rsidP="008554CD">
      <w:pPr>
        <w:pStyle w:val="Bullet1"/>
        <w:contextualSpacing w:val="0"/>
      </w:pPr>
      <w:r w:rsidRPr="00C24DF7">
        <w:t xml:space="preserve">Transport Accident Commission </w:t>
      </w:r>
    </w:p>
    <w:p w14:paraId="436FCF75" w14:textId="6B3E51E7" w:rsidR="00C24DF7" w:rsidRDefault="00C24DF7" w:rsidP="008554CD">
      <w:pPr>
        <w:pStyle w:val="Bullet1"/>
        <w:contextualSpacing w:val="0"/>
      </w:pPr>
      <w:r w:rsidRPr="00C24DF7">
        <w:t xml:space="preserve">State Trustees Limited </w:t>
      </w:r>
    </w:p>
    <w:p w14:paraId="33768EC0" w14:textId="12C70879" w:rsidR="00C24DF7" w:rsidRDefault="00C26C26" w:rsidP="009337A5">
      <w:pPr>
        <w:pStyle w:val="Bullet1"/>
        <w:contextualSpacing w:val="0"/>
      </w:pPr>
      <w:r>
        <w:t xml:space="preserve">North East Link </w:t>
      </w:r>
      <w:r w:rsidR="006A16D7">
        <w:t>State Tolling Corporation</w:t>
      </w:r>
    </w:p>
    <w:p w14:paraId="29E9F357" w14:textId="07FE56DF" w:rsidR="008774CC" w:rsidRDefault="008774CC" w:rsidP="008774CC">
      <w:pPr>
        <w:pStyle w:val="Bullet1"/>
        <w:contextualSpacing w:val="0"/>
      </w:pPr>
      <w:r>
        <w:t xml:space="preserve">SEC </w:t>
      </w:r>
      <w:r w:rsidR="009337A5">
        <w:t>Victoria</w:t>
      </w:r>
      <w:r>
        <w:t xml:space="preserve"> Pty Ltd</w:t>
      </w:r>
    </w:p>
    <w:p w14:paraId="58390038" w14:textId="1FE68756" w:rsidR="008774CC" w:rsidRDefault="008774CC" w:rsidP="008774CC">
      <w:pPr>
        <w:pStyle w:val="Bullet1"/>
        <w:contextualSpacing w:val="0"/>
      </w:pPr>
      <w:r>
        <w:t>SEC Infrastructure Pty Ltd</w:t>
      </w:r>
    </w:p>
    <w:p w14:paraId="65BFE07D" w14:textId="64A02146" w:rsidR="008774CC" w:rsidRPr="00C24DF7" w:rsidRDefault="008774CC" w:rsidP="008774CC">
      <w:pPr>
        <w:pStyle w:val="Bullet1"/>
        <w:contextualSpacing w:val="0"/>
      </w:pPr>
      <w:r>
        <w:t>SEC Energy Pty Ltd</w:t>
      </w:r>
    </w:p>
    <w:p w14:paraId="664F2E05" w14:textId="77777777" w:rsidR="00C24DF7" w:rsidRPr="00C24DF7" w:rsidRDefault="00E81395" w:rsidP="008554CD">
      <w:pPr>
        <w:pStyle w:val="Bullet1"/>
        <w:contextualSpacing w:val="0"/>
      </w:pPr>
      <w:r>
        <w:t>Development</w:t>
      </w:r>
      <w:r w:rsidR="00287232">
        <w:t xml:space="preserve"> Victoria</w:t>
      </w:r>
    </w:p>
    <w:p w14:paraId="1177547B" w14:textId="604E5CA5" w:rsidR="00C24DF7" w:rsidRPr="00C24DF7" w:rsidRDefault="00D86911" w:rsidP="008554CD">
      <w:pPr>
        <w:pStyle w:val="Bullet1"/>
        <w:contextualSpacing w:val="0"/>
      </w:pPr>
      <w:r>
        <w:t>Melbourne Port Lessor</w:t>
      </w:r>
      <w:r w:rsidR="00300736">
        <w:t xml:space="preserve"> Pty Ltd</w:t>
      </w:r>
    </w:p>
    <w:p w14:paraId="29F09B12" w14:textId="54CB5AC5" w:rsidR="00C24DF7" w:rsidRPr="00C24DF7" w:rsidRDefault="00C24DF7" w:rsidP="008554CD">
      <w:pPr>
        <w:pStyle w:val="Bullet1"/>
        <w:contextualSpacing w:val="0"/>
      </w:pPr>
      <w:r w:rsidRPr="00C24DF7">
        <w:t xml:space="preserve">Port of Hastings </w:t>
      </w:r>
      <w:r w:rsidR="008774CC">
        <w:t>Corporation</w:t>
      </w:r>
    </w:p>
    <w:p w14:paraId="0C997980" w14:textId="165FB02B" w:rsidR="000725F3" w:rsidRDefault="00D3603F" w:rsidP="009337A5">
      <w:pPr>
        <w:pStyle w:val="Bullet1"/>
        <w:contextualSpacing w:val="0"/>
      </w:pPr>
      <w:r>
        <w:t>Ports Victoria</w:t>
      </w:r>
      <w:r w:rsidR="00C24DF7" w:rsidRPr="00C24DF7">
        <w:t xml:space="preserve"> </w:t>
      </w:r>
    </w:p>
    <w:p w14:paraId="0D49F290" w14:textId="12807093" w:rsidR="00300736" w:rsidRDefault="00425366" w:rsidP="000725F3">
      <w:pPr>
        <w:pStyle w:val="Bullet1"/>
        <w:contextualSpacing w:val="0"/>
      </w:pPr>
      <w:r>
        <w:t>V</w:t>
      </w:r>
      <w:r w:rsidR="00F206A8">
        <w:t>IT</w:t>
      </w:r>
      <w:r>
        <w:t>S Language Loop</w:t>
      </w:r>
    </w:p>
    <w:p w14:paraId="68EB36CE" w14:textId="158D23F0" w:rsidR="00300736" w:rsidRDefault="00300736" w:rsidP="00300736">
      <w:pPr>
        <w:pStyle w:val="Bullet1"/>
        <w:numPr>
          <w:ilvl w:val="0"/>
          <w:numId w:val="0"/>
        </w:numPr>
        <w:ind w:left="288"/>
        <w:contextualSpacing w:val="0"/>
      </w:pPr>
    </w:p>
    <w:p w14:paraId="43DF3697" w14:textId="21589130" w:rsidR="00300736" w:rsidRPr="00300736" w:rsidRDefault="00300736" w:rsidP="00F206A8">
      <w:pPr>
        <w:pStyle w:val="Bullet1"/>
        <w:numPr>
          <w:ilvl w:val="0"/>
          <w:numId w:val="0"/>
        </w:numPr>
        <w:contextualSpacing w:val="0"/>
        <w:rPr>
          <w:i/>
          <w:sz w:val="18"/>
          <w:szCs w:val="18"/>
        </w:rPr>
      </w:pPr>
    </w:p>
    <w:sectPr w:rsidR="00300736" w:rsidRPr="00300736" w:rsidSect="008554CD">
      <w:headerReference w:type="even" r:id="rId9"/>
      <w:headerReference w:type="default" r:id="rId10"/>
      <w:footerReference w:type="even" r:id="rId11"/>
      <w:footerReference w:type="default" r:id="rId12"/>
      <w:headerReference w:type="first" r:id="rId13"/>
      <w:footerReference w:type="first" r:id="rId14"/>
      <w:pgSz w:w="11906" w:h="16838" w:code="9"/>
      <w:pgMar w:top="1800" w:right="1440" w:bottom="1354" w:left="1440" w:header="44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9B4B" w14:textId="77777777" w:rsidR="004B565E" w:rsidRDefault="004B565E" w:rsidP="00493B55">
      <w:pPr>
        <w:spacing w:before="0" w:after="0"/>
      </w:pPr>
      <w:r>
        <w:separator/>
      </w:r>
    </w:p>
  </w:endnote>
  <w:endnote w:type="continuationSeparator" w:id="0">
    <w:p w14:paraId="0923702E" w14:textId="77777777" w:rsidR="004B565E" w:rsidRDefault="004B565E" w:rsidP="00493B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0F15E" w14:textId="77777777" w:rsidR="00DF371F" w:rsidRDefault="00DF3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2E348" w14:textId="2A6E865E" w:rsidR="008554CD" w:rsidRDefault="009876E4" w:rsidP="008554CD">
    <w:pPr>
      <w:pStyle w:val="Spacer"/>
    </w:pPr>
    <w:r>
      <w:rPr>
        <w:noProof/>
      </w:rPr>
      <mc:AlternateContent>
        <mc:Choice Requires="wps">
          <w:drawing>
            <wp:anchor distT="0" distB="0" distL="114300" distR="114300" simplePos="0" relativeHeight="251657216" behindDoc="0" locked="0" layoutInCell="0" allowOverlap="1" wp14:anchorId="6D2594EB" wp14:editId="4752CB2D">
              <wp:simplePos x="0" y="0"/>
              <wp:positionH relativeFrom="page">
                <wp:posOffset>0</wp:posOffset>
              </wp:positionH>
              <wp:positionV relativeFrom="page">
                <wp:posOffset>10227945</wp:posOffset>
              </wp:positionV>
              <wp:extent cx="7560310" cy="273050"/>
              <wp:effectExtent l="0" t="0" r="0" b="12700"/>
              <wp:wrapNone/>
              <wp:docPr id="1" name="MSIPCMd6604c729636dd8a2e09cc7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3296C" w14:textId="50621D90" w:rsidR="009876E4" w:rsidRPr="009876E4" w:rsidRDefault="009876E4" w:rsidP="009876E4">
                          <w:pPr>
                            <w:spacing w:before="0" w:after="0"/>
                            <w:rPr>
                              <w:rFonts w:ascii="Calibri" w:hAnsi="Calibri" w:cs="Calibri"/>
                              <w:color w:val="000000"/>
                              <w:sz w:val="22"/>
                            </w:rPr>
                          </w:pPr>
                          <w:r w:rsidRPr="009876E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2594EB" id="_x0000_t202" coordsize="21600,21600" o:spt="202" path="m,l,21600r21600,l21600,xe">
              <v:stroke joinstyle="miter"/>
              <v:path gradientshapeok="t" o:connecttype="rect"/>
            </v:shapetype>
            <v:shape id="MSIPCMd6604c729636dd8a2e09cc78"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1F3296C" w14:textId="50621D90" w:rsidR="009876E4" w:rsidRPr="009876E4" w:rsidRDefault="009876E4" w:rsidP="009876E4">
                    <w:pPr>
                      <w:spacing w:before="0" w:after="0"/>
                      <w:rPr>
                        <w:rFonts w:ascii="Calibri" w:hAnsi="Calibri" w:cs="Calibri"/>
                        <w:color w:val="000000"/>
                        <w:sz w:val="22"/>
                      </w:rPr>
                    </w:pPr>
                    <w:r w:rsidRPr="009876E4">
                      <w:rPr>
                        <w:rFonts w:ascii="Calibri" w:hAnsi="Calibri" w:cs="Calibri"/>
                        <w:color w:val="000000"/>
                        <w:sz w:val="22"/>
                      </w:rPr>
                      <w:t>OFFICIAL</w:t>
                    </w:r>
                  </w:p>
                </w:txbxContent>
              </v:textbox>
              <w10:wrap anchorx="page" anchory="page"/>
            </v:shape>
          </w:pict>
        </mc:Fallback>
      </mc:AlternateContent>
    </w:r>
  </w:p>
  <w:p w14:paraId="35E62D21" w14:textId="186F385D" w:rsidR="008554CD" w:rsidRPr="005828FE" w:rsidRDefault="008554CD" w:rsidP="008554CD">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DB67D4">
      <w:rPr>
        <w:b/>
      </w:rPr>
      <w:t>FRD 108</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DB67D4">
      <w:t>Classification of entities as for-profit (December 2024)</w:t>
    </w:r>
    <w:r w:rsidRPr="006C78FB">
      <w:fldChar w:fldCharType="end"/>
    </w:r>
    <w:r w:rsidRPr="00C022F9">
      <w:tab/>
    </w:r>
    <w:r w:rsidRPr="005828FE">
      <w:t xml:space="preserve">Page </w:t>
    </w:r>
    <w:r w:rsidRPr="005828FE">
      <w:rPr>
        <w:rStyle w:val="PageNumber"/>
      </w:rPr>
      <w:fldChar w:fldCharType="begin"/>
    </w:r>
    <w:r w:rsidRPr="005828FE">
      <w:rPr>
        <w:rStyle w:val="PageNumber"/>
      </w:rPr>
      <w:instrText xml:space="preserve"> Page </w:instrText>
    </w:r>
    <w:r w:rsidRPr="005828FE">
      <w:rPr>
        <w:rStyle w:val="PageNumber"/>
      </w:rPr>
      <w:fldChar w:fldCharType="separate"/>
    </w:r>
    <w:r w:rsidR="00593B28">
      <w:rPr>
        <w:rStyle w:val="PageNumber"/>
      </w:rPr>
      <w:t>1</w:t>
    </w:r>
    <w:r w:rsidRPr="005828F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18" w:type="dxa"/>
      <w:tblBorders>
        <w:bottom w:val="none" w:sz="0" w:space="0" w:color="auto"/>
      </w:tblBorders>
      <w:tblLayout w:type="fixed"/>
      <w:tblCellMar>
        <w:left w:w="58" w:type="dxa"/>
        <w:right w:w="58" w:type="dxa"/>
      </w:tblCellMar>
      <w:tblLook w:val="04A0" w:firstRow="1" w:lastRow="0" w:firstColumn="1" w:lastColumn="0" w:noHBand="0" w:noVBand="1"/>
    </w:tblPr>
    <w:tblGrid>
      <w:gridCol w:w="1548"/>
      <w:gridCol w:w="6700"/>
      <w:gridCol w:w="1570"/>
    </w:tblGrid>
    <w:tr w:rsidR="00493B55" w14:paraId="0E8B4CDF" w14:textId="77777777" w:rsidTr="00493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44C4D962" w14:textId="77777777" w:rsidR="00493B55" w:rsidRDefault="0027347B" w:rsidP="00493B55">
          <w:pPr>
            <w:pStyle w:val="Footer"/>
            <w:tabs>
              <w:tab w:val="clear" w:pos="9026"/>
            </w:tabs>
          </w:pPr>
          <w:r>
            <w:drawing>
              <wp:inline distT="0" distB="0" distL="0" distR="0" wp14:anchorId="37E33850" wp14:editId="22F41AD3">
                <wp:extent cx="822960" cy="466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black_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2960" cy="466344"/>
                        </a:xfrm>
                        <a:prstGeom prst="rect">
                          <a:avLst/>
                        </a:prstGeom>
                        <a:noFill/>
                        <a:ln>
                          <a:noFill/>
                        </a:ln>
                      </pic:spPr>
                    </pic:pic>
                  </a:graphicData>
                </a:graphic>
              </wp:inline>
            </w:drawing>
          </w:r>
        </w:p>
      </w:tc>
      <w:tc>
        <w:tcPr>
          <w:tcW w:w="6700" w:type="dxa"/>
        </w:tcPr>
        <w:p w14:paraId="4ED44DCE"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fldChar w:fldCharType="begin"/>
          </w:r>
          <w:r>
            <w:instrText xml:space="preserve"> </w:instrText>
          </w:r>
          <w:r w:rsidRPr="00743D1A">
            <w:instrText>STYLEREF  "FRD Number"  \* MERGEFORMAT</w:instrText>
          </w:r>
          <w:r>
            <w:instrText xml:space="preserve"> </w:instrText>
          </w:r>
          <w:r>
            <w:fldChar w:fldCharType="separate"/>
          </w:r>
          <w:r w:rsidR="00783F33">
            <w:t>FRD 108CB</w:t>
          </w:r>
          <w:r>
            <w:fldChar w:fldCharType="end"/>
          </w:r>
          <w:r>
            <w:t xml:space="preserve"> </w:t>
          </w:r>
          <w:r w:rsidR="004F2C9C">
            <w:rPr>
              <w:noProof w:val="0"/>
            </w:rPr>
            <w:fldChar w:fldCharType="begin"/>
          </w:r>
          <w:r w:rsidR="004F2C9C">
            <w:instrText xml:space="preserve"> STYLEREF  "FRD Header" </w:instrText>
          </w:r>
          <w:r w:rsidR="004F2C9C">
            <w:rPr>
              <w:noProof w:val="0"/>
            </w:rPr>
            <w:fldChar w:fldCharType="separate"/>
          </w:r>
          <w:r w:rsidR="00783F33">
            <w:t>Classification of Eentities as Ffor-profit (AprilJune 20176)</w:t>
          </w:r>
          <w:r w:rsidR="004F2C9C">
            <w:fldChar w:fldCharType="end"/>
          </w:r>
        </w:p>
      </w:tc>
      <w:tc>
        <w:tcPr>
          <w:tcW w:w="1570" w:type="dxa"/>
        </w:tcPr>
        <w:p w14:paraId="41B9C36F"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t xml:space="preserve">Page </w:t>
          </w:r>
          <w:r>
            <w:fldChar w:fldCharType="begin"/>
          </w:r>
          <w:r>
            <w:instrText xml:space="preserve"> page </w:instrText>
          </w:r>
          <w:r>
            <w:fldChar w:fldCharType="separate"/>
          </w:r>
          <w:r w:rsidR="008554CD">
            <w:t>1</w:t>
          </w:r>
          <w:r>
            <w:fldChar w:fldCharType="end"/>
          </w:r>
          <w:r>
            <w:t xml:space="preserve"> of </w:t>
          </w:r>
          <w:r w:rsidR="004F2C9C">
            <w:rPr>
              <w:noProof w:val="0"/>
            </w:rPr>
            <w:fldChar w:fldCharType="begin"/>
          </w:r>
          <w:r w:rsidR="004F2C9C">
            <w:instrText xml:space="preserve"> numpages </w:instrText>
          </w:r>
          <w:r w:rsidR="004F2C9C">
            <w:rPr>
              <w:noProof w:val="0"/>
            </w:rPr>
            <w:fldChar w:fldCharType="separate"/>
          </w:r>
          <w:r w:rsidR="00783F33">
            <w:t>4</w:t>
          </w:r>
          <w:r w:rsidR="004F2C9C">
            <w:fldChar w:fldCharType="end"/>
          </w:r>
        </w:p>
      </w:tc>
    </w:tr>
  </w:tbl>
  <w:p w14:paraId="1110CECC" w14:textId="77777777" w:rsidR="00493B55" w:rsidRDefault="00493B55" w:rsidP="00493B55">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6DE19" w14:textId="77777777" w:rsidR="004B565E" w:rsidRDefault="004B565E" w:rsidP="00493B55">
      <w:pPr>
        <w:spacing w:before="0" w:after="0"/>
      </w:pPr>
      <w:r>
        <w:separator/>
      </w:r>
    </w:p>
  </w:footnote>
  <w:footnote w:type="continuationSeparator" w:id="0">
    <w:p w14:paraId="4A5330B2" w14:textId="77777777" w:rsidR="004B565E" w:rsidRDefault="004B565E" w:rsidP="00493B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8F6E" w14:textId="77777777" w:rsidR="00DF371F" w:rsidRDefault="00DF3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D8BF" w14:textId="77777777" w:rsidR="008554CD" w:rsidRPr="0041689E" w:rsidRDefault="008554CD" w:rsidP="008554CD">
    <w:pPr>
      <w:pStyle w:val="Header"/>
      <w:tabs>
        <w:tab w:val="clear" w:pos="9026"/>
      </w:tabs>
      <w:ind w:right="-694"/>
      <w:jc w:val="right"/>
    </w:pPr>
    <w:r>
      <w:rPr>
        <w:noProof/>
      </w:rPr>
      <w:drawing>
        <wp:inline distT="0" distB="0" distL="0" distR="0" wp14:anchorId="4C026EFE" wp14:editId="1468D6C0">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21511784" w14:textId="77777777" w:rsidR="008554CD" w:rsidRDefault="008554CD" w:rsidP="008554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600669"/>
      <w:docPartObj>
        <w:docPartGallery w:val="Watermarks"/>
        <w:docPartUnique/>
      </w:docPartObj>
    </w:sdtPr>
    <w:sdtContent>
      <w:p w14:paraId="6741FB7F" w14:textId="74870F74" w:rsidR="00EE2A12" w:rsidRDefault="00000000">
        <w:pPr>
          <w:pStyle w:val="Header"/>
        </w:pPr>
        <w:r>
          <w:rPr>
            <w:noProof/>
            <w:lang w:val="en-US" w:eastAsia="zh-TW"/>
          </w:rPr>
          <w:pict w14:anchorId="15033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4478F"/>
    <w:multiLevelType w:val="hybridMultilevel"/>
    <w:tmpl w:val="EA80E36A"/>
    <w:lvl w:ilvl="0" w:tplc="106EB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 w15:restartNumberingAfterBreak="0">
    <w:nsid w:val="1A21151E"/>
    <w:multiLevelType w:val="hybridMultilevel"/>
    <w:tmpl w:val="345AE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2375F0"/>
    <w:multiLevelType w:val="hybridMultilevel"/>
    <w:tmpl w:val="787CB63A"/>
    <w:lvl w:ilvl="0" w:tplc="156072D8">
      <w:start w:val="1"/>
      <w:numFmt w:val="bullet"/>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pStyle w:val="Bullet3"/>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D80DCD"/>
    <w:multiLevelType w:val="hybridMultilevel"/>
    <w:tmpl w:val="6570EF56"/>
    <w:lvl w:ilvl="0" w:tplc="79DED41C">
      <w:start w:val="1"/>
      <w:numFmt w:val="bullet"/>
      <w:pStyle w:val="Bullet"/>
      <w:lvlText w:val=""/>
      <w:lvlJc w:val="left"/>
      <w:pPr>
        <w:tabs>
          <w:tab w:val="num" w:pos="504"/>
        </w:tabs>
        <w:ind w:left="504" w:hanging="504"/>
      </w:pPr>
      <w:rPr>
        <w:rFonts w:ascii="Symbol" w:hAnsi="Symbol"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D41901"/>
    <w:multiLevelType w:val="hybridMultilevel"/>
    <w:tmpl w:val="E03E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C550F8"/>
    <w:multiLevelType w:val="multilevel"/>
    <w:tmpl w:val="65CA5EC4"/>
    <w:lvl w:ilvl="0">
      <w:start w:val="1"/>
      <w:numFmt w:val="lowerLetter"/>
      <w:pStyle w:val="List1"/>
      <w:lvlText w:val="(%1)"/>
      <w:lvlJc w:val="left"/>
      <w:pPr>
        <w:ind w:left="360" w:hanging="360"/>
      </w:pPr>
      <w:rPr>
        <w:rFonts w:hint="default"/>
      </w:rPr>
    </w:lvl>
    <w:lvl w:ilvl="1">
      <w:start w:val="1"/>
      <w:numFmt w:val="lowerRoman"/>
      <w:pStyle w:val="List2"/>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3"/>
      <w:lvlText w:val="·"/>
      <w:lvlJc w:val="left"/>
      <w:pPr>
        <w:ind w:left="1080" w:hanging="360"/>
      </w:pPr>
      <w:rPr>
        <w:rFonts w:ascii="Symbol" w:hAnsi="Symbol" w:hint="default"/>
      </w:rPr>
    </w:lvl>
    <w:lvl w:ilvl="3">
      <w:start w:val="1"/>
      <w:numFmt w:val="lowerLetter"/>
      <w:lvlRestart w:val="1"/>
      <w:pStyle w:val="List1grey"/>
      <w:lvlText w:val="(%4)"/>
      <w:lvlJc w:val="left"/>
      <w:pPr>
        <w:ind w:left="360" w:hanging="360"/>
      </w:pPr>
      <w:rPr>
        <w:rFonts w:hint="default"/>
        <w:color w:val="5E5E5E"/>
      </w:rPr>
    </w:lvl>
    <w:lvl w:ilvl="4">
      <w:start w:val="1"/>
      <w:numFmt w:val="lowerRoman"/>
      <w:pStyle w:val="List2grey"/>
      <w:lvlText w:val="(%5)"/>
      <w:lvlJc w:val="left"/>
      <w:pPr>
        <w:ind w:left="720" w:hanging="360"/>
      </w:pPr>
      <w:rPr>
        <w:rFonts w:hint="default"/>
        <w:color w:val="5E5E5E"/>
      </w:rPr>
    </w:lvl>
    <w:lvl w:ilvl="5">
      <w:start w:val="1"/>
      <w:numFmt w:val="bullet"/>
      <w:pStyle w:val="List3grey"/>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5FFA3AEC"/>
    <w:multiLevelType w:val="multilevel"/>
    <w:tmpl w:val="64E074DA"/>
    <w:lvl w:ilvl="0">
      <w:start w:val="1"/>
      <w:numFmt w:val="lowerRoman"/>
      <w:pStyle w:val="Numberingi"/>
      <w:lvlText w:val="(%1)"/>
      <w:lvlJc w:val="left"/>
      <w:pPr>
        <w:tabs>
          <w:tab w:val="num" w:pos="720"/>
        </w:tabs>
        <w:ind w:left="504" w:hanging="504"/>
      </w:pPr>
      <w:rPr>
        <w:rFonts w:ascii="Arial" w:hAnsi="Arial" w:hint="default"/>
        <w:sz w:val="22"/>
      </w:rPr>
    </w:lvl>
    <w:lvl w:ilvl="1">
      <w:start w:val="1"/>
      <w:numFmt w:val="bullet"/>
      <w:lvlText w:val=""/>
      <w:lvlJc w:val="left"/>
      <w:pPr>
        <w:tabs>
          <w:tab w:val="num" w:pos="1008"/>
        </w:tabs>
        <w:ind w:left="1008" w:hanging="504"/>
      </w:pPr>
      <w:rPr>
        <w:rFonts w:ascii="Symbol" w:hAnsi="Symbol" w:hint="default"/>
        <w:b w:val="0"/>
        <w:i w:val="0"/>
        <w:sz w:val="20"/>
      </w:rPr>
    </w:lvl>
    <w:lvl w:ilvl="2">
      <w:start w:val="1"/>
      <w:numFmt w:val="bullet"/>
      <w:lvlText w:val=""/>
      <w:lvlJc w:val="left"/>
      <w:pPr>
        <w:tabs>
          <w:tab w:val="num" w:pos="1080"/>
        </w:tabs>
        <w:ind w:left="1080" w:hanging="360"/>
      </w:pPr>
      <w:rPr>
        <w:rFonts w:ascii="Symbol" w:hAnsi="Symbol" w:hint="default"/>
        <w:b w:val="0"/>
        <w:i w:val="0"/>
        <w:sz w:val="18"/>
      </w:rPr>
    </w:lvl>
    <w:lvl w:ilvl="3">
      <w:start w:val="1"/>
      <w:numFmt w:val="lowerLetter"/>
      <w:lvlText w:val="(%4)"/>
      <w:lvlJc w:val="left"/>
      <w:pPr>
        <w:tabs>
          <w:tab w:val="num" w:pos="2869"/>
        </w:tabs>
        <w:ind w:left="2869" w:hanging="709"/>
      </w:pPr>
      <w:rPr>
        <w:rFonts w:hint="default"/>
      </w:rPr>
    </w:lvl>
    <w:lvl w:ilvl="4">
      <w:start w:val="1"/>
      <w:numFmt w:val="decimal"/>
      <w:lvlText w:val="(%5)"/>
      <w:lvlJc w:val="left"/>
      <w:pPr>
        <w:tabs>
          <w:tab w:val="num" w:pos="0"/>
        </w:tabs>
        <w:ind w:left="3577" w:hanging="708"/>
      </w:pPr>
      <w:rPr>
        <w:rFonts w:hint="default"/>
      </w:rPr>
    </w:lvl>
    <w:lvl w:ilvl="5">
      <w:start w:val="1"/>
      <w:numFmt w:val="lowerLetter"/>
      <w:lvlText w:val="(%6)"/>
      <w:lvlJc w:val="left"/>
      <w:pPr>
        <w:tabs>
          <w:tab w:val="num" w:pos="0"/>
        </w:tabs>
        <w:ind w:left="4286" w:hanging="709"/>
      </w:pPr>
      <w:rPr>
        <w:rFonts w:hint="default"/>
      </w:rPr>
    </w:lvl>
    <w:lvl w:ilvl="6">
      <w:start w:val="1"/>
      <w:numFmt w:val="lowerRoman"/>
      <w:lvlText w:val="(%7)"/>
      <w:lvlJc w:val="left"/>
      <w:pPr>
        <w:tabs>
          <w:tab w:val="num" w:pos="0"/>
        </w:tabs>
        <w:ind w:left="4989" w:hanging="703"/>
      </w:pPr>
      <w:rPr>
        <w:rFonts w:hint="default"/>
      </w:rPr>
    </w:lvl>
    <w:lvl w:ilvl="7">
      <w:start w:val="1"/>
      <w:numFmt w:val="lowerLetter"/>
      <w:lvlText w:val="(%8)"/>
      <w:lvlJc w:val="left"/>
      <w:pPr>
        <w:tabs>
          <w:tab w:val="num" w:pos="0"/>
        </w:tabs>
        <w:ind w:left="5698" w:hanging="709"/>
      </w:pPr>
      <w:rPr>
        <w:rFonts w:hint="default"/>
      </w:rPr>
    </w:lvl>
    <w:lvl w:ilvl="8">
      <w:start w:val="1"/>
      <w:numFmt w:val="lowerRoman"/>
      <w:lvlText w:val="(%9)"/>
      <w:lvlJc w:val="left"/>
      <w:pPr>
        <w:tabs>
          <w:tab w:val="num" w:pos="0"/>
        </w:tabs>
        <w:ind w:left="6406" w:hanging="708"/>
      </w:pPr>
      <w:rPr>
        <w:rFonts w:hint="default"/>
      </w:rPr>
    </w:lvl>
  </w:abstractNum>
  <w:abstractNum w:abstractNumId="13"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2071536704">
    <w:abstractNumId w:val="5"/>
  </w:num>
  <w:num w:numId="2" w16cid:durableId="1615360224">
    <w:abstractNumId w:val="8"/>
  </w:num>
  <w:num w:numId="3" w16cid:durableId="444076859">
    <w:abstractNumId w:val="14"/>
  </w:num>
  <w:num w:numId="4" w16cid:durableId="637418824">
    <w:abstractNumId w:val="6"/>
  </w:num>
  <w:num w:numId="5" w16cid:durableId="73822290">
    <w:abstractNumId w:val="0"/>
  </w:num>
  <w:num w:numId="6" w16cid:durableId="442385229">
    <w:abstractNumId w:val="11"/>
  </w:num>
  <w:num w:numId="7" w16cid:durableId="939373">
    <w:abstractNumId w:val="3"/>
  </w:num>
  <w:num w:numId="8" w16cid:durableId="1758745571">
    <w:abstractNumId w:val="1"/>
  </w:num>
  <w:num w:numId="9" w16cid:durableId="1991252159">
    <w:abstractNumId w:val="9"/>
  </w:num>
  <w:num w:numId="10" w16cid:durableId="901716878">
    <w:abstractNumId w:val="12"/>
  </w:num>
  <w:num w:numId="11" w16cid:durableId="984552661">
    <w:abstractNumId w:val="10"/>
  </w:num>
  <w:num w:numId="12" w16cid:durableId="583152936">
    <w:abstractNumId w:val="2"/>
  </w:num>
  <w:num w:numId="13" w16cid:durableId="1900826968">
    <w:abstractNumId w:val="7"/>
  </w:num>
  <w:num w:numId="14" w16cid:durableId="1752851744">
    <w:abstractNumId w:val="15"/>
  </w:num>
  <w:num w:numId="15" w16cid:durableId="460420976">
    <w:abstractNumId w:val="4"/>
  </w:num>
  <w:num w:numId="16" w16cid:durableId="190074176">
    <w:abstractNumId w:val="13"/>
  </w:num>
  <w:num w:numId="17" w16cid:durableId="88474795">
    <w:abstractNumId w:val="13"/>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8" w16cid:durableId="1783962732">
    <w:abstractNumId w:val="13"/>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9" w16cid:durableId="1661230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69740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3292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oNotTrackFormatti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BDF"/>
    <w:rsid w:val="0000060C"/>
    <w:rsid w:val="00014765"/>
    <w:rsid w:val="00032970"/>
    <w:rsid w:val="00035D32"/>
    <w:rsid w:val="00041F54"/>
    <w:rsid w:val="00044A37"/>
    <w:rsid w:val="0006188B"/>
    <w:rsid w:val="000725F3"/>
    <w:rsid w:val="0007347E"/>
    <w:rsid w:val="00074FF5"/>
    <w:rsid w:val="00083CF0"/>
    <w:rsid w:val="00087CA2"/>
    <w:rsid w:val="000B2B10"/>
    <w:rsid w:val="000C4BE5"/>
    <w:rsid w:val="000C72DA"/>
    <w:rsid w:val="000E5BC9"/>
    <w:rsid w:val="00153A2C"/>
    <w:rsid w:val="0017480E"/>
    <w:rsid w:val="00181F09"/>
    <w:rsid w:val="001952A5"/>
    <w:rsid w:val="001E0882"/>
    <w:rsid w:val="001E5F58"/>
    <w:rsid w:val="001F6CB6"/>
    <w:rsid w:val="00231A10"/>
    <w:rsid w:val="00233754"/>
    <w:rsid w:val="00251F07"/>
    <w:rsid w:val="002542D1"/>
    <w:rsid w:val="0027347B"/>
    <w:rsid w:val="00283F3E"/>
    <w:rsid w:val="00284530"/>
    <w:rsid w:val="00287232"/>
    <w:rsid w:val="002A2363"/>
    <w:rsid w:val="002B6CA9"/>
    <w:rsid w:val="002D1AD2"/>
    <w:rsid w:val="002D538B"/>
    <w:rsid w:val="00300234"/>
    <w:rsid w:val="00300736"/>
    <w:rsid w:val="00326764"/>
    <w:rsid w:val="00355FA3"/>
    <w:rsid w:val="00370B51"/>
    <w:rsid w:val="00376C4B"/>
    <w:rsid w:val="00390F7E"/>
    <w:rsid w:val="003A3FB2"/>
    <w:rsid w:val="003B0F23"/>
    <w:rsid w:val="003C71BC"/>
    <w:rsid w:val="003E1E41"/>
    <w:rsid w:val="003F583C"/>
    <w:rsid w:val="00405E9C"/>
    <w:rsid w:val="00410E66"/>
    <w:rsid w:val="0041568E"/>
    <w:rsid w:val="00425366"/>
    <w:rsid w:val="00427126"/>
    <w:rsid w:val="00447794"/>
    <w:rsid w:val="00462912"/>
    <w:rsid w:val="004633ED"/>
    <w:rsid w:val="00470359"/>
    <w:rsid w:val="00474DBD"/>
    <w:rsid w:val="00483C09"/>
    <w:rsid w:val="00484665"/>
    <w:rsid w:val="00485BD7"/>
    <w:rsid w:val="00490B39"/>
    <w:rsid w:val="00493B55"/>
    <w:rsid w:val="004A2613"/>
    <w:rsid w:val="004A4603"/>
    <w:rsid w:val="004B565E"/>
    <w:rsid w:val="004C0542"/>
    <w:rsid w:val="004C52A6"/>
    <w:rsid w:val="004D34D8"/>
    <w:rsid w:val="004F2705"/>
    <w:rsid w:val="004F2C9C"/>
    <w:rsid w:val="00510AED"/>
    <w:rsid w:val="00540DFC"/>
    <w:rsid w:val="00545158"/>
    <w:rsid w:val="00545B16"/>
    <w:rsid w:val="00547984"/>
    <w:rsid w:val="0055198B"/>
    <w:rsid w:val="00556D16"/>
    <w:rsid w:val="00564518"/>
    <w:rsid w:val="0056535B"/>
    <w:rsid w:val="00580169"/>
    <w:rsid w:val="00593B28"/>
    <w:rsid w:val="005A1EFC"/>
    <w:rsid w:val="005D7B86"/>
    <w:rsid w:val="005E149B"/>
    <w:rsid w:val="005F339C"/>
    <w:rsid w:val="00602434"/>
    <w:rsid w:val="00615ECE"/>
    <w:rsid w:val="006174AD"/>
    <w:rsid w:val="00621EF5"/>
    <w:rsid w:val="006253A0"/>
    <w:rsid w:val="00631FA1"/>
    <w:rsid w:val="00632911"/>
    <w:rsid w:val="00645860"/>
    <w:rsid w:val="0065000A"/>
    <w:rsid w:val="0067343E"/>
    <w:rsid w:val="0067397F"/>
    <w:rsid w:val="00691279"/>
    <w:rsid w:val="00692A29"/>
    <w:rsid w:val="006A16D7"/>
    <w:rsid w:val="006B4D07"/>
    <w:rsid w:val="006E20B4"/>
    <w:rsid w:val="006E72D6"/>
    <w:rsid w:val="006F7ECE"/>
    <w:rsid w:val="007077E9"/>
    <w:rsid w:val="00723644"/>
    <w:rsid w:val="007371A4"/>
    <w:rsid w:val="0075068B"/>
    <w:rsid w:val="00752A62"/>
    <w:rsid w:val="00753738"/>
    <w:rsid w:val="00756EC7"/>
    <w:rsid w:val="00763248"/>
    <w:rsid w:val="00765193"/>
    <w:rsid w:val="007663C7"/>
    <w:rsid w:val="00783F33"/>
    <w:rsid w:val="007E0EFD"/>
    <w:rsid w:val="00810B92"/>
    <w:rsid w:val="00813624"/>
    <w:rsid w:val="00825649"/>
    <w:rsid w:val="0082765E"/>
    <w:rsid w:val="00845688"/>
    <w:rsid w:val="00851C93"/>
    <w:rsid w:val="008554CD"/>
    <w:rsid w:val="008615BC"/>
    <w:rsid w:val="00864D6F"/>
    <w:rsid w:val="008768CA"/>
    <w:rsid w:val="008774CC"/>
    <w:rsid w:val="00885A1E"/>
    <w:rsid w:val="008A4336"/>
    <w:rsid w:val="008B6BDF"/>
    <w:rsid w:val="008C2830"/>
    <w:rsid w:val="008F0803"/>
    <w:rsid w:val="00901BD5"/>
    <w:rsid w:val="00924EC3"/>
    <w:rsid w:val="009337A5"/>
    <w:rsid w:val="0094350D"/>
    <w:rsid w:val="0096413E"/>
    <w:rsid w:val="009876E4"/>
    <w:rsid w:val="00994E0C"/>
    <w:rsid w:val="009B11F4"/>
    <w:rsid w:val="009B2B8B"/>
    <w:rsid w:val="009E7DE9"/>
    <w:rsid w:val="00A10E96"/>
    <w:rsid w:val="00A11C8A"/>
    <w:rsid w:val="00A20E12"/>
    <w:rsid w:val="00A33C5A"/>
    <w:rsid w:val="00A46DA2"/>
    <w:rsid w:val="00A55F1C"/>
    <w:rsid w:val="00A577BA"/>
    <w:rsid w:val="00A6470C"/>
    <w:rsid w:val="00A743AA"/>
    <w:rsid w:val="00AB2F6C"/>
    <w:rsid w:val="00AC4CE3"/>
    <w:rsid w:val="00AF44B8"/>
    <w:rsid w:val="00AF6425"/>
    <w:rsid w:val="00B02CF9"/>
    <w:rsid w:val="00B03886"/>
    <w:rsid w:val="00B117B3"/>
    <w:rsid w:val="00B17502"/>
    <w:rsid w:val="00B263CE"/>
    <w:rsid w:val="00B27E72"/>
    <w:rsid w:val="00B303F4"/>
    <w:rsid w:val="00B576EF"/>
    <w:rsid w:val="00B63E23"/>
    <w:rsid w:val="00B648D4"/>
    <w:rsid w:val="00B67BF0"/>
    <w:rsid w:val="00B74B6B"/>
    <w:rsid w:val="00BA43D8"/>
    <w:rsid w:val="00BB6F0B"/>
    <w:rsid w:val="00BC1CD3"/>
    <w:rsid w:val="00BE25D3"/>
    <w:rsid w:val="00C021D4"/>
    <w:rsid w:val="00C065DF"/>
    <w:rsid w:val="00C07E8C"/>
    <w:rsid w:val="00C1365B"/>
    <w:rsid w:val="00C1418E"/>
    <w:rsid w:val="00C24DF7"/>
    <w:rsid w:val="00C26C26"/>
    <w:rsid w:val="00C40DDD"/>
    <w:rsid w:val="00C522E2"/>
    <w:rsid w:val="00C629DF"/>
    <w:rsid w:val="00C67777"/>
    <w:rsid w:val="00C80503"/>
    <w:rsid w:val="00C931D6"/>
    <w:rsid w:val="00C94EFF"/>
    <w:rsid w:val="00CC0955"/>
    <w:rsid w:val="00CC377E"/>
    <w:rsid w:val="00CD0509"/>
    <w:rsid w:val="00CD1A5D"/>
    <w:rsid w:val="00CD2D6D"/>
    <w:rsid w:val="00CD4AAD"/>
    <w:rsid w:val="00CD58D6"/>
    <w:rsid w:val="00CE1C9E"/>
    <w:rsid w:val="00D07B54"/>
    <w:rsid w:val="00D20E48"/>
    <w:rsid w:val="00D22190"/>
    <w:rsid w:val="00D25392"/>
    <w:rsid w:val="00D3603F"/>
    <w:rsid w:val="00D36764"/>
    <w:rsid w:val="00D46CAA"/>
    <w:rsid w:val="00D55AFB"/>
    <w:rsid w:val="00D60A9B"/>
    <w:rsid w:val="00D620B6"/>
    <w:rsid w:val="00D642F8"/>
    <w:rsid w:val="00D74F30"/>
    <w:rsid w:val="00D84D16"/>
    <w:rsid w:val="00D86911"/>
    <w:rsid w:val="00D9610C"/>
    <w:rsid w:val="00DB47F7"/>
    <w:rsid w:val="00DB67D4"/>
    <w:rsid w:val="00DC0415"/>
    <w:rsid w:val="00DC61CB"/>
    <w:rsid w:val="00DD5A44"/>
    <w:rsid w:val="00DF3066"/>
    <w:rsid w:val="00DF371F"/>
    <w:rsid w:val="00DF5039"/>
    <w:rsid w:val="00DF5DF1"/>
    <w:rsid w:val="00E22C72"/>
    <w:rsid w:val="00E2716B"/>
    <w:rsid w:val="00E318E2"/>
    <w:rsid w:val="00E35CC7"/>
    <w:rsid w:val="00E401BE"/>
    <w:rsid w:val="00E5610B"/>
    <w:rsid w:val="00E6615E"/>
    <w:rsid w:val="00E81395"/>
    <w:rsid w:val="00EC16ED"/>
    <w:rsid w:val="00EC3E3F"/>
    <w:rsid w:val="00EE01BB"/>
    <w:rsid w:val="00EE2A12"/>
    <w:rsid w:val="00EF2128"/>
    <w:rsid w:val="00EF6F19"/>
    <w:rsid w:val="00F01539"/>
    <w:rsid w:val="00F06E38"/>
    <w:rsid w:val="00F206A8"/>
    <w:rsid w:val="00F237F0"/>
    <w:rsid w:val="00F251B8"/>
    <w:rsid w:val="00F257CE"/>
    <w:rsid w:val="00F35427"/>
    <w:rsid w:val="00F646C1"/>
    <w:rsid w:val="00F732D8"/>
    <w:rsid w:val="00F73C0D"/>
    <w:rsid w:val="00F74FA7"/>
    <w:rsid w:val="00F9056C"/>
    <w:rsid w:val="00F97AB0"/>
    <w:rsid w:val="00FB3F64"/>
    <w:rsid w:val="00FD4AD0"/>
    <w:rsid w:val="00FF0B2D"/>
    <w:rsid w:val="00FF5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108D"/>
  <w15:docId w15:val="{D17C6D0D-F64A-4FFC-9634-083D6939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iPriority="6"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CD"/>
    <w:pPr>
      <w:spacing w:before="160" w:after="100"/>
    </w:pPr>
    <w:rPr>
      <w:rFonts w:eastAsiaTheme="minorEastAsia"/>
      <w:spacing w:val="2"/>
      <w:sz w:val="18"/>
      <w:szCs w:val="20"/>
      <w:lang w:eastAsia="en-AU"/>
    </w:rPr>
  </w:style>
  <w:style w:type="paragraph" w:styleId="Heading1">
    <w:name w:val="heading 1"/>
    <w:next w:val="Normal"/>
    <w:link w:val="Heading1Char"/>
    <w:uiPriority w:val="99"/>
    <w:rsid w:val="008554CD"/>
    <w:pPr>
      <w:keepNext/>
      <w:keepLines/>
      <w:spacing w:before="600" w:after="600"/>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uiPriority w:val="99"/>
    <w:rsid w:val="008554CD"/>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qFormat/>
    <w:rsid w:val="008554CD"/>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qFormat/>
    <w:rsid w:val="008554C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54CD"/>
    <w:rPr>
      <w:rFonts w:asciiTheme="majorHAnsi" w:eastAsiaTheme="majorEastAsia" w:hAnsiTheme="majorHAnsi" w:cstheme="majorBidi"/>
      <w:b/>
      <w:bCs/>
      <w:color w:val="000000" w:themeColor="text1"/>
      <w:spacing w:val="-1"/>
      <w:sz w:val="36"/>
      <w:szCs w:val="28"/>
      <w:lang w:eastAsia="en-AU"/>
    </w:rPr>
  </w:style>
  <w:style w:type="character" w:customStyle="1" w:styleId="Heading2Char">
    <w:name w:val="Heading 2 Char"/>
    <w:basedOn w:val="DefaultParagraphFont"/>
    <w:link w:val="Heading2"/>
    <w:uiPriority w:val="99"/>
    <w:rsid w:val="008554CD"/>
    <w:rPr>
      <w:rFonts w:asciiTheme="majorHAnsi" w:eastAsiaTheme="majorEastAsia" w:hAnsiTheme="majorHAnsi" w:cstheme="majorBidi"/>
      <w:b/>
      <w:bCs/>
      <w:color w:val="7F7F7F" w:themeColor="text1" w:themeTint="80"/>
      <w:spacing w:val="2"/>
      <w:sz w:val="28"/>
      <w:szCs w:val="26"/>
      <w:lang w:eastAsia="en-AU"/>
    </w:rPr>
  </w:style>
  <w:style w:type="paragraph" w:customStyle="1" w:styleId="Spacer">
    <w:name w:val="Spacer"/>
    <w:basedOn w:val="Normal"/>
    <w:uiPriority w:val="13"/>
    <w:qFormat/>
    <w:rsid w:val="008554CD"/>
    <w:pPr>
      <w:spacing w:before="0" w:after="0" w:line="120" w:lineRule="atLeast"/>
    </w:pPr>
    <w:rPr>
      <w:rFonts w:eastAsia="Times New Roman" w:cs="Calibri"/>
      <w:spacing w:val="0"/>
      <w:sz w:val="10"/>
      <w:szCs w:val="22"/>
    </w:rPr>
  </w:style>
  <w:style w:type="paragraph" w:customStyle="1" w:styleId="million">
    <w:name w:val="$million"/>
    <w:basedOn w:val="Normal"/>
    <w:uiPriority w:val="5"/>
    <w:rsid w:val="00B27E72"/>
    <w:pPr>
      <w:jc w:val="center"/>
    </w:pPr>
    <w:rPr>
      <w:i/>
    </w:rPr>
  </w:style>
  <w:style w:type="paragraph" w:customStyle="1" w:styleId="Tabletextheading">
    <w:name w:val="Table text heading"/>
    <w:basedOn w:val="Normal"/>
    <w:link w:val="TabletextheadingChar"/>
    <w:uiPriority w:val="6"/>
    <w:qFormat/>
    <w:rsid w:val="00B27E72"/>
    <w:pPr>
      <w:jc w:val="right"/>
    </w:pPr>
    <w:rPr>
      <w:color w:val="F2F2F2" w:themeColor="background1" w:themeShade="F2"/>
    </w:rPr>
  </w:style>
  <w:style w:type="character" w:customStyle="1" w:styleId="TabletextheadingChar">
    <w:name w:val="Table text heading Char"/>
    <w:link w:val="Tabletextheading"/>
    <w:uiPriority w:val="6"/>
    <w:rsid w:val="00810B92"/>
    <w:rPr>
      <w:rFonts w:ascii="Calibri" w:eastAsia="Calibri" w:hAnsi="Calibri" w:cs="Times New Roman"/>
      <w:color w:val="F2F2F2" w:themeColor="background1" w:themeShade="F2"/>
      <w:szCs w:val="21"/>
    </w:rPr>
  </w:style>
  <w:style w:type="character" w:customStyle="1" w:styleId="Heading3Char">
    <w:name w:val="Heading 3 Char"/>
    <w:basedOn w:val="DefaultParagraphFont"/>
    <w:link w:val="Heading3"/>
    <w:rsid w:val="008554CD"/>
    <w:rPr>
      <w:rFonts w:asciiTheme="majorHAnsi" w:eastAsiaTheme="majorEastAsia" w:hAnsiTheme="majorHAnsi" w:cstheme="majorBidi"/>
      <w:b/>
      <w:bCs/>
      <w:color w:val="4F81BD" w:themeColor="accent1"/>
      <w:spacing w:val="2"/>
      <w:lang w:eastAsia="en-AU"/>
    </w:rPr>
  </w:style>
  <w:style w:type="paragraph" w:styleId="ListParagraph">
    <w:name w:val="List Paragraph"/>
    <w:basedOn w:val="Normal"/>
    <w:uiPriority w:val="34"/>
    <w:semiHidden/>
    <w:qFormat/>
    <w:rsid w:val="00A743AA"/>
    <w:pPr>
      <w:ind w:left="720"/>
      <w:contextualSpacing/>
    </w:pPr>
  </w:style>
  <w:style w:type="paragraph" w:customStyle="1" w:styleId="Bullet1">
    <w:name w:val="Bullet 1"/>
    <w:uiPriority w:val="2"/>
    <w:qFormat/>
    <w:rsid w:val="008554CD"/>
    <w:pPr>
      <w:numPr>
        <w:numId w:val="13"/>
      </w:numPr>
      <w:spacing w:before="160" w:after="0" w:line="240" w:lineRule="auto"/>
      <w:contextualSpacing/>
    </w:pPr>
    <w:rPr>
      <w:rFonts w:eastAsia="Times New Roman" w:cs="Calibri"/>
      <w:spacing w:val="2"/>
      <w:sz w:val="20"/>
      <w:szCs w:val="20"/>
      <w:lang w:eastAsia="en-AU"/>
    </w:rPr>
  </w:style>
  <w:style w:type="paragraph" w:customStyle="1" w:styleId="Bullet2">
    <w:name w:val="Bullet 2"/>
    <w:basedOn w:val="Bullet1"/>
    <w:uiPriority w:val="2"/>
    <w:qFormat/>
    <w:rsid w:val="008554CD"/>
    <w:pPr>
      <w:numPr>
        <w:ilvl w:val="1"/>
      </w:numPr>
      <w:spacing w:before="0"/>
    </w:pPr>
  </w:style>
  <w:style w:type="paragraph" w:customStyle="1" w:styleId="Bullet3">
    <w:name w:val="Bullet 3"/>
    <w:basedOn w:val="Normal"/>
    <w:uiPriority w:val="2"/>
    <w:qFormat/>
    <w:rsid w:val="00A743AA"/>
    <w:pPr>
      <w:numPr>
        <w:ilvl w:val="2"/>
        <w:numId w:val="2"/>
      </w:numPr>
    </w:pPr>
  </w:style>
  <w:style w:type="table" w:styleId="TableGrid">
    <w:name w:val="Table Grid"/>
    <w:basedOn w:val="TableNormal"/>
    <w:uiPriority w:val="59"/>
    <w:rsid w:val="008554CD"/>
    <w:pPr>
      <w:spacing w:before="20" w:after="20" w:line="240" w:lineRule="auto"/>
      <w:jc w:val="right"/>
    </w:pPr>
    <w:rPr>
      <w:spacing w:val="2"/>
      <w:sz w:val="17"/>
      <w:szCs w:val="21"/>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Refnum1">
    <w:name w:val="Ref num 1"/>
    <w:basedOn w:val="Normal"/>
    <w:uiPriority w:val="7"/>
    <w:rsid w:val="008554CD"/>
    <w:pPr>
      <w:numPr>
        <w:numId w:val="16"/>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8554CD"/>
    <w:pPr>
      <w:numPr>
        <w:ilvl w:val="2"/>
      </w:numPr>
    </w:pPr>
    <w:rPr>
      <w:color w:val="auto"/>
    </w:rPr>
  </w:style>
  <w:style w:type="paragraph" w:customStyle="1" w:styleId="List1">
    <w:name w:val="List 1"/>
    <w:basedOn w:val="Normal"/>
    <w:uiPriority w:val="2"/>
    <w:qFormat/>
    <w:rsid w:val="00485BD7"/>
    <w:pPr>
      <w:numPr>
        <w:numId w:val="6"/>
      </w:numPr>
    </w:pPr>
  </w:style>
  <w:style w:type="paragraph" w:styleId="List2">
    <w:name w:val="List 2"/>
    <w:basedOn w:val="List1"/>
    <w:uiPriority w:val="2"/>
    <w:rsid w:val="00485BD7"/>
    <w:pPr>
      <w:numPr>
        <w:ilvl w:val="1"/>
      </w:numPr>
    </w:pPr>
  </w:style>
  <w:style w:type="paragraph" w:styleId="Header">
    <w:name w:val="header"/>
    <w:basedOn w:val="Normal"/>
    <w:link w:val="HeaderChar"/>
    <w:uiPriority w:val="99"/>
    <w:semiHidden/>
    <w:rsid w:val="008554CD"/>
    <w:pPr>
      <w:tabs>
        <w:tab w:val="center" w:pos="4513"/>
        <w:tab w:val="right" w:pos="9026"/>
      </w:tabs>
      <w:spacing w:after="0" w:line="240" w:lineRule="auto"/>
    </w:pPr>
  </w:style>
  <w:style w:type="paragraph" w:customStyle="1" w:styleId="Tabletext">
    <w:name w:val="Table text"/>
    <w:basedOn w:val="Normal"/>
    <w:uiPriority w:val="9"/>
    <w:qFormat/>
    <w:rsid w:val="008554CD"/>
    <w:pPr>
      <w:spacing w:before="60" w:after="60" w:line="264" w:lineRule="auto"/>
    </w:pPr>
    <w:rPr>
      <w:sz w:val="17"/>
    </w:rPr>
  </w:style>
  <w:style w:type="paragraph" w:customStyle="1" w:styleId="FRDHeader">
    <w:name w:val="FRD Header"/>
    <w:basedOn w:val="Normal"/>
    <w:semiHidden/>
    <w:rsid w:val="008554CD"/>
    <w:pPr>
      <w:spacing w:before="40" w:after="40" w:line="240" w:lineRule="auto"/>
    </w:pPr>
    <w:rPr>
      <w:rFonts w:eastAsia="Calibri" w:cs="Times New Roman"/>
      <w:color w:val="FFFFFF" w:themeColor="background1"/>
      <w:spacing w:val="0"/>
      <w:sz w:val="30"/>
      <w:szCs w:val="36"/>
      <w:lang w:eastAsia="en-US"/>
    </w:rPr>
  </w:style>
  <w:style w:type="character" w:customStyle="1" w:styleId="HeaderChar">
    <w:name w:val="Header Char"/>
    <w:basedOn w:val="DefaultParagraphFont"/>
    <w:link w:val="Header"/>
    <w:uiPriority w:val="99"/>
    <w:semiHidden/>
    <w:rsid w:val="008554CD"/>
    <w:rPr>
      <w:rFonts w:eastAsiaTheme="minorEastAsia"/>
      <w:spacing w:val="2"/>
      <w:sz w:val="18"/>
      <w:szCs w:val="20"/>
      <w:lang w:eastAsia="en-AU"/>
    </w:rPr>
  </w:style>
  <w:style w:type="paragraph" w:customStyle="1" w:styleId="FRDNumber">
    <w:name w:val="FRD Number"/>
    <w:basedOn w:val="FRDHeader"/>
    <w:semiHidden/>
    <w:rsid w:val="008554CD"/>
  </w:style>
  <w:style w:type="paragraph" w:customStyle="1" w:styleId="Normalgrey">
    <w:name w:val="Normal grey"/>
    <w:basedOn w:val="Normal"/>
    <w:uiPriority w:val="2"/>
    <w:qFormat/>
    <w:rsid w:val="008554CD"/>
    <w:pPr>
      <w:spacing w:line="264" w:lineRule="auto"/>
    </w:pPr>
    <w:rPr>
      <w:rFonts w:eastAsiaTheme="minorHAnsi"/>
      <w:color w:val="4D4D4D"/>
      <w:szCs w:val="18"/>
      <w:lang w:eastAsia="en-US"/>
    </w:rPr>
  </w:style>
  <w:style w:type="paragraph" w:styleId="TableofFigures">
    <w:name w:val="table of figures"/>
    <w:next w:val="Normal"/>
    <w:uiPriority w:val="8"/>
    <w:qFormat/>
    <w:rsid w:val="00B27E72"/>
    <w:pPr>
      <w:spacing w:after="0" w:line="240" w:lineRule="auto"/>
      <w:jc w:val="right"/>
    </w:pPr>
    <w:rPr>
      <w:rFonts w:ascii="Calibri" w:eastAsia="Calibri" w:hAnsi="Calibri" w:cs="Times New Roman"/>
      <w:color w:val="5E5E56"/>
      <w:sz w:val="20"/>
      <w:szCs w:val="20"/>
    </w:rPr>
  </w:style>
  <w:style w:type="paragraph" w:styleId="NormalIndent">
    <w:name w:val="Normal Indent"/>
    <w:basedOn w:val="Normal"/>
    <w:qFormat/>
    <w:rsid w:val="008554CD"/>
    <w:pPr>
      <w:spacing w:line="252" w:lineRule="auto"/>
      <w:ind w:left="504"/>
    </w:pPr>
  </w:style>
  <w:style w:type="paragraph" w:customStyle="1" w:styleId="Bullet1grey">
    <w:name w:val="Bullet 1 grey"/>
    <w:basedOn w:val="Bullet1"/>
    <w:uiPriority w:val="3"/>
    <w:qFormat/>
    <w:rsid w:val="008554CD"/>
    <w:rPr>
      <w:color w:val="4D4D4D"/>
      <w:sz w:val="18"/>
      <w:szCs w:val="18"/>
      <w:lang w:eastAsia="en-US"/>
    </w:rPr>
  </w:style>
  <w:style w:type="paragraph" w:customStyle="1" w:styleId="Bullet2grey">
    <w:name w:val="Bullet 2 grey"/>
    <w:basedOn w:val="Bullet2"/>
    <w:uiPriority w:val="3"/>
    <w:qFormat/>
    <w:rsid w:val="008554CD"/>
    <w:rPr>
      <w:color w:val="4D4D4D"/>
      <w:sz w:val="18"/>
      <w:szCs w:val="21"/>
      <w:lang w:eastAsia="en-US"/>
    </w:rPr>
  </w:style>
  <w:style w:type="paragraph" w:customStyle="1" w:styleId="Bullet3grey">
    <w:name w:val="Bullet 3 grey"/>
    <w:basedOn w:val="Bullet3"/>
    <w:uiPriority w:val="3"/>
    <w:unhideWhenUsed/>
    <w:qFormat/>
    <w:rsid w:val="00C67777"/>
    <w:rPr>
      <w:color w:val="5E5E5E"/>
    </w:rPr>
  </w:style>
  <w:style w:type="paragraph" w:styleId="List3">
    <w:name w:val="List 3"/>
    <w:basedOn w:val="List2"/>
    <w:uiPriority w:val="2"/>
    <w:rsid w:val="00A6470C"/>
    <w:pPr>
      <w:numPr>
        <w:ilvl w:val="2"/>
      </w:numPr>
    </w:pPr>
  </w:style>
  <w:style w:type="paragraph" w:styleId="Footer">
    <w:name w:val="footer"/>
    <w:basedOn w:val="Normal"/>
    <w:link w:val="FooterChar"/>
    <w:uiPriority w:val="24"/>
    <w:rsid w:val="008554C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8554CD"/>
    <w:rPr>
      <w:rFonts w:eastAsiaTheme="minorEastAsia"/>
      <w:noProof/>
      <w:spacing w:val="2"/>
      <w:sz w:val="18"/>
      <w:szCs w:val="18"/>
      <w:lang w:eastAsia="en-AU"/>
    </w:rPr>
  </w:style>
  <w:style w:type="paragraph" w:styleId="BalloonText">
    <w:name w:val="Balloon Text"/>
    <w:basedOn w:val="Normal"/>
    <w:link w:val="BalloonTextChar"/>
    <w:uiPriority w:val="99"/>
    <w:semiHidden/>
    <w:rsid w:val="00855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4CD"/>
    <w:rPr>
      <w:rFonts w:ascii="Tahoma" w:eastAsiaTheme="minorEastAsia" w:hAnsi="Tahoma" w:cs="Tahoma"/>
      <w:spacing w:val="2"/>
      <w:sz w:val="16"/>
      <w:szCs w:val="16"/>
      <w:lang w:eastAsia="en-AU"/>
    </w:rPr>
  </w:style>
  <w:style w:type="paragraph" w:customStyle="1" w:styleId="Normalindentgrey">
    <w:name w:val="Normal indent grey"/>
    <w:basedOn w:val="Normalgrey"/>
    <w:uiPriority w:val="3"/>
    <w:unhideWhenUsed/>
    <w:qFormat/>
    <w:rsid w:val="003A3FB2"/>
    <w:pPr>
      <w:ind w:left="360"/>
    </w:pPr>
  </w:style>
  <w:style w:type="paragraph" w:customStyle="1" w:styleId="List1grey">
    <w:name w:val="List 1 grey"/>
    <w:basedOn w:val="Normal"/>
    <w:uiPriority w:val="3"/>
    <w:unhideWhenUsed/>
    <w:rsid w:val="00355FA3"/>
    <w:pPr>
      <w:numPr>
        <w:ilvl w:val="3"/>
        <w:numId w:val="6"/>
      </w:numPr>
    </w:pPr>
    <w:rPr>
      <w:color w:val="5E5E5E"/>
    </w:rPr>
  </w:style>
  <w:style w:type="paragraph" w:customStyle="1" w:styleId="List2grey">
    <w:name w:val="List 2 grey"/>
    <w:basedOn w:val="Normal"/>
    <w:uiPriority w:val="3"/>
    <w:unhideWhenUsed/>
    <w:rsid w:val="00355FA3"/>
    <w:pPr>
      <w:numPr>
        <w:ilvl w:val="4"/>
        <w:numId w:val="6"/>
      </w:numPr>
    </w:pPr>
    <w:rPr>
      <w:color w:val="5E5E5E"/>
    </w:rPr>
  </w:style>
  <w:style w:type="paragraph" w:customStyle="1" w:styleId="List3grey">
    <w:name w:val="List 3 grey"/>
    <w:basedOn w:val="Normal"/>
    <w:uiPriority w:val="3"/>
    <w:unhideWhenUsed/>
    <w:rsid w:val="00355FA3"/>
    <w:pPr>
      <w:numPr>
        <w:ilvl w:val="5"/>
        <w:numId w:val="6"/>
      </w:numPr>
    </w:pPr>
    <w:rPr>
      <w:color w:val="5E5E5E"/>
    </w:rPr>
  </w:style>
  <w:style w:type="paragraph" w:customStyle="1" w:styleId="Bullet">
    <w:name w:val="Bullet"/>
    <w:basedOn w:val="Normal"/>
    <w:rsid w:val="00FD4AD0"/>
    <w:pPr>
      <w:numPr>
        <w:numId w:val="9"/>
      </w:numPr>
      <w:jc w:val="both"/>
    </w:pPr>
    <w:rPr>
      <w:rFonts w:ascii="Arial" w:eastAsia="Times New Roman" w:hAnsi="Arial" w:cs="Arial"/>
    </w:rPr>
  </w:style>
  <w:style w:type="paragraph" w:customStyle="1" w:styleId="Numberingi">
    <w:name w:val="Numbering(i)"/>
    <w:basedOn w:val="Normal"/>
    <w:rsid w:val="00FD4AD0"/>
    <w:pPr>
      <w:numPr>
        <w:numId w:val="10"/>
      </w:numPr>
      <w:tabs>
        <w:tab w:val="left" w:pos="504"/>
      </w:tabs>
      <w:jc w:val="both"/>
    </w:pPr>
    <w:rPr>
      <w:rFonts w:ascii="Arial" w:eastAsia="Times New Roman" w:hAnsi="Arial" w:cs="Arial"/>
    </w:rPr>
  </w:style>
  <w:style w:type="character" w:styleId="CommentReference">
    <w:name w:val="annotation reference"/>
    <w:basedOn w:val="DefaultParagraphFont"/>
    <w:uiPriority w:val="99"/>
    <w:semiHidden/>
    <w:rsid w:val="00EF6F19"/>
    <w:rPr>
      <w:sz w:val="16"/>
      <w:szCs w:val="16"/>
    </w:rPr>
  </w:style>
  <w:style w:type="paragraph" w:styleId="CommentText">
    <w:name w:val="annotation text"/>
    <w:basedOn w:val="Normal"/>
    <w:link w:val="CommentTextChar"/>
    <w:uiPriority w:val="99"/>
    <w:semiHidden/>
    <w:rsid w:val="00EF6F19"/>
    <w:rPr>
      <w:sz w:val="20"/>
    </w:rPr>
  </w:style>
  <w:style w:type="character" w:customStyle="1" w:styleId="CommentTextChar">
    <w:name w:val="Comment Text Char"/>
    <w:basedOn w:val="DefaultParagraphFont"/>
    <w:link w:val="CommentText"/>
    <w:uiPriority w:val="99"/>
    <w:semiHidden/>
    <w:rsid w:val="00EF6F19"/>
    <w:rPr>
      <w:rFonts w:ascii="Calibri" w:eastAsia="Calibri" w:hAnsi="Calibri" w:cs="Times New Roman"/>
      <w:color w:val="000000" w:themeColor="text1"/>
      <w:sz w:val="20"/>
      <w:szCs w:val="20"/>
    </w:rPr>
  </w:style>
  <w:style w:type="paragraph" w:styleId="CommentSubject">
    <w:name w:val="annotation subject"/>
    <w:basedOn w:val="CommentText"/>
    <w:next w:val="CommentText"/>
    <w:link w:val="CommentSubjectChar"/>
    <w:uiPriority w:val="99"/>
    <w:semiHidden/>
    <w:rsid w:val="00EF6F19"/>
    <w:rPr>
      <w:b/>
      <w:bCs/>
    </w:rPr>
  </w:style>
  <w:style w:type="character" w:customStyle="1" w:styleId="CommentSubjectChar">
    <w:name w:val="Comment Subject Char"/>
    <w:basedOn w:val="CommentTextChar"/>
    <w:link w:val="CommentSubject"/>
    <w:uiPriority w:val="99"/>
    <w:semiHidden/>
    <w:rsid w:val="00EF6F19"/>
    <w:rPr>
      <w:rFonts w:ascii="Calibri" w:eastAsia="Calibri" w:hAnsi="Calibri" w:cs="Times New Roman"/>
      <w:b/>
      <w:bCs/>
      <w:color w:val="000000" w:themeColor="text1"/>
      <w:sz w:val="20"/>
      <w:szCs w:val="20"/>
    </w:rPr>
  </w:style>
  <w:style w:type="paragraph" w:styleId="Revision">
    <w:name w:val="Revision"/>
    <w:hidden/>
    <w:uiPriority w:val="99"/>
    <w:semiHidden/>
    <w:rsid w:val="00EF6F19"/>
    <w:pPr>
      <w:spacing w:after="0" w:line="240" w:lineRule="auto"/>
    </w:pPr>
    <w:rPr>
      <w:rFonts w:ascii="Calibri" w:eastAsia="Calibri" w:hAnsi="Calibri" w:cs="Times New Roman"/>
      <w:color w:val="000000" w:themeColor="text1"/>
      <w:szCs w:val="21"/>
    </w:rPr>
  </w:style>
  <w:style w:type="paragraph" w:customStyle="1" w:styleId="Bulletindent">
    <w:name w:val="Bullet indent"/>
    <w:basedOn w:val="Bullet2"/>
    <w:uiPriority w:val="7"/>
    <w:qFormat/>
    <w:rsid w:val="008554CD"/>
    <w:pPr>
      <w:numPr>
        <w:ilvl w:val="2"/>
      </w:numPr>
    </w:pPr>
  </w:style>
  <w:style w:type="paragraph" w:customStyle="1" w:styleId="Bulletindent2">
    <w:name w:val="Bullet indent 2"/>
    <w:basedOn w:val="Normal"/>
    <w:uiPriority w:val="7"/>
    <w:qFormat/>
    <w:rsid w:val="008554CD"/>
    <w:pPr>
      <w:numPr>
        <w:ilvl w:val="3"/>
        <w:numId w:val="13"/>
      </w:numPr>
      <w:spacing w:before="100"/>
      <w:contextualSpacing/>
    </w:pPr>
  </w:style>
  <w:style w:type="character" w:styleId="PageNumber">
    <w:name w:val="page number"/>
    <w:uiPriority w:val="49"/>
    <w:semiHidden/>
    <w:rsid w:val="008554CD"/>
    <w:rPr>
      <w:b w:val="0"/>
      <w:color w:val="000000" w:themeColor="text1"/>
    </w:rPr>
  </w:style>
  <w:style w:type="table" w:customStyle="1" w:styleId="DTFtexttable">
    <w:name w:val="DTF text table"/>
    <w:basedOn w:val="TableGrid"/>
    <w:uiPriority w:val="99"/>
    <w:rsid w:val="008554CD"/>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rmalbold">
    <w:name w:val="Normal bold"/>
    <w:basedOn w:val="Normal"/>
    <w:qFormat/>
    <w:rsid w:val="008554CD"/>
    <w:pPr>
      <w:spacing w:line="264" w:lineRule="auto"/>
    </w:pPr>
    <w:rPr>
      <w:rFonts w:eastAsiaTheme="minorHAnsi"/>
      <w:b/>
      <w:szCs w:val="18"/>
      <w:lang w:eastAsia="en-US"/>
    </w:rPr>
  </w:style>
  <w:style w:type="character" w:customStyle="1" w:styleId="Heading4Char">
    <w:name w:val="Heading 4 Char"/>
    <w:basedOn w:val="DefaultParagraphFont"/>
    <w:link w:val="Heading4"/>
    <w:semiHidden/>
    <w:rsid w:val="008554CD"/>
    <w:rPr>
      <w:rFonts w:asciiTheme="majorHAnsi" w:eastAsiaTheme="majorEastAsia" w:hAnsiTheme="majorHAnsi" w:cstheme="majorBidi"/>
      <w:b/>
      <w:bCs/>
      <w:iCs/>
      <w:color w:val="53565A"/>
      <w:spacing w:val="2"/>
      <w:sz w:val="18"/>
      <w:szCs w:val="20"/>
      <w:lang w:eastAsia="en-AU"/>
    </w:rPr>
  </w:style>
  <w:style w:type="table" w:styleId="LightShading">
    <w:name w:val="Light Shading"/>
    <w:basedOn w:val="TableNormal"/>
    <w:uiPriority w:val="60"/>
    <w:rsid w:val="008554CD"/>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8554CD"/>
    <w:pPr>
      <w:spacing w:after="0" w:line="240" w:lineRule="auto"/>
    </w:pPr>
    <w:rPr>
      <w:rFonts w:eastAsiaTheme="minorEastAsia"/>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8554CD"/>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8554CD"/>
    <w:pPr>
      <w:tabs>
        <w:tab w:val="right" w:leader="dot" w:pos="9000"/>
      </w:tabs>
      <w:ind w:right="432"/>
    </w:pPr>
    <w:rPr>
      <w:sz w:val="24"/>
      <w:szCs w:val="24"/>
    </w:rPr>
  </w:style>
  <w:style w:type="paragraph" w:styleId="TOC2">
    <w:name w:val="toc 2"/>
    <w:next w:val="Normal"/>
    <w:uiPriority w:val="39"/>
    <w:rsid w:val="008554CD"/>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8554C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8554CD"/>
    <w:pPr>
      <w:spacing w:after="60" w:line="240" w:lineRule="auto"/>
    </w:pPr>
    <w:rPr>
      <w:sz w:val="16"/>
    </w:rPr>
  </w:style>
  <w:style w:type="paragraph" w:styleId="Index2">
    <w:name w:val="index 2"/>
    <w:basedOn w:val="Normal"/>
    <w:next w:val="Normal"/>
    <w:uiPriority w:val="99"/>
    <w:semiHidden/>
    <w:rsid w:val="008554CD"/>
    <w:pPr>
      <w:spacing w:after="0" w:line="240" w:lineRule="auto"/>
      <w:ind w:left="216"/>
    </w:pPr>
    <w:rPr>
      <w:sz w:val="16"/>
      <w:szCs w:val="16"/>
    </w:rPr>
  </w:style>
  <w:style w:type="character" w:styleId="Hyperlink">
    <w:name w:val="Hyperlink"/>
    <w:basedOn w:val="DefaultParagraphFont"/>
    <w:uiPriority w:val="99"/>
    <w:rsid w:val="008554CD"/>
    <w:rPr>
      <w:color w:val="0000FF" w:themeColor="hyperlink"/>
      <w:u w:val="none"/>
    </w:rPr>
  </w:style>
  <w:style w:type="paragraph" w:customStyle="1" w:styleId="Heading1numbered">
    <w:name w:val="Heading 1 numbered"/>
    <w:basedOn w:val="Heading1"/>
    <w:next w:val="NormalIndent"/>
    <w:uiPriority w:val="4"/>
    <w:semiHidden/>
    <w:qFormat/>
    <w:rsid w:val="008554CD"/>
  </w:style>
  <w:style w:type="paragraph" w:customStyle="1" w:styleId="Heading2numbered">
    <w:name w:val="Heading 2 numbered"/>
    <w:basedOn w:val="Heading2"/>
    <w:next w:val="NormalIndent"/>
    <w:uiPriority w:val="4"/>
    <w:semiHidden/>
    <w:qFormat/>
    <w:rsid w:val="008554CD"/>
  </w:style>
  <w:style w:type="paragraph" w:customStyle="1" w:styleId="Heading3numbered">
    <w:name w:val="Heading 3 numbered"/>
    <w:basedOn w:val="Heading3"/>
    <w:next w:val="NormalIndent"/>
    <w:uiPriority w:val="4"/>
    <w:semiHidden/>
    <w:qFormat/>
    <w:rsid w:val="008554CD"/>
    <w:pPr>
      <w:numPr>
        <w:ilvl w:val="4"/>
        <w:numId w:val="14"/>
      </w:numPr>
    </w:pPr>
  </w:style>
  <w:style w:type="paragraph" w:customStyle="1" w:styleId="Heading4numbered">
    <w:name w:val="Heading 4 numbered"/>
    <w:basedOn w:val="Heading4"/>
    <w:next w:val="NormalIndent"/>
    <w:uiPriority w:val="4"/>
    <w:semiHidden/>
    <w:qFormat/>
    <w:rsid w:val="008554CD"/>
    <w:pPr>
      <w:numPr>
        <w:ilvl w:val="5"/>
        <w:numId w:val="14"/>
      </w:numPr>
    </w:pPr>
  </w:style>
  <w:style w:type="paragraph" w:customStyle="1" w:styleId="NoteNormal">
    <w:name w:val="Note Normal"/>
    <w:basedOn w:val="Normal"/>
    <w:uiPriority w:val="49"/>
    <w:rsid w:val="008554CD"/>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8554CD"/>
    <w:pPr>
      <w:spacing w:after="0" w:line="440" w:lineRule="exact"/>
    </w:pPr>
    <w:rPr>
      <w:rFonts w:asciiTheme="majorHAnsi" w:eastAsia="Times New Roman" w:hAnsiTheme="majorHAnsi" w:cstheme="majorHAnsi"/>
      <w:color w:val="4F81BD" w:themeColor="accent1"/>
      <w:spacing w:val="-2"/>
      <w:sz w:val="40"/>
      <w:szCs w:val="24"/>
      <w:lang w:eastAsia="en-AU"/>
    </w:rPr>
  </w:style>
  <w:style w:type="character" w:customStyle="1" w:styleId="SubtitleChar">
    <w:name w:val="Subtitle Char"/>
    <w:basedOn w:val="DefaultParagraphFont"/>
    <w:link w:val="Subtitle"/>
    <w:uiPriority w:val="99"/>
    <w:semiHidden/>
    <w:rsid w:val="008554CD"/>
    <w:rPr>
      <w:rFonts w:asciiTheme="majorHAnsi" w:eastAsia="Times New Roman" w:hAnsiTheme="majorHAnsi" w:cstheme="majorHAnsi"/>
      <w:color w:val="4F81BD" w:themeColor="accent1"/>
      <w:spacing w:val="-2"/>
      <w:sz w:val="40"/>
      <w:szCs w:val="24"/>
      <w:lang w:eastAsia="en-AU"/>
    </w:rPr>
  </w:style>
  <w:style w:type="paragraph" w:customStyle="1" w:styleId="TertiaryTitle">
    <w:name w:val="Tertiary Title"/>
    <w:next w:val="Normal"/>
    <w:uiPriority w:val="99"/>
    <w:semiHidden/>
    <w:rsid w:val="008554CD"/>
    <w:pPr>
      <w:spacing w:after="0" w:line="440" w:lineRule="exact"/>
    </w:pPr>
    <w:rPr>
      <w:rFonts w:asciiTheme="majorHAnsi" w:eastAsia="Times New Roman" w:hAnsiTheme="majorHAnsi" w:cstheme="majorHAnsi"/>
      <w:color w:val="4F81BD" w:themeColor="accent1"/>
      <w:spacing w:val="-2"/>
      <w:sz w:val="36"/>
      <w:szCs w:val="40"/>
    </w:rPr>
  </w:style>
  <w:style w:type="paragraph" w:styleId="Title">
    <w:name w:val="Title"/>
    <w:link w:val="TitleChar"/>
    <w:uiPriority w:val="99"/>
    <w:semiHidden/>
    <w:rsid w:val="008554CD"/>
    <w:pPr>
      <w:spacing w:after="300" w:line="252" w:lineRule="auto"/>
    </w:pPr>
    <w:rPr>
      <w:rFonts w:asciiTheme="majorHAnsi" w:eastAsia="Times New Roman" w:hAnsiTheme="majorHAnsi" w:cstheme="majorHAnsi"/>
      <w:b/>
      <w:color w:val="4F81BD" w:themeColor="accent1"/>
      <w:spacing w:val="-2"/>
      <w:sz w:val="60"/>
      <w:lang w:eastAsia="en-AU"/>
    </w:rPr>
  </w:style>
  <w:style w:type="character" w:customStyle="1" w:styleId="TitleChar">
    <w:name w:val="Title Char"/>
    <w:basedOn w:val="DefaultParagraphFont"/>
    <w:link w:val="Title"/>
    <w:uiPriority w:val="99"/>
    <w:semiHidden/>
    <w:rsid w:val="008554CD"/>
    <w:rPr>
      <w:rFonts w:asciiTheme="majorHAnsi" w:eastAsia="Times New Roman" w:hAnsiTheme="majorHAnsi" w:cstheme="majorHAnsi"/>
      <w:b/>
      <w:color w:val="4F81BD" w:themeColor="accent1"/>
      <w:spacing w:val="-2"/>
      <w:sz w:val="60"/>
      <w:lang w:eastAsia="en-AU"/>
    </w:rPr>
  </w:style>
  <w:style w:type="paragraph" w:styleId="IndexHeading">
    <w:name w:val="index heading"/>
    <w:basedOn w:val="Normal"/>
    <w:next w:val="Index1"/>
    <w:uiPriority w:val="99"/>
    <w:semiHidden/>
    <w:rsid w:val="008554CD"/>
    <w:rPr>
      <w:rFonts w:asciiTheme="majorHAnsi" w:eastAsiaTheme="majorEastAsia" w:hAnsiTheme="majorHAnsi" w:cstheme="majorBidi"/>
      <w:b/>
      <w:bCs/>
    </w:rPr>
  </w:style>
  <w:style w:type="paragraph" w:styleId="TOCHeading">
    <w:name w:val="TOC Heading"/>
    <w:basedOn w:val="Heading1"/>
    <w:next w:val="Normal"/>
    <w:uiPriority w:val="39"/>
    <w:semiHidden/>
    <w:rsid w:val="008554CD"/>
    <w:pPr>
      <w:spacing w:before="480" w:after="720"/>
      <w:outlineLvl w:val="9"/>
    </w:pPr>
    <w:rPr>
      <w:spacing w:val="2"/>
    </w:rPr>
  </w:style>
  <w:style w:type="paragraph" w:customStyle="1" w:styleId="NormalTight">
    <w:name w:val="Normal Tight"/>
    <w:uiPriority w:val="99"/>
    <w:semiHidden/>
    <w:rsid w:val="008554CD"/>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8554C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8554CD"/>
    <w:rPr>
      <w:rFonts w:ascii="Calibri" w:eastAsia="Times New Roman" w:hAnsi="Calibri" w:cs="Calibri"/>
      <w:lang w:eastAsia="en-AU"/>
    </w:rPr>
  </w:style>
  <w:style w:type="paragraph" w:customStyle="1" w:styleId="Insidecoverspacer">
    <w:name w:val="Inside cover spacer"/>
    <w:basedOn w:val="NormalTight"/>
    <w:uiPriority w:val="99"/>
    <w:semiHidden/>
    <w:qFormat/>
    <w:rsid w:val="008554CD"/>
    <w:pPr>
      <w:spacing w:before="5800"/>
      <w:ind w:right="1382"/>
    </w:pPr>
  </w:style>
  <w:style w:type="paragraph" w:styleId="TOC4">
    <w:name w:val="toc 4"/>
    <w:basedOn w:val="TOC1"/>
    <w:next w:val="Normal"/>
    <w:uiPriority w:val="39"/>
    <w:semiHidden/>
    <w:rsid w:val="008554CD"/>
    <w:pPr>
      <w:ind w:left="450" w:hanging="450"/>
    </w:pPr>
    <w:rPr>
      <w:noProof/>
      <w:lang w:eastAsia="en-US"/>
    </w:rPr>
  </w:style>
  <w:style w:type="paragraph" w:styleId="TOC5">
    <w:name w:val="toc 5"/>
    <w:basedOn w:val="TOC2"/>
    <w:next w:val="Normal"/>
    <w:uiPriority w:val="39"/>
    <w:semiHidden/>
    <w:rsid w:val="008554CD"/>
    <w:pPr>
      <w:ind w:left="1080" w:hanging="634"/>
    </w:pPr>
    <w:rPr>
      <w:lang w:eastAsia="en-US"/>
    </w:rPr>
  </w:style>
  <w:style w:type="paragraph" w:styleId="TOC6">
    <w:name w:val="toc 6"/>
    <w:basedOn w:val="TOC3"/>
    <w:next w:val="Normal"/>
    <w:uiPriority w:val="39"/>
    <w:semiHidden/>
    <w:rsid w:val="008554CD"/>
    <w:pPr>
      <w:ind w:left="1800" w:hanging="720"/>
    </w:pPr>
    <w:rPr>
      <w:lang w:eastAsia="en-US"/>
    </w:rPr>
  </w:style>
  <w:style w:type="table" w:customStyle="1" w:styleId="DTFfinancialtable">
    <w:name w:val="DTF financial table"/>
    <w:basedOn w:val="TableGrid"/>
    <w:uiPriority w:val="99"/>
    <w:rsid w:val="008554CD"/>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8554CD"/>
    <w:pPr>
      <w:jc w:val="right"/>
    </w:pPr>
  </w:style>
  <w:style w:type="paragraph" w:customStyle="1" w:styleId="Listnumindent2">
    <w:name w:val="List num indent 2"/>
    <w:basedOn w:val="Normal"/>
    <w:uiPriority w:val="7"/>
    <w:qFormat/>
    <w:rsid w:val="008554CD"/>
    <w:pPr>
      <w:numPr>
        <w:ilvl w:val="7"/>
        <w:numId w:val="14"/>
      </w:numPr>
      <w:spacing w:before="100"/>
      <w:contextualSpacing/>
    </w:pPr>
  </w:style>
  <w:style w:type="paragraph" w:customStyle="1" w:styleId="Listnumindent">
    <w:name w:val="List num indent"/>
    <w:basedOn w:val="Normal"/>
    <w:uiPriority w:val="7"/>
    <w:qFormat/>
    <w:rsid w:val="008554CD"/>
    <w:pPr>
      <w:numPr>
        <w:ilvl w:val="6"/>
        <w:numId w:val="14"/>
      </w:numPr>
      <w:spacing w:before="100"/>
    </w:pPr>
  </w:style>
  <w:style w:type="paragraph" w:customStyle="1" w:styleId="Listnum">
    <w:name w:val="List num"/>
    <w:basedOn w:val="Normal"/>
    <w:uiPriority w:val="1"/>
    <w:qFormat/>
    <w:rsid w:val="008554CD"/>
    <w:pPr>
      <w:numPr>
        <w:numId w:val="14"/>
      </w:numPr>
      <w:contextualSpacing/>
    </w:pPr>
  </w:style>
  <w:style w:type="paragraph" w:customStyle="1" w:styleId="Listnum2">
    <w:name w:val="List num 2"/>
    <w:basedOn w:val="Normal"/>
    <w:uiPriority w:val="1"/>
    <w:qFormat/>
    <w:rsid w:val="008554CD"/>
    <w:pPr>
      <w:numPr>
        <w:ilvl w:val="1"/>
        <w:numId w:val="14"/>
      </w:numPr>
      <w:contextualSpacing/>
    </w:pPr>
  </w:style>
  <w:style w:type="paragraph" w:customStyle="1" w:styleId="Tabletextcentred">
    <w:name w:val="Table text centred"/>
    <w:basedOn w:val="Tabletext"/>
    <w:uiPriority w:val="8"/>
    <w:qFormat/>
    <w:rsid w:val="008554CD"/>
    <w:pPr>
      <w:jc w:val="center"/>
    </w:pPr>
  </w:style>
  <w:style w:type="paragraph" w:customStyle="1" w:styleId="Tableheader">
    <w:name w:val="Table header"/>
    <w:basedOn w:val="Tabletext"/>
    <w:uiPriority w:val="8"/>
    <w:qFormat/>
    <w:rsid w:val="008554CD"/>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8554CD"/>
    <w:pPr>
      <w:numPr>
        <w:numId w:val="15"/>
      </w:numPr>
    </w:pPr>
  </w:style>
  <w:style w:type="paragraph" w:customStyle="1" w:styleId="Tabledash">
    <w:name w:val="Table dash"/>
    <w:basedOn w:val="Tablebullet"/>
    <w:uiPriority w:val="9"/>
    <w:rsid w:val="008554CD"/>
    <w:pPr>
      <w:numPr>
        <w:ilvl w:val="1"/>
      </w:numPr>
    </w:pPr>
  </w:style>
  <w:style w:type="paragraph" w:customStyle="1" w:styleId="Tabletextindent">
    <w:name w:val="Table text indent"/>
    <w:basedOn w:val="Tabletext"/>
    <w:uiPriority w:val="8"/>
    <w:qFormat/>
    <w:rsid w:val="008554CD"/>
    <w:pPr>
      <w:ind w:left="288"/>
    </w:pPr>
  </w:style>
  <w:style w:type="paragraph" w:customStyle="1" w:styleId="Listnumgrey">
    <w:name w:val="List num grey"/>
    <w:uiPriority w:val="3"/>
    <w:qFormat/>
    <w:rsid w:val="008554CD"/>
    <w:pPr>
      <w:numPr>
        <w:ilvl w:val="2"/>
        <w:numId w:val="14"/>
      </w:numPr>
      <w:spacing w:line="264" w:lineRule="auto"/>
    </w:pPr>
    <w:rPr>
      <w:color w:val="4D4D4D"/>
      <w:spacing w:val="2"/>
      <w:sz w:val="18"/>
      <w:szCs w:val="21"/>
    </w:rPr>
  </w:style>
  <w:style w:type="paragraph" w:customStyle="1" w:styleId="Listnum2grey">
    <w:name w:val="List num 2 grey"/>
    <w:uiPriority w:val="4"/>
    <w:qFormat/>
    <w:rsid w:val="008554CD"/>
    <w:pPr>
      <w:numPr>
        <w:ilvl w:val="3"/>
        <w:numId w:val="14"/>
      </w:numPr>
      <w:spacing w:line="264" w:lineRule="auto"/>
    </w:pPr>
    <w:rPr>
      <w:color w:val="4D4D4D"/>
      <w:spacing w:val="2"/>
      <w:sz w:val="18"/>
      <w:szCs w:val="21"/>
    </w:rPr>
  </w:style>
  <w:style w:type="paragraph" w:customStyle="1" w:styleId="Refnum1grey">
    <w:name w:val="Ref num 1 grey"/>
    <w:basedOn w:val="Refnum1"/>
    <w:uiPriority w:val="7"/>
    <w:qFormat/>
    <w:rsid w:val="008554CD"/>
    <w:rPr>
      <w:color w:val="F2F2F2" w:themeColor="background1" w:themeShade="F2"/>
    </w:rPr>
  </w:style>
  <w:style w:type="paragraph" w:customStyle="1" w:styleId="Refnum2grey">
    <w:name w:val="Ref num 2 grey"/>
    <w:basedOn w:val="Normal"/>
    <w:rsid w:val="008554CD"/>
    <w:pPr>
      <w:numPr>
        <w:ilvl w:val="1"/>
        <w:numId w:val="16"/>
      </w:numPr>
    </w:pPr>
  </w:style>
  <w:style w:type="paragraph" w:customStyle="1" w:styleId="Normalgreybold">
    <w:name w:val="Normal grey bold"/>
    <w:basedOn w:val="Normalgrey"/>
    <w:qFormat/>
    <w:rsid w:val="008554CD"/>
    <w:rPr>
      <w:b/>
    </w:rPr>
  </w:style>
  <w:style w:type="paragraph" w:customStyle="1" w:styleId="NormalIndentgrey0">
    <w:name w:val="Normal Indent grey"/>
    <w:basedOn w:val="NormalIndent"/>
    <w:qFormat/>
    <w:rsid w:val="008554CD"/>
    <w:rPr>
      <w:color w:val="4D4D4D"/>
      <w:szCs w:val="21"/>
    </w:rPr>
  </w:style>
  <w:style w:type="paragraph" w:styleId="Caption">
    <w:name w:val="caption"/>
    <w:basedOn w:val="Normal"/>
    <w:next w:val="Normal"/>
    <w:uiPriority w:val="99"/>
    <w:rsid w:val="008554CD"/>
    <w:pPr>
      <w:spacing w:before="0" w:after="200" w:line="240" w:lineRule="auto"/>
    </w:pPr>
    <w:rPr>
      <w:b/>
      <w:bCs/>
      <w:szCs w:val="18"/>
    </w:rPr>
  </w:style>
  <w:style w:type="paragraph" w:customStyle="1" w:styleId="Tablechartdiagramheading">
    <w:name w:val="Table/chart/diagram heading"/>
    <w:uiPriority w:val="99"/>
    <w:qFormat/>
    <w:rsid w:val="008554CD"/>
    <w:pPr>
      <w:tabs>
        <w:tab w:val="left" w:pos="1080"/>
      </w:tabs>
      <w:spacing w:before="160" w:after="100"/>
    </w:pPr>
    <w:rPr>
      <w:rFonts w:eastAsiaTheme="minorEastAsia"/>
      <w:b/>
      <w:bCs/>
      <w:color w:val="404040" w:themeColor="text1" w:themeTint="BF"/>
      <w:spacing w:val="2"/>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A5C9964-3895-4344-B848-42870B90661A}">
  <ds:schemaRefs>
    <ds:schemaRef ds:uri="http://schemas.openxmlformats.org/officeDocument/2006/bibliography"/>
  </ds:schemaRefs>
</ds:datastoreItem>
</file>

<file path=customXml/itemProps2.xml><?xml version="1.0" encoding="utf-8"?>
<ds:datastoreItem xmlns:ds="http://schemas.openxmlformats.org/officeDocument/2006/customXml" ds:itemID="{01DF3C91-0C7D-4738-84A6-C0A9EB6AFE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7</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Lam</dc:creator>
  <cp:lastModifiedBy>Constance Yuan (DTF)</cp:lastModifiedBy>
  <cp:revision>7</cp:revision>
  <cp:lastPrinted>2017-04-10T04:28:00Z</cp:lastPrinted>
  <dcterms:created xsi:type="dcterms:W3CDTF">2025-01-02T05:01:00Z</dcterms:created>
  <dcterms:modified xsi:type="dcterms:W3CDTF">2025-01-02T05:07:00Z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af648b3d-0db2-4dfe-b180-73e88059297b</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2022-08-16T23:53:25Z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f2e87fb5-939c-4a77-abac-63df8210430c</vt:lpwstr>
  </property>
  <property fmtid="{D5CDD505-2E9C-101B-9397-08002B2CF9AE}" pid="10" name="MSIP_Label_7158ebbd-6c5e-441f-bfc9-4eb8c11e3978_ContentBits">
    <vt:lpwstr>2</vt:lpwstr>
  </property>
</Properties>
</file>