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6B0BF" w14:textId="77777777" w:rsidR="00144BB0" w:rsidRDefault="00FF122F" w:rsidP="009D3303">
      <w:pPr>
        <w:pStyle w:val="Heading1"/>
      </w:pPr>
      <w:r>
        <w:t>Gender Responsive Budgeting in Victoria: Roles and Responsibilities</w:t>
      </w:r>
    </w:p>
    <w:p w14:paraId="4F719EE7" w14:textId="41765680" w:rsidR="00FF122F" w:rsidRPr="002A5C65" w:rsidRDefault="00144BB0" w:rsidP="002A5C65">
      <w:pPr>
        <w:rPr>
          <w:i/>
          <w:iCs/>
        </w:rPr>
      </w:pPr>
      <w:r w:rsidRPr="002A5C65">
        <w:rPr>
          <w:i/>
          <w:iCs/>
        </w:rPr>
        <w:t>Updated 1</w:t>
      </w:r>
      <w:r w:rsidR="001334C4">
        <w:rPr>
          <w:i/>
          <w:iCs/>
        </w:rPr>
        <w:t>7 October</w:t>
      </w:r>
      <w:r w:rsidRPr="002A5C65">
        <w:rPr>
          <w:i/>
          <w:iCs/>
        </w:rPr>
        <w:t xml:space="preserve"> 2024</w:t>
      </w:r>
    </w:p>
    <w:p w14:paraId="54E9D6DD" w14:textId="35883016" w:rsidR="00FF122F" w:rsidRDefault="00FF122F" w:rsidP="00FF122F">
      <w:r>
        <w:t>This document provides an overview of the roles and responsibilities of Government</w:t>
      </w:r>
      <w:r w:rsidR="005E57E3">
        <w:t xml:space="preserve"> and</w:t>
      </w:r>
      <w:r w:rsidR="00DF3B85">
        <w:t xml:space="preserve"> </w:t>
      </w:r>
      <w:r>
        <w:t>the Victorian Public Service (VPS)</w:t>
      </w:r>
      <w:r w:rsidR="00DF3B85">
        <w:t xml:space="preserve"> </w:t>
      </w:r>
      <w:r>
        <w:t xml:space="preserve">in Gender Responsive Budgeting (GRB) in Victoria. </w:t>
      </w:r>
    </w:p>
    <w:p w14:paraId="29E4B90C" w14:textId="77777777" w:rsidR="00FF122F" w:rsidRDefault="00FF122F" w:rsidP="009D3303">
      <w:pPr>
        <w:pStyle w:val="Heading3"/>
      </w:pPr>
      <w:r>
        <w:t xml:space="preserve">In the </w:t>
      </w:r>
      <w:r w:rsidRPr="002A5C65">
        <w:rPr>
          <w:i/>
          <w:iCs/>
        </w:rPr>
        <w:t>2021-22 Budget</w:t>
      </w:r>
      <w:r>
        <w:t xml:space="preserve"> Victoria introduced GRB to promote gender equality </w:t>
      </w:r>
    </w:p>
    <w:p w14:paraId="469BD641" w14:textId="77777777" w:rsidR="00FF122F" w:rsidRDefault="00FF122F" w:rsidP="00FF122F">
      <w:r>
        <w:t xml:space="preserve">GRB is a tool to ensure that public financial management supports the promotion of gender equality through the way budgets are constructed, funds are collected and spent, and outcomes achieved. </w:t>
      </w:r>
    </w:p>
    <w:p w14:paraId="63774DBC" w14:textId="3A123A43" w:rsidR="00FF122F" w:rsidRDefault="00FF122F" w:rsidP="00FF122F">
      <w:r>
        <w:t>When adopting G</w:t>
      </w:r>
      <w:r w:rsidR="00566ED5">
        <w:t>R</w:t>
      </w:r>
      <w:r>
        <w:t>B, budgetary processes and policies are adapted so that expenditures and revenues reflect gender differences and inequalities in finances, decision-making power, service needs and responsibilities for caring. GRB is a mechanism that addresses the misconception that policies and services are gender neutral by design and is used to identify tangible actions to support more gender equitable outcomes.</w:t>
      </w:r>
    </w:p>
    <w:p w14:paraId="72EE0221" w14:textId="77777777" w:rsidR="00FF122F" w:rsidRDefault="00FF122F" w:rsidP="00FF122F">
      <w:r>
        <w:t>By designing polices, programs and services that respond to the different needs of people of different genders, the Government will achieve better value for money because services will be better targeted to the users’ needs and support greater economic participation by women.</w:t>
      </w:r>
    </w:p>
    <w:p w14:paraId="2FD4AE37" w14:textId="77777777" w:rsidR="00FF122F" w:rsidRDefault="00FF122F" w:rsidP="009D3303">
      <w:pPr>
        <w:pStyle w:val="Heading3"/>
      </w:pPr>
      <w:r>
        <w:t xml:space="preserve">Victoria’s GRB approach embeds gender considerations across the policy development cycle and requires action across the whole of government </w:t>
      </w:r>
    </w:p>
    <w:p w14:paraId="0D2C4222" w14:textId="75C10DA0" w:rsidR="00FF122F" w:rsidRDefault="00FF122F" w:rsidP="002D2A58">
      <w:r>
        <w:t>Victoria’s approach to GRB has been adapted based on international best practice</w:t>
      </w:r>
      <w:r w:rsidR="00F022FA">
        <w:t xml:space="preserve"> and building on the nation-leading </w:t>
      </w:r>
      <w:r w:rsidR="00F022FA" w:rsidRPr="00F022FA">
        <w:rPr>
          <w:i/>
          <w:iCs/>
        </w:rPr>
        <w:t>Gender Equality Act 2020</w:t>
      </w:r>
      <w:r w:rsidR="00C7719C">
        <w:rPr>
          <w:i/>
          <w:iCs/>
        </w:rPr>
        <w:t xml:space="preserve"> </w:t>
      </w:r>
      <w:r w:rsidR="00C7719C" w:rsidRPr="005E57E3">
        <w:t>(GE Act)</w:t>
      </w:r>
      <w:r w:rsidRPr="00C7719C">
        <w:t>.</w:t>
      </w:r>
      <w:r>
        <w:t xml:space="preserve"> Implementing and embedding effective GRB will require </w:t>
      </w:r>
      <w:r w:rsidR="002B3474">
        <w:t xml:space="preserve">robust </w:t>
      </w:r>
      <w:r>
        <w:t>strategic frameworks, well designed operational tools and a</w:t>
      </w:r>
      <w:r w:rsidR="002B3474">
        <w:t xml:space="preserve"> strong</w:t>
      </w:r>
      <w:r>
        <w:t xml:space="preserve"> enabling environment (Figure 1).</w:t>
      </w:r>
      <w:r w:rsidR="002D2A58">
        <w:t xml:space="preserve"> </w:t>
      </w:r>
    </w:p>
    <w:p w14:paraId="29071776" w14:textId="66EC56E9" w:rsidR="00934B60" w:rsidRDefault="00FF122F" w:rsidP="00916474">
      <w:pPr>
        <w:pStyle w:val="Captionindent"/>
        <w:keepNext/>
        <w:ind w:left="0"/>
      </w:pPr>
      <w:r>
        <w:lastRenderedPageBreak/>
        <w:t>Figure 1: Current GRB practice in Victoria based on OECD best practice</w:t>
      </w:r>
      <w:r w:rsidR="007B0632">
        <w:t xml:space="preserve"> framework</w:t>
      </w:r>
    </w:p>
    <w:p w14:paraId="5A276C2D" w14:textId="12E386F0" w:rsidR="00C7483F" w:rsidRDefault="00E056E2" w:rsidP="00C7483F">
      <w:pPr>
        <w:pStyle w:val="Captionindent"/>
        <w:ind w:left="0"/>
      </w:pPr>
      <w:r>
        <w:rPr>
          <w:noProof/>
        </w:rPr>
        <w:drawing>
          <wp:inline distT="0" distB="0" distL="0" distR="0" wp14:anchorId="3DBC5DE9" wp14:editId="3FAB9244">
            <wp:extent cx="5731510" cy="3017973"/>
            <wp:effectExtent l="0" t="0" r="2540" b="0"/>
            <wp:docPr id="9382965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017973"/>
                    </a:xfrm>
                    <a:prstGeom prst="rect">
                      <a:avLst/>
                    </a:prstGeom>
                    <a:noFill/>
                  </pic:spPr>
                </pic:pic>
              </a:graphicData>
            </a:graphic>
          </wp:inline>
        </w:drawing>
      </w:r>
    </w:p>
    <w:p w14:paraId="4F6E0B2A" w14:textId="16C44F35" w:rsidR="00C32D23" w:rsidRDefault="00C32D23" w:rsidP="00C32D23">
      <w:r>
        <w:t>Government undertake</w:t>
      </w:r>
      <w:r w:rsidR="00333FDF">
        <w:t>s</w:t>
      </w:r>
      <w:r>
        <w:t xml:space="preserve"> </w:t>
      </w:r>
      <w:r w:rsidR="002D2A58">
        <w:t xml:space="preserve">many </w:t>
      </w:r>
      <w:r>
        <w:t xml:space="preserve">steps to bring a policy proposal forward to become funded in the Budget. Adoption of GRB requires gender considerations to happen </w:t>
      </w:r>
      <w:r w:rsidR="002D2A58">
        <w:t>throughout</w:t>
      </w:r>
      <w:r>
        <w:t xml:space="preserve"> this process and will change how policy</w:t>
      </w:r>
      <w:r w:rsidR="003F0914">
        <w:t xml:space="preserve"> is developed</w:t>
      </w:r>
      <w:r w:rsidR="00BA06C3">
        <w:t xml:space="preserve">, </w:t>
      </w:r>
      <w:r w:rsidR="00882810">
        <w:t xml:space="preserve">services are </w:t>
      </w:r>
      <w:r>
        <w:t>design</w:t>
      </w:r>
      <w:r w:rsidR="00882810">
        <w:t>ed</w:t>
      </w:r>
      <w:r>
        <w:t xml:space="preserve"> and how Government makes resource allocation decisions. </w:t>
      </w:r>
    </w:p>
    <w:p w14:paraId="4BAF1B1B" w14:textId="74712251" w:rsidR="00C32D23" w:rsidRDefault="00C32D23" w:rsidP="009D3303">
      <w:pPr>
        <w:pStyle w:val="Heading3"/>
      </w:pPr>
      <w:r>
        <w:t xml:space="preserve">The </w:t>
      </w:r>
      <w:r w:rsidR="003F0914">
        <w:t>Treasurer</w:t>
      </w:r>
      <w:r>
        <w:t xml:space="preserve"> lead</w:t>
      </w:r>
      <w:r w:rsidR="007B0632">
        <w:t>s</w:t>
      </w:r>
      <w:r>
        <w:t xml:space="preserve"> the work to embed G</w:t>
      </w:r>
      <w:r w:rsidR="002D2A58">
        <w:t>RB</w:t>
      </w:r>
      <w:r>
        <w:t xml:space="preserve"> into </w:t>
      </w:r>
      <w:r w:rsidR="002D2A58">
        <w:t>t</w:t>
      </w:r>
      <w:r>
        <w:t xml:space="preserve">he </w:t>
      </w:r>
      <w:r w:rsidR="002D2A58">
        <w:t>b</w:t>
      </w:r>
      <w:r>
        <w:t xml:space="preserve">udget </w:t>
      </w:r>
      <w:r w:rsidR="002D2A58">
        <w:t xml:space="preserve">process </w:t>
      </w:r>
      <w:r>
        <w:t xml:space="preserve">but </w:t>
      </w:r>
      <w:r w:rsidR="007B0632">
        <w:t>all members of</w:t>
      </w:r>
      <w:r w:rsidR="00547E66">
        <w:t xml:space="preserve"> </w:t>
      </w:r>
      <w:r>
        <w:t xml:space="preserve">Government </w:t>
      </w:r>
      <w:r w:rsidR="007B0632">
        <w:t>have</w:t>
      </w:r>
      <w:r>
        <w:t xml:space="preserve"> a role</w:t>
      </w:r>
    </w:p>
    <w:p w14:paraId="17AFB447" w14:textId="71CF02E6" w:rsidR="00C32D23" w:rsidRDefault="00C32D23" w:rsidP="00C32D23">
      <w:r>
        <w:t xml:space="preserve">In March 2022, the Public Accounts and Estimates (PAEC) tabled their report on their Inquiry into GRB and recommended that Government “…clearly define the roles and responsibilities of all the stakeholders involved in Gender Responsive Budgeting and the processes that must be followed”. </w:t>
      </w:r>
      <w:r w:rsidR="00662B81">
        <w:rPr>
          <w:rStyle w:val="FootnoteReference"/>
        </w:rPr>
        <w:footnoteReference w:id="2"/>
      </w:r>
      <w:r>
        <w:t xml:space="preserve">  </w:t>
      </w:r>
    </w:p>
    <w:p w14:paraId="5583A109" w14:textId="09D2FD72" w:rsidR="00035C95" w:rsidRDefault="00C32D23" w:rsidP="00C32D23">
      <w:r>
        <w:t xml:space="preserve">This reflects that GRB is a significant shift in how policy is developed in Victoria and </w:t>
      </w:r>
      <w:r w:rsidR="00EF5787">
        <w:t xml:space="preserve">that </w:t>
      </w:r>
      <w:r>
        <w:t xml:space="preserve">clarity of roles and responsibilities across the whole of government will be critical to effective GRB. In this context, </w:t>
      </w:r>
      <w:r w:rsidR="00E056E2">
        <w:t>Table 1 and 2</w:t>
      </w:r>
      <w:r>
        <w:t xml:space="preserve"> provide a detailed overview of the key roles and responsibilities Government will play in GRB, under the Victorian approach (Figure 1).</w:t>
      </w:r>
    </w:p>
    <w:p w14:paraId="33CC2C7D" w14:textId="77777777" w:rsidR="00E056E2" w:rsidRDefault="00E056E2" w:rsidP="00E056E2">
      <w:pPr>
        <w:pStyle w:val="Captionindent"/>
        <w:ind w:left="0"/>
      </w:pPr>
      <w:r>
        <w:t>Table 1: Government roles and responsibilities relating to GRB</w:t>
      </w:r>
    </w:p>
    <w:tbl>
      <w:tblPr>
        <w:tblStyle w:val="DTFtexttable"/>
        <w:tblW w:w="5000" w:type="pct"/>
        <w:tblLook w:val="06A0" w:firstRow="1" w:lastRow="0" w:firstColumn="1" w:lastColumn="0" w:noHBand="1" w:noVBand="1"/>
      </w:tblPr>
      <w:tblGrid>
        <w:gridCol w:w="1910"/>
        <w:gridCol w:w="7116"/>
      </w:tblGrid>
      <w:tr w:rsidR="00E056E2" w14:paraId="3B547660" w14:textId="77777777" w:rsidTr="0091647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pct"/>
          </w:tcPr>
          <w:p w14:paraId="3AD39273" w14:textId="77777777" w:rsidR="00E056E2" w:rsidRDefault="00E056E2" w:rsidP="00C12F9D">
            <w:r>
              <w:t>Actor</w:t>
            </w:r>
          </w:p>
        </w:tc>
        <w:tc>
          <w:tcPr>
            <w:tcW w:w="0" w:type="pct"/>
          </w:tcPr>
          <w:p w14:paraId="61A613DA" w14:textId="77777777" w:rsidR="00E056E2" w:rsidRDefault="00E056E2" w:rsidP="00C12F9D">
            <w:pPr>
              <w:cnfStyle w:val="100000000000" w:firstRow="1" w:lastRow="0" w:firstColumn="0" w:lastColumn="0" w:oddVBand="0" w:evenVBand="0" w:oddHBand="0" w:evenHBand="0" w:firstRowFirstColumn="0" w:firstRowLastColumn="0" w:lastRowFirstColumn="0" w:lastRowLastColumn="0"/>
            </w:pPr>
            <w:r>
              <w:rPr>
                <w:iCs/>
              </w:rPr>
              <w:t xml:space="preserve">Responsibilities </w:t>
            </w:r>
          </w:p>
        </w:tc>
      </w:tr>
      <w:tr w:rsidR="00E056E2" w14:paraId="780C3A1D" w14:textId="77777777" w:rsidTr="00C12F9D">
        <w:tc>
          <w:tcPr>
            <w:cnfStyle w:val="001000000000" w:firstRow="0" w:lastRow="0" w:firstColumn="1" w:lastColumn="0" w:oddVBand="0" w:evenVBand="0" w:oddHBand="0" w:evenHBand="0" w:firstRowFirstColumn="0" w:firstRowLastColumn="0" w:lastRowFirstColumn="0" w:lastRowLastColumn="0"/>
            <w:tcW w:w="1058" w:type="pct"/>
          </w:tcPr>
          <w:p w14:paraId="324E1518" w14:textId="77777777" w:rsidR="00E056E2" w:rsidRPr="00217051" w:rsidRDefault="00E056E2" w:rsidP="00C12F9D">
            <w:pPr>
              <w:rPr>
                <w:iCs/>
              </w:rPr>
            </w:pPr>
            <w:r>
              <w:rPr>
                <w:iCs/>
              </w:rPr>
              <w:t>Premier</w:t>
            </w:r>
          </w:p>
        </w:tc>
        <w:tc>
          <w:tcPr>
            <w:tcW w:w="3942" w:type="pct"/>
          </w:tcPr>
          <w:p w14:paraId="788C19D9" w14:textId="72A3FB93" w:rsidR="00E056E2" w:rsidRDefault="00E056E2" w:rsidP="00C12F9D">
            <w:pPr>
              <w:cnfStyle w:val="000000000000" w:firstRow="0" w:lastRow="0" w:firstColumn="0" w:lastColumn="0" w:oddVBand="0" w:evenVBand="0" w:oddHBand="0" w:evenHBand="0" w:firstRowFirstColumn="0" w:firstRowLastColumn="0" w:lastRowFirstColumn="0" w:lastRowLastColumn="0"/>
              <w:rPr>
                <w:iCs/>
              </w:rPr>
            </w:pPr>
            <w:r>
              <w:rPr>
                <w:iCs/>
              </w:rPr>
              <w:t xml:space="preserve">The Premier provides key support for the GRB enabling environment by setting and articulating the Government’s priorities and key </w:t>
            </w:r>
            <w:r w:rsidR="00556033">
              <w:rPr>
                <w:iCs/>
              </w:rPr>
              <w:t>policies and</w:t>
            </w:r>
            <w:r>
              <w:rPr>
                <w:iCs/>
              </w:rPr>
              <w:t xml:space="preserve"> communicating the Government’s agenda at a high level – including the commitment to GRB and how GRB considerations influence Government decisions and policies.</w:t>
            </w:r>
          </w:p>
          <w:p w14:paraId="31C89BC2" w14:textId="6CF155C0" w:rsidR="00E056E2" w:rsidRPr="00706009" w:rsidRDefault="00E056E2" w:rsidP="00C12F9D">
            <w:pPr>
              <w:cnfStyle w:val="000000000000" w:firstRow="0" w:lastRow="0" w:firstColumn="0" w:lastColumn="0" w:oddVBand="0" w:evenVBand="0" w:oddHBand="0" w:evenHBand="0" w:firstRowFirstColumn="0" w:firstRowLastColumn="0" w:lastRowFirstColumn="0" w:lastRowLastColumn="0"/>
            </w:pPr>
            <w:r>
              <w:t>Through the annual budget process the Premier</w:t>
            </w:r>
            <w:r w:rsidR="007B0632">
              <w:t>, as the leader of the Government,</w:t>
            </w:r>
            <w:r>
              <w:t xml:space="preserve"> is responsible for ensuring that the Government fulfills its obligations to the people of Victoria by supporting ministers in effectively delivering announced policies including, but not limited to, GRB.</w:t>
            </w:r>
          </w:p>
        </w:tc>
      </w:tr>
      <w:tr w:rsidR="00E056E2" w14:paraId="0E414F6D" w14:textId="77777777" w:rsidTr="00C12F9D">
        <w:tc>
          <w:tcPr>
            <w:cnfStyle w:val="001000000000" w:firstRow="0" w:lastRow="0" w:firstColumn="1" w:lastColumn="0" w:oddVBand="0" w:evenVBand="0" w:oddHBand="0" w:evenHBand="0" w:firstRowFirstColumn="0" w:firstRowLastColumn="0" w:lastRowFirstColumn="0" w:lastRowLastColumn="0"/>
            <w:tcW w:w="1058" w:type="pct"/>
          </w:tcPr>
          <w:p w14:paraId="081E662C" w14:textId="77777777" w:rsidR="00E056E2" w:rsidRDefault="00E056E2" w:rsidP="00C12F9D">
            <w:r>
              <w:lastRenderedPageBreak/>
              <w:t>Treasurer</w:t>
            </w:r>
          </w:p>
        </w:tc>
        <w:tc>
          <w:tcPr>
            <w:tcW w:w="3942" w:type="pct"/>
          </w:tcPr>
          <w:p w14:paraId="11424E60" w14:textId="77777777" w:rsidR="00E056E2" w:rsidRDefault="00E056E2" w:rsidP="00C12F9D">
            <w:pPr>
              <w:cnfStyle w:val="000000000000" w:firstRow="0" w:lastRow="0" w:firstColumn="0" w:lastColumn="0" w:oddVBand="0" w:evenVBand="0" w:oddHBand="0" w:evenHBand="0" w:firstRowFirstColumn="0" w:firstRowLastColumn="0" w:lastRowFirstColumn="0" w:lastRowLastColumn="0"/>
            </w:pPr>
            <w:r>
              <w:t xml:space="preserve">The Treasurer is the responsible minister for GRB, including decisions on implementation approach, incorporation into budget processes and decision making, representation in budget papers and other key details. </w:t>
            </w:r>
          </w:p>
          <w:p w14:paraId="37C568AE" w14:textId="77777777" w:rsidR="00E056E2" w:rsidRDefault="00E056E2" w:rsidP="00C12F9D">
            <w:pPr>
              <w:cnfStyle w:val="000000000000" w:firstRow="0" w:lastRow="0" w:firstColumn="0" w:lastColumn="0" w:oddVBand="0" w:evenVBand="0" w:oddHBand="0" w:evenHBand="0" w:firstRowFirstColumn="0" w:firstRowLastColumn="0" w:lastRowFirstColumn="0" w:lastRowLastColumn="0"/>
            </w:pPr>
            <w:r>
              <w:t>The Treasurer approves the Gender Equality Budget Statement and makes all decisions on how to present GRB related matters in the budget papers.</w:t>
            </w:r>
          </w:p>
          <w:p w14:paraId="2B4DB0B5" w14:textId="39405141" w:rsidR="00E056E2" w:rsidRDefault="00E056E2" w:rsidP="00C12F9D">
            <w:pPr>
              <w:cnfStyle w:val="000000000000" w:firstRow="0" w:lastRow="0" w:firstColumn="0" w:lastColumn="0" w:oddVBand="0" w:evenVBand="0" w:oddHBand="0" w:evenHBand="0" w:firstRowFirstColumn="0" w:firstRowLastColumn="0" w:lastRowFirstColumn="0" w:lastRowLastColumn="0"/>
            </w:pPr>
            <w:r>
              <w:t>As the leader of the annual budget process, the Treasurer provides key support to the enabling environment, and has lead responsibility for ensuring that Government ministers are provided with the information needed to deliver GRB effectively.</w:t>
            </w:r>
          </w:p>
          <w:p w14:paraId="5E80CCE5" w14:textId="066701E4" w:rsidR="00310646" w:rsidRDefault="00E056E2" w:rsidP="00C12F9D">
            <w:pPr>
              <w:cnfStyle w:val="000000000000" w:firstRow="0" w:lastRow="0" w:firstColumn="0" w:lastColumn="0" w:oddVBand="0" w:evenVBand="0" w:oddHBand="0" w:evenHBand="0" w:firstRowFirstColumn="0" w:firstRowLastColumn="0" w:lastRowFirstColumn="0" w:lastRowLastColumn="0"/>
            </w:pPr>
            <w:r>
              <w:t xml:space="preserve">The Treasurer is the responsible Minister for sections of the </w:t>
            </w:r>
            <w:r w:rsidRPr="00F33505">
              <w:rPr>
                <w:i/>
                <w:iCs/>
              </w:rPr>
              <w:t>Financial Management Act</w:t>
            </w:r>
            <w:r>
              <w:t xml:space="preserve"> </w:t>
            </w:r>
            <w:r w:rsidRPr="002252EC">
              <w:rPr>
                <w:i/>
                <w:iCs/>
              </w:rPr>
              <w:t>1994</w:t>
            </w:r>
            <w:r>
              <w:rPr>
                <w:i/>
                <w:iCs/>
              </w:rPr>
              <w:t xml:space="preserve"> </w:t>
            </w:r>
            <w:r>
              <w:t>(FMA), which is the key legislation setting out the financial management requirements into which GRB is incorporated.</w:t>
            </w:r>
          </w:p>
        </w:tc>
      </w:tr>
      <w:tr w:rsidR="00E056E2" w14:paraId="2CC0F8FC" w14:textId="77777777" w:rsidTr="00C12F9D">
        <w:tc>
          <w:tcPr>
            <w:cnfStyle w:val="001000000000" w:firstRow="0" w:lastRow="0" w:firstColumn="1" w:lastColumn="0" w:oddVBand="0" w:evenVBand="0" w:oddHBand="0" w:evenHBand="0" w:firstRowFirstColumn="0" w:firstRowLastColumn="0" w:lastRowFirstColumn="0" w:lastRowLastColumn="0"/>
            <w:tcW w:w="1058" w:type="pct"/>
          </w:tcPr>
          <w:p w14:paraId="7A90C117" w14:textId="77777777" w:rsidR="00E056E2" w:rsidRDefault="00E056E2" w:rsidP="00C12F9D">
            <w:r>
              <w:t>Minister for Women</w:t>
            </w:r>
          </w:p>
        </w:tc>
        <w:tc>
          <w:tcPr>
            <w:tcW w:w="3942" w:type="pct"/>
          </w:tcPr>
          <w:p w14:paraId="1E4C8DE9" w14:textId="77777777" w:rsidR="00E056E2" w:rsidRDefault="00E056E2" w:rsidP="00C12F9D">
            <w:pPr>
              <w:cnfStyle w:val="000000000000" w:firstRow="0" w:lastRow="0" w:firstColumn="0" w:lastColumn="0" w:oddVBand="0" w:evenVBand="0" w:oddHBand="0" w:evenHBand="0" w:firstRowFirstColumn="0" w:firstRowLastColumn="0" w:lastRowFirstColumn="0" w:lastRowLastColumn="0"/>
            </w:pPr>
            <w:r>
              <w:t xml:space="preserve">The Minister for Women is responsible for women’s policy and gender equality policy which, in relation to GRB, includes: </w:t>
            </w:r>
          </w:p>
          <w:p w14:paraId="79ECF58A" w14:textId="1E4D9313" w:rsidR="00E056E2" w:rsidRDefault="00E056E2" w:rsidP="00C12F9D">
            <w:pPr>
              <w:pStyle w:val="Bullet1"/>
              <w:ind w:left="357" w:hanging="357"/>
              <w:cnfStyle w:val="000000000000" w:firstRow="0" w:lastRow="0" w:firstColumn="0" w:lastColumn="0" w:oddVBand="0" w:evenVBand="0" w:oddHBand="0" w:evenHBand="0" w:firstRowFirstColumn="0" w:firstRowLastColumn="0" w:lastRowFirstColumn="0" w:lastRowLastColumn="0"/>
            </w:pPr>
            <w:r>
              <w:t xml:space="preserve">being </w:t>
            </w:r>
            <w:r w:rsidRPr="003D4874">
              <w:rPr>
                <w:rFonts w:eastAsiaTheme="minorHAnsi"/>
              </w:rPr>
              <w:t xml:space="preserve">the responsible minister for the </w:t>
            </w:r>
            <w:r w:rsidR="00D47AC7">
              <w:rPr>
                <w:rFonts w:eastAsiaTheme="minorHAnsi"/>
              </w:rPr>
              <w:t>GE Act</w:t>
            </w:r>
            <w:r w:rsidRPr="003D4874">
              <w:rPr>
                <w:rFonts w:eastAsiaTheme="minorHAnsi"/>
              </w:rPr>
              <w:t>, which requires Gender Impact Assessments – a key tool in enabling GRB</w:t>
            </w:r>
          </w:p>
          <w:p w14:paraId="12949D6E" w14:textId="7B9CA60C" w:rsidR="00E056E2" w:rsidRDefault="00E056E2" w:rsidP="00C12F9D">
            <w:pPr>
              <w:pStyle w:val="Bullet1"/>
              <w:ind w:left="357" w:hanging="357"/>
              <w:cnfStyle w:val="000000000000" w:firstRow="0" w:lastRow="0" w:firstColumn="0" w:lastColumn="0" w:oddVBand="0" w:evenVBand="0" w:oddHBand="0" w:evenHBand="0" w:firstRowFirstColumn="0" w:firstRowLastColumn="0" w:lastRowFirstColumn="0" w:lastRowLastColumn="0"/>
            </w:pPr>
            <w:r w:rsidRPr="00DA3E69">
              <w:t>prepari</w:t>
            </w:r>
            <w:r>
              <w:t>ng</w:t>
            </w:r>
            <w:r w:rsidRPr="00DA3E69">
              <w:rPr>
                <w:rFonts w:eastAsiaTheme="minorHAnsi"/>
              </w:rPr>
              <w:t xml:space="preserve"> the government-wide gender equality strategy, a key element of the GRB strategic framework for approval </w:t>
            </w:r>
            <w:r w:rsidR="0075029F">
              <w:rPr>
                <w:rFonts w:eastAsiaTheme="minorHAnsi"/>
              </w:rPr>
              <w:t xml:space="preserve">by Government </w:t>
            </w:r>
            <w:r w:rsidRPr="00DA3E69">
              <w:rPr>
                <w:rFonts w:eastAsiaTheme="minorHAnsi"/>
              </w:rPr>
              <w:t>and determines gender equality targets and indicators under that strategy</w:t>
            </w:r>
          </w:p>
          <w:p w14:paraId="6A6846D2" w14:textId="77777777" w:rsidR="00E056E2" w:rsidRDefault="00E056E2" w:rsidP="00C12F9D">
            <w:pPr>
              <w:pStyle w:val="Bullet1"/>
              <w:ind w:left="357" w:hanging="357"/>
              <w:cnfStyle w:val="000000000000" w:firstRow="0" w:lastRow="0" w:firstColumn="0" w:lastColumn="0" w:oddVBand="0" w:evenVBand="0" w:oddHBand="0" w:evenHBand="0" w:firstRowFirstColumn="0" w:firstRowLastColumn="0" w:lastRowFirstColumn="0" w:lastRowLastColumn="0"/>
            </w:pPr>
            <w:r>
              <w:t>responsibility for key intersecting work such as the Government’s response to the Inquiry into Economic Equity for Victorian Women</w:t>
            </w:r>
          </w:p>
          <w:p w14:paraId="3D71D987" w14:textId="77777777" w:rsidR="00E056E2" w:rsidRDefault="00E056E2" w:rsidP="00C12F9D">
            <w:pPr>
              <w:pStyle w:val="Bullet1"/>
              <w:ind w:left="357" w:hanging="357"/>
              <w:cnfStyle w:val="000000000000" w:firstRow="0" w:lastRow="0" w:firstColumn="0" w:lastColumn="0" w:oddVBand="0" w:evenVBand="0" w:oddHBand="0" w:evenHBand="0" w:firstRowFirstColumn="0" w:firstRowLastColumn="0" w:lastRowFirstColumn="0" w:lastRowLastColumn="0"/>
              <w:rPr>
                <w:rFonts w:eastAsiaTheme="minorHAnsi"/>
              </w:rPr>
            </w:pPr>
            <w:r w:rsidRPr="00041A3F">
              <w:rPr>
                <w:rFonts w:eastAsiaTheme="minorHAnsi"/>
              </w:rPr>
              <w:t xml:space="preserve">responsibility for </w:t>
            </w:r>
            <w:r>
              <w:t>im</w:t>
            </w:r>
            <w:r w:rsidRPr="00041A3F">
              <w:rPr>
                <w:rFonts w:eastAsiaTheme="minorHAnsi"/>
              </w:rPr>
              <w:t>plementation of some recommendations from the PAEC Inquiry</w:t>
            </w:r>
          </w:p>
          <w:p w14:paraId="53B2F7D1" w14:textId="77777777" w:rsidR="00E056E2" w:rsidRPr="00041A3F" w:rsidRDefault="00E056E2" w:rsidP="00C12F9D">
            <w:pPr>
              <w:pStyle w:val="Bullet1"/>
              <w:ind w:left="357" w:hanging="357"/>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rPr>
              <w:t xml:space="preserve">endorsing the foreword of </w:t>
            </w:r>
            <w:r w:rsidRPr="00641083">
              <w:rPr>
                <w:rFonts w:eastAsiaTheme="minorHAnsi"/>
              </w:rPr>
              <w:t>the Gender Equality Budget Statement</w:t>
            </w:r>
            <w:r>
              <w:rPr>
                <w:rFonts w:eastAsiaTheme="minorHAnsi"/>
              </w:rPr>
              <w:t xml:space="preserve"> (but</w:t>
            </w:r>
            <w:r>
              <w:t xml:space="preserve"> does not contribute to or approve other content for this document)</w:t>
            </w:r>
            <w:r>
              <w:rPr>
                <w:rFonts w:eastAsiaTheme="minorHAnsi"/>
              </w:rPr>
              <w:t xml:space="preserve">. </w:t>
            </w:r>
          </w:p>
          <w:p w14:paraId="13D9FCB9" w14:textId="439B0488" w:rsidR="00E056E2" w:rsidRDefault="00E056E2" w:rsidP="00C12F9D">
            <w:pPr>
              <w:cnfStyle w:val="000000000000" w:firstRow="0" w:lastRow="0" w:firstColumn="0" w:lastColumn="0" w:oddVBand="0" w:evenVBand="0" w:oddHBand="0" w:evenHBand="0" w:firstRowFirstColumn="0" w:firstRowLastColumn="0" w:lastRowFirstColumn="0" w:lastRowLastColumn="0"/>
            </w:pPr>
            <w:r>
              <w:t xml:space="preserve">The Minister also supports the enabling environment by endorsing, either individually or jointly with the Treasurer, </w:t>
            </w:r>
            <w:r w:rsidR="003F0914">
              <w:t>policies and programs</w:t>
            </w:r>
            <w:r>
              <w:t xml:space="preserve"> regarding Whole of Victorian Government gender targets and data, gender policy gaps, gender priorities for budget considerations, etc. </w:t>
            </w:r>
          </w:p>
        </w:tc>
      </w:tr>
      <w:tr w:rsidR="00E056E2" w14:paraId="1DA036F1" w14:textId="77777777" w:rsidTr="00C12F9D">
        <w:tc>
          <w:tcPr>
            <w:cnfStyle w:val="001000000000" w:firstRow="0" w:lastRow="0" w:firstColumn="1" w:lastColumn="0" w:oddVBand="0" w:evenVBand="0" w:oddHBand="0" w:evenHBand="0" w:firstRowFirstColumn="0" w:firstRowLastColumn="0" w:lastRowFirstColumn="0" w:lastRowLastColumn="0"/>
            <w:tcW w:w="1058" w:type="pct"/>
          </w:tcPr>
          <w:p w14:paraId="021CA2BC" w14:textId="77777777" w:rsidR="00E056E2" w:rsidRDefault="00E056E2" w:rsidP="00C12F9D">
            <w:r>
              <w:t>Assistant Treasurer</w:t>
            </w:r>
          </w:p>
        </w:tc>
        <w:tc>
          <w:tcPr>
            <w:tcW w:w="3942" w:type="pct"/>
          </w:tcPr>
          <w:p w14:paraId="1F9BA8D7" w14:textId="24F7708D" w:rsidR="00E056E2" w:rsidRDefault="00E056E2" w:rsidP="00C12F9D">
            <w:pPr>
              <w:cnfStyle w:val="000000000000" w:firstRow="0" w:lastRow="0" w:firstColumn="0" w:lastColumn="0" w:oddVBand="0" w:evenVBand="0" w:oddHBand="0" w:evenHBand="0" w:firstRowFirstColumn="0" w:firstRowLastColumn="0" w:lastRowFirstColumn="0" w:lastRowLastColumn="0"/>
            </w:pPr>
            <w:r>
              <w:t xml:space="preserve">The Assistant Treasurer is the responsible Minister for some sections of the </w:t>
            </w:r>
            <w:r w:rsidR="00D47AC7" w:rsidRPr="0075029F">
              <w:rPr>
                <w:i/>
                <w:iCs/>
              </w:rPr>
              <w:t>Financial Management Act</w:t>
            </w:r>
            <w:r w:rsidR="0075029F">
              <w:rPr>
                <w:i/>
                <w:iCs/>
              </w:rPr>
              <w:t xml:space="preserve"> 1994</w:t>
            </w:r>
            <w:r>
              <w:t xml:space="preserve">, which is the key legislation setting out the financial management requirements into which GRB is incorporated. </w:t>
            </w:r>
          </w:p>
          <w:p w14:paraId="31A90FD5" w14:textId="77777777" w:rsidR="00E056E2" w:rsidRDefault="00E056E2" w:rsidP="00C12F9D">
            <w:pPr>
              <w:cnfStyle w:val="000000000000" w:firstRow="0" w:lastRow="0" w:firstColumn="0" w:lastColumn="0" w:oddVBand="0" w:evenVBand="0" w:oddHBand="0" w:evenHBand="0" w:firstRowFirstColumn="0" w:firstRowLastColumn="0" w:lastRowFirstColumn="0" w:lastRowLastColumn="0"/>
            </w:pPr>
            <w:r>
              <w:t>Pursuant to Section 8 of this Act the Assistant Treasurer issues the Standing Directions and is responsible for the output performance management framework and ensuring that GRB principles are incorporated into these instruments.</w:t>
            </w:r>
          </w:p>
          <w:p w14:paraId="3DD1330C" w14:textId="77777777" w:rsidR="00E056E2" w:rsidRDefault="00E056E2" w:rsidP="00C12F9D">
            <w:pPr>
              <w:cnfStyle w:val="000000000000" w:firstRow="0" w:lastRow="0" w:firstColumn="0" w:lastColumn="0" w:oddVBand="0" w:evenVBand="0" w:oddHBand="0" w:evenHBand="0" w:firstRowFirstColumn="0" w:firstRowLastColumn="0" w:lastRowFirstColumn="0" w:lastRowLastColumn="0"/>
            </w:pPr>
            <w:r>
              <w:t>The Assistant Treasurer is responsible for promoting the inclusion of gender disaggregation within the objective indicators and performance measures within departmental performance statements and promoting the inclusion of objectives that increase gender equality.</w:t>
            </w:r>
          </w:p>
        </w:tc>
      </w:tr>
      <w:tr w:rsidR="00E056E2" w14:paraId="187C6F98" w14:textId="77777777" w:rsidTr="00C12F9D">
        <w:tc>
          <w:tcPr>
            <w:cnfStyle w:val="001000000000" w:firstRow="0" w:lastRow="0" w:firstColumn="1" w:lastColumn="0" w:oddVBand="0" w:evenVBand="0" w:oddHBand="0" w:evenHBand="0" w:firstRowFirstColumn="0" w:firstRowLastColumn="0" w:lastRowFirstColumn="0" w:lastRowLastColumn="0"/>
            <w:tcW w:w="1058" w:type="pct"/>
          </w:tcPr>
          <w:p w14:paraId="26687E64" w14:textId="77777777" w:rsidR="00E056E2" w:rsidRDefault="00E056E2" w:rsidP="00C12F9D">
            <w:r>
              <w:t>Portfolio ministers</w:t>
            </w:r>
          </w:p>
        </w:tc>
        <w:tc>
          <w:tcPr>
            <w:tcW w:w="3942" w:type="pct"/>
          </w:tcPr>
          <w:p w14:paraId="11C576B5" w14:textId="77777777" w:rsidR="00E056E2" w:rsidRDefault="00E056E2" w:rsidP="00C12F9D">
            <w:pPr>
              <w:cnfStyle w:val="000000000000" w:firstRow="0" w:lastRow="0" w:firstColumn="0" w:lastColumn="0" w:oddVBand="0" w:evenVBand="0" w:oddHBand="0" w:evenHBand="0" w:firstRowFirstColumn="0" w:firstRowLastColumn="0" w:lastRowFirstColumn="0" w:lastRowLastColumn="0"/>
            </w:pPr>
            <w:r>
              <w:t xml:space="preserve">Portfolio ministers are responsible for commitment to the Whole of Government gender equality strategy, and contribute to the enabling environment, by: </w:t>
            </w:r>
          </w:p>
          <w:p w14:paraId="5F67AFF4" w14:textId="3D3D2BCF" w:rsidR="00E056E2" w:rsidRPr="004C1AE9" w:rsidRDefault="00E056E2" w:rsidP="00C12F9D">
            <w:pPr>
              <w:pStyle w:val="Bullet1"/>
              <w:ind w:left="357" w:hanging="357"/>
              <w:cnfStyle w:val="000000000000" w:firstRow="0" w:lastRow="0" w:firstColumn="0" w:lastColumn="0" w:oddVBand="0" w:evenVBand="0" w:oddHBand="0" w:evenHBand="0" w:firstRowFirstColumn="0" w:firstRowLastColumn="0" w:lastRowFirstColumn="0" w:lastRowLastColumn="0"/>
            </w:pPr>
            <w:r>
              <w:t>endorsing departmental budget submissions and ensuring departments consider gender equality, and other intersecting areas of potential inequality, in policy design and funding proposals</w:t>
            </w:r>
          </w:p>
          <w:p w14:paraId="27D6184E" w14:textId="01127C74" w:rsidR="00E056E2" w:rsidRDefault="00E056E2" w:rsidP="00C12F9D">
            <w:pPr>
              <w:pStyle w:val="Bullet1"/>
              <w:ind w:left="357" w:hanging="357"/>
              <w:cnfStyle w:val="000000000000" w:firstRow="0" w:lastRow="0" w:firstColumn="0" w:lastColumn="0" w:oddVBand="0" w:evenVBand="0" w:oddHBand="0" w:evenHBand="0" w:firstRowFirstColumn="0" w:firstRowLastColumn="0" w:lastRowFirstColumn="0" w:lastRowLastColumn="0"/>
            </w:pPr>
            <w:r>
              <w:t>enabling their departments and entities to comply with legislative requirements of the GE Act</w:t>
            </w:r>
          </w:p>
          <w:p w14:paraId="5539764E" w14:textId="38C02966" w:rsidR="00E056E2" w:rsidRPr="00916474" w:rsidRDefault="00E056E2" w:rsidP="00916474">
            <w:pPr>
              <w:pStyle w:val="Bullet1"/>
              <w:ind w:left="357" w:hanging="357"/>
              <w:cnfStyle w:val="000000000000" w:firstRow="0" w:lastRow="0" w:firstColumn="0" w:lastColumn="0" w:oddVBand="0" w:evenVBand="0" w:oddHBand="0" w:evenHBand="0" w:firstRowFirstColumn="0" w:firstRowLastColumn="0" w:lastRowFirstColumn="0" w:lastRowLastColumn="0"/>
            </w:pPr>
            <w:r w:rsidRPr="00C12F9D">
              <w:rPr>
                <w:rFonts w:eastAsiaTheme="minorHAnsi"/>
              </w:rPr>
              <w:t>ensuring that their own portfolio policies incorporate considerations of how they contribute to the Government’s gender equality goals.</w:t>
            </w:r>
          </w:p>
        </w:tc>
      </w:tr>
    </w:tbl>
    <w:p w14:paraId="1EE34669" w14:textId="3A39E7FB" w:rsidR="003E4A07" w:rsidRDefault="003E4A07" w:rsidP="00F051C9">
      <w:pPr>
        <w:pStyle w:val="Captionindent"/>
        <w:ind w:left="0"/>
      </w:pPr>
      <w:r>
        <w:lastRenderedPageBreak/>
        <w:t>Table 2: Victorian Public Sector (VPS) roles and responsibilities relating to GRB</w:t>
      </w:r>
    </w:p>
    <w:tbl>
      <w:tblPr>
        <w:tblStyle w:val="DTFtexttable"/>
        <w:tblW w:w="5000" w:type="pct"/>
        <w:tblLook w:val="06A0" w:firstRow="1" w:lastRow="0" w:firstColumn="1" w:lastColumn="0" w:noHBand="1" w:noVBand="1"/>
      </w:tblPr>
      <w:tblGrid>
        <w:gridCol w:w="1814"/>
        <w:gridCol w:w="6510"/>
        <w:gridCol w:w="702"/>
      </w:tblGrid>
      <w:tr w:rsidR="003E4A07" w14:paraId="29D3DA68" w14:textId="77777777" w:rsidTr="00AD23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5" w:type="pct"/>
          </w:tcPr>
          <w:p w14:paraId="1010E81D" w14:textId="77777777" w:rsidR="003E4A07" w:rsidRDefault="003E4A07" w:rsidP="00AD23D8">
            <w:r>
              <w:t>Actor</w:t>
            </w:r>
          </w:p>
        </w:tc>
        <w:tc>
          <w:tcPr>
            <w:tcW w:w="3995" w:type="pct"/>
            <w:gridSpan w:val="2"/>
          </w:tcPr>
          <w:p w14:paraId="73A55C53" w14:textId="77777777" w:rsidR="003E4A07" w:rsidRDefault="003E4A07" w:rsidP="00AD23D8">
            <w:pPr>
              <w:cnfStyle w:val="100000000000" w:firstRow="1" w:lastRow="0" w:firstColumn="0" w:lastColumn="0" w:oddVBand="0" w:evenVBand="0" w:oddHBand="0" w:evenHBand="0" w:firstRowFirstColumn="0" w:firstRowLastColumn="0" w:lastRowFirstColumn="0" w:lastRowLastColumn="0"/>
            </w:pPr>
            <w:r>
              <w:rPr>
                <w:iCs/>
              </w:rPr>
              <w:t xml:space="preserve">Responsibilities </w:t>
            </w:r>
          </w:p>
        </w:tc>
      </w:tr>
      <w:tr w:rsidR="003E4A07" w14:paraId="3969D50E" w14:textId="77777777" w:rsidTr="00AD23D8">
        <w:tc>
          <w:tcPr>
            <w:cnfStyle w:val="001000000000" w:firstRow="0" w:lastRow="0" w:firstColumn="1" w:lastColumn="0" w:oddVBand="0" w:evenVBand="0" w:oddHBand="0" w:evenHBand="0" w:firstRowFirstColumn="0" w:firstRowLastColumn="0" w:lastRowFirstColumn="0" w:lastRowLastColumn="0"/>
            <w:tcW w:w="1005" w:type="pct"/>
          </w:tcPr>
          <w:p w14:paraId="3F6EA42B" w14:textId="77777777" w:rsidR="003E4A07" w:rsidRDefault="003E4A07" w:rsidP="00AD23D8">
            <w:r>
              <w:t>Department of Premier and Cabinet (DPC)</w:t>
            </w:r>
          </w:p>
        </w:tc>
        <w:tc>
          <w:tcPr>
            <w:tcW w:w="3995" w:type="pct"/>
            <w:gridSpan w:val="2"/>
          </w:tcPr>
          <w:p w14:paraId="77F010A2" w14:textId="77777777" w:rsidR="001334C4" w:rsidRDefault="001334C4" w:rsidP="00AD23D8">
            <w:pPr>
              <w:cnfStyle w:val="000000000000" w:firstRow="0" w:lastRow="0" w:firstColumn="0" w:lastColumn="0" w:oddVBand="0" w:evenVBand="0" w:oddHBand="0" w:evenHBand="0" w:firstRowFirstColumn="0" w:firstRowLastColumn="0" w:lastRowFirstColumn="0" w:lastRowLastColumn="0"/>
            </w:pPr>
            <w:r>
              <w:t xml:space="preserve">As the First Minister’s Department, </w:t>
            </w:r>
            <w:r w:rsidR="003E4A07">
              <w:t>DPC</w:t>
            </w:r>
            <w:r>
              <w:t>:</w:t>
            </w:r>
          </w:p>
          <w:p w14:paraId="761AC454" w14:textId="77777777" w:rsidR="001334C4" w:rsidRDefault="003E4A07" w:rsidP="001334C4">
            <w:pPr>
              <w:pStyle w:val="Bullet1"/>
              <w:cnfStyle w:val="000000000000" w:firstRow="0" w:lastRow="0" w:firstColumn="0" w:lastColumn="0" w:oddVBand="0" w:evenVBand="0" w:oddHBand="0" w:evenHBand="0" w:firstRowFirstColumn="0" w:firstRowLastColumn="0" w:lastRowFirstColumn="0" w:lastRowLastColumn="0"/>
            </w:pPr>
            <w:r>
              <w:t>advi</w:t>
            </w:r>
            <w:r w:rsidR="001334C4">
              <w:t>ses</w:t>
            </w:r>
            <w:r>
              <w:t xml:space="preserve"> the Premier</w:t>
            </w:r>
            <w:r w:rsidR="00FD6FE7">
              <w:t xml:space="preserve"> </w:t>
            </w:r>
            <w:r w:rsidR="001334C4">
              <w:t>on budget policies and processes including high-level communication of issues, priorities and processes in relation to GRB</w:t>
            </w:r>
          </w:p>
          <w:p w14:paraId="5E76C6EF" w14:textId="77777777" w:rsidR="001334C4" w:rsidRDefault="001334C4" w:rsidP="001334C4">
            <w:pPr>
              <w:pStyle w:val="Bullet1"/>
              <w:cnfStyle w:val="000000000000" w:firstRow="0" w:lastRow="0" w:firstColumn="0" w:lastColumn="0" w:oddVBand="0" w:evenVBand="0" w:oddHBand="0" w:evenHBand="0" w:firstRowFirstColumn="0" w:firstRowLastColumn="0" w:lastRowFirstColumn="0" w:lastRowLastColumn="0"/>
            </w:pPr>
            <w:r>
              <w:t>advises the Premier on resource allocation decisions and all financial and performance management related decisions</w:t>
            </w:r>
          </w:p>
          <w:p w14:paraId="1BCA429A" w14:textId="5C398DE1" w:rsidR="003E4A07" w:rsidRDefault="001334C4" w:rsidP="001334C4">
            <w:pPr>
              <w:pStyle w:val="Bullet1"/>
              <w:cnfStyle w:val="000000000000" w:firstRow="0" w:lastRow="0" w:firstColumn="0" w:lastColumn="0" w:oddVBand="0" w:evenVBand="0" w:oddHBand="0" w:evenHBand="0" w:firstRowFirstColumn="0" w:firstRowLastColumn="0" w:lastRowFirstColumn="0" w:lastRowLastColumn="0"/>
            </w:pPr>
            <w:r>
              <w:t>with DTF, supports Departments and their portfolio agencies on the budget process requirements, including GRB</w:t>
            </w:r>
            <w:r w:rsidR="003E4A07">
              <w:t xml:space="preserve">. </w:t>
            </w:r>
          </w:p>
        </w:tc>
      </w:tr>
      <w:tr w:rsidR="003E4A07" w14:paraId="70845904" w14:textId="77777777" w:rsidTr="00AD23D8">
        <w:tc>
          <w:tcPr>
            <w:cnfStyle w:val="001000000000" w:firstRow="0" w:lastRow="0" w:firstColumn="1" w:lastColumn="0" w:oddVBand="0" w:evenVBand="0" w:oddHBand="0" w:evenHBand="0" w:firstRowFirstColumn="0" w:firstRowLastColumn="0" w:lastRowFirstColumn="0" w:lastRowLastColumn="0"/>
            <w:tcW w:w="1005" w:type="pct"/>
          </w:tcPr>
          <w:p w14:paraId="2C1F3C06" w14:textId="77777777" w:rsidR="003E4A07" w:rsidRDefault="003E4A07" w:rsidP="00AD23D8">
            <w:r>
              <w:t>Department of Treasury and Finance (DTF)</w:t>
            </w:r>
          </w:p>
        </w:tc>
        <w:tc>
          <w:tcPr>
            <w:tcW w:w="3995" w:type="pct"/>
            <w:gridSpan w:val="2"/>
          </w:tcPr>
          <w:p w14:paraId="454E8606" w14:textId="77777777" w:rsidR="003E4A07" w:rsidRDefault="003E4A07" w:rsidP="00AD23D8">
            <w:pPr>
              <w:cnfStyle w:val="000000000000" w:firstRow="0" w:lastRow="0" w:firstColumn="0" w:lastColumn="0" w:oddVBand="0" w:evenVBand="0" w:oddHBand="0" w:evenHBand="0" w:firstRowFirstColumn="0" w:firstRowLastColumn="0" w:lastRowFirstColumn="0" w:lastRowLastColumn="0"/>
            </w:pPr>
            <w:r>
              <w:t xml:space="preserve">As the lead agency for the budget process DTF: </w:t>
            </w:r>
          </w:p>
          <w:p w14:paraId="707877D5" w14:textId="71935BAA" w:rsidR="003E4A07" w:rsidRDefault="003E4A07" w:rsidP="00AD23D8">
            <w:pPr>
              <w:pStyle w:val="Bullet1"/>
              <w:ind w:left="357" w:hanging="357"/>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rPr>
              <w:t>a</w:t>
            </w:r>
            <w:r w:rsidRPr="00B5420D">
              <w:rPr>
                <w:rFonts w:eastAsiaTheme="minorHAnsi"/>
              </w:rPr>
              <w:t xml:space="preserve">dvises the Treasurer on budget policies and processes </w:t>
            </w:r>
            <w:r w:rsidR="00647A77">
              <w:rPr>
                <w:rFonts w:eastAsiaTheme="minorHAnsi"/>
              </w:rPr>
              <w:t xml:space="preserve">including </w:t>
            </w:r>
            <w:r w:rsidR="00647A77">
              <w:t>high-level communication of issues, priorities and processes in relation to GRB</w:t>
            </w:r>
          </w:p>
          <w:p w14:paraId="589A168C" w14:textId="77777777" w:rsidR="003E4A07" w:rsidRPr="00C12F9D" w:rsidRDefault="003E4A07" w:rsidP="00AD23D8">
            <w:pPr>
              <w:pStyle w:val="Bullet1"/>
              <w:ind w:left="357" w:hanging="357"/>
              <w:cnfStyle w:val="000000000000" w:firstRow="0" w:lastRow="0" w:firstColumn="0" w:lastColumn="0" w:oddVBand="0" w:evenVBand="0" w:oddHBand="0" w:evenHBand="0" w:firstRowFirstColumn="0" w:firstRowLastColumn="0" w:lastRowFirstColumn="0" w:lastRowLastColumn="0"/>
              <w:rPr>
                <w:rFonts w:eastAsiaTheme="minorHAnsi"/>
              </w:rPr>
            </w:pPr>
            <w:r>
              <w:t>advises the Treasurer and the Assistant Treasurer on resource allocation decisions and all financial and performance management related decisions</w:t>
            </w:r>
          </w:p>
          <w:p w14:paraId="2A5FCF8E" w14:textId="77777777" w:rsidR="003E4A07" w:rsidRDefault="003E4A07" w:rsidP="00AD23D8">
            <w:pPr>
              <w:pStyle w:val="Bullet1"/>
              <w:ind w:left="357" w:hanging="357"/>
              <w:cnfStyle w:val="000000000000" w:firstRow="0" w:lastRow="0" w:firstColumn="0" w:lastColumn="0" w:oddVBand="0" w:evenVBand="0" w:oddHBand="0" w:evenHBand="0" w:firstRowFirstColumn="0" w:firstRowLastColumn="0" w:lastRowFirstColumn="0" w:lastRowLastColumn="0"/>
              <w:rPr>
                <w:rFonts w:eastAsiaTheme="minorHAnsi"/>
              </w:rPr>
            </w:pPr>
            <w:r>
              <w:t>supports the Treasurer in drafting the budget papers, including the Gender Equality Budget Statement</w:t>
            </w:r>
          </w:p>
          <w:p w14:paraId="3EB63E64" w14:textId="5E6483F1" w:rsidR="003E4A07" w:rsidRPr="00144BB0" w:rsidRDefault="003E4A07" w:rsidP="002A5C65">
            <w:pPr>
              <w:pStyle w:val="Bullet1"/>
              <w:ind w:left="357" w:hanging="357"/>
              <w:cnfStyle w:val="000000000000" w:firstRow="0" w:lastRow="0" w:firstColumn="0" w:lastColumn="0" w:oddVBand="0" w:evenVBand="0" w:oddHBand="0" w:evenHBand="0" w:firstRowFirstColumn="0" w:firstRowLastColumn="0" w:lastRowFirstColumn="0" w:lastRowLastColumn="0"/>
            </w:pPr>
            <w:r>
              <w:rPr>
                <w:rFonts w:eastAsiaTheme="minorHAnsi"/>
              </w:rPr>
              <w:t>s</w:t>
            </w:r>
            <w:r w:rsidRPr="00B5420D">
              <w:rPr>
                <w:rFonts w:eastAsiaTheme="minorHAnsi"/>
              </w:rPr>
              <w:t>upport</w:t>
            </w:r>
            <w:r>
              <w:rPr>
                <w:rFonts w:eastAsiaTheme="minorHAnsi"/>
              </w:rPr>
              <w:t xml:space="preserve">s </w:t>
            </w:r>
            <w:r w:rsidR="00FB0DD7">
              <w:rPr>
                <w:rFonts w:eastAsiaTheme="minorHAnsi"/>
              </w:rPr>
              <w:t>D</w:t>
            </w:r>
            <w:r w:rsidRPr="00B5420D">
              <w:rPr>
                <w:rFonts w:eastAsiaTheme="minorHAnsi"/>
              </w:rPr>
              <w:t xml:space="preserve">epartments </w:t>
            </w:r>
            <w:r w:rsidR="00FB0DD7" w:rsidRPr="00683D57">
              <w:t xml:space="preserve">and their portfolio agencies </w:t>
            </w:r>
            <w:r w:rsidRPr="00B5420D">
              <w:rPr>
                <w:rFonts w:eastAsiaTheme="minorHAnsi"/>
              </w:rPr>
              <w:t>on the budget process requirements</w:t>
            </w:r>
            <w:r w:rsidR="00FB0DD7">
              <w:rPr>
                <w:rFonts w:eastAsiaTheme="minorHAnsi"/>
              </w:rPr>
              <w:t xml:space="preserve">, </w:t>
            </w:r>
            <w:r w:rsidR="00683D57" w:rsidRPr="0075029F">
              <w:t xml:space="preserve">including </w:t>
            </w:r>
            <w:r w:rsidRPr="00FB0DD7">
              <w:t>GRB.</w:t>
            </w:r>
          </w:p>
        </w:tc>
      </w:tr>
      <w:tr w:rsidR="003E4A07" w14:paraId="51DDA69C" w14:textId="77777777" w:rsidTr="00AD23D8">
        <w:tc>
          <w:tcPr>
            <w:cnfStyle w:val="001000000000" w:firstRow="0" w:lastRow="0" w:firstColumn="1" w:lastColumn="0" w:oddVBand="0" w:evenVBand="0" w:oddHBand="0" w:evenHBand="0" w:firstRowFirstColumn="0" w:firstRowLastColumn="0" w:lastRowFirstColumn="0" w:lastRowLastColumn="0"/>
            <w:tcW w:w="1005" w:type="pct"/>
          </w:tcPr>
          <w:p w14:paraId="2057F4BA" w14:textId="77777777" w:rsidR="003E4A07" w:rsidRDefault="003E4A07" w:rsidP="00AD23D8">
            <w:r>
              <w:t>Other Departments</w:t>
            </w:r>
          </w:p>
        </w:tc>
        <w:tc>
          <w:tcPr>
            <w:tcW w:w="3995" w:type="pct"/>
            <w:gridSpan w:val="2"/>
          </w:tcPr>
          <w:p w14:paraId="69544A3A" w14:textId="4264F22E" w:rsidR="003E4A07" w:rsidRDefault="00FB0DD7" w:rsidP="00AD23D8">
            <w:pPr>
              <w:cnfStyle w:val="000000000000" w:firstRow="0" w:lastRow="0" w:firstColumn="0" w:lastColumn="0" w:oddVBand="0" w:evenVBand="0" w:oddHBand="0" w:evenHBand="0" w:firstRowFirstColumn="0" w:firstRowLastColumn="0" w:lastRowFirstColumn="0" w:lastRowLastColumn="0"/>
            </w:pPr>
            <w:r>
              <w:t>Departments</w:t>
            </w:r>
            <w:r w:rsidR="00A307AF">
              <w:t>’</w:t>
            </w:r>
            <w:r>
              <w:t xml:space="preserve"> </w:t>
            </w:r>
            <w:r w:rsidR="003E4A07">
              <w:t xml:space="preserve">key responsibilities </w:t>
            </w:r>
            <w:r>
              <w:t xml:space="preserve">related to GRB </w:t>
            </w:r>
            <w:r w:rsidR="003E4A07">
              <w:t xml:space="preserve">are: </w:t>
            </w:r>
          </w:p>
          <w:p w14:paraId="61B077EC" w14:textId="25DB7492" w:rsidR="003E4A07" w:rsidRDefault="005E57E3" w:rsidP="00AD23D8">
            <w:pPr>
              <w:pStyle w:val="Bullet1"/>
              <w:cnfStyle w:val="000000000000" w:firstRow="0" w:lastRow="0" w:firstColumn="0" w:lastColumn="0" w:oddVBand="0" w:evenVBand="0" w:oddHBand="0" w:evenHBand="0" w:firstRowFirstColumn="0" w:firstRowLastColumn="0" w:lastRowFirstColumn="0" w:lastRowLastColumn="0"/>
            </w:pPr>
            <w:r>
              <w:t xml:space="preserve">supporting </w:t>
            </w:r>
            <w:r w:rsidR="00FD6FE7">
              <w:t>their Ministers</w:t>
            </w:r>
            <w:r w:rsidR="003E4A07">
              <w:t xml:space="preserve"> </w:t>
            </w:r>
            <w:r w:rsidR="00A307AF">
              <w:t xml:space="preserve">and relevant </w:t>
            </w:r>
            <w:r>
              <w:t xml:space="preserve">portfolio </w:t>
            </w:r>
            <w:r w:rsidR="00A307AF">
              <w:t xml:space="preserve">agency staff </w:t>
            </w:r>
            <w:r>
              <w:t>in relation to</w:t>
            </w:r>
            <w:r w:rsidR="003E4A07">
              <w:t xml:space="preserve"> key GRB </w:t>
            </w:r>
            <w:r w:rsidR="00FB0DD7">
              <w:t xml:space="preserve">principles, </w:t>
            </w:r>
            <w:r w:rsidR="003E4A07">
              <w:t>requirements and expectations, as advised by DTF and DPC</w:t>
            </w:r>
          </w:p>
          <w:p w14:paraId="289271F6" w14:textId="2704E002" w:rsidR="003E4A07" w:rsidRDefault="005E57E3" w:rsidP="00AD23D8">
            <w:pPr>
              <w:pStyle w:val="Bullet1"/>
              <w:cnfStyle w:val="000000000000" w:firstRow="0" w:lastRow="0" w:firstColumn="0" w:lastColumn="0" w:oddVBand="0" w:evenVBand="0" w:oddHBand="0" w:evenHBand="0" w:firstRowFirstColumn="0" w:firstRowLastColumn="0" w:lastRowFirstColumn="0" w:lastRowLastColumn="0"/>
            </w:pPr>
            <w:r>
              <w:t>incorporating</w:t>
            </w:r>
            <w:r w:rsidR="003E4A07">
              <w:t xml:space="preserve"> GRB considerations into Departmental briefings and advice</w:t>
            </w:r>
            <w:r w:rsidR="00A307AF">
              <w:t xml:space="preserve"> to Ministers</w:t>
            </w:r>
          </w:p>
          <w:p w14:paraId="31D19F6B" w14:textId="4C64C0AA" w:rsidR="003E4A07" w:rsidRPr="00F04A43" w:rsidRDefault="00A307AF" w:rsidP="0075029F">
            <w:pPr>
              <w:pStyle w:val="Bullet1"/>
              <w:cnfStyle w:val="000000000000" w:firstRow="0" w:lastRow="0" w:firstColumn="0" w:lastColumn="0" w:oddVBand="0" w:evenVBand="0" w:oddHBand="0" w:evenHBand="0" w:firstRowFirstColumn="0" w:firstRowLastColumn="0" w:lastRowFirstColumn="0" w:lastRowLastColumn="0"/>
            </w:pPr>
            <w:r>
              <w:t>follow DTF stipulated GRB requirements for the budget process</w:t>
            </w:r>
            <w:r w:rsidR="00F04A43">
              <w:t>.</w:t>
            </w:r>
          </w:p>
        </w:tc>
      </w:tr>
      <w:tr w:rsidR="003E4A07" w14:paraId="29BF2960" w14:textId="77777777" w:rsidTr="00AD23D8">
        <w:trPr>
          <w:gridAfter w:val="1"/>
          <w:wAfter w:w="389" w:type="pct"/>
        </w:trPr>
        <w:tc>
          <w:tcPr>
            <w:cnfStyle w:val="001000000000" w:firstRow="0" w:lastRow="0" w:firstColumn="1" w:lastColumn="0" w:oddVBand="0" w:evenVBand="0" w:oddHBand="0" w:evenHBand="0" w:firstRowFirstColumn="0" w:firstRowLastColumn="0" w:lastRowFirstColumn="0" w:lastRowLastColumn="0"/>
            <w:tcW w:w="1005" w:type="pct"/>
          </w:tcPr>
          <w:p w14:paraId="3F4D873D" w14:textId="66AB4C29" w:rsidR="003E4A07" w:rsidRDefault="003E4A07" w:rsidP="00AD23D8">
            <w:r>
              <w:t xml:space="preserve">Commission for Gender Equality in the Public Sector </w:t>
            </w:r>
            <w:r w:rsidR="005E57E3">
              <w:t>(CGEPS)</w:t>
            </w:r>
          </w:p>
        </w:tc>
        <w:tc>
          <w:tcPr>
            <w:tcW w:w="3606" w:type="pct"/>
          </w:tcPr>
          <w:p w14:paraId="1C49FD76" w14:textId="6F13CFE4" w:rsidR="003E4A07" w:rsidRDefault="003E4A07" w:rsidP="00AD23D8">
            <w:pPr>
              <w:cnfStyle w:val="000000000000" w:firstRow="0" w:lastRow="0" w:firstColumn="0" w:lastColumn="0" w:oddVBand="0" w:evenVBand="0" w:oddHBand="0" w:evenHBand="0" w:firstRowFirstColumn="0" w:firstRowLastColumn="0" w:lastRowFirstColumn="0" w:lastRowLastColumn="0"/>
            </w:pPr>
            <w:r>
              <w:t>CGEPS is responsible for administration of the GE Act</w:t>
            </w:r>
            <w:r w:rsidR="005E57E3">
              <w:t>,</w:t>
            </w:r>
            <w:r>
              <w:t xml:space="preserve"> includ</w:t>
            </w:r>
            <w:r w:rsidR="005E57E3">
              <w:t>ing</w:t>
            </w:r>
            <w:r>
              <w:t xml:space="preserve"> the requirements for gender impact assessments which are a key building block of the implementation of GRB. </w:t>
            </w:r>
          </w:p>
          <w:p w14:paraId="153EEAB7" w14:textId="75844601" w:rsidR="003E4A07" w:rsidRDefault="003E4A07" w:rsidP="00AD23D8">
            <w:pPr>
              <w:cnfStyle w:val="000000000000" w:firstRow="0" w:lastRow="0" w:firstColumn="0" w:lastColumn="0" w:oddVBand="0" w:evenVBand="0" w:oddHBand="0" w:evenHBand="0" w:firstRowFirstColumn="0" w:firstRowLastColumn="0" w:lastRowFirstColumn="0" w:lastRowLastColumn="0"/>
            </w:pPr>
            <w:r>
              <w:t xml:space="preserve">CGEPS is responsible for public sector-wide reporting processes and for the provision of the operational tools that support GRB (toolkits and best practice guidelines) for Gender Impact Assessments across the public sector (for all defined entities). </w:t>
            </w:r>
          </w:p>
        </w:tc>
      </w:tr>
      <w:tr w:rsidR="003E4A07" w14:paraId="59ABF316" w14:textId="77777777" w:rsidTr="00AD23D8">
        <w:trPr>
          <w:gridAfter w:val="1"/>
          <w:wAfter w:w="389" w:type="pct"/>
        </w:trPr>
        <w:tc>
          <w:tcPr>
            <w:cnfStyle w:val="001000000000" w:firstRow="0" w:lastRow="0" w:firstColumn="1" w:lastColumn="0" w:oddVBand="0" w:evenVBand="0" w:oddHBand="0" w:evenHBand="0" w:firstRowFirstColumn="0" w:firstRowLastColumn="0" w:lastRowFirstColumn="0" w:lastRowLastColumn="0"/>
            <w:tcW w:w="1005" w:type="pct"/>
          </w:tcPr>
          <w:p w14:paraId="25A318E0" w14:textId="77777777" w:rsidR="003E4A07" w:rsidRDefault="003E4A07" w:rsidP="00AD23D8">
            <w:r>
              <w:t>Office for Women in DFFH</w:t>
            </w:r>
          </w:p>
        </w:tc>
        <w:tc>
          <w:tcPr>
            <w:tcW w:w="3606" w:type="pct"/>
          </w:tcPr>
          <w:p w14:paraId="38E25176" w14:textId="550B6E2A" w:rsidR="003E4A07" w:rsidRDefault="003E4A07" w:rsidP="000D065B">
            <w:pPr>
              <w:cnfStyle w:val="000000000000" w:firstRow="0" w:lastRow="0" w:firstColumn="0" w:lastColumn="0" w:oddVBand="0" w:evenVBand="0" w:oddHBand="0" w:evenHBand="0" w:firstRowFirstColumn="0" w:firstRowLastColumn="0" w:lastRowFirstColumn="0" w:lastRowLastColumn="0"/>
            </w:pPr>
            <w:r>
              <w:t xml:space="preserve">The Office for Women (OFW) </w:t>
            </w:r>
            <w:r w:rsidR="003542B1">
              <w:t xml:space="preserve">provide gender </w:t>
            </w:r>
            <w:r w:rsidR="003542B1" w:rsidRPr="00C12F9D">
              <w:t>policy expertise</w:t>
            </w:r>
            <w:r w:rsidR="003542B1">
              <w:t xml:space="preserve"> across government</w:t>
            </w:r>
            <w:r w:rsidR="003542B1" w:rsidRPr="00C12F9D">
              <w:t xml:space="preserve"> and support </w:t>
            </w:r>
            <w:r w:rsidR="003542B1">
              <w:t xml:space="preserve">gender equality </w:t>
            </w:r>
            <w:r w:rsidR="003542B1" w:rsidRPr="00C12F9D">
              <w:t>work</w:t>
            </w:r>
            <w:r w:rsidR="003542B1">
              <w:t xml:space="preserve"> that intersects with GRB</w:t>
            </w:r>
            <w:r>
              <w:t xml:space="preserve">, by: </w:t>
            </w:r>
          </w:p>
          <w:p w14:paraId="5D5BE452" w14:textId="178EDEFB" w:rsidR="003E4A07" w:rsidRPr="00AF35EE" w:rsidRDefault="003E4A07" w:rsidP="00AD23D8">
            <w:pPr>
              <w:pStyle w:val="Bullet1"/>
              <w:cnfStyle w:val="000000000000" w:firstRow="0" w:lastRow="0" w:firstColumn="0" w:lastColumn="0" w:oddVBand="0" w:evenVBand="0" w:oddHBand="0" w:evenHBand="0" w:firstRowFirstColumn="0" w:firstRowLastColumn="0" w:lastRowFirstColumn="0" w:lastRowLastColumn="0"/>
            </w:pPr>
            <w:r w:rsidRPr="00AF35EE">
              <w:t>providing gender equality policy advice to the Minister for Women</w:t>
            </w:r>
          </w:p>
          <w:p w14:paraId="2953106E" w14:textId="77777777" w:rsidR="003E4A07" w:rsidRDefault="003E4A07" w:rsidP="00AD23D8">
            <w:pPr>
              <w:pStyle w:val="Bullet1"/>
              <w:cnfStyle w:val="000000000000" w:firstRow="0" w:lastRow="0" w:firstColumn="0" w:lastColumn="0" w:oddVBand="0" w:evenVBand="0" w:oddHBand="0" w:evenHBand="0" w:firstRowFirstColumn="0" w:firstRowLastColumn="0" w:lastRowFirstColumn="0" w:lastRowLastColumn="0"/>
            </w:pPr>
            <w:r w:rsidRPr="00AF35EE">
              <w:t>drafting the Whole of Victorian Government gender equality strategy</w:t>
            </w:r>
            <w:r>
              <w:t xml:space="preserve"> and tracking progress toward gender equality </w:t>
            </w:r>
          </w:p>
          <w:p w14:paraId="2D48B747" w14:textId="019A20E3" w:rsidR="003E4A07" w:rsidRPr="003542B1" w:rsidRDefault="003E4A07" w:rsidP="0075029F">
            <w:pPr>
              <w:pStyle w:val="Bullet1"/>
              <w:cnfStyle w:val="000000000000" w:firstRow="0" w:lastRow="0" w:firstColumn="0" w:lastColumn="0" w:oddVBand="0" w:evenVBand="0" w:oddHBand="0" w:evenHBand="0" w:firstRowFirstColumn="0" w:firstRowLastColumn="0" w:lastRowFirstColumn="0" w:lastRowLastColumn="0"/>
              <w:rPr>
                <w:rFonts w:eastAsiaTheme="minorHAnsi"/>
              </w:rPr>
            </w:pPr>
            <w:r w:rsidRPr="00C12F9D">
              <w:rPr>
                <w:rFonts w:eastAsiaTheme="minorHAnsi"/>
              </w:rPr>
              <w:t xml:space="preserve">supporting the incorporation GRB and gender equality considerations in analysis and briefings </w:t>
            </w:r>
            <w:r w:rsidR="000D065B">
              <w:rPr>
                <w:rFonts w:eastAsiaTheme="minorHAnsi"/>
              </w:rPr>
              <w:t xml:space="preserve">to </w:t>
            </w:r>
            <w:r w:rsidRPr="00C12F9D">
              <w:rPr>
                <w:rFonts w:eastAsiaTheme="minorHAnsi"/>
              </w:rPr>
              <w:t>the Minister for Women and Cabinet/ERC on women’s policy and gender equality</w:t>
            </w:r>
            <w:r w:rsidR="003542B1">
              <w:rPr>
                <w:rFonts w:eastAsiaTheme="minorHAnsi"/>
              </w:rPr>
              <w:t xml:space="preserve">. </w:t>
            </w:r>
          </w:p>
        </w:tc>
      </w:tr>
    </w:tbl>
    <w:p w14:paraId="3236923F" w14:textId="3A213F7E" w:rsidR="00E056E2" w:rsidRPr="00E91285" w:rsidRDefault="0075029F" w:rsidP="00E056E2">
      <w:r w:rsidRPr="00E91285">
        <w:t xml:space="preserve">All departments are </w:t>
      </w:r>
      <w:r w:rsidR="005E57E3" w:rsidRPr="00E91285">
        <w:t>required to comply with the requirements of the GE Act and to understand Gender Impact Assessments that specifically enable GRB.</w:t>
      </w:r>
    </w:p>
    <w:p w14:paraId="706865D2" w14:textId="77777777" w:rsidR="00467384" w:rsidRPr="00467384" w:rsidRDefault="00467384" w:rsidP="00C32D23">
      <w:pPr>
        <w:rPr>
          <w:iCs/>
          <w:color w:val="3A3467" w:themeColor="text2"/>
          <w:sz w:val="18"/>
          <w:szCs w:val="18"/>
        </w:rPr>
      </w:pPr>
    </w:p>
    <w:sectPr w:rsidR="00467384" w:rsidRPr="00467384" w:rsidSect="002D25C2">
      <w:headerReference w:type="even" r:id="rId10"/>
      <w:headerReference w:type="default" r:id="rId11"/>
      <w:footerReference w:type="even" r:id="rId12"/>
      <w:footerReference w:type="default" r:id="rId13"/>
      <w:headerReference w:type="first" r:id="rId14"/>
      <w:footerReference w:type="first" r:id="rId15"/>
      <w:pgSz w:w="11906" w:h="16838" w:code="9"/>
      <w:pgMar w:top="2160" w:right="1440" w:bottom="1729" w:left="1440"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89F44" w14:textId="77777777" w:rsidR="00F65908" w:rsidRDefault="00F65908" w:rsidP="002D711A">
      <w:pPr>
        <w:spacing w:after="0" w:line="240" w:lineRule="auto"/>
      </w:pPr>
      <w:r>
        <w:separator/>
      </w:r>
    </w:p>
  </w:endnote>
  <w:endnote w:type="continuationSeparator" w:id="0">
    <w:p w14:paraId="2BDD87C7" w14:textId="77777777" w:rsidR="00F65908" w:rsidRDefault="00F65908"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180D3" w14:textId="77777777" w:rsidR="00E056E2" w:rsidRDefault="00E056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8F6D8" w14:textId="77777777" w:rsidR="00E056E2" w:rsidRDefault="00E056E2" w:rsidP="008E49B3">
    <w:pPr>
      <w:pStyle w:val="Footer"/>
      <w:rPr>
        <w:rStyle w:val="PageNumber"/>
      </w:rPr>
    </w:pP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p w14:paraId="55F2878C" w14:textId="77777777" w:rsidR="00E056E2" w:rsidRPr="00C022F9" w:rsidRDefault="00E056E2" w:rsidP="008E49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51281" w14:textId="77777777" w:rsidR="00E056E2" w:rsidRDefault="00E05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9319E" w14:textId="77777777" w:rsidR="00F65908" w:rsidRDefault="00F65908" w:rsidP="002D711A">
      <w:pPr>
        <w:spacing w:after="0" w:line="240" w:lineRule="auto"/>
      </w:pPr>
      <w:r>
        <w:separator/>
      </w:r>
    </w:p>
  </w:footnote>
  <w:footnote w:type="continuationSeparator" w:id="0">
    <w:p w14:paraId="52CF6955" w14:textId="77777777" w:rsidR="00F65908" w:rsidRDefault="00F65908" w:rsidP="002D711A">
      <w:pPr>
        <w:spacing w:after="0" w:line="240" w:lineRule="auto"/>
      </w:pPr>
      <w:r>
        <w:continuationSeparator/>
      </w:r>
    </w:p>
  </w:footnote>
  <w:footnote w:type="continuationNotice" w:id="1">
    <w:p w14:paraId="402404D4" w14:textId="77777777" w:rsidR="00F65908" w:rsidRDefault="00F65908">
      <w:pPr>
        <w:spacing w:before="0" w:after="0" w:line="240" w:lineRule="auto"/>
      </w:pPr>
    </w:p>
  </w:footnote>
  <w:footnote w:id="2">
    <w:p w14:paraId="2DAF30DC" w14:textId="1326FB10" w:rsidR="00662B81" w:rsidRDefault="00662B81">
      <w:pPr>
        <w:pStyle w:val="FootnoteText"/>
      </w:pPr>
      <w:r>
        <w:rPr>
          <w:rStyle w:val="FootnoteReference"/>
        </w:rPr>
        <w:footnoteRef/>
      </w:r>
      <w:r>
        <w:t xml:space="preserve"> </w:t>
      </w:r>
      <w:r w:rsidR="00A30DC9">
        <w:rPr>
          <w:rFonts w:ascii="ArialMT" w:hAnsi="ArialMT" w:cs="ArialMT"/>
          <w:color w:val="0000FF"/>
          <w:sz w:val="18"/>
          <w:szCs w:val="18"/>
        </w:rPr>
        <w:t>paec_59-13_inquiry_into_gender_responsive_budgeting.pdf (parliament.vic.gov.au)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54224" w14:textId="77777777" w:rsidR="00E056E2" w:rsidRDefault="00E056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0D02E" w14:textId="77777777" w:rsidR="00E056E2" w:rsidRPr="0041689E" w:rsidRDefault="00E056E2">
    <w:pPr>
      <w:pStyle w:val="Header"/>
    </w:pPr>
    <w:r>
      <w:rPr>
        <w:noProof/>
      </w:rPr>
      <mc:AlternateContent>
        <mc:Choice Requires="wpg">
          <w:drawing>
            <wp:anchor distT="0" distB="0" distL="114300" distR="114300" simplePos="0" relativeHeight="251683840" behindDoc="0" locked="0" layoutInCell="1" allowOverlap="1" wp14:anchorId="7EB70787" wp14:editId="4EA8D109">
              <wp:simplePos x="0" y="0"/>
              <wp:positionH relativeFrom="page">
                <wp:align>right</wp:align>
              </wp:positionH>
              <wp:positionV relativeFrom="page">
                <wp:align>top</wp:align>
              </wp:positionV>
              <wp:extent cx="10677525" cy="978408"/>
              <wp:effectExtent l="0" t="0" r="9525" b="0"/>
              <wp:wrapNone/>
              <wp:docPr id="50440451"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77525" cy="978408"/>
                        <a:chOff x="0" y="1270"/>
                        <a:chExt cx="7598197" cy="978408"/>
                      </a:xfrm>
                    </wpg:grpSpPr>
                    <wps:wsp>
                      <wps:cNvPr id="637751364"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530213"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604375"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9468396"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0982219"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8C144A" id="Page banner" o:spid="_x0000_s1026" alt="&quot;&quot;" style="position:absolute;margin-left:789.55pt;margin-top:0;width:840.75pt;height:77.05pt;z-index:251683840;mso-position-horizontal:right;mso-position-horizontal-relative:page;mso-position-vertical:top;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66771" w14:textId="77777777" w:rsidR="00E056E2" w:rsidRDefault="00E056E2">
    <w:pPr>
      <w:pStyle w:val="Header"/>
    </w:pPr>
    <w:r>
      <w:rPr>
        <w:noProof/>
      </w:rPr>
      <mc:AlternateContent>
        <mc:Choice Requires="wpg">
          <w:drawing>
            <wp:anchor distT="0" distB="0" distL="114300" distR="114300" simplePos="0" relativeHeight="251682816" behindDoc="0" locked="0" layoutInCell="1" allowOverlap="1" wp14:anchorId="3D681E03" wp14:editId="5E542777">
              <wp:simplePos x="0" y="0"/>
              <wp:positionH relativeFrom="page">
                <wp:posOffset>0</wp:posOffset>
              </wp:positionH>
              <wp:positionV relativeFrom="page">
                <wp:posOffset>0</wp:posOffset>
              </wp:positionV>
              <wp:extent cx="7598664" cy="978408"/>
              <wp:effectExtent l="0" t="0" r="2540" b="0"/>
              <wp:wrapNone/>
              <wp:docPr id="233273755"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871433817"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6908527"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4995217"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5897886"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6373873"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BF2128" id="Page banner" o:spid="_x0000_s1026" alt="&quot;&quot;" style="position:absolute;margin-left:0;margin-top:0;width:598.3pt;height:77.05pt;z-index:251682816;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46D3A6A"/>
    <w:multiLevelType w:val="multilevel"/>
    <w:tmpl w:val="EA3CA930"/>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439760599">
    <w:abstractNumId w:val="2"/>
  </w:num>
  <w:num w:numId="2" w16cid:durableId="1132753090">
    <w:abstractNumId w:val="2"/>
  </w:num>
  <w:num w:numId="3" w16cid:durableId="783962057">
    <w:abstractNumId w:val="2"/>
  </w:num>
  <w:num w:numId="4" w16cid:durableId="1395616159">
    <w:abstractNumId w:val="5"/>
  </w:num>
  <w:num w:numId="5" w16cid:durableId="1505170117">
    <w:abstractNumId w:val="2"/>
  </w:num>
  <w:num w:numId="6" w16cid:durableId="555630298">
    <w:abstractNumId w:val="2"/>
  </w:num>
  <w:num w:numId="7" w16cid:durableId="1963920248">
    <w:abstractNumId w:val="2"/>
  </w:num>
  <w:num w:numId="8" w16cid:durableId="429086653">
    <w:abstractNumId w:val="2"/>
  </w:num>
  <w:num w:numId="9" w16cid:durableId="529415416">
    <w:abstractNumId w:val="5"/>
  </w:num>
  <w:num w:numId="10" w16cid:durableId="1441757371">
    <w:abstractNumId w:val="5"/>
  </w:num>
  <w:num w:numId="11" w16cid:durableId="2132168695">
    <w:abstractNumId w:val="5"/>
  </w:num>
  <w:num w:numId="12" w16cid:durableId="99449534">
    <w:abstractNumId w:val="5"/>
  </w:num>
  <w:num w:numId="13" w16cid:durableId="46950944">
    <w:abstractNumId w:val="5"/>
  </w:num>
  <w:num w:numId="14" w16cid:durableId="710347217">
    <w:abstractNumId w:val="5"/>
  </w:num>
  <w:num w:numId="15" w16cid:durableId="1139424165">
    <w:abstractNumId w:val="5"/>
  </w:num>
  <w:num w:numId="16" w16cid:durableId="867062164">
    <w:abstractNumId w:val="5"/>
  </w:num>
  <w:num w:numId="17" w16cid:durableId="1999115917">
    <w:abstractNumId w:val="1"/>
  </w:num>
  <w:num w:numId="18" w16cid:durableId="1184898169">
    <w:abstractNumId w:val="1"/>
  </w:num>
  <w:num w:numId="19" w16cid:durableId="689339301">
    <w:abstractNumId w:val="4"/>
  </w:num>
  <w:num w:numId="20" w16cid:durableId="1862013268">
    <w:abstractNumId w:val="3"/>
  </w:num>
  <w:num w:numId="21" w16cid:durableId="125054774">
    <w:abstractNumId w:val="0"/>
  </w:num>
  <w:num w:numId="22" w16cid:durableId="1034816705">
    <w:abstractNumId w:val="0"/>
  </w:num>
  <w:num w:numId="23" w16cid:durableId="354355399">
    <w:abstractNumId w:val="0"/>
  </w:num>
  <w:num w:numId="24" w16cid:durableId="1812599202">
    <w:abstractNumId w:val="4"/>
  </w:num>
  <w:num w:numId="25" w16cid:durableId="250237395">
    <w:abstractNumId w:val="5"/>
  </w:num>
  <w:num w:numId="26" w16cid:durableId="202444581">
    <w:abstractNumId w:val="1"/>
  </w:num>
  <w:num w:numId="27" w16cid:durableId="1657421234">
    <w:abstractNumId w:val="1"/>
  </w:num>
  <w:num w:numId="28" w16cid:durableId="817844137">
    <w:abstractNumId w:val="2"/>
  </w:num>
  <w:num w:numId="29" w16cid:durableId="1856187514">
    <w:abstractNumId w:val="2"/>
  </w:num>
  <w:num w:numId="30" w16cid:durableId="2043438545">
    <w:abstractNumId w:val="2"/>
  </w:num>
  <w:num w:numId="31" w16cid:durableId="1593202281">
    <w:abstractNumId w:val="2"/>
  </w:num>
  <w:num w:numId="32" w16cid:durableId="56248957">
    <w:abstractNumId w:val="5"/>
  </w:num>
  <w:num w:numId="33" w16cid:durableId="1498109862">
    <w:abstractNumId w:val="5"/>
  </w:num>
  <w:num w:numId="34" w16cid:durableId="98136825">
    <w:abstractNumId w:val="5"/>
  </w:num>
  <w:num w:numId="35" w16cid:durableId="1813329296">
    <w:abstractNumId w:val="5"/>
  </w:num>
  <w:num w:numId="36" w16cid:durableId="1456096521">
    <w:abstractNumId w:val="5"/>
  </w:num>
  <w:num w:numId="37" w16cid:durableId="464540368">
    <w:abstractNumId w:val="5"/>
  </w:num>
  <w:num w:numId="38" w16cid:durableId="880441602">
    <w:abstractNumId w:val="5"/>
  </w:num>
  <w:num w:numId="39" w16cid:durableId="42559561">
    <w:abstractNumId w:val="5"/>
  </w:num>
  <w:num w:numId="40" w16cid:durableId="1172722787">
    <w:abstractNumId w:val="4"/>
  </w:num>
  <w:num w:numId="41" w16cid:durableId="1734700060">
    <w:abstractNumId w:val="5"/>
  </w:num>
  <w:num w:numId="42" w16cid:durableId="1397587555">
    <w:abstractNumId w:val="1"/>
  </w:num>
  <w:num w:numId="43" w16cid:durableId="1510681575">
    <w:abstractNumId w:val="1"/>
  </w:num>
  <w:num w:numId="44" w16cid:durableId="1439369713">
    <w:abstractNumId w:val="1"/>
  </w:num>
  <w:num w:numId="45" w16cid:durableId="2040664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038"/>
    <w:rsid w:val="00012F6F"/>
    <w:rsid w:val="00014213"/>
    <w:rsid w:val="00014B55"/>
    <w:rsid w:val="00020E3E"/>
    <w:rsid w:val="00023BF3"/>
    <w:rsid w:val="00026811"/>
    <w:rsid w:val="00030708"/>
    <w:rsid w:val="00035C95"/>
    <w:rsid w:val="00035FB1"/>
    <w:rsid w:val="00043296"/>
    <w:rsid w:val="0004356D"/>
    <w:rsid w:val="00045296"/>
    <w:rsid w:val="00062828"/>
    <w:rsid w:val="00072A2A"/>
    <w:rsid w:val="00075E6C"/>
    <w:rsid w:val="00080076"/>
    <w:rsid w:val="00090171"/>
    <w:rsid w:val="000B29AD"/>
    <w:rsid w:val="000B5CFD"/>
    <w:rsid w:val="000C6372"/>
    <w:rsid w:val="000D065B"/>
    <w:rsid w:val="000D09C8"/>
    <w:rsid w:val="000D4374"/>
    <w:rsid w:val="000D593F"/>
    <w:rsid w:val="000D7AD9"/>
    <w:rsid w:val="000E392D"/>
    <w:rsid w:val="000F4288"/>
    <w:rsid w:val="000F7165"/>
    <w:rsid w:val="00102379"/>
    <w:rsid w:val="001065D6"/>
    <w:rsid w:val="001111D3"/>
    <w:rsid w:val="00121252"/>
    <w:rsid w:val="00124609"/>
    <w:rsid w:val="001254CE"/>
    <w:rsid w:val="00126AF9"/>
    <w:rsid w:val="001334C4"/>
    <w:rsid w:val="00134CEA"/>
    <w:rsid w:val="001422CC"/>
    <w:rsid w:val="00144BB0"/>
    <w:rsid w:val="0015160D"/>
    <w:rsid w:val="001617B6"/>
    <w:rsid w:val="00165E66"/>
    <w:rsid w:val="00184361"/>
    <w:rsid w:val="001A3DD1"/>
    <w:rsid w:val="001C7BAE"/>
    <w:rsid w:val="001D21DB"/>
    <w:rsid w:val="001D717E"/>
    <w:rsid w:val="001E31FA"/>
    <w:rsid w:val="001E64F6"/>
    <w:rsid w:val="00200BB3"/>
    <w:rsid w:val="00214DA8"/>
    <w:rsid w:val="00222BEB"/>
    <w:rsid w:val="00225E60"/>
    <w:rsid w:val="00227C39"/>
    <w:rsid w:val="0023202C"/>
    <w:rsid w:val="00236203"/>
    <w:rsid w:val="0024186F"/>
    <w:rsid w:val="00243A1C"/>
    <w:rsid w:val="00245043"/>
    <w:rsid w:val="002538C9"/>
    <w:rsid w:val="00257760"/>
    <w:rsid w:val="002752CC"/>
    <w:rsid w:val="002860F7"/>
    <w:rsid w:val="00292D36"/>
    <w:rsid w:val="00297281"/>
    <w:rsid w:val="002A5C65"/>
    <w:rsid w:val="002A701D"/>
    <w:rsid w:val="002B3474"/>
    <w:rsid w:val="002C54E0"/>
    <w:rsid w:val="002D25C2"/>
    <w:rsid w:val="002D2A58"/>
    <w:rsid w:val="002D711A"/>
    <w:rsid w:val="002D7336"/>
    <w:rsid w:val="002E1E62"/>
    <w:rsid w:val="002E3396"/>
    <w:rsid w:val="002E4A68"/>
    <w:rsid w:val="00310646"/>
    <w:rsid w:val="0031149C"/>
    <w:rsid w:val="00313BAD"/>
    <w:rsid w:val="00321306"/>
    <w:rsid w:val="00323571"/>
    <w:rsid w:val="00330A9A"/>
    <w:rsid w:val="00333FDF"/>
    <w:rsid w:val="00343109"/>
    <w:rsid w:val="003542B1"/>
    <w:rsid w:val="00364E75"/>
    <w:rsid w:val="0038771C"/>
    <w:rsid w:val="00392A8F"/>
    <w:rsid w:val="0039405B"/>
    <w:rsid w:val="003A1C92"/>
    <w:rsid w:val="003A541A"/>
    <w:rsid w:val="003A666E"/>
    <w:rsid w:val="003A6923"/>
    <w:rsid w:val="003C2C67"/>
    <w:rsid w:val="003C2EA2"/>
    <w:rsid w:val="003C5BA4"/>
    <w:rsid w:val="003D42D5"/>
    <w:rsid w:val="003E3E26"/>
    <w:rsid w:val="003E4A07"/>
    <w:rsid w:val="003F0914"/>
    <w:rsid w:val="003F1295"/>
    <w:rsid w:val="003F76FC"/>
    <w:rsid w:val="004002EB"/>
    <w:rsid w:val="00405C57"/>
    <w:rsid w:val="0041689E"/>
    <w:rsid w:val="004232B6"/>
    <w:rsid w:val="004236C8"/>
    <w:rsid w:val="00427681"/>
    <w:rsid w:val="00433DB7"/>
    <w:rsid w:val="00453750"/>
    <w:rsid w:val="00456941"/>
    <w:rsid w:val="004669E3"/>
    <w:rsid w:val="00466C28"/>
    <w:rsid w:val="00467384"/>
    <w:rsid w:val="004702EA"/>
    <w:rsid w:val="00481086"/>
    <w:rsid w:val="00482D02"/>
    <w:rsid w:val="004A7519"/>
    <w:rsid w:val="004B41CA"/>
    <w:rsid w:val="004C256D"/>
    <w:rsid w:val="004C409B"/>
    <w:rsid w:val="004D3518"/>
    <w:rsid w:val="004D62D6"/>
    <w:rsid w:val="004E73E1"/>
    <w:rsid w:val="004F0038"/>
    <w:rsid w:val="00503EBE"/>
    <w:rsid w:val="00505CE3"/>
    <w:rsid w:val="00522F8A"/>
    <w:rsid w:val="0053416C"/>
    <w:rsid w:val="00541C2F"/>
    <w:rsid w:val="00547E66"/>
    <w:rsid w:val="005536DE"/>
    <w:rsid w:val="00556033"/>
    <w:rsid w:val="00563522"/>
    <w:rsid w:val="00563527"/>
    <w:rsid w:val="00566ED5"/>
    <w:rsid w:val="0058124E"/>
    <w:rsid w:val="00584301"/>
    <w:rsid w:val="005875A3"/>
    <w:rsid w:val="005A3416"/>
    <w:rsid w:val="005B27FE"/>
    <w:rsid w:val="005B7F55"/>
    <w:rsid w:val="005C3E6D"/>
    <w:rsid w:val="005E57E3"/>
    <w:rsid w:val="005F331D"/>
    <w:rsid w:val="005F61DF"/>
    <w:rsid w:val="006023F9"/>
    <w:rsid w:val="00610559"/>
    <w:rsid w:val="00622557"/>
    <w:rsid w:val="006332F6"/>
    <w:rsid w:val="006361E7"/>
    <w:rsid w:val="00641096"/>
    <w:rsid w:val="00647A77"/>
    <w:rsid w:val="00652625"/>
    <w:rsid w:val="006534B2"/>
    <w:rsid w:val="0065615D"/>
    <w:rsid w:val="00657011"/>
    <w:rsid w:val="00662B81"/>
    <w:rsid w:val="006650B5"/>
    <w:rsid w:val="006651B1"/>
    <w:rsid w:val="00665778"/>
    <w:rsid w:val="006738C4"/>
    <w:rsid w:val="0067701E"/>
    <w:rsid w:val="00683D57"/>
    <w:rsid w:val="00691C09"/>
    <w:rsid w:val="006943DA"/>
    <w:rsid w:val="006A2544"/>
    <w:rsid w:val="006A5830"/>
    <w:rsid w:val="006A5B34"/>
    <w:rsid w:val="006A5F5B"/>
    <w:rsid w:val="006B4093"/>
    <w:rsid w:val="006C77A9"/>
    <w:rsid w:val="006F6693"/>
    <w:rsid w:val="00701836"/>
    <w:rsid w:val="00707FE8"/>
    <w:rsid w:val="00711DDD"/>
    <w:rsid w:val="00724962"/>
    <w:rsid w:val="00724A0F"/>
    <w:rsid w:val="0073072C"/>
    <w:rsid w:val="007320B4"/>
    <w:rsid w:val="00732162"/>
    <w:rsid w:val="00736732"/>
    <w:rsid w:val="0075029F"/>
    <w:rsid w:val="00750CBE"/>
    <w:rsid w:val="007546D4"/>
    <w:rsid w:val="00766B5A"/>
    <w:rsid w:val="007834F2"/>
    <w:rsid w:val="00790768"/>
    <w:rsid w:val="00791020"/>
    <w:rsid w:val="00794E37"/>
    <w:rsid w:val="007A5F82"/>
    <w:rsid w:val="007B0632"/>
    <w:rsid w:val="007B75A4"/>
    <w:rsid w:val="007D5E60"/>
    <w:rsid w:val="007F0A49"/>
    <w:rsid w:val="007F1A4C"/>
    <w:rsid w:val="008022C3"/>
    <w:rsid w:val="008041E6"/>
    <w:rsid w:val="008065D2"/>
    <w:rsid w:val="0082194C"/>
    <w:rsid w:val="008220C4"/>
    <w:rsid w:val="008222FF"/>
    <w:rsid w:val="008241FF"/>
    <w:rsid w:val="008411E9"/>
    <w:rsid w:val="0084200F"/>
    <w:rsid w:val="00843B2C"/>
    <w:rsid w:val="0084593E"/>
    <w:rsid w:val="008471C4"/>
    <w:rsid w:val="008501EF"/>
    <w:rsid w:val="00882810"/>
    <w:rsid w:val="008A4900"/>
    <w:rsid w:val="008A6539"/>
    <w:rsid w:val="008D0281"/>
    <w:rsid w:val="008E3C4E"/>
    <w:rsid w:val="008E49B3"/>
    <w:rsid w:val="008E54E0"/>
    <w:rsid w:val="008F6D45"/>
    <w:rsid w:val="00916474"/>
    <w:rsid w:val="00934B60"/>
    <w:rsid w:val="0093610D"/>
    <w:rsid w:val="00962E32"/>
    <w:rsid w:val="00973844"/>
    <w:rsid w:val="009834C0"/>
    <w:rsid w:val="00984C95"/>
    <w:rsid w:val="00986AAC"/>
    <w:rsid w:val="009928E5"/>
    <w:rsid w:val="009A1DA2"/>
    <w:rsid w:val="009A2389"/>
    <w:rsid w:val="009A3704"/>
    <w:rsid w:val="009A4739"/>
    <w:rsid w:val="009A674F"/>
    <w:rsid w:val="009B199C"/>
    <w:rsid w:val="009B54C8"/>
    <w:rsid w:val="009B61F1"/>
    <w:rsid w:val="009B62E0"/>
    <w:rsid w:val="009C3D88"/>
    <w:rsid w:val="009C4432"/>
    <w:rsid w:val="009D3303"/>
    <w:rsid w:val="009E3858"/>
    <w:rsid w:val="009E70DD"/>
    <w:rsid w:val="009F2ED9"/>
    <w:rsid w:val="009F3231"/>
    <w:rsid w:val="009F5C58"/>
    <w:rsid w:val="00A023A0"/>
    <w:rsid w:val="00A1562B"/>
    <w:rsid w:val="00A170F4"/>
    <w:rsid w:val="00A240ED"/>
    <w:rsid w:val="00A2559E"/>
    <w:rsid w:val="00A25FD9"/>
    <w:rsid w:val="00A307AF"/>
    <w:rsid w:val="00A30DC9"/>
    <w:rsid w:val="00A3212B"/>
    <w:rsid w:val="00A46BA8"/>
    <w:rsid w:val="00A47634"/>
    <w:rsid w:val="00A5192B"/>
    <w:rsid w:val="00A612FE"/>
    <w:rsid w:val="00AA26B8"/>
    <w:rsid w:val="00AA3B21"/>
    <w:rsid w:val="00AA6FB5"/>
    <w:rsid w:val="00AB3FE2"/>
    <w:rsid w:val="00AB6BCE"/>
    <w:rsid w:val="00AD3322"/>
    <w:rsid w:val="00AD7E4E"/>
    <w:rsid w:val="00AE0BEF"/>
    <w:rsid w:val="00AE6BCC"/>
    <w:rsid w:val="00AF1EC8"/>
    <w:rsid w:val="00AF34DE"/>
    <w:rsid w:val="00AF4D58"/>
    <w:rsid w:val="00AF6666"/>
    <w:rsid w:val="00B10154"/>
    <w:rsid w:val="00B1625C"/>
    <w:rsid w:val="00B16A8C"/>
    <w:rsid w:val="00B36E70"/>
    <w:rsid w:val="00B50213"/>
    <w:rsid w:val="00B536CE"/>
    <w:rsid w:val="00B7058E"/>
    <w:rsid w:val="00B81B44"/>
    <w:rsid w:val="00B9053B"/>
    <w:rsid w:val="00B9636D"/>
    <w:rsid w:val="00BA06C3"/>
    <w:rsid w:val="00BB3F8E"/>
    <w:rsid w:val="00BB660E"/>
    <w:rsid w:val="00BC3422"/>
    <w:rsid w:val="00BC5EF9"/>
    <w:rsid w:val="00BD2704"/>
    <w:rsid w:val="00BD7292"/>
    <w:rsid w:val="00BF17C6"/>
    <w:rsid w:val="00C00F5F"/>
    <w:rsid w:val="00C015B9"/>
    <w:rsid w:val="00C022F9"/>
    <w:rsid w:val="00C02CEC"/>
    <w:rsid w:val="00C032EA"/>
    <w:rsid w:val="00C065A9"/>
    <w:rsid w:val="00C06EB5"/>
    <w:rsid w:val="00C1145F"/>
    <w:rsid w:val="00C32D23"/>
    <w:rsid w:val="00C637E1"/>
    <w:rsid w:val="00C70D50"/>
    <w:rsid w:val="00C7483F"/>
    <w:rsid w:val="00C7719C"/>
    <w:rsid w:val="00C8243E"/>
    <w:rsid w:val="00C907D7"/>
    <w:rsid w:val="00C92338"/>
    <w:rsid w:val="00CA24D2"/>
    <w:rsid w:val="00CA7C3A"/>
    <w:rsid w:val="00CC2DB2"/>
    <w:rsid w:val="00CC40D8"/>
    <w:rsid w:val="00CD0307"/>
    <w:rsid w:val="00CD3D1B"/>
    <w:rsid w:val="00CD53DC"/>
    <w:rsid w:val="00CE62B3"/>
    <w:rsid w:val="00CF423A"/>
    <w:rsid w:val="00CF7DCA"/>
    <w:rsid w:val="00D211E9"/>
    <w:rsid w:val="00D2312F"/>
    <w:rsid w:val="00D269C1"/>
    <w:rsid w:val="00D44953"/>
    <w:rsid w:val="00D47AC7"/>
    <w:rsid w:val="00D542F3"/>
    <w:rsid w:val="00D543E5"/>
    <w:rsid w:val="00D54A54"/>
    <w:rsid w:val="00D5644B"/>
    <w:rsid w:val="00D56E25"/>
    <w:rsid w:val="00D71896"/>
    <w:rsid w:val="00D718D7"/>
    <w:rsid w:val="00D73212"/>
    <w:rsid w:val="00D810D2"/>
    <w:rsid w:val="00D814B7"/>
    <w:rsid w:val="00D90688"/>
    <w:rsid w:val="00D94D80"/>
    <w:rsid w:val="00DA0C1F"/>
    <w:rsid w:val="00DA3AAD"/>
    <w:rsid w:val="00DB312B"/>
    <w:rsid w:val="00DC5654"/>
    <w:rsid w:val="00DC658F"/>
    <w:rsid w:val="00DE5DED"/>
    <w:rsid w:val="00DE60CC"/>
    <w:rsid w:val="00DF3B85"/>
    <w:rsid w:val="00E02023"/>
    <w:rsid w:val="00E056E2"/>
    <w:rsid w:val="00E26B32"/>
    <w:rsid w:val="00E31444"/>
    <w:rsid w:val="00E407B6"/>
    <w:rsid w:val="00E41EF1"/>
    <w:rsid w:val="00E42942"/>
    <w:rsid w:val="00E468A6"/>
    <w:rsid w:val="00E47021"/>
    <w:rsid w:val="00E65FB6"/>
    <w:rsid w:val="00E71BDF"/>
    <w:rsid w:val="00E71C6D"/>
    <w:rsid w:val="00E83CA7"/>
    <w:rsid w:val="00E867FB"/>
    <w:rsid w:val="00E91285"/>
    <w:rsid w:val="00E9630C"/>
    <w:rsid w:val="00EC171D"/>
    <w:rsid w:val="00ED487E"/>
    <w:rsid w:val="00ED582F"/>
    <w:rsid w:val="00EE6221"/>
    <w:rsid w:val="00EE7A0D"/>
    <w:rsid w:val="00EF0D21"/>
    <w:rsid w:val="00EF5787"/>
    <w:rsid w:val="00F0143D"/>
    <w:rsid w:val="00F022FA"/>
    <w:rsid w:val="00F04A43"/>
    <w:rsid w:val="00F051C9"/>
    <w:rsid w:val="00F17CE1"/>
    <w:rsid w:val="00F2115C"/>
    <w:rsid w:val="00F22ABA"/>
    <w:rsid w:val="00F36B12"/>
    <w:rsid w:val="00F417C3"/>
    <w:rsid w:val="00F554D2"/>
    <w:rsid w:val="00F60F9F"/>
    <w:rsid w:val="00F64F08"/>
    <w:rsid w:val="00F65908"/>
    <w:rsid w:val="00F734F5"/>
    <w:rsid w:val="00F75D49"/>
    <w:rsid w:val="00F7689B"/>
    <w:rsid w:val="00F84A48"/>
    <w:rsid w:val="00F966B1"/>
    <w:rsid w:val="00F97D48"/>
    <w:rsid w:val="00FA0311"/>
    <w:rsid w:val="00FB0DD7"/>
    <w:rsid w:val="00FC42E5"/>
    <w:rsid w:val="00FD640F"/>
    <w:rsid w:val="00FD6B4C"/>
    <w:rsid w:val="00FD6BE9"/>
    <w:rsid w:val="00FD6FE7"/>
    <w:rsid w:val="00FE24E9"/>
    <w:rsid w:val="00FF122F"/>
    <w:rsid w:val="00FF3BE8"/>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6CE72"/>
  <w15:docId w15:val="{A076B5E3-E0D8-4DEF-9AB2-30856AF0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BD2704"/>
    <w:pPr>
      <w:keepLines/>
      <w:spacing w:before="120" w:after="120" w:line="264" w:lineRule="auto"/>
    </w:pPr>
    <w:rPr>
      <w:color w:val="232B39" w:themeColor="text1"/>
    </w:rPr>
  </w:style>
  <w:style w:type="paragraph" w:styleId="Heading1">
    <w:name w:val="heading 1"/>
    <w:next w:val="Normal"/>
    <w:link w:val="Heading1Char"/>
    <w:qFormat/>
    <w:rsid w:val="00E9630C"/>
    <w:pPr>
      <w:keepNext/>
      <w:keepLines/>
      <w:spacing w:before="360" w:after="120" w:line="240" w:lineRule="auto"/>
      <w:outlineLvl w:val="0"/>
    </w:pPr>
    <w:rPr>
      <w:rFonts w:asciiTheme="majorHAnsi" w:eastAsiaTheme="majorEastAsia" w:hAnsiTheme="majorHAnsi" w:cstheme="majorBidi"/>
      <w:b/>
      <w:bCs/>
      <w:color w:val="3A3467" w:themeColor="text2"/>
      <w:sz w:val="36"/>
      <w:szCs w:val="28"/>
    </w:rPr>
  </w:style>
  <w:style w:type="paragraph" w:styleId="Heading2">
    <w:name w:val="heading 2"/>
    <w:basedOn w:val="Normal"/>
    <w:next w:val="Normal"/>
    <w:link w:val="Heading2Char"/>
    <w:qFormat/>
    <w:rsid w:val="00E9630C"/>
    <w:pPr>
      <w:keepNext/>
      <w:spacing w:before="280" w:line="240" w:lineRule="auto"/>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qFormat/>
    <w:rsid w:val="00522F8A"/>
    <w:pPr>
      <w:keepNext/>
      <w:spacing w:before="240"/>
      <w:outlineLvl w:val="2"/>
    </w:pPr>
    <w:rPr>
      <w:rFonts w:asciiTheme="majorHAnsi" w:eastAsiaTheme="majorEastAsia" w:hAnsiTheme="majorHAnsi" w:cstheme="majorBidi"/>
      <w:b/>
      <w:bCs/>
      <w:color w:val="3A3467" w:themeColor="text2"/>
      <w:sz w:val="24"/>
      <w:szCs w:val="24"/>
    </w:rPr>
  </w:style>
  <w:style w:type="paragraph" w:styleId="Heading4">
    <w:name w:val="heading 4"/>
    <w:basedOn w:val="Normal"/>
    <w:next w:val="Normal"/>
    <w:link w:val="Heading4Char"/>
    <w:qFormat/>
    <w:rsid w:val="00522F8A"/>
    <w:pPr>
      <w:keepNext/>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semiHidden/>
    <w:rsid w:val="00522F8A"/>
    <w:pPr>
      <w:keepNext/>
      <w:spacing w:before="60" w:after="60"/>
      <w:outlineLvl w:val="4"/>
    </w:pPr>
    <w:rPr>
      <w:rFonts w:asciiTheme="majorHAnsi" w:eastAsiaTheme="majorEastAsia" w:hAnsiTheme="majorHAnsi" w:cstheme="majorBidi"/>
      <w:color w:val="3A346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22F8A"/>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31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22F8A"/>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522F8A"/>
    <w:pPr>
      <w:spacing w:after="0" w:line="240" w:lineRule="auto"/>
    </w:p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TOC1">
    <w:name w:val="toc 1"/>
    <w:basedOn w:val="Normal"/>
    <w:next w:val="Normal"/>
    <w:uiPriority w:val="39"/>
    <w:semiHidden/>
    <w:rsid w:val="00BD2704"/>
    <w:pPr>
      <w:keepLines w:val="0"/>
      <w:pBdr>
        <w:bottom w:val="single" w:sz="12" w:space="4" w:color="auto"/>
      </w:pBdr>
      <w:tabs>
        <w:tab w:val="right" w:pos="9000"/>
      </w:tabs>
      <w:ind w:right="26"/>
    </w:pPr>
    <w:rPr>
      <w:sz w:val="24"/>
      <w:szCs w:val="24"/>
    </w:rPr>
  </w:style>
  <w:style w:type="paragraph" w:styleId="TOC2">
    <w:name w:val="toc 2"/>
    <w:next w:val="Normal"/>
    <w:uiPriority w:val="39"/>
    <w:semiHidden/>
    <w:rsid w:val="00BD2704"/>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BD2704"/>
    <w:pPr>
      <w:keepLines w:val="0"/>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522F8A"/>
    <w:pPr>
      <w:spacing w:after="60" w:line="240" w:lineRule="auto"/>
    </w:pPr>
    <w:rPr>
      <w:sz w:val="16"/>
    </w:rPr>
  </w:style>
  <w:style w:type="paragraph" w:styleId="Index2">
    <w:name w:val="index 2"/>
    <w:basedOn w:val="Normal"/>
    <w:next w:val="Normal"/>
    <w:uiPriority w:val="99"/>
    <w:semiHidden/>
    <w:rsid w:val="00522F8A"/>
    <w:pPr>
      <w:spacing w:after="0" w:line="240" w:lineRule="auto"/>
      <w:ind w:left="216"/>
    </w:pPr>
    <w:rPr>
      <w:sz w:val="16"/>
      <w:szCs w:val="16"/>
    </w:rPr>
  </w:style>
  <w:style w:type="character" w:styleId="Hyperlink">
    <w:name w:val="Hyperlink"/>
    <w:basedOn w:val="DefaultParagraphFont"/>
    <w:uiPriority w:val="99"/>
    <w:semiHidden/>
    <w:rsid w:val="00BD7292"/>
    <w:rPr>
      <w:color w:val="004C97" w:themeColor="accent3"/>
      <w:u w:val="none"/>
    </w:rPr>
  </w:style>
  <w:style w:type="character" w:customStyle="1" w:styleId="Heading1Char">
    <w:name w:val="Heading 1 Char"/>
    <w:basedOn w:val="DefaultParagraphFont"/>
    <w:link w:val="Heading1"/>
    <w:rsid w:val="00E9630C"/>
    <w:rPr>
      <w:rFonts w:asciiTheme="majorHAnsi" w:eastAsiaTheme="majorEastAsia" w:hAnsiTheme="majorHAnsi" w:cstheme="majorBidi"/>
      <w:b/>
      <w:bCs/>
      <w:color w:val="3A3467" w:themeColor="text2"/>
      <w:sz w:val="36"/>
      <w:szCs w:val="28"/>
    </w:rPr>
  </w:style>
  <w:style w:type="character" w:customStyle="1" w:styleId="Heading2Char">
    <w:name w:val="Heading 2 Char"/>
    <w:basedOn w:val="DefaultParagraphFont"/>
    <w:link w:val="Heading2"/>
    <w:rsid w:val="00E9630C"/>
    <w:rPr>
      <w:rFonts w:asciiTheme="majorHAnsi" w:eastAsiaTheme="majorEastAsia" w:hAnsiTheme="majorHAnsi" w:cstheme="majorBidi"/>
      <w:b/>
      <w:bCs/>
      <w:color w:val="3A3467" w:themeColor="text2"/>
      <w:sz w:val="28"/>
      <w:szCs w:val="26"/>
    </w:rPr>
  </w:style>
  <w:style w:type="paragraph" w:customStyle="1" w:styleId="Bullet1">
    <w:name w:val="Bullet 1"/>
    <w:uiPriority w:val="1"/>
    <w:qFormat/>
    <w:rsid w:val="00BD2704"/>
    <w:pPr>
      <w:keepLines/>
      <w:numPr>
        <w:numId w:val="31"/>
      </w:numPr>
      <w:spacing w:before="100" w:after="100" w:line="240" w:lineRule="auto"/>
      <w:contextualSpacing/>
    </w:pPr>
    <w:rPr>
      <w:rFonts w:eastAsia="Times New Roman" w:cs="Calibri"/>
      <w:color w:val="232B39" w:themeColor="text1"/>
    </w:rPr>
  </w:style>
  <w:style w:type="paragraph" w:customStyle="1" w:styleId="Bullet2">
    <w:name w:val="Bullet 2"/>
    <w:basedOn w:val="Bullet1"/>
    <w:uiPriority w:val="1"/>
    <w:qFormat/>
    <w:rsid w:val="00522F8A"/>
    <w:pPr>
      <w:numPr>
        <w:ilvl w:val="1"/>
      </w:numPr>
    </w:pPr>
  </w:style>
  <w:style w:type="paragraph" w:customStyle="1" w:styleId="Bulletindent">
    <w:name w:val="Bullet indent"/>
    <w:basedOn w:val="Bullet2"/>
    <w:uiPriority w:val="9"/>
    <w:qFormat/>
    <w:rsid w:val="00BB660E"/>
    <w:pPr>
      <w:numPr>
        <w:ilvl w:val="2"/>
      </w:numPr>
      <w:spacing w:line="264" w:lineRule="auto"/>
    </w:pPr>
  </w:style>
  <w:style w:type="paragraph" w:customStyle="1" w:styleId="Heading1numbered">
    <w:name w:val="Heading 1 numbered"/>
    <w:basedOn w:val="Heading1"/>
    <w:next w:val="NormalIndent"/>
    <w:uiPriority w:val="8"/>
    <w:qFormat/>
    <w:rsid w:val="00522F8A"/>
    <w:pPr>
      <w:numPr>
        <w:ilvl w:val="2"/>
        <w:numId w:val="41"/>
      </w:numPr>
    </w:pPr>
  </w:style>
  <w:style w:type="paragraph" w:customStyle="1" w:styleId="Heading2numbered">
    <w:name w:val="Heading 2 numbered"/>
    <w:basedOn w:val="Heading2"/>
    <w:next w:val="NormalIndent"/>
    <w:uiPriority w:val="8"/>
    <w:qFormat/>
    <w:rsid w:val="00522F8A"/>
    <w:pPr>
      <w:numPr>
        <w:ilvl w:val="3"/>
        <w:numId w:val="41"/>
      </w:numPr>
    </w:pPr>
  </w:style>
  <w:style w:type="paragraph" w:customStyle="1" w:styleId="Heading3numbered">
    <w:name w:val="Heading 3 numbered"/>
    <w:basedOn w:val="Heading3"/>
    <w:next w:val="NormalIndent"/>
    <w:uiPriority w:val="8"/>
    <w:qFormat/>
    <w:rsid w:val="00522F8A"/>
    <w:pPr>
      <w:numPr>
        <w:ilvl w:val="4"/>
        <w:numId w:val="41"/>
      </w:numPr>
    </w:pPr>
  </w:style>
  <w:style w:type="character" w:customStyle="1" w:styleId="Heading3Char">
    <w:name w:val="Heading 3 Char"/>
    <w:basedOn w:val="DefaultParagraphFont"/>
    <w:link w:val="Heading3"/>
    <w:rsid w:val="00522F8A"/>
    <w:rPr>
      <w:rFonts w:asciiTheme="majorHAnsi" w:eastAsiaTheme="majorEastAsia" w:hAnsiTheme="majorHAnsi" w:cstheme="majorBidi"/>
      <w:b/>
      <w:bCs/>
      <w:color w:val="3A3467" w:themeColor="text2"/>
      <w:sz w:val="24"/>
      <w:szCs w:val="24"/>
    </w:rPr>
  </w:style>
  <w:style w:type="paragraph" w:customStyle="1" w:styleId="Heading4numbered">
    <w:name w:val="Heading 4 numbered"/>
    <w:basedOn w:val="Heading4"/>
    <w:next w:val="NormalIndent"/>
    <w:uiPriority w:val="8"/>
    <w:semiHidden/>
    <w:qFormat/>
    <w:rsid w:val="00522F8A"/>
    <w:pPr>
      <w:numPr>
        <w:ilvl w:val="5"/>
        <w:numId w:val="41"/>
      </w:numPr>
    </w:pPr>
  </w:style>
  <w:style w:type="character" w:customStyle="1" w:styleId="Heading4Char">
    <w:name w:val="Heading 4 Char"/>
    <w:basedOn w:val="DefaultParagraphFont"/>
    <w:link w:val="Heading4"/>
    <w:rsid w:val="00522F8A"/>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9"/>
    <w:qFormat/>
    <w:rsid w:val="00BB660E"/>
    <w:pPr>
      <w:ind w:left="792"/>
    </w:pPr>
  </w:style>
  <w:style w:type="paragraph" w:customStyle="1" w:styleId="NoteNormal">
    <w:name w:val="Note Normal"/>
    <w:basedOn w:val="Normal"/>
    <w:rsid w:val="00CD53DC"/>
    <w:pPr>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522F8A"/>
    <w:pPr>
      <w:spacing w:before="0" w:after="0" w:line="120" w:lineRule="atLeast"/>
    </w:pPr>
    <w:rPr>
      <w:rFonts w:eastAsia="Times New Roman" w:cs="Calibri"/>
      <w:sz w:val="10"/>
      <w:szCs w:val="22"/>
    </w:rPr>
  </w:style>
  <w:style w:type="paragraph" w:styleId="Subtitle">
    <w:name w:val="Subtitle"/>
    <w:next w:val="TertiaryTitle"/>
    <w:link w:val="SubtitleChar"/>
    <w:uiPriority w:val="45"/>
    <w:semiHidden/>
    <w:rsid w:val="00072A2A"/>
    <w:pPr>
      <w:spacing w:before="200" w:after="120" w:line="440" w:lineRule="exact"/>
      <w:ind w:right="1829"/>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semiHidden/>
    <w:rsid w:val="00973844"/>
    <w:rPr>
      <w:rFonts w:asciiTheme="majorHAnsi" w:eastAsia="Times New Roman" w:hAnsiTheme="majorHAnsi" w:cstheme="majorHAnsi"/>
      <w:sz w:val="32"/>
      <w:szCs w:val="32"/>
    </w:rPr>
  </w:style>
  <w:style w:type="paragraph" w:customStyle="1" w:styleId="TertiaryTitle">
    <w:name w:val="Tertiary Title"/>
    <w:next w:val="Normal"/>
    <w:uiPriority w:val="99"/>
    <w:semiHidden/>
    <w:rsid w:val="00522F8A"/>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semiHidden/>
    <w:qFormat/>
    <w:rsid w:val="0093610D"/>
    <w:pPr>
      <w:spacing w:before="200" w:after="0" w:line="216" w:lineRule="auto"/>
      <w:ind w:right="389"/>
    </w:pPr>
    <w:rPr>
      <w:rFonts w:asciiTheme="majorHAnsi" w:eastAsia="Times New Roman" w:hAnsiTheme="majorHAnsi" w:cstheme="majorHAnsi"/>
      <w:b/>
      <w:color w:val="3A3467" w:themeColor="text2"/>
      <w:sz w:val="48"/>
      <w:szCs w:val="48"/>
    </w:rPr>
  </w:style>
  <w:style w:type="character" w:customStyle="1" w:styleId="TitleChar">
    <w:name w:val="Title Char"/>
    <w:basedOn w:val="DefaultParagraphFont"/>
    <w:link w:val="Title"/>
    <w:uiPriority w:val="44"/>
    <w:semiHidden/>
    <w:rsid w:val="00B50213"/>
    <w:rPr>
      <w:rFonts w:asciiTheme="majorHAnsi" w:eastAsia="Times New Roman" w:hAnsiTheme="majorHAnsi" w:cstheme="majorHAnsi"/>
      <w:b/>
      <w:color w:val="3A3467" w:themeColor="text2"/>
      <w:sz w:val="48"/>
      <w:szCs w:val="48"/>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BB660E"/>
    <w:pPr>
      <w:numPr>
        <w:ilvl w:val="3"/>
        <w:numId w:val="31"/>
      </w:numPr>
      <w:contextualSpacing/>
    </w:pPr>
  </w:style>
  <w:style w:type="paragraph" w:styleId="IndexHeading">
    <w:name w:val="index heading"/>
    <w:basedOn w:val="Normal"/>
    <w:next w:val="Index1"/>
    <w:uiPriority w:val="99"/>
    <w:semiHidden/>
    <w:rsid w:val="00522F8A"/>
    <w:rPr>
      <w:rFonts w:asciiTheme="majorHAnsi" w:eastAsiaTheme="majorEastAsia" w:hAnsiTheme="majorHAnsi" w:cstheme="majorBidi"/>
      <w:b/>
      <w:bCs/>
    </w:rPr>
  </w:style>
  <w:style w:type="paragraph" w:styleId="Header">
    <w:name w:val="header"/>
    <w:basedOn w:val="Normal"/>
    <w:link w:val="HeaderChar"/>
    <w:uiPriority w:val="99"/>
    <w:semiHidden/>
    <w:rsid w:val="00522F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2F8A"/>
    <w:rPr>
      <w:color w:val="232B39" w:themeColor="text1"/>
    </w:rPr>
  </w:style>
  <w:style w:type="paragraph" w:styleId="Footer">
    <w:name w:val="footer"/>
    <w:basedOn w:val="Normal"/>
    <w:link w:val="FooterChar"/>
    <w:uiPriority w:val="99"/>
    <w:semiHidden/>
    <w:rsid w:val="008E49B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semiHidden/>
    <w:rsid w:val="00B50213"/>
    <w:rPr>
      <w:noProof/>
      <w:color w:val="232B39" w:themeColor="text1"/>
      <w:sz w:val="18"/>
      <w:szCs w:val="18"/>
    </w:rPr>
  </w:style>
  <w:style w:type="character" w:styleId="PageNumber">
    <w:name w:val="page number"/>
    <w:uiPriority w:val="49"/>
    <w:semiHidden/>
    <w:rsid w:val="00522F8A"/>
    <w:rPr>
      <w:rFonts w:asciiTheme="minorHAnsi" w:hAnsiTheme="minorHAnsi"/>
      <w:b w:val="0"/>
      <w:color w:val="232B39" w:themeColor="text1"/>
    </w:rPr>
  </w:style>
  <w:style w:type="paragraph" w:styleId="TOCHeading">
    <w:name w:val="TOC Heading"/>
    <w:basedOn w:val="Heading1"/>
    <w:next w:val="Normal"/>
    <w:uiPriority w:val="38"/>
    <w:semiHidden/>
    <w:rsid w:val="00BD2704"/>
    <w:pPr>
      <w:spacing w:before="440" w:after="440" w:line="276" w:lineRule="auto"/>
      <w:outlineLvl w:val="9"/>
    </w:pPr>
    <w:rPr>
      <w:spacing w:val="2"/>
    </w:rPr>
  </w:style>
  <w:style w:type="paragraph" w:customStyle="1" w:styleId="NormalTight">
    <w:name w:val="Normal Tight"/>
    <w:uiPriority w:val="99"/>
    <w:semiHidden/>
    <w:rsid w:val="00522F8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973844"/>
    <w:rPr>
      <w:rFonts w:ascii="Calibri" w:eastAsia="Times New Roman" w:hAnsi="Calibri" w:cs="Calibri"/>
      <w:color w:val="232B39" w:themeColor="text1"/>
      <w:sz w:val="22"/>
      <w:szCs w:val="22"/>
    </w:rPr>
  </w:style>
  <w:style w:type="paragraph" w:customStyle="1" w:styleId="Insidecoverspacer">
    <w:name w:val="Inside cover spacer"/>
    <w:basedOn w:val="NormalTight"/>
    <w:uiPriority w:val="99"/>
    <w:semiHidden/>
    <w:qFormat/>
    <w:rsid w:val="00522F8A"/>
    <w:pPr>
      <w:spacing w:before="3800"/>
      <w:ind w:right="1382"/>
    </w:pPr>
  </w:style>
  <w:style w:type="paragraph" w:styleId="TOC4">
    <w:name w:val="toc 4"/>
    <w:basedOn w:val="TOC1"/>
    <w:next w:val="Normal"/>
    <w:uiPriority w:val="39"/>
    <w:semiHidden/>
    <w:rsid w:val="00BD2704"/>
    <w:pPr>
      <w:spacing w:before="280"/>
      <w:ind w:left="446" w:right="29" w:hanging="446"/>
    </w:pPr>
    <w:rPr>
      <w:noProof/>
      <w:lang w:eastAsia="en-US"/>
    </w:rPr>
  </w:style>
  <w:style w:type="paragraph" w:styleId="TOC5">
    <w:name w:val="toc 5"/>
    <w:basedOn w:val="TOC2"/>
    <w:next w:val="Normal"/>
    <w:uiPriority w:val="39"/>
    <w:semiHidden/>
    <w:rsid w:val="00BD2704"/>
    <w:pPr>
      <w:ind w:left="1080" w:hanging="634"/>
    </w:pPr>
    <w:rPr>
      <w:lang w:eastAsia="en-US"/>
    </w:rPr>
  </w:style>
  <w:style w:type="paragraph" w:styleId="TOC6">
    <w:name w:val="toc 6"/>
    <w:basedOn w:val="TOC3"/>
    <w:next w:val="Normal"/>
    <w:uiPriority w:val="39"/>
    <w:semiHidden/>
    <w:rsid w:val="00BD2704"/>
    <w:pPr>
      <w:ind w:left="1800" w:hanging="720"/>
    </w:pPr>
    <w:rPr>
      <w:lang w:eastAsia="en-US"/>
    </w:rPr>
  </w:style>
  <w:style w:type="table" w:customStyle="1" w:styleId="DTFtexttable">
    <w:name w:val="DTF text table"/>
    <w:basedOn w:val="TableNormal"/>
    <w:uiPriority w:val="99"/>
    <w:rsid w:val="00030708"/>
    <w:pPr>
      <w:spacing w:before="30" w:after="30" w:line="264" w:lineRule="auto"/>
    </w:pPr>
    <w:rPr>
      <w:rFonts w:eastAsiaTheme="minorHAnsi"/>
      <w:spacing w:val="2"/>
      <w:sz w:val="17"/>
      <w:szCs w:val="21"/>
      <w:lang w:eastAsia="en-US"/>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030708"/>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522F8A"/>
    <w:pPr>
      <w:spacing w:before="60" w:after="60"/>
    </w:pPr>
    <w:rPr>
      <w:sz w:val="17"/>
    </w:rPr>
  </w:style>
  <w:style w:type="paragraph" w:customStyle="1" w:styleId="Tabletextright">
    <w:name w:val="Table text right"/>
    <w:basedOn w:val="Tabletext"/>
    <w:uiPriority w:val="5"/>
    <w:qFormat/>
    <w:rsid w:val="00522F8A"/>
    <w:pPr>
      <w:jc w:val="right"/>
    </w:pPr>
  </w:style>
  <w:style w:type="paragraph" w:customStyle="1" w:styleId="Listnumindent2">
    <w:name w:val="List num indent 2"/>
    <w:basedOn w:val="Normal"/>
    <w:uiPriority w:val="9"/>
    <w:qFormat/>
    <w:rsid w:val="00522F8A"/>
    <w:pPr>
      <w:numPr>
        <w:ilvl w:val="7"/>
        <w:numId w:val="41"/>
      </w:numPr>
      <w:spacing w:before="100"/>
      <w:contextualSpacing/>
    </w:pPr>
  </w:style>
  <w:style w:type="paragraph" w:customStyle="1" w:styleId="Listnumindent">
    <w:name w:val="List num indent"/>
    <w:basedOn w:val="Normal"/>
    <w:uiPriority w:val="9"/>
    <w:qFormat/>
    <w:rsid w:val="00522F8A"/>
    <w:pPr>
      <w:numPr>
        <w:ilvl w:val="6"/>
        <w:numId w:val="41"/>
      </w:numPr>
      <w:spacing w:before="100"/>
    </w:pPr>
  </w:style>
  <w:style w:type="paragraph" w:customStyle="1" w:styleId="Listnum">
    <w:name w:val="List num"/>
    <w:basedOn w:val="Normal"/>
    <w:uiPriority w:val="2"/>
    <w:qFormat/>
    <w:rsid w:val="00522F8A"/>
    <w:pPr>
      <w:numPr>
        <w:numId w:val="41"/>
      </w:numPr>
    </w:pPr>
  </w:style>
  <w:style w:type="paragraph" w:customStyle="1" w:styleId="Listnum2">
    <w:name w:val="List num 2"/>
    <w:basedOn w:val="Normal"/>
    <w:uiPriority w:val="2"/>
    <w:qFormat/>
    <w:rsid w:val="00522F8A"/>
    <w:pPr>
      <w:numPr>
        <w:ilvl w:val="1"/>
        <w:numId w:val="41"/>
      </w:numPr>
    </w:pPr>
  </w:style>
  <w:style w:type="paragraph" w:customStyle="1" w:styleId="Tabletextcentred">
    <w:name w:val="Table text centred"/>
    <w:basedOn w:val="Tabletext"/>
    <w:uiPriority w:val="5"/>
    <w:qFormat/>
    <w:rsid w:val="00522F8A"/>
    <w:pPr>
      <w:jc w:val="center"/>
    </w:pPr>
  </w:style>
  <w:style w:type="paragraph" w:customStyle="1" w:styleId="Tableheader">
    <w:name w:val="Table header"/>
    <w:basedOn w:val="Tabletext"/>
    <w:uiPriority w:val="5"/>
    <w:qFormat/>
    <w:rsid w:val="00522F8A"/>
    <w:pPr>
      <w:keepNext/>
      <w:spacing w:before="120"/>
    </w:pPr>
    <w:rPr>
      <w:rFonts w:eastAsiaTheme="minorHAnsi"/>
      <w:spacing w:val="2"/>
      <w:sz w:val="18"/>
      <w:szCs w:val="18"/>
      <w:lang w:eastAsia="en-US"/>
    </w:rPr>
  </w:style>
  <w:style w:type="paragraph" w:customStyle="1" w:styleId="Tablebullet">
    <w:name w:val="Table bullet"/>
    <w:basedOn w:val="Tabletext"/>
    <w:uiPriority w:val="6"/>
    <w:rsid w:val="00522F8A"/>
    <w:pPr>
      <w:numPr>
        <w:numId w:val="45"/>
      </w:numPr>
    </w:pPr>
  </w:style>
  <w:style w:type="paragraph" w:customStyle="1" w:styleId="Tabledash">
    <w:name w:val="Table dash"/>
    <w:basedOn w:val="Tablebullet"/>
    <w:uiPriority w:val="6"/>
    <w:rsid w:val="00522F8A"/>
    <w:pPr>
      <w:numPr>
        <w:ilvl w:val="1"/>
      </w:numPr>
    </w:pPr>
  </w:style>
  <w:style w:type="paragraph" w:customStyle="1" w:styleId="Tabletextindent">
    <w:name w:val="Table text indent"/>
    <w:basedOn w:val="Tabletext"/>
    <w:uiPriority w:val="5"/>
    <w:qFormat/>
    <w:rsid w:val="00522F8A"/>
    <w:pPr>
      <w:ind w:left="288"/>
    </w:pPr>
  </w:style>
  <w:style w:type="paragraph" w:customStyle="1" w:styleId="Numpara">
    <w:name w:val="Num para"/>
    <w:basedOn w:val="ListParagraph"/>
    <w:uiPriority w:val="2"/>
    <w:qFormat/>
    <w:rsid w:val="00522F8A"/>
    <w:pPr>
      <w:numPr>
        <w:numId w:val="40"/>
      </w:numPr>
      <w:tabs>
        <w:tab w:val="left" w:pos="540"/>
      </w:tabs>
    </w:pPr>
  </w:style>
  <w:style w:type="paragraph" w:styleId="ListParagraph">
    <w:name w:val="List Paragraph"/>
    <w:basedOn w:val="Normal"/>
    <w:uiPriority w:val="34"/>
    <w:semiHidden/>
    <w:qFormat/>
    <w:rsid w:val="00522F8A"/>
    <w:pPr>
      <w:ind w:left="720"/>
      <w:contextualSpacing/>
    </w:pPr>
  </w:style>
  <w:style w:type="paragraph" w:styleId="FootnoteText">
    <w:name w:val="footnote text"/>
    <w:basedOn w:val="Normal"/>
    <w:link w:val="FootnoteTextChar"/>
    <w:uiPriority w:val="99"/>
    <w:semiHidden/>
    <w:rsid w:val="00522F8A"/>
    <w:pPr>
      <w:spacing w:before="0" w:after="0" w:line="240" w:lineRule="auto"/>
    </w:pPr>
    <w:rPr>
      <w:sz w:val="17"/>
    </w:rPr>
  </w:style>
  <w:style w:type="character" w:customStyle="1" w:styleId="FootnoteTextChar">
    <w:name w:val="Footnote Text Char"/>
    <w:basedOn w:val="DefaultParagraphFont"/>
    <w:link w:val="FootnoteText"/>
    <w:uiPriority w:val="99"/>
    <w:semiHidden/>
    <w:rsid w:val="00522F8A"/>
    <w:rPr>
      <w:color w:val="232B39" w:themeColor="text1"/>
      <w:sz w:val="17"/>
    </w:rPr>
  </w:style>
  <w:style w:type="character" w:styleId="FootnoteReference">
    <w:name w:val="footnote reference"/>
    <w:basedOn w:val="DefaultParagraphFont"/>
    <w:uiPriority w:val="99"/>
    <w:semiHidden/>
    <w:rsid w:val="00522F8A"/>
    <w:rPr>
      <w:vertAlign w:val="superscript"/>
    </w:rPr>
  </w:style>
  <w:style w:type="table" w:customStyle="1" w:styleId="DTFfinancialtableindent">
    <w:name w:val="DTF financial table indent"/>
    <w:basedOn w:val="DTFfinancial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texttableindent">
    <w:name w:val="DTF text table indent"/>
    <w:basedOn w:val="DTFtext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522F8A"/>
    <w:pPr>
      <w:numPr>
        <w:ilvl w:val="8"/>
        <w:numId w:val="41"/>
      </w:numPr>
      <w:tabs>
        <w:tab w:val="clear" w:pos="540"/>
      </w:tabs>
    </w:pPr>
  </w:style>
  <w:style w:type="paragraph" w:customStyle="1" w:styleId="Tablenum1">
    <w:name w:val="Table num 1"/>
    <w:basedOn w:val="Normal"/>
    <w:uiPriority w:val="6"/>
    <w:rsid w:val="00522F8A"/>
    <w:pPr>
      <w:numPr>
        <w:ilvl w:val="2"/>
        <w:numId w:val="45"/>
      </w:numPr>
      <w:spacing w:before="60" w:after="60"/>
    </w:pPr>
    <w:rPr>
      <w:sz w:val="17"/>
    </w:rPr>
  </w:style>
  <w:style w:type="paragraph" w:customStyle="1" w:styleId="Tablenum2">
    <w:name w:val="Table num 2"/>
    <w:basedOn w:val="Normal"/>
    <w:uiPriority w:val="6"/>
    <w:rsid w:val="00522F8A"/>
    <w:pPr>
      <w:numPr>
        <w:ilvl w:val="3"/>
        <w:numId w:val="45"/>
      </w:numPr>
      <w:spacing w:before="60" w:after="60"/>
    </w:pPr>
    <w:rPr>
      <w:sz w:val="17"/>
    </w:rPr>
  </w:style>
  <w:style w:type="paragraph" w:customStyle="1" w:styleId="NoteNormalindent">
    <w:name w:val="Note Normal indent"/>
    <w:basedOn w:val="NoteNormal"/>
    <w:uiPriority w:val="9"/>
    <w:rsid w:val="00522F8A"/>
    <w:pPr>
      <w:ind w:left="792"/>
    </w:pPr>
  </w:style>
  <w:style w:type="paragraph" w:styleId="Caption">
    <w:name w:val="caption"/>
    <w:basedOn w:val="Normal"/>
    <w:next w:val="Normal"/>
    <w:uiPriority w:val="5"/>
    <w:rsid w:val="00522F8A"/>
    <w:pPr>
      <w:spacing w:before="200" w:after="60" w:line="240" w:lineRule="auto"/>
    </w:pPr>
    <w:rPr>
      <w:b/>
      <w:bCs/>
      <w:color w:val="3A3467" w:themeColor="text2"/>
      <w:sz w:val="18"/>
      <w:szCs w:val="18"/>
    </w:rPr>
  </w:style>
  <w:style w:type="paragraph" w:customStyle="1" w:styleId="Captionindent">
    <w:name w:val="Caption indent"/>
    <w:basedOn w:val="Caption"/>
    <w:uiPriority w:val="7"/>
    <w:qFormat/>
    <w:rsid w:val="00522F8A"/>
    <w:pPr>
      <w:spacing w:before="240"/>
      <w:ind w:left="792"/>
    </w:pPr>
  </w:style>
  <w:style w:type="paragraph" w:customStyle="1" w:styleId="CM">
    <w:name w:val="CM"/>
    <w:next w:val="Normal"/>
    <w:uiPriority w:val="79"/>
    <w:semiHidden/>
    <w:rsid w:val="00522F8A"/>
    <w:pPr>
      <w:spacing w:after="800" w:line="240" w:lineRule="auto"/>
      <w:ind w:right="2909"/>
    </w:pPr>
    <w:rPr>
      <w:caps/>
    </w:rPr>
  </w:style>
  <w:style w:type="paragraph" w:customStyle="1" w:styleId="CoverSpacer">
    <w:name w:val="CoverSpacer"/>
    <w:basedOn w:val="Normal"/>
    <w:semiHidden/>
    <w:qFormat/>
    <w:rsid w:val="00522F8A"/>
    <w:pPr>
      <w:spacing w:before="4600" w:after="0"/>
    </w:pPr>
  </w:style>
  <w:style w:type="character" w:styleId="FollowedHyperlink">
    <w:name w:val="FollowedHyperlink"/>
    <w:basedOn w:val="DefaultParagraphFont"/>
    <w:uiPriority w:val="99"/>
    <w:semiHidden/>
    <w:rsid w:val="00FE24E9"/>
    <w:rPr>
      <w:color w:val="808080" w:themeColor="background1" w:themeShade="80"/>
      <w:u w:val="none"/>
    </w:rPr>
  </w:style>
  <w:style w:type="character" w:customStyle="1" w:styleId="Heading5Char">
    <w:name w:val="Heading 5 Char"/>
    <w:basedOn w:val="DefaultParagraphFont"/>
    <w:link w:val="Heading5"/>
    <w:semiHidden/>
    <w:rsid w:val="00B50213"/>
    <w:rPr>
      <w:rFonts w:asciiTheme="majorHAnsi" w:eastAsiaTheme="majorEastAsia" w:hAnsiTheme="majorHAnsi" w:cstheme="majorBidi"/>
      <w:color w:val="3A3467" w:themeColor="text2"/>
    </w:rPr>
  </w:style>
  <w:style w:type="character" w:styleId="PlaceholderText">
    <w:name w:val="Placeholder Text"/>
    <w:basedOn w:val="DefaultParagraphFont"/>
    <w:uiPriority w:val="99"/>
    <w:semiHidden/>
    <w:rsid w:val="00522F8A"/>
    <w:rPr>
      <w:color w:val="808080"/>
    </w:rPr>
  </w:style>
  <w:style w:type="table" w:styleId="PlainTable4">
    <w:name w:val="Plain Table 4"/>
    <w:basedOn w:val="TableNormal"/>
    <w:uiPriority w:val="44"/>
    <w:rsid w:val="00522F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522F8A"/>
    <w:pPr>
      <w:pBdr>
        <w:top w:val="single" w:sz="12" w:space="6" w:color="C2EBFA" w:themeColor="background2"/>
        <w:bottom w:val="single" w:sz="12" w:space="4" w:color="C2EBFA" w:themeColor="background2"/>
      </w:pBdr>
      <w:tabs>
        <w:tab w:val="right" w:pos="8162"/>
      </w:tabs>
      <w:spacing w:before="200" w:after="200" w:line="288" w:lineRule="auto"/>
      <w:ind w:left="720" w:right="864"/>
    </w:pPr>
    <w:rPr>
      <w:i/>
      <w:iCs/>
      <w:color w:val="4B5B79" w:themeColor="text1" w:themeTint="BF"/>
      <w:sz w:val="18"/>
      <w:szCs w:val="18"/>
    </w:rPr>
  </w:style>
  <w:style w:type="character" w:customStyle="1" w:styleId="QuoteChar">
    <w:name w:val="Quote Char"/>
    <w:basedOn w:val="DefaultParagraphFont"/>
    <w:link w:val="Quote"/>
    <w:uiPriority w:val="14"/>
    <w:rsid w:val="00522F8A"/>
    <w:rPr>
      <w:i/>
      <w:iCs/>
      <w:color w:val="4B5B79" w:themeColor="text1" w:themeTint="BF"/>
      <w:sz w:val="18"/>
      <w:szCs w:val="18"/>
    </w:rPr>
  </w:style>
  <w:style w:type="paragraph" w:customStyle="1" w:styleId="ReportDate">
    <w:name w:val="ReportDate"/>
    <w:uiPriority w:val="79"/>
    <w:semiHidden/>
    <w:rsid w:val="00072A2A"/>
    <w:pPr>
      <w:spacing w:after="0" w:line="240" w:lineRule="auto"/>
      <w:ind w:right="2909"/>
    </w:pPr>
    <w:rPr>
      <w:b/>
      <w:bCs/>
      <w:caps/>
    </w:rPr>
  </w:style>
  <w:style w:type="character" w:styleId="UnresolvedMention">
    <w:name w:val="Unresolved Mention"/>
    <w:basedOn w:val="DefaultParagraphFont"/>
    <w:uiPriority w:val="99"/>
    <w:semiHidden/>
    <w:rsid w:val="00FE24E9"/>
    <w:rPr>
      <w:color w:val="605E5C"/>
      <w:shd w:val="clear" w:color="auto" w:fill="E1DFDD"/>
    </w:rPr>
  </w:style>
  <w:style w:type="character" w:styleId="CommentReference">
    <w:name w:val="annotation reference"/>
    <w:basedOn w:val="DefaultParagraphFont"/>
    <w:uiPriority w:val="99"/>
    <w:semiHidden/>
    <w:unhideWhenUsed/>
    <w:rsid w:val="006A5830"/>
    <w:rPr>
      <w:sz w:val="16"/>
      <w:szCs w:val="16"/>
    </w:rPr>
  </w:style>
  <w:style w:type="paragraph" w:styleId="CommentText">
    <w:name w:val="annotation text"/>
    <w:basedOn w:val="Normal"/>
    <w:link w:val="CommentTextChar"/>
    <w:uiPriority w:val="99"/>
    <w:unhideWhenUsed/>
    <w:rsid w:val="006A5830"/>
    <w:pPr>
      <w:spacing w:line="240" w:lineRule="auto"/>
    </w:pPr>
  </w:style>
  <w:style w:type="character" w:customStyle="1" w:styleId="CommentTextChar">
    <w:name w:val="Comment Text Char"/>
    <w:basedOn w:val="DefaultParagraphFont"/>
    <w:link w:val="CommentText"/>
    <w:uiPriority w:val="99"/>
    <w:rsid w:val="006A5830"/>
    <w:rPr>
      <w:color w:val="232B39" w:themeColor="text1"/>
    </w:rPr>
  </w:style>
  <w:style w:type="paragraph" w:styleId="CommentSubject">
    <w:name w:val="annotation subject"/>
    <w:basedOn w:val="CommentText"/>
    <w:next w:val="CommentText"/>
    <w:link w:val="CommentSubjectChar"/>
    <w:uiPriority w:val="99"/>
    <w:semiHidden/>
    <w:unhideWhenUsed/>
    <w:rsid w:val="006A5830"/>
    <w:rPr>
      <w:b/>
      <w:bCs/>
    </w:rPr>
  </w:style>
  <w:style w:type="character" w:customStyle="1" w:styleId="CommentSubjectChar">
    <w:name w:val="Comment Subject Char"/>
    <w:basedOn w:val="CommentTextChar"/>
    <w:link w:val="CommentSubject"/>
    <w:uiPriority w:val="99"/>
    <w:semiHidden/>
    <w:rsid w:val="006A5830"/>
    <w:rPr>
      <w:b/>
      <w:bCs/>
      <w:color w:val="232B39" w:themeColor="text1"/>
    </w:rPr>
  </w:style>
  <w:style w:type="paragraph" w:styleId="Revision">
    <w:name w:val="Revision"/>
    <w:hidden/>
    <w:uiPriority w:val="99"/>
    <w:semiHidden/>
    <w:rsid w:val="00F022FA"/>
    <w:pPr>
      <w:spacing w:after="0" w:line="240" w:lineRule="auto"/>
    </w:pPr>
    <w:rPr>
      <w:color w:val="232B39"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931381">
      <w:bodyDiv w:val="1"/>
      <w:marLeft w:val="0"/>
      <w:marRight w:val="0"/>
      <w:marTop w:val="0"/>
      <w:marBottom w:val="0"/>
      <w:divBdr>
        <w:top w:val="none" w:sz="0" w:space="0" w:color="auto"/>
        <w:left w:val="none" w:sz="0" w:space="0" w:color="auto"/>
        <w:bottom w:val="none" w:sz="0" w:space="0" w:color="auto"/>
        <w:right w:val="none" w:sz="0" w:space="0" w:color="auto"/>
      </w:divBdr>
    </w:div>
    <w:div w:id="136481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DTF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BC92A-B59C-4078-9ABD-C299485DD131}">
  <ds:schemaRefs>
    <ds:schemaRef ds:uri="http://www.w3.org/2001/XMLSchema"/>
  </ds:schemaRefs>
</ds:datastoreItem>
</file>

<file path=customXml/itemProps2.xml><?xml version="1.0" encoding="utf-8"?>
<ds:datastoreItem xmlns:ds="http://schemas.openxmlformats.org/officeDocument/2006/customXml" ds:itemID="{5AFC23E1-303F-4CD2-8E6C-95D29E5F5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1360</Words>
  <Characters>8066</Characters>
  <Application>Microsoft Office Word</Application>
  <DocSecurity>0</DocSecurity>
  <Lines>152</Lines>
  <Paragraphs>78</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Caple (DTF)</dc:creator>
  <cp:lastModifiedBy>Jillian G Roche (DTF)</cp:lastModifiedBy>
  <cp:revision>3</cp:revision>
  <cp:lastPrinted>2016-02-09T01:59:00Z</cp:lastPrinted>
  <dcterms:created xsi:type="dcterms:W3CDTF">2024-11-26T05:43:00Z</dcterms:created>
  <dcterms:modified xsi:type="dcterms:W3CDTF">2024-11-26T05:52:00Z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MSIP_Label_bb4ee517-5ca4-4fff-98d2-ed4f906edd6d_Enabled">
    <vt:lpwstr>true</vt:lpwstr>
  </property>
  <property fmtid="{D5CDD505-2E9C-101B-9397-08002B2CF9AE}" pid="5" name="MSIP_Label_bb4ee517-5ca4-4fff-98d2-ed4f906edd6d_SetDate">
    <vt:lpwstr>2021-07-06T04:40:57Z</vt:lpwstr>
  </property>
  <property fmtid="{D5CDD505-2E9C-101B-9397-08002B2CF9AE}" pid="6" name="MSIP_Label_bb4ee517-5ca4-4fff-98d2-ed4f906edd6d_Method">
    <vt:lpwstr>Privileged</vt:lpwstr>
  </property>
  <property fmtid="{D5CDD505-2E9C-101B-9397-08002B2CF9AE}" pid="7" name="MSIP_Label_bb4ee517-5ca4-4fff-98d2-ed4f906edd6d_Name">
    <vt:lpwstr>bb4ee517-5ca4-4fff-98d2-ed4f906edd6d</vt:lpwstr>
  </property>
  <property fmtid="{D5CDD505-2E9C-101B-9397-08002B2CF9AE}" pid="8" name="MSIP_Label_bb4ee517-5ca4-4fff-98d2-ed4f906edd6d_SiteId">
    <vt:lpwstr>722ea0be-3e1c-4b11-ad6f-9401d6856e24</vt:lpwstr>
  </property>
  <property fmtid="{D5CDD505-2E9C-101B-9397-08002B2CF9AE}" pid="9" name="MSIP_Label_bb4ee517-5ca4-4fff-98d2-ed4f906edd6d_ActionId">
    <vt:lpwstr/>
  </property>
  <property fmtid="{D5CDD505-2E9C-101B-9397-08002B2CF9AE}" pid="10" name="MSIP_Label_bb4ee517-5ca4-4fff-98d2-ed4f906edd6d_ContentBits">
    <vt:lpwstr>0</vt:lpwstr>
  </property>
</Properties>
</file>