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6D84" w14:textId="77777777" w:rsidR="00045296" w:rsidRPr="003B6F19" w:rsidRDefault="003B6F19" w:rsidP="00304F52">
      <w:pPr>
        <w:pStyle w:val="Title"/>
      </w:pPr>
      <w:bookmarkStart w:id="0" w:name="_Toc442780672"/>
      <w:r w:rsidRPr="003B6F19">
        <w:t>3</w:t>
      </w:r>
      <w:r w:rsidR="000C2378" w:rsidRPr="003B6F19">
        <w:t>A</w:t>
      </w:r>
      <w:r w:rsidR="00A73E19" w:rsidRPr="003B6F19">
        <w:t xml:space="preserve">. </w:t>
      </w:r>
      <w:r w:rsidR="00035EBD" w:rsidRPr="003B6F19">
        <w:t>What information will be reported in public sector reports?</w:t>
      </w:r>
    </w:p>
    <w:bookmarkEnd w:id="0"/>
    <w:p w14:paraId="042F2225" w14:textId="77777777" w:rsidR="00035EBD" w:rsidRDefault="00304F52" w:rsidP="00304F52">
      <w:r>
        <w:t>AASB </w:t>
      </w:r>
      <w:r w:rsidR="00035EBD">
        <w:t xml:space="preserve">124 </w:t>
      </w:r>
      <w:r w:rsidR="00035EBD" w:rsidRPr="00035EBD">
        <w:rPr>
          <w:i/>
        </w:rPr>
        <w:t>Related Party Disclosures</w:t>
      </w:r>
      <w:r w:rsidR="00035EBD">
        <w:t xml:space="preserve"> only require the </w:t>
      </w:r>
      <w:r w:rsidR="00035EBD" w:rsidRPr="006D348E">
        <w:rPr>
          <w:u w:val="single"/>
        </w:rPr>
        <w:t>disclosure</w:t>
      </w:r>
      <w:r w:rsidR="00035EBD">
        <w:t xml:space="preserve"> of material related party transactions and outstanding balances. Materiality is subject to professional judgement and goes beyond the dollar value of the transaction or balance.</w:t>
      </w:r>
    </w:p>
    <w:p w14:paraId="1F3D99F8" w14:textId="77777777" w:rsidR="00035EBD" w:rsidRDefault="00035EBD" w:rsidP="00035EBD">
      <w:r w:rsidRPr="006D348E">
        <w:rPr>
          <w:b/>
        </w:rPr>
        <w:t xml:space="preserve">However, it is important to note that all KMP </w:t>
      </w:r>
      <w:r w:rsidR="004B63DC" w:rsidRPr="006D348E">
        <w:rPr>
          <w:b/>
        </w:rPr>
        <w:t>need to</w:t>
      </w:r>
      <w:r w:rsidRPr="006D348E">
        <w:rPr>
          <w:b/>
        </w:rPr>
        <w:t xml:space="preserve"> disclose all relevant related party transactions</w:t>
      </w:r>
      <w:r w:rsidR="00D9029C">
        <w:rPr>
          <w:rFonts w:eastAsiaTheme="minorHAnsi"/>
          <w:b/>
        </w:rPr>
        <w:t xml:space="preserve">, noting that typical </w:t>
      </w:r>
      <w:r w:rsidR="00D9029C" w:rsidRPr="001D41E2">
        <w:rPr>
          <w:rFonts w:eastAsiaTheme="minorHAnsi"/>
          <w:b/>
        </w:rPr>
        <w:t>citizen</w:t>
      </w:r>
      <w:r w:rsidR="00D9029C">
        <w:rPr>
          <w:rFonts w:eastAsiaTheme="minorHAnsi"/>
          <w:b/>
          <w:vertAlign w:val="superscript"/>
        </w:rPr>
        <w:t xml:space="preserve"> </w:t>
      </w:r>
      <w:r w:rsidR="00D9029C" w:rsidRPr="001D41E2">
        <w:rPr>
          <w:rFonts w:eastAsiaTheme="minorHAnsi"/>
          <w:b/>
          <w:vertAlign w:val="superscript"/>
        </w:rPr>
        <w:t xml:space="preserve"> </w:t>
      </w:r>
      <w:r w:rsidR="00D9029C">
        <w:rPr>
          <w:rFonts w:eastAsiaTheme="minorHAnsi"/>
          <w:b/>
        </w:rPr>
        <w:t>transactions are not required to be declared</w:t>
      </w:r>
      <w:r w:rsidRPr="006D348E">
        <w:rPr>
          <w:b/>
        </w:rPr>
        <w:t xml:space="preserve">. This </w:t>
      </w:r>
      <w:r w:rsidR="004B63DC" w:rsidRPr="006D348E">
        <w:rPr>
          <w:b/>
        </w:rPr>
        <w:t xml:space="preserve">provides the </w:t>
      </w:r>
      <w:r w:rsidR="006D348E" w:rsidRPr="006D348E">
        <w:rPr>
          <w:b/>
        </w:rPr>
        <w:t>required</w:t>
      </w:r>
      <w:r w:rsidR="004B63DC" w:rsidRPr="006D348E">
        <w:rPr>
          <w:b/>
        </w:rPr>
        <w:t xml:space="preserve"> evidence (subject to audit) that all relevant information has been made available for the assessment</w:t>
      </w:r>
      <w:r w:rsidR="004B63DC">
        <w:t xml:space="preserve"> and also </w:t>
      </w:r>
      <w:r>
        <w:t xml:space="preserve">because a transaction that may appear immaterial on its own, may in combination with other like transactions have a material effect on the State’s, department’s or agency’s financial statements and warrants disclosure. </w:t>
      </w:r>
    </w:p>
    <w:p w14:paraId="19487F3C" w14:textId="77777777" w:rsidR="006D348E" w:rsidRDefault="00035EBD" w:rsidP="00035EBD">
      <w:pPr>
        <w:spacing w:after="160"/>
      </w:pPr>
      <w:r>
        <w:t>I</w:t>
      </w:r>
      <w:r w:rsidR="00C54F7D">
        <w:t>mportantly</w:t>
      </w:r>
      <w:r w:rsidR="006D348E">
        <w:t>,</w:t>
      </w:r>
      <w:r w:rsidR="00C54F7D">
        <w:t xml:space="preserve"> </w:t>
      </w:r>
      <w:r w:rsidR="00C54F7D" w:rsidRPr="006D348E">
        <w:rPr>
          <w:b/>
        </w:rPr>
        <w:t>i</w:t>
      </w:r>
      <w:r w:rsidRPr="006D348E">
        <w:rPr>
          <w:b/>
        </w:rPr>
        <w:t>tems of a similar nature may be</w:t>
      </w:r>
      <w:r w:rsidRPr="00035EBD">
        <w:rPr>
          <w:b/>
        </w:rPr>
        <w:t xml:space="preserve"> disclosed in aggregate</w:t>
      </w:r>
      <w:r>
        <w:t xml:space="preserve"> </w:t>
      </w:r>
      <w:r w:rsidRPr="00304F52">
        <w:rPr>
          <w:b/>
          <w:i/>
        </w:rPr>
        <w:t>except</w:t>
      </w:r>
      <w:r>
        <w:t xml:space="preserve"> where separate disclosure is necessary for an understanding of the effects of related party transactions on the financial statements of the department or entity i.e. individual transactions that are </w:t>
      </w:r>
      <w:r w:rsidRPr="00035EBD">
        <w:rPr>
          <w:b/>
        </w:rPr>
        <w:t>unusual in nature</w:t>
      </w:r>
      <w:r>
        <w:t xml:space="preserve"> or </w:t>
      </w:r>
      <w:r w:rsidRPr="00035EBD">
        <w:rPr>
          <w:b/>
        </w:rPr>
        <w:t>significantly material by amount</w:t>
      </w:r>
      <w:r>
        <w:t xml:space="preserve">. </w:t>
      </w:r>
    </w:p>
    <w:p w14:paraId="0D45E6DC" w14:textId="77777777" w:rsidR="00C54F7D" w:rsidRDefault="00C54F7D" w:rsidP="00035EBD">
      <w:pPr>
        <w:spacing w:after="160"/>
      </w:pPr>
      <w:r>
        <w:t xml:space="preserve">The </w:t>
      </w:r>
      <w:r w:rsidRPr="00021B33">
        <w:rPr>
          <w:b/>
        </w:rPr>
        <w:t>aggregated disclosures</w:t>
      </w:r>
      <w:r>
        <w:t xml:space="preserve"> must include:</w:t>
      </w:r>
    </w:p>
    <w:p w14:paraId="4DB63307" w14:textId="77777777" w:rsidR="00C54F7D" w:rsidRDefault="00C54F7D" w:rsidP="00304F52">
      <w:pPr>
        <w:pStyle w:val="Bullet1"/>
      </w:pPr>
      <w:r>
        <w:t>the nature of the relationships;</w:t>
      </w:r>
    </w:p>
    <w:p w14:paraId="61D07AB8" w14:textId="77777777" w:rsidR="00C54F7D" w:rsidRDefault="00C54F7D" w:rsidP="00304F52">
      <w:pPr>
        <w:pStyle w:val="Bullet1"/>
      </w:pPr>
      <w:r>
        <w:t>the mature of the services/balances concerned;</w:t>
      </w:r>
    </w:p>
    <w:p w14:paraId="1600C342" w14:textId="77777777" w:rsidR="00035EBD" w:rsidRDefault="00C54F7D" w:rsidP="00304F52">
      <w:pPr>
        <w:pStyle w:val="Bullet1"/>
      </w:pPr>
      <w:r>
        <w:t>the total amounts/balances involved.</w:t>
      </w:r>
    </w:p>
    <w:p w14:paraId="364F695C" w14:textId="77777777" w:rsidR="0014124F" w:rsidRPr="006D348E" w:rsidRDefault="0014124F" w:rsidP="0014124F">
      <w:pPr>
        <w:spacing w:after="160"/>
        <w:rPr>
          <w:b/>
        </w:rPr>
      </w:pPr>
      <w:r>
        <w:t xml:space="preserve">The </w:t>
      </w:r>
      <w:r w:rsidRPr="00021B33">
        <w:rPr>
          <w:b/>
        </w:rPr>
        <w:t>individual disclosures</w:t>
      </w:r>
      <w:r>
        <w:t xml:space="preserve"> are a matter of management and auditor judgement in the context of respective reporting entity financial reports, and the size and nature of the transaction involved. </w:t>
      </w:r>
      <w:r w:rsidRPr="006D348E">
        <w:rPr>
          <w:b/>
        </w:rPr>
        <w:t>Such transactions will generally not be usual business and are large or significant in amount in relation to the entity’s operations, and therefore not expected to be frequent.</w:t>
      </w:r>
    </w:p>
    <w:p w14:paraId="1F89B29C" w14:textId="77777777" w:rsidR="0014124F" w:rsidRPr="0014124F" w:rsidRDefault="0014124F" w:rsidP="0014124F">
      <w:pPr>
        <w:spacing w:after="160"/>
      </w:pPr>
      <w:r>
        <w:t xml:space="preserve">Examples of related party disclosures in private sector entity financial </w:t>
      </w:r>
      <w:r w:rsidR="00766888">
        <w:t>reports follow</w:t>
      </w:r>
      <w:r>
        <w:t>, as well as some potential public sector disclosures.</w:t>
      </w:r>
    </w:p>
    <w:p w14:paraId="0095C964" w14:textId="77777777" w:rsidR="00304F52" w:rsidRDefault="00304F52">
      <w:pPr>
        <w:spacing w:before="0" w:after="200"/>
        <w:rPr>
          <w:rFonts w:asciiTheme="majorHAnsi" w:eastAsiaTheme="majorEastAsia" w:hAnsiTheme="majorHAnsi" w:cstheme="majorBidi"/>
          <w:b/>
          <w:bCs/>
          <w:color w:val="201547"/>
          <w:spacing w:val="-1"/>
          <w:sz w:val="32"/>
          <w:szCs w:val="28"/>
        </w:rPr>
      </w:pPr>
      <w:r>
        <w:br w:type="page"/>
      </w:r>
    </w:p>
    <w:p w14:paraId="0D5BB615" w14:textId="77777777" w:rsidR="00035EBD" w:rsidRDefault="00035EBD" w:rsidP="00304F52">
      <w:pPr>
        <w:pStyle w:val="Heading1"/>
      </w:pPr>
      <w:r w:rsidRPr="00035EBD">
        <w:lastRenderedPageBreak/>
        <w:t>Example</w:t>
      </w:r>
      <w:r w:rsidR="002E61C6">
        <w:t>s</w:t>
      </w:r>
      <w:r w:rsidRPr="00035EBD">
        <w:t xml:space="preserve"> of </w:t>
      </w:r>
      <w:r w:rsidR="00304F52">
        <w:t xml:space="preserve">publicly </w:t>
      </w:r>
      <w:r>
        <w:t>listed companies related party disclosures</w:t>
      </w:r>
    </w:p>
    <w:p w14:paraId="1264F250" w14:textId="77777777" w:rsidR="002E61C6" w:rsidRPr="002E61C6" w:rsidRDefault="002E61C6" w:rsidP="00304F52">
      <w:pPr>
        <w:pStyle w:val="Heading3"/>
      </w:pPr>
      <w:r w:rsidRPr="002E61C6">
        <w:t>Fortescue Metals Group Ltd</w:t>
      </w:r>
    </w:p>
    <w:p w14:paraId="45B0AC42" w14:textId="77777777" w:rsidR="006371B9" w:rsidRPr="00D2467F" w:rsidRDefault="006371B9" w:rsidP="00304F52">
      <w:pPr>
        <w:pStyle w:val="Heading4"/>
      </w:pPr>
      <w:r>
        <w:t xml:space="preserve">Guarantees issued </w:t>
      </w:r>
      <w:r w:rsidRPr="00D2467F">
        <w:t>p. 9</w:t>
      </w:r>
      <w:r>
        <w:t>8</w:t>
      </w:r>
    </w:p>
    <w:p w14:paraId="25CD4339" w14:textId="77777777" w:rsidR="002E61C6" w:rsidRDefault="002E61C6" w:rsidP="00304F52">
      <w:pPr>
        <w:rPr>
          <w:rFonts w:eastAsiaTheme="majorEastAsia"/>
        </w:rPr>
      </w:pPr>
      <w:r>
        <w:rPr>
          <w:rFonts w:eastAsiaTheme="majorEastAsia"/>
        </w:rPr>
        <w:t>During the financial year ended 30 June 2012, the Minderoo Group Pty Ltd (formerly The Metal Group Pty Ltd), an entity controlled by the Chairman, provided assistance by way of guarantee to certain of Fortescue’s executives to purchase the Company’s shares. US$985 thousand expense was recognised during the year ended 30 June 2015 in relation to the agreement. The agreement concluded during the year ended 30 June 2015.</w:t>
      </w:r>
    </w:p>
    <w:p w14:paraId="4E989867" w14:textId="77777777" w:rsidR="002E61C6" w:rsidRPr="002E61C6" w:rsidRDefault="002E61C6" w:rsidP="00304F52">
      <w:pPr>
        <w:pStyle w:val="Heading3"/>
      </w:pPr>
      <w:r>
        <w:t>BHP Billiton Limited</w:t>
      </w:r>
    </w:p>
    <w:p w14:paraId="4F1B982F" w14:textId="77777777" w:rsidR="00D2467F" w:rsidRPr="00D2467F" w:rsidRDefault="00D2467F" w:rsidP="00304F52">
      <w:pPr>
        <w:pStyle w:val="Heading4"/>
      </w:pPr>
      <w:r w:rsidRPr="00D2467F">
        <w:t>Transactions with personally related entities p. 194</w:t>
      </w:r>
    </w:p>
    <w:p w14:paraId="70AA2B12" w14:textId="77777777" w:rsidR="002E61C6" w:rsidRDefault="000A0F99" w:rsidP="00304F52">
      <w:pPr>
        <w:rPr>
          <w:rFonts w:eastAsiaTheme="majorEastAsia"/>
        </w:rPr>
      </w:pPr>
      <w:r>
        <w:rPr>
          <w:rFonts w:eastAsiaTheme="majorEastAsia"/>
        </w:rPr>
        <w:t>A number of Directors of the Group hold or have held positions in other companies (personally related entities) where it is considered they control or significantly influence the financial or operating policies of these entities. There were no transactions with those entities and no amounts were owed by the Group to personally owned entities at 30 June</w:t>
      </w:r>
      <w:r w:rsidR="000927A7">
        <w:rPr>
          <w:rFonts w:eastAsiaTheme="majorEastAsia"/>
        </w:rPr>
        <w:t xml:space="preserve"> 2016 (2015: US$ nil; 2014: US$ </w:t>
      </w:r>
      <w:r>
        <w:rPr>
          <w:rFonts w:eastAsiaTheme="majorEastAsia"/>
        </w:rPr>
        <w:t xml:space="preserve">nil) </w:t>
      </w:r>
    </w:p>
    <w:p w14:paraId="4B43563D" w14:textId="77777777" w:rsidR="00D2467F" w:rsidRPr="002E61C6" w:rsidRDefault="00D2467F" w:rsidP="00304F52">
      <w:pPr>
        <w:pStyle w:val="Heading3"/>
      </w:pPr>
      <w:r>
        <w:t>Westpac Banking Corporation</w:t>
      </w:r>
    </w:p>
    <w:p w14:paraId="71503002" w14:textId="77777777" w:rsidR="006371B9" w:rsidRPr="00D2467F" w:rsidRDefault="006371B9" w:rsidP="00304F52">
      <w:pPr>
        <w:pStyle w:val="Heading4"/>
      </w:pPr>
      <w:r>
        <w:t>Financial transactions with Directors and other key management personnel disclosures</w:t>
      </w:r>
      <w:r w:rsidR="00304F52">
        <w:t xml:space="preserve"> p. </w:t>
      </w:r>
      <w:r>
        <w:t>242</w:t>
      </w:r>
    </w:p>
    <w:p w14:paraId="2C4EB25E" w14:textId="77777777" w:rsidR="007748A5" w:rsidRDefault="007748A5" w:rsidP="00304F52">
      <w:pPr>
        <w:rPr>
          <w:rFonts w:eastAsiaTheme="majorEastAsia"/>
        </w:rPr>
      </w:pPr>
      <w:r>
        <w:rPr>
          <w:rFonts w:eastAsiaTheme="majorEastAsia"/>
        </w:rPr>
        <w:t xml:space="preserve">All financial instrument transactions that have occurred during the financial year between the Directors or other key management </w:t>
      </w:r>
      <w:r w:rsidR="00A66DF2">
        <w:rPr>
          <w:rFonts w:eastAsiaTheme="majorEastAsia"/>
        </w:rPr>
        <w:t>personnel and</w:t>
      </w:r>
      <w:r>
        <w:rPr>
          <w:rFonts w:eastAsiaTheme="majorEastAsia"/>
        </w:rPr>
        <w:t xml:space="preserve"> the Group are in the ordinary course of business on normal terms and conditions (including interest and collateral) as apply for comparable transactions with other persons including employees and did not involve more than normal risk of repayment or present other unfavourable features. These transactions comprise principally of normal personal banking and financial investment services.</w:t>
      </w:r>
    </w:p>
    <w:p w14:paraId="621D7A84" w14:textId="77777777" w:rsidR="007748A5" w:rsidRDefault="007748A5" w:rsidP="00304F52">
      <w:pPr>
        <w:rPr>
          <w:rFonts w:eastAsiaTheme="majorEastAsia"/>
        </w:rPr>
      </w:pPr>
      <w:r>
        <w:rPr>
          <w:rFonts w:eastAsiaTheme="majorEastAsia"/>
        </w:rPr>
        <w:t>Details of loans to Directors and other key management personal (including their related parties) of the Group are:</w:t>
      </w:r>
    </w:p>
    <w:tbl>
      <w:tblPr>
        <w:tblStyle w:val="DTFtexttable"/>
        <w:tblW w:w="0" w:type="auto"/>
        <w:tblLook w:val="04A0" w:firstRow="1" w:lastRow="0" w:firstColumn="1" w:lastColumn="0" w:noHBand="0" w:noVBand="1"/>
      </w:tblPr>
      <w:tblGrid>
        <w:gridCol w:w="1227"/>
        <w:gridCol w:w="1582"/>
        <w:gridCol w:w="1583"/>
        <w:gridCol w:w="1582"/>
        <w:gridCol w:w="1583"/>
        <w:gridCol w:w="1583"/>
      </w:tblGrid>
      <w:tr w:rsidR="007748A5" w:rsidRPr="007748A5" w14:paraId="66AB2E74" w14:textId="77777777" w:rsidTr="00304F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7" w:type="dxa"/>
          </w:tcPr>
          <w:p w14:paraId="1FF206E7" w14:textId="77777777" w:rsidR="007748A5" w:rsidRPr="007748A5" w:rsidRDefault="007748A5" w:rsidP="00304F52">
            <w:pPr>
              <w:rPr>
                <w:b w:val="0"/>
              </w:rPr>
            </w:pPr>
            <w:r w:rsidRPr="007748A5">
              <w:t>$</w:t>
            </w:r>
          </w:p>
        </w:tc>
        <w:tc>
          <w:tcPr>
            <w:tcW w:w="1582" w:type="dxa"/>
          </w:tcPr>
          <w:p w14:paraId="22FF8371" w14:textId="77777777" w:rsidR="007748A5" w:rsidRPr="007748A5" w:rsidRDefault="007748A5" w:rsidP="00304F52">
            <w:pPr>
              <w:cnfStyle w:val="100000000000" w:firstRow="1" w:lastRow="0" w:firstColumn="0" w:lastColumn="0" w:oddVBand="0" w:evenVBand="0" w:oddHBand="0" w:evenHBand="0" w:firstRowFirstColumn="0" w:firstRowLastColumn="0" w:lastRowFirstColumn="0" w:lastRowLastColumn="0"/>
              <w:rPr>
                <w:b w:val="0"/>
              </w:rPr>
            </w:pPr>
            <w:r w:rsidRPr="007748A5">
              <w:t xml:space="preserve">Balance at start of </w:t>
            </w:r>
            <w:r w:rsidR="00304F52" w:rsidRPr="007748A5">
              <w:t>year</w:t>
            </w:r>
          </w:p>
        </w:tc>
        <w:tc>
          <w:tcPr>
            <w:tcW w:w="1583" w:type="dxa"/>
          </w:tcPr>
          <w:p w14:paraId="3F625061" w14:textId="77777777" w:rsidR="007748A5" w:rsidRPr="007748A5" w:rsidRDefault="007748A5" w:rsidP="00304F52">
            <w:pPr>
              <w:cnfStyle w:val="100000000000" w:firstRow="1" w:lastRow="0" w:firstColumn="0" w:lastColumn="0" w:oddVBand="0" w:evenVBand="0" w:oddHBand="0" w:evenHBand="0" w:firstRowFirstColumn="0" w:firstRowLastColumn="0" w:lastRowFirstColumn="0" w:lastRowLastColumn="0"/>
              <w:rPr>
                <w:b w:val="0"/>
              </w:rPr>
            </w:pPr>
            <w:r w:rsidRPr="007748A5">
              <w:t xml:space="preserve">Interest paid and payable for the </w:t>
            </w:r>
            <w:r w:rsidR="00304F52" w:rsidRPr="007748A5">
              <w:t>year</w:t>
            </w:r>
          </w:p>
        </w:tc>
        <w:tc>
          <w:tcPr>
            <w:tcW w:w="1582" w:type="dxa"/>
          </w:tcPr>
          <w:p w14:paraId="39B27A45" w14:textId="77777777" w:rsidR="007748A5" w:rsidRPr="007748A5" w:rsidRDefault="007748A5" w:rsidP="00304F52">
            <w:pPr>
              <w:cnfStyle w:val="100000000000" w:firstRow="1" w:lastRow="0" w:firstColumn="0" w:lastColumn="0" w:oddVBand="0" w:evenVBand="0" w:oddHBand="0" w:evenHBand="0" w:firstRowFirstColumn="0" w:firstRowLastColumn="0" w:lastRowFirstColumn="0" w:lastRowLastColumn="0"/>
              <w:rPr>
                <w:b w:val="0"/>
              </w:rPr>
            </w:pPr>
            <w:r w:rsidRPr="007748A5">
              <w:t>Interest not charged</w:t>
            </w:r>
          </w:p>
        </w:tc>
        <w:tc>
          <w:tcPr>
            <w:tcW w:w="1583" w:type="dxa"/>
          </w:tcPr>
          <w:p w14:paraId="0F098B87" w14:textId="77777777" w:rsidR="007748A5" w:rsidRPr="007748A5" w:rsidRDefault="007748A5" w:rsidP="00304F52">
            <w:pPr>
              <w:cnfStyle w:val="100000000000" w:firstRow="1" w:lastRow="0" w:firstColumn="0" w:lastColumn="0" w:oddVBand="0" w:evenVBand="0" w:oddHBand="0" w:evenHBand="0" w:firstRowFirstColumn="0" w:firstRowLastColumn="0" w:lastRowFirstColumn="0" w:lastRowLastColumn="0"/>
              <w:rPr>
                <w:b w:val="0"/>
              </w:rPr>
            </w:pPr>
            <w:r w:rsidRPr="007748A5">
              <w:t xml:space="preserve">Balance at </w:t>
            </w:r>
            <w:r w:rsidR="00304F52" w:rsidRPr="007748A5">
              <w:t>end of year</w:t>
            </w:r>
          </w:p>
        </w:tc>
        <w:tc>
          <w:tcPr>
            <w:tcW w:w="1583" w:type="dxa"/>
          </w:tcPr>
          <w:p w14:paraId="7C3A6114" w14:textId="77777777" w:rsidR="007748A5" w:rsidRPr="007748A5" w:rsidRDefault="007748A5" w:rsidP="00304F52">
            <w:pPr>
              <w:cnfStyle w:val="100000000000" w:firstRow="1" w:lastRow="0" w:firstColumn="0" w:lastColumn="0" w:oddVBand="0" w:evenVBand="0" w:oddHBand="0" w:evenHBand="0" w:firstRowFirstColumn="0" w:firstRowLastColumn="0" w:lastRowFirstColumn="0" w:lastRowLastColumn="0"/>
              <w:rPr>
                <w:b w:val="0"/>
              </w:rPr>
            </w:pPr>
            <w:r w:rsidRPr="007748A5">
              <w:t xml:space="preserve">Number in </w:t>
            </w:r>
            <w:r w:rsidR="00304F52" w:rsidRPr="007748A5">
              <w:t>group at end of year</w:t>
            </w:r>
          </w:p>
        </w:tc>
      </w:tr>
      <w:tr w:rsidR="007748A5" w14:paraId="3D31DAA1" w14:textId="77777777" w:rsidTr="00304F52">
        <w:tc>
          <w:tcPr>
            <w:cnfStyle w:val="001000000000" w:firstRow="0" w:lastRow="0" w:firstColumn="1" w:lastColumn="0" w:oddVBand="0" w:evenVBand="0" w:oddHBand="0" w:evenHBand="0" w:firstRowFirstColumn="0" w:firstRowLastColumn="0" w:lastRowFirstColumn="0" w:lastRowLastColumn="0"/>
            <w:tcW w:w="1227" w:type="dxa"/>
          </w:tcPr>
          <w:p w14:paraId="50221173" w14:textId="77777777" w:rsidR="007748A5" w:rsidRDefault="007748A5" w:rsidP="00304F52">
            <w:r>
              <w:t>2015</w:t>
            </w:r>
          </w:p>
        </w:tc>
        <w:tc>
          <w:tcPr>
            <w:tcW w:w="1582" w:type="dxa"/>
          </w:tcPr>
          <w:p w14:paraId="4604458A" w14:textId="77777777" w:rsidR="007748A5" w:rsidRDefault="007748A5" w:rsidP="00304F52">
            <w:pPr>
              <w:cnfStyle w:val="000000000000" w:firstRow="0" w:lastRow="0" w:firstColumn="0" w:lastColumn="0" w:oddVBand="0" w:evenVBand="0" w:oddHBand="0" w:evenHBand="0" w:firstRowFirstColumn="0" w:firstRowLastColumn="0" w:lastRowFirstColumn="0" w:lastRowLastColumn="0"/>
            </w:pPr>
            <w:r>
              <w:t>18</w:t>
            </w:r>
            <w:r w:rsidR="00304F52">
              <w:t> </w:t>
            </w:r>
            <w:r>
              <w:t>442</w:t>
            </w:r>
            <w:r w:rsidR="00304F52">
              <w:t> </w:t>
            </w:r>
            <w:r>
              <w:t>040</w:t>
            </w:r>
          </w:p>
        </w:tc>
        <w:tc>
          <w:tcPr>
            <w:tcW w:w="1583" w:type="dxa"/>
          </w:tcPr>
          <w:p w14:paraId="2CEC9407" w14:textId="77777777" w:rsidR="007748A5" w:rsidRDefault="007748A5" w:rsidP="00304F52">
            <w:pPr>
              <w:cnfStyle w:val="000000000000" w:firstRow="0" w:lastRow="0" w:firstColumn="0" w:lastColumn="0" w:oddVBand="0" w:evenVBand="0" w:oddHBand="0" w:evenHBand="0" w:firstRowFirstColumn="0" w:firstRowLastColumn="0" w:lastRowFirstColumn="0" w:lastRowLastColumn="0"/>
            </w:pPr>
            <w:r>
              <w:t>867</w:t>
            </w:r>
            <w:r w:rsidR="00304F52">
              <w:t> </w:t>
            </w:r>
            <w:r>
              <w:t>564</w:t>
            </w:r>
          </w:p>
        </w:tc>
        <w:tc>
          <w:tcPr>
            <w:tcW w:w="1582" w:type="dxa"/>
          </w:tcPr>
          <w:p w14:paraId="0AF7A2AB" w14:textId="77777777" w:rsidR="007748A5" w:rsidRDefault="000927A7" w:rsidP="00304F52">
            <w:pPr>
              <w:cnfStyle w:val="000000000000" w:firstRow="0" w:lastRow="0" w:firstColumn="0" w:lastColumn="0" w:oddVBand="0" w:evenVBand="0" w:oddHBand="0" w:evenHBand="0" w:firstRowFirstColumn="0" w:firstRowLastColumn="0" w:lastRowFirstColumn="0" w:lastRowLastColumn="0"/>
            </w:pPr>
            <w:r>
              <w:t>–</w:t>
            </w:r>
          </w:p>
        </w:tc>
        <w:tc>
          <w:tcPr>
            <w:tcW w:w="1583" w:type="dxa"/>
          </w:tcPr>
          <w:p w14:paraId="59283098" w14:textId="77777777" w:rsidR="007748A5" w:rsidRDefault="007748A5" w:rsidP="00304F52">
            <w:pPr>
              <w:cnfStyle w:val="000000000000" w:firstRow="0" w:lastRow="0" w:firstColumn="0" w:lastColumn="0" w:oddVBand="0" w:evenVBand="0" w:oddHBand="0" w:evenHBand="0" w:firstRowFirstColumn="0" w:firstRowLastColumn="0" w:lastRowFirstColumn="0" w:lastRowLastColumn="0"/>
            </w:pPr>
            <w:r>
              <w:t>15</w:t>
            </w:r>
            <w:r w:rsidR="00304F52">
              <w:t> </w:t>
            </w:r>
            <w:r>
              <w:t>445</w:t>
            </w:r>
            <w:r w:rsidR="00304F52">
              <w:t> </w:t>
            </w:r>
            <w:r>
              <w:t>388</w:t>
            </w:r>
          </w:p>
        </w:tc>
        <w:tc>
          <w:tcPr>
            <w:tcW w:w="1583" w:type="dxa"/>
          </w:tcPr>
          <w:p w14:paraId="75DD1314" w14:textId="77777777" w:rsidR="007748A5" w:rsidRDefault="007748A5" w:rsidP="00304F52">
            <w:pPr>
              <w:cnfStyle w:val="000000000000" w:firstRow="0" w:lastRow="0" w:firstColumn="0" w:lastColumn="0" w:oddVBand="0" w:evenVBand="0" w:oddHBand="0" w:evenHBand="0" w:firstRowFirstColumn="0" w:firstRowLastColumn="0" w:lastRowFirstColumn="0" w:lastRowLastColumn="0"/>
            </w:pPr>
            <w:r>
              <w:t>10</w:t>
            </w:r>
          </w:p>
        </w:tc>
      </w:tr>
      <w:tr w:rsidR="007748A5" w14:paraId="5221DDA5" w14:textId="77777777" w:rsidTr="00304F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3C9D2FC6" w14:textId="77777777" w:rsidR="007748A5" w:rsidRDefault="007748A5" w:rsidP="00304F52">
            <w:r>
              <w:t>2014</w:t>
            </w:r>
          </w:p>
        </w:tc>
        <w:tc>
          <w:tcPr>
            <w:tcW w:w="1582" w:type="dxa"/>
          </w:tcPr>
          <w:p w14:paraId="753E9E3C" w14:textId="77777777" w:rsidR="007748A5" w:rsidRDefault="007748A5" w:rsidP="00304F52">
            <w:pPr>
              <w:cnfStyle w:val="000000010000" w:firstRow="0" w:lastRow="0" w:firstColumn="0" w:lastColumn="0" w:oddVBand="0" w:evenVBand="0" w:oddHBand="0" w:evenHBand="1" w:firstRowFirstColumn="0" w:firstRowLastColumn="0" w:lastRowFirstColumn="0" w:lastRowLastColumn="0"/>
            </w:pPr>
            <w:r>
              <w:t>14</w:t>
            </w:r>
            <w:r w:rsidR="00304F52">
              <w:t> </w:t>
            </w:r>
            <w:r>
              <w:t>837</w:t>
            </w:r>
            <w:r w:rsidR="00304F52">
              <w:t> </w:t>
            </w:r>
            <w:r>
              <w:t>949</w:t>
            </w:r>
          </w:p>
        </w:tc>
        <w:tc>
          <w:tcPr>
            <w:tcW w:w="1583" w:type="dxa"/>
          </w:tcPr>
          <w:p w14:paraId="7E4965CB" w14:textId="77777777" w:rsidR="007748A5" w:rsidRDefault="007748A5" w:rsidP="00304F52">
            <w:pPr>
              <w:cnfStyle w:val="000000010000" w:firstRow="0" w:lastRow="0" w:firstColumn="0" w:lastColumn="0" w:oddVBand="0" w:evenVBand="0" w:oddHBand="0" w:evenHBand="1" w:firstRowFirstColumn="0" w:firstRowLastColumn="0" w:lastRowFirstColumn="0" w:lastRowLastColumn="0"/>
            </w:pPr>
            <w:r>
              <w:t>884</w:t>
            </w:r>
            <w:r w:rsidR="00304F52">
              <w:t> </w:t>
            </w:r>
            <w:r>
              <w:t>631</w:t>
            </w:r>
          </w:p>
        </w:tc>
        <w:tc>
          <w:tcPr>
            <w:tcW w:w="1582" w:type="dxa"/>
          </w:tcPr>
          <w:p w14:paraId="60D322A4" w14:textId="77777777" w:rsidR="007748A5" w:rsidRDefault="000927A7" w:rsidP="00304F52">
            <w:pPr>
              <w:cnfStyle w:val="000000010000" w:firstRow="0" w:lastRow="0" w:firstColumn="0" w:lastColumn="0" w:oddVBand="0" w:evenVBand="0" w:oddHBand="0" w:evenHBand="1" w:firstRowFirstColumn="0" w:firstRowLastColumn="0" w:lastRowFirstColumn="0" w:lastRowLastColumn="0"/>
            </w:pPr>
            <w:r>
              <w:t>–</w:t>
            </w:r>
          </w:p>
        </w:tc>
        <w:tc>
          <w:tcPr>
            <w:tcW w:w="1583" w:type="dxa"/>
          </w:tcPr>
          <w:p w14:paraId="1EE4DE33" w14:textId="77777777" w:rsidR="007748A5" w:rsidRDefault="007748A5" w:rsidP="00304F52">
            <w:pPr>
              <w:cnfStyle w:val="000000010000" w:firstRow="0" w:lastRow="0" w:firstColumn="0" w:lastColumn="0" w:oddVBand="0" w:evenVBand="0" w:oddHBand="0" w:evenHBand="1" w:firstRowFirstColumn="0" w:firstRowLastColumn="0" w:lastRowFirstColumn="0" w:lastRowLastColumn="0"/>
            </w:pPr>
            <w:r>
              <w:t>18</w:t>
            </w:r>
            <w:r w:rsidR="00304F52">
              <w:t> </w:t>
            </w:r>
            <w:r>
              <w:t>442</w:t>
            </w:r>
            <w:r w:rsidR="00304F52">
              <w:t> </w:t>
            </w:r>
            <w:r>
              <w:t>040</w:t>
            </w:r>
          </w:p>
        </w:tc>
        <w:tc>
          <w:tcPr>
            <w:tcW w:w="1583" w:type="dxa"/>
          </w:tcPr>
          <w:p w14:paraId="4D2CFE3A" w14:textId="77777777" w:rsidR="007748A5" w:rsidRDefault="007748A5" w:rsidP="00304F52">
            <w:pPr>
              <w:cnfStyle w:val="000000010000" w:firstRow="0" w:lastRow="0" w:firstColumn="0" w:lastColumn="0" w:oddVBand="0" w:evenVBand="0" w:oddHBand="0" w:evenHBand="1" w:firstRowFirstColumn="0" w:firstRowLastColumn="0" w:lastRowFirstColumn="0" w:lastRowLastColumn="0"/>
            </w:pPr>
            <w:r>
              <w:t>10</w:t>
            </w:r>
          </w:p>
        </w:tc>
      </w:tr>
    </w:tbl>
    <w:p w14:paraId="7840F654" w14:textId="77777777" w:rsidR="00D2467F" w:rsidRDefault="00D2467F" w:rsidP="00304F52">
      <w:pPr>
        <w:rPr>
          <w:rFonts w:eastAsiaTheme="majorEastAsia"/>
        </w:rPr>
      </w:pPr>
    </w:p>
    <w:p w14:paraId="6F36EA3A" w14:textId="77777777" w:rsidR="00E609A6" w:rsidRPr="002E61C6" w:rsidRDefault="00E609A6" w:rsidP="00304F52">
      <w:pPr>
        <w:pStyle w:val="Heading3"/>
      </w:pPr>
      <w:r>
        <w:lastRenderedPageBreak/>
        <w:t>Australia and New Zealand Banking Group Limited</w:t>
      </w:r>
    </w:p>
    <w:p w14:paraId="28C49AB3" w14:textId="77777777" w:rsidR="00E609A6" w:rsidRPr="00D2467F" w:rsidRDefault="00E609A6" w:rsidP="00304F52">
      <w:pPr>
        <w:pStyle w:val="Heading4"/>
      </w:pPr>
      <w:r>
        <w:t>Other transactions of key management personnel and their related parties</w:t>
      </w:r>
      <w:r w:rsidRPr="00D2467F">
        <w:t xml:space="preserve"> p. </w:t>
      </w:r>
      <w:r>
        <w:t>164</w:t>
      </w:r>
    </w:p>
    <w:p w14:paraId="196F8099" w14:textId="77777777" w:rsidR="00310B91" w:rsidRDefault="00310B91" w:rsidP="00304F52">
      <w:pPr>
        <w:rPr>
          <w:rFonts w:eastAsiaTheme="majorEastAsia"/>
        </w:rPr>
      </w:pPr>
      <w:r>
        <w:rPr>
          <w:rFonts w:eastAsiaTheme="majorEastAsia"/>
        </w:rPr>
        <w:t xml:space="preserve">All other transactions with KMP and their related parties are made on terms equivalent for those that prevail in arm’s length </w:t>
      </w:r>
      <w:r w:rsidR="00A66DF2">
        <w:rPr>
          <w:rFonts w:eastAsiaTheme="majorEastAsia"/>
        </w:rPr>
        <w:t xml:space="preserve">transactions. </w:t>
      </w:r>
      <w:r>
        <w:rPr>
          <w:rFonts w:eastAsiaTheme="majorEastAsia"/>
        </w:rPr>
        <w:t>These transactions generally involve the provision of financial and investment services including services to eligible international assignees ensuring they are neither financially advantaged nor disadvantaged by their relocation. All such transactions that have occurred with KMP and their related parties have been trivial or domestic in nature. In this context, transactions are only disclosed when they are considered of interest to the users of the financial report in making and evaluation decisions about the allocation of scarce resources.</w:t>
      </w:r>
    </w:p>
    <w:p w14:paraId="65A53091" w14:textId="77777777" w:rsidR="00D35072" w:rsidRPr="002E61C6" w:rsidRDefault="00413C32" w:rsidP="00304F52">
      <w:pPr>
        <w:pStyle w:val="Heading3"/>
      </w:pPr>
      <w:r>
        <w:t>Brambles Limited</w:t>
      </w:r>
    </w:p>
    <w:p w14:paraId="0D45135B" w14:textId="77777777" w:rsidR="005B7B66" w:rsidRPr="00304F52" w:rsidRDefault="005B7B66" w:rsidP="00304F52">
      <w:pPr>
        <w:pStyle w:val="Heading4"/>
      </w:pPr>
      <w:r>
        <w:t>Related party information</w:t>
      </w:r>
      <w:r w:rsidR="00D35072">
        <w:t xml:space="preserve"> </w:t>
      </w:r>
      <w:r w:rsidR="00D35072" w:rsidRPr="00D2467F">
        <w:t xml:space="preserve">p. </w:t>
      </w:r>
      <w:r w:rsidR="00413C32">
        <w:t>7</w:t>
      </w:r>
      <w:r w:rsidR="00D35072">
        <w:t>6</w:t>
      </w:r>
      <w:r w:rsidR="00304F52">
        <w:br/>
      </w:r>
      <w:r w:rsidRPr="00304F52">
        <w:t>Other transactions</w:t>
      </w:r>
      <w:r>
        <w:rPr>
          <w:rFonts w:cstheme="minorHAnsi"/>
          <w:color w:val="000000" w:themeColor="text1"/>
        </w:rPr>
        <w:t xml:space="preserve"> </w:t>
      </w:r>
    </w:p>
    <w:p w14:paraId="2E043405" w14:textId="77777777" w:rsidR="005B7B66" w:rsidRDefault="005B7B66" w:rsidP="00304F52">
      <w:pPr>
        <w:rPr>
          <w:rFonts w:eastAsiaTheme="majorEastAsia"/>
        </w:rPr>
      </w:pPr>
      <w:r>
        <w:rPr>
          <w:rFonts w:eastAsiaTheme="majorEastAsia"/>
        </w:rPr>
        <w:t>Other transactions entered into during the year with Directors of Brambles Limited; with Director-related entities; with Key Management Personnel; or with KMP-related entities were on terms and conditions no more favourable than those available to other employees, customers or suppliers and include transactions in respect of the employee share option plans, contracts of employment and reimbursement of expenses. Any other transactions were trivial or domestic in nature.</w:t>
      </w:r>
    </w:p>
    <w:p w14:paraId="724C72DD" w14:textId="77777777" w:rsidR="005B7B66" w:rsidRPr="00D2467F" w:rsidRDefault="005B7B66" w:rsidP="00304F52">
      <w:pPr>
        <w:pStyle w:val="Heading4"/>
      </w:pPr>
      <w:r>
        <w:t>Other related parties</w:t>
      </w:r>
    </w:p>
    <w:p w14:paraId="79DF7A53" w14:textId="77777777" w:rsidR="005B7B66" w:rsidRDefault="005B7B66" w:rsidP="00304F52">
      <w:pPr>
        <w:rPr>
          <w:rFonts w:eastAsiaTheme="majorEastAsia"/>
        </w:rPr>
      </w:pPr>
      <w:r>
        <w:rPr>
          <w:rFonts w:eastAsiaTheme="majorEastAsia"/>
        </w:rPr>
        <w:t>A subsidiary has a non-interest bearing advance outstanding as at 30 June 2016 of YS$1</w:t>
      </w:r>
      <w:r w:rsidR="000927A7">
        <w:rPr>
          <w:rFonts w:eastAsiaTheme="majorEastAsia"/>
        </w:rPr>
        <w:t> </w:t>
      </w:r>
      <w:r>
        <w:rPr>
          <w:rFonts w:eastAsiaTheme="majorEastAsia"/>
        </w:rPr>
        <w:t>054</w:t>
      </w:r>
      <w:r w:rsidR="000927A7">
        <w:rPr>
          <w:rFonts w:eastAsiaTheme="majorEastAsia"/>
        </w:rPr>
        <w:t> </w:t>
      </w:r>
      <w:r>
        <w:rPr>
          <w:rFonts w:eastAsiaTheme="majorEastAsia"/>
        </w:rPr>
        <w:t>000 (2015: US$1</w:t>
      </w:r>
      <w:r w:rsidR="000927A7">
        <w:rPr>
          <w:rFonts w:eastAsiaTheme="majorEastAsia"/>
        </w:rPr>
        <w:t> </w:t>
      </w:r>
      <w:r>
        <w:rPr>
          <w:rFonts w:eastAsiaTheme="majorEastAsia"/>
        </w:rPr>
        <w:t>095</w:t>
      </w:r>
      <w:r w:rsidR="000927A7">
        <w:rPr>
          <w:rFonts w:eastAsiaTheme="majorEastAsia"/>
        </w:rPr>
        <w:t> </w:t>
      </w:r>
      <w:r>
        <w:rPr>
          <w:rFonts w:eastAsiaTheme="majorEastAsia"/>
        </w:rPr>
        <w:t>000) to Brambles Custodians Pty Limited, the trustee under Brambles’ employee loan scheme. This scheme enabled employees to acquire shares in BIL and has been closed to new entrants since August 2002.</w:t>
      </w:r>
    </w:p>
    <w:p w14:paraId="0D64ADAE" w14:textId="77777777" w:rsidR="002D1B5B" w:rsidRPr="002E61C6" w:rsidRDefault="00763EDF" w:rsidP="00304F52">
      <w:pPr>
        <w:pStyle w:val="Heading3"/>
      </w:pPr>
      <w:r>
        <w:t>Blackmores Limited</w:t>
      </w:r>
    </w:p>
    <w:p w14:paraId="6A67927F" w14:textId="77777777" w:rsidR="000E5563" w:rsidRPr="00851E8C" w:rsidRDefault="00413185" w:rsidP="00304F52">
      <w:pPr>
        <w:pStyle w:val="Heading4"/>
        <w:rPr>
          <w:rFonts w:cstheme="minorHAnsi"/>
          <w:b w:val="0"/>
          <w:bCs w:val="0"/>
          <w:color w:val="000000" w:themeColor="text1"/>
        </w:rPr>
      </w:pPr>
      <w:r>
        <w:t xml:space="preserve">Related party and </w:t>
      </w:r>
      <w:r w:rsidR="002D1B5B">
        <w:t xml:space="preserve">key management </w:t>
      </w:r>
      <w:r w:rsidR="00766888">
        <w:t>personnel disclosures</w:t>
      </w:r>
      <w:r w:rsidR="002D1B5B" w:rsidRPr="00D2467F">
        <w:t xml:space="preserve"> p. </w:t>
      </w:r>
      <w:r>
        <w:t>95</w:t>
      </w:r>
      <w:r w:rsidR="00304F52">
        <w:br/>
      </w:r>
      <w:r w:rsidR="000E5563" w:rsidRPr="00304F52">
        <w:t>Other related party transactions</w:t>
      </w:r>
    </w:p>
    <w:p w14:paraId="226C0B5F" w14:textId="77777777" w:rsidR="000E5563" w:rsidRPr="000E5563" w:rsidRDefault="000E5563" w:rsidP="00304F52">
      <w:pPr>
        <w:rPr>
          <w:rFonts w:eastAsiaTheme="majorEastAsia"/>
        </w:rPr>
      </w:pPr>
      <w:r w:rsidRPr="000E5563">
        <w:rPr>
          <w:rFonts w:eastAsiaTheme="majorEastAsia"/>
        </w:rPr>
        <w:t>During the financial year ended 30 June 2016, the following transactions occurred between the Group and its other related parties:</w:t>
      </w:r>
    </w:p>
    <w:p w14:paraId="25FD114E" w14:textId="77777777" w:rsidR="000E5563" w:rsidRPr="000E5563" w:rsidRDefault="000E5563" w:rsidP="00304F52">
      <w:pPr>
        <w:rPr>
          <w:rFonts w:eastAsiaTheme="majorEastAsia"/>
        </w:rPr>
      </w:pPr>
      <w:r w:rsidRPr="000E5563">
        <w:rPr>
          <w:rFonts w:eastAsiaTheme="majorEastAsia"/>
        </w:rPr>
        <w:t>Galileo Kaleidoscope Pty Ltd, a company of which Brent Wallace is a Director, performed certain consulting services for the Company for</w:t>
      </w:r>
      <w:r w:rsidR="00413185">
        <w:rPr>
          <w:rFonts w:eastAsiaTheme="majorEastAsia"/>
        </w:rPr>
        <w:t xml:space="preserve"> </w:t>
      </w:r>
      <w:r w:rsidRPr="000E5563">
        <w:rPr>
          <w:rFonts w:eastAsiaTheme="majorEastAsia"/>
        </w:rPr>
        <w:t>which fees of $100</w:t>
      </w:r>
      <w:r w:rsidR="000927A7">
        <w:rPr>
          <w:rFonts w:eastAsiaTheme="majorEastAsia"/>
        </w:rPr>
        <w:t> </w:t>
      </w:r>
      <w:r w:rsidRPr="000E5563">
        <w:rPr>
          <w:rFonts w:eastAsiaTheme="majorEastAsia"/>
        </w:rPr>
        <w:t>675 (2015: $259</w:t>
      </w:r>
      <w:r w:rsidR="000927A7">
        <w:rPr>
          <w:rFonts w:eastAsiaTheme="majorEastAsia"/>
        </w:rPr>
        <w:t> </w:t>
      </w:r>
      <w:r w:rsidRPr="000E5563">
        <w:rPr>
          <w:rFonts w:eastAsiaTheme="majorEastAsia"/>
        </w:rPr>
        <w:t>246) were charged.</w:t>
      </w:r>
    </w:p>
    <w:p w14:paraId="788DB659" w14:textId="77777777" w:rsidR="00304F52" w:rsidRDefault="00304F52">
      <w:pPr>
        <w:spacing w:before="0" w:after="200"/>
        <w:rPr>
          <w:rFonts w:asciiTheme="majorHAnsi" w:eastAsiaTheme="majorEastAsia" w:hAnsiTheme="majorHAnsi" w:cstheme="majorBidi"/>
          <w:b/>
          <w:bCs/>
          <w:color w:val="201547"/>
          <w:spacing w:val="-1"/>
          <w:sz w:val="32"/>
          <w:szCs w:val="28"/>
        </w:rPr>
      </w:pPr>
      <w:r>
        <w:br w:type="page"/>
      </w:r>
    </w:p>
    <w:p w14:paraId="6F996C71" w14:textId="2E260FFA" w:rsidR="00035EBD" w:rsidRPr="00035EBD" w:rsidRDefault="0002346A" w:rsidP="00304F52">
      <w:pPr>
        <w:pStyle w:val="Heading1"/>
      </w:pPr>
      <w:r>
        <w:lastRenderedPageBreak/>
        <w:t>Potential disclosures f</w:t>
      </w:r>
      <w:r w:rsidR="00035EBD" w:rsidRPr="00035EBD">
        <w:t xml:space="preserve">or inclusion in the draft </w:t>
      </w:r>
      <w:r w:rsidR="00035EBD" w:rsidRPr="00304F52">
        <w:rPr>
          <w:i/>
        </w:rPr>
        <w:t>Model Report for Victorian Government Departments</w:t>
      </w:r>
    </w:p>
    <w:p w14:paraId="6BE20B7B" w14:textId="77777777" w:rsidR="00035EBD" w:rsidRPr="00035EBD" w:rsidRDefault="00035EBD" w:rsidP="00304F52">
      <w:pPr>
        <w:pStyle w:val="Heading3"/>
      </w:pPr>
      <w:r w:rsidRPr="00035EBD">
        <w:t xml:space="preserve">Note X. Related </w:t>
      </w:r>
      <w:r w:rsidR="000927A7" w:rsidRPr="00035EBD">
        <w:t>party transactions</w:t>
      </w:r>
    </w:p>
    <w:p w14:paraId="59DF6531" w14:textId="77777777" w:rsidR="00035EBD" w:rsidRPr="00035EBD" w:rsidRDefault="00035EBD" w:rsidP="00035EBD">
      <w:r w:rsidRPr="00035EBD">
        <w:t>The department is a wholly owned and controlled entity of the State of Victoria.</w:t>
      </w:r>
    </w:p>
    <w:p w14:paraId="6A39FE36" w14:textId="77777777" w:rsidR="00035EBD" w:rsidRPr="00035EBD" w:rsidRDefault="00035EBD" w:rsidP="00035EBD">
      <w:r w:rsidRPr="00035EBD">
        <w:t>Related parties of the department include:</w:t>
      </w:r>
    </w:p>
    <w:p w14:paraId="4DDA4FA8" w14:textId="77777777" w:rsidR="00035EBD" w:rsidRPr="00035EBD" w:rsidRDefault="00035EBD" w:rsidP="00035EBD">
      <w:pPr>
        <w:numPr>
          <w:ilvl w:val="0"/>
          <w:numId w:val="1"/>
        </w:numPr>
        <w:spacing w:before="100" w:line="240" w:lineRule="auto"/>
        <w:contextualSpacing/>
        <w:rPr>
          <w:rFonts w:eastAsia="Times New Roman" w:cs="Calibri"/>
        </w:rPr>
      </w:pPr>
      <w:r w:rsidRPr="00035EBD">
        <w:rPr>
          <w:rFonts w:eastAsia="Times New Roman" w:cs="Calibri"/>
        </w:rPr>
        <w:t>all key management personnel</w:t>
      </w:r>
      <w:r w:rsidR="0065195F">
        <w:rPr>
          <w:rFonts w:eastAsia="Times New Roman" w:cs="Calibri"/>
        </w:rPr>
        <w:t>,</w:t>
      </w:r>
      <w:r w:rsidRPr="00035EBD">
        <w:rPr>
          <w:rFonts w:eastAsia="Times New Roman" w:cs="Calibri"/>
        </w:rPr>
        <w:t xml:space="preserve"> their close family members</w:t>
      </w:r>
      <w:r w:rsidR="0065195F">
        <w:rPr>
          <w:rFonts w:eastAsia="Times New Roman" w:cs="Calibri"/>
        </w:rPr>
        <w:t xml:space="preserve"> and business interests (controlled entities, joint ventures</w:t>
      </w:r>
      <w:r w:rsidR="006A7EC5">
        <w:rPr>
          <w:rFonts w:eastAsia="Times New Roman" w:cs="Calibri"/>
        </w:rPr>
        <w:t xml:space="preserve"> and entities they have significant influence over</w:t>
      </w:r>
      <w:r w:rsidR="0065195F">
        <w:rPr>
          <w:rFonts w:eastAsia="Times New Roman" w:cs="Calibri"/>
        </w:rPr>
        <w:t>)</w:t>
      </w:r>
      <w:r w:rsidRPr="00035EBD">
        <w:rPr>
          <w:rFonts w:eastAsia="Times New Roman" w:cs="Calibri"/>
        </w:rPr>
        <w:t>;</w:t>
      </w:r>
    </w:p>
    <w:p w14:paraId="4B2ECB67" w14:textId="77777777" w:rsidR="00035EBD" w:rsidRPr="00035EBD" w:rsidRDefault="00035EBD" w:rsidP="00035EBD">
      <w:pPr>
        <w:numPr>
          <w:ilvl w:val="0"/>
          <w:numId w:val="1"/>
        </w:numPr>
        <w:spacing w:before="100" w:line="240" w:lineRule="auto"/>
        <w:contextualSpacing/>
        <w:rPr>
          <w:rFonts w:eastAsia="Times New Roman" w:cs="Calibri"/>
        </w:rPr>
      </w:pPr>
      <w:r w:rsidRPr="00035EBD">
        <w:rPr>
          <w:rFonts w:eastAsia="Times New Roman" w:cs="Calibri"/>
        </w:rPr>
        <w:t>all cabinet ministers and their close family members; and</w:t>
      </w:r>
    </w:p>
    <w:p w14:paraId="5D3E136B" w14:textId="77777777" w:rsidR="00035EBD" w:rsidRPr="00035EBD" w:rsidRDefault="00035EBD" w:rsidP="00035EBD">
      <w:pPr>
        <w:numPr>
          <w:ilvl w:val="0"/>
          <w:numId w:val="1"/>
        </w:numPr>
        <w:spacing w:before="100" w:line="240" w:lineRule="auto"/>
        <w:contextualSpacing/>
        <w:rPr>
          <w:rFonts w:eastAsia="Times New Roman" w:cs="Calibri"/>
        </w:rPr>
      </w:pPr>
      <w:r w:rsidRPr="00035EBD">
        <w:rPr>
          <w:rFonts w:eastAsia="Times New Roman" w:cs="Calibri"/>
        </w:rPr>
        <w:t>all departments and public sector entities that are controlled and consolidated into the whole of state consolidated financial statements.</w:t>
      </w:r>
    </w:p>
    <w:p w14:paraId="317BEA61" w14:textId="77777777" w:rsidR="00035EBD" w:rsidRPr="00035EBD" w:rsidRDefault="00035EBD" w:rsidP="00035EBD">
      <w:r w:rsidRPr="00035EBD">
        <w:t>All related party transactions have been entered into on an arm’s length basis.</w:t>
      </w:r>
    </w:p>
    <w:p w14:paraId="79DB6466" w14:textId="77777777" w:rsidR="00035EBD" w:rsidRPr="000927A7" w:rsidRDefault="00035EBD" w:rsidP="000927A7">
      <w:pPr>
        <w:pStyle w:val="Heading3"/>
      </w:pPr>
      <w:r w:rsidRPr="000927A7">
        <w:rPr>
          <w:rStyle w:val="Heading2Char"/>
          <w:b/>
          <w:bCs/>
          <w:sz w:val="22"/>
          <w:szCs w:val="22"/>
        </w:rPr>
        <w:t>K</w:t>
      </w:r>
      <w:r w:rsidRPr="000927A7">
        <w:t xml:space="preserve">ey </w:t>
      </w:r>
      <w:r w:rsidR="00304F52" w:rsidRPr="000927A7">
        <w:t>management personnel</w:t>
      </w:r>
    </w:p>
    <w:p w14:paraId="70A7A319" w14:textId="77777777" w:rsidR="00035EBD" w:rsidRPr="00035EBD" w:rsidRDefault="00035EBD" w:rsidP="00035EBD">
      <w:r w:rsidRPr="00035EBD">
        <w:t xml:space="preserve">Key management personnel of the department include the Portfolio Minister, the Secretary, Deputy Secretary and members of the Executive Team. The compensation detailed below excludes the salaries and benefits the Portfolio Minister receives. The Minister’s remuneration and allowances is set by the </w:t>
      </w:r>
      <w:r w:rsidRPr="00035EBD">
        <w:rPr>
          <w:i/>
        </w:rPr>
        <w:t>Parliamentary Salaries and Superannuation Act 1968</w:t>
      </w:r>
      <w:r w:rsidRPr="00035EBD">
        <w:t xml:space="preserve"> </w:t>
      </w:r>
      <w:r w:rsidR="00016459">
        <w:t xml:space="preserve">and </w:t>
      </w:r>
      <w:r w:rsidRPr="00035EBD">
        <w:t>is reported within the Department of P</w:t>
      </w:r>
      <w:r w:rsidR="00016459">
        <w:t>arliamentary Service</w:t>
      </w:r>
      <w:r w:rsidRPr="00035EBD">
        <w:t>’s Financial Report.</w:t>
      </w:r>
    </w:p>
    <w:tbl>
      <w:tblPr>
        <w:tblStyle w:val="DTFtexttable"/>
        <w:tblW w:w="0" w:type="auto"/>
        <w:tblLook w:val="0620" w:firstRow="1" w:lastRow="0" w:firstColumn="0" w:lastColumn="0" w:noHBand="1" w:noVBand="1"/>
      </w:tblPr>
      <w:tblGrid>
        <w:gridCol w:w="6554"/>
        <w:gridCol w:w="2586"/>
      </w:tblGrid>
      <w:tr w:rsidR="00035EBD" w:rsidRPr="00035EBD" w14:paraId="213E9778" w14:textId="77777777" w:rsidTr="00304F52">
        <w:trPr>
          <w:cnfStyle w:val="100000000000" w:firstRow="1" w:lastRow="0" w:firstColumn="0" w:lastColumn="0" w:oddVBand="0" w:evenVBand="0" w:oddHBand="0" w:evenHBand="0" w:firstRowFirstColumn="0" w:firstRowLastColumn="0" w:lastRowFirstColumn="0" w:lastRowLastColumn="0"/>
        </w:trPr>
        <w:tc>
          <w:tcPr>
            <w:tcW w:w="6554" w:type="dxa"/>
          </w:tcPr>
          <w:p w14:paraId="6A28F4A2" w14:textId="77777777" w:rsidR="00035EBD" w:rsidRPr="00035EBD" w:rsidRDefault="00035EBD" w:rsidP="00304F52">
            <w:pPr>
              <w:spacing w:before="100"/>
              <w:rPr>
                <w:b w:val="0"/>
              </w:rPr>
            </w:pPr>
            <w:r w:rsidRPr="00035EBD">
              <w:t>Compensation</w:t>
            </w:r>
          </w:p>
        </w:tc>
        <w:tc>
          <w:tcPr>
            <w:tcW w:w="2586" w:type="dxa"/>
          </w:tcPr>
          <w:p w14:paraId="403DE31D" w14:textId="77777777" w:rsidR="00035EBD" w:rsidRPr="00035EBD" w:rsidRDefault="00035EBD" w:rsidP="00304F52">
            <w:pPr>
              <w:spacing w:before="100"/>
              <w:rPr>
                <w:b w:val="0"/>
              </w:rPr>
            </w:pPr>
            <w:r w:rsidRPr="00035EBD">
              <w:t xml:space="preserve">2017 </w:t>
            </w:r>
            <w:r w:rsidRPr="00035EBD">
              <w:br/>
              <w:t>($’000)</w:t>
            </w:r>
          </w:p>
        </w:tc>
      </w:tr>
      <w:tr w:rsidR="00035EBD" w:rsidRPr="00035EBD" w14:paraId="769AAA29" w14:textId="77777777" w:rsidTr="00304F52">
        <w:tc>
          <w:tcPr>
            <w:tcW w:w="6554" w:type="dxa"/>
          </w:tcPr>
          <w:p w14:paraId="79459874" w14:textId="77777777" w:rsidR="00035EBD" w:rsidRPr="00035EBD" w:rsidRDefault="00035EBD" w:rsidP="00304F52">
            <w:pPr>
              <w:spacing w:before="100"/>
            </w:pPr>
            <w:r w:rsidRPr="00035EBD">
              <w:t>Salaries and other short term employee benefits</w:t>
            </w:r>
          </w:p>
        </w:tc>
        <w:tc>
          <w:tcPr>
            <w:tcW w:w="2586" w:type="dxa"/>
          </w:tcPr>
          <w:p w14:paraId="7DF68D60" w14:textId="77777777" w:rsidR="00035EBD" w:rsidRPr="00035EBD" w:rsidRDefault="00035EBD" w:rsidP="00304F52">
            <w:pPr>
              <w:spacing w:before="100"/>
            </w:pPr>
          </w:p>
        </w:tc>
      </w:tr>
      <w:tr w:rsidR="00035EBD" w:rsidRPr="00035EBD" w14:paraId="5FF217DF" w14:textId="77777777" w:rsidTr="00304F52">
        <w:tc>
          <w:tcPr>
            <w:tcW w:w="6554" w:type="dxa"/>
          </w:tcPr>
          <w:p w14:paraId="267EE4B3" w14:textId="77777777" w:rsidR="00035EBD" w:rsidRPr="00035EBD" w:rsidRDefault="00035EBD" w:rsidP="00304F52">
            <w:pPr>
              <w:spacing w:before="100"/>
            </w:pPr>
            <w:r w:rsidRPr="00035EBD">
              <w:t>Post-employment benefits</w:t>
            </w:r>
          </w:p>
        </w:tc>
        <w:tc>
          <w:tcPr>
            <w:tcW w:w="2586" w:type="dxa"/>
          </w:tcPr>
          <w:p w14:paraId="6D187FF7" w14:textId="77777777" w:rsidR="00035EBD" w:rsidRPr="00035EBD" w:rsidRDefault="00035EBD" w:rsidP="00304F52">
            <w:pPr>
              <w:spacing w:before="100"/>
            </w:pPr>
          </w:p>
        </w:tc>
      </w:tr>
      <w:tr w:rsidR="00035EBD" w:rsidRPr="00035EBD" w14:paraId="74F1914A" w14:textId="77777777" w:rsidTr="00304F52">
        <w:tc>
          <w:tcPr>
            <w:tcW w:w="6554" w:type="dxa"/>
          </w:tcPr>
          <w:p w14:paraId="658AAAA3" w14:textId="77777777" w:rsidR="00035EBD" w:rsidRPr="00035EBD" w:rsidRDefault="00035EBD" w:rsidP="00304F52">
            <w:pPr>
              <w:spacing w:before="100"/>
            </w:pPr>
            <w:r w:rsidRPr="00035EBD">
              <w:t xml:space="preserve">Other long-term employment benefits </w:t>
            </w:r>
          </w:p>
        </w:tc>
        <w:tc>
          <w:tcPr>
            <w:tcW w:w="2586" w:type="dxa"/>
          </w:tcPr>
          <w:p w14:paraId="13C12D3F" w14:textId="77777777" w:rsidR="00035EBD" w:rsidRPr="00035EBD" w:rsidRDefault="00035EBD" w:rsidP="00304F52">
            <w:pPr>
              <w:spacing w:before="100"/>
            </w:pPr>
          </w:p>
        </w:tc>
      </w:tr>
      <w:tr w:rsidR="00035EBD" w:rsidRPr="00035EBD" w14:paraId="65C7AC6D" w14:textId="77777777" w:rsidTr="00304F52">
        <w:tc>
          <w:tcPr>
            <w:tcW w:w="6554" w:type="dxa"/>
          </w:tcPr>
          <w:p w14:paraId="725FC80E" w14:textId="77777777" w:rsidR="00035EBD" w:rsidRPr="00035EBD" w:rsidRDefault="00035EBD" w:rsidP="00304F52">
            <w:pPr>
              <w:spacing w:before="100"/>
            </w:pPr>
            <w:r w:rsidRPr="00035EBD">
              <w:t>Termination benefits</w:t>
            </w:r>
          </w:p>
        </w:tc>
        <w:tc>
          <w:tcPr>
            <w:tcW w:w="2586" w:type="dxa"/>
          </w:tcPr>
          <w:p w14:paraId="5F8AAACF" w14:textId="77777777" w:rsidR="00035EBD" w:rsidRPr="00035EBD" w:rsidRDefault="00035EBD" w:rsidP="00304F52">
            <w:pPr>
              <w:spacing w:before="100"/>
            </w:pPr>
          </w:p>
        </w:tc>
      </w:tr>
      <w:tr w:rsidR="00035EBD" w:rsidRPr="00035EBD" w14:paraId="7170CF9D" w14:textId="77777777" w:rsidTr="00304F52">
        <w:tc>
          <w:tcPr>
            <w:tcW w:w="6554" w:type="dxa"/>
          </w:tcPr>
          <w:p w14:paraId="382EBAA6" w14:textId="77777777" w:rsidR="00035EBD" w:rsidRPr="00035EBD" w:rsidRDefault="00035EBD" w:rsidP="00304F52">
            <w:pPr>
              <w:spacing w:before="100"/>
            </w:pPr>
            <w:r w:rsidRPr="00035EBD">
              <w:t>Board member fees</w:t>
            </w:r>
          </w:p>
        </w:tc>
        <w:tc>
          <w:tcPr>
            <w:tcW w:w="2586" w:type="dxa"/>
          </w:tcPr>
          <w:p w14:paraId="73BB3F1A" w14:textId="77777777" w:rsidR="00035EBD" w:rsidRPr="00035EBD" w:rsidRDefault="00035EBD" w:rsidP="00304F52">
            <w:pPr>
              <w:spacing w:before="100"/>
            </w:pPr>
          </w:p>
        </w:tc>
      </w:tr>
      <w:tr w:rsidR="00035EBD" w:rsidRPr="00304F52" w14:paraId="05B0D993" w14:textId="77777777" w:rsidTr="00304F52">
        <w:tc>
          <w:tcPr>
            <w:tcW w:w="6554" w:type="dxa"/>
          </w:tcPr>
          <w:p w14:paraId="0FD9ADF4" w14:textId="77777777" w:rsidR="00035EBD" w:rsidRPr="00304F52" w:rsidRDefault="00035EBD" w:rsidP="00304F52">
            <w:pPr>
              <w:spacing w:before="100"/>
              <w:rPr>
                <w:b/>
              </w:rPr>
            </w:pPr>
            <w:r w:rsidRPr="00304F52">
              <w:rPr>
                <w:b/>
              </w:rPr>
              <w:t>Total key management personnel compensation</w:t>
            </w:r>
          </w:p>
        </w:tc>
        <w:tc>
          <w:tcPr>
            <w:tcW w:w="2586" w:type="dxa"/>
          </w:tcPr>
          <w:p w14:paraId="2CF31D1E" w14:textId="77777777" w:rsidR="00035EBD" w:rsidRPr="00304F52" w:rsidRDefault="00035EBD" w:rsidP="00304F52">
            <w:pPr>
              <w:spacing w:before="100"/>
              <w:rPr>
                <w:b/>
              </w:rPr>
            </w:pPr>
          </w:p>
        </w:tc>
      </w:tr>
    </w:tbl>
    <w:p w14:paraId="6C978F6D" w14:textId="77777777" w:rsidR="00035EBD" w:rsidRPr="00035EBD" w:rsidRDefault="00035EBD" w:rsidP="00304F52">
      <w:pPr>
        <w:pStyle w:val="Spacer"/>
      </w:pPr>
    </w:p>
    <w:p w14:paraId="0D663D31" w14:textId="77777777" w:rsidR="00035EBD" w:rsidRPr="00035EBD" w:rsidRDefault="00035EBD" w:rsidP="00304F52">
      <w:pPr>
        <w:pStyle w:val="Heading3"/>
      </w:pPr>
      <w:r w:rsidRPr="00035EBD">
        <w:t>Transactions with key management personnel and other related parties</w:t>
      </w:r>
    </w:p>
    <w:p w14:paraId="26462631" w14:textId="4A4E4485" w:rsidR="00035EBD" w:rsidRPr="00035EBD" w:rsidRDefault="00035EBD" w:rsidP="00035EBD">
      <w:r w:rsidRPr="00035EBD">
        <w:t>Given the breadth and depth of State government activities, related parties transact with the Victorian public sector in a manner consistent with other members of the public e.g. stamp duty and other government fees and charges. Further</w:t>
      </w:r>
      <w:r w:rsidR="00016459">
        <w:t>,</w:t>
      </w:r>
      <w:r w:rsidRPr="00035EBD">
        <w:t xml:space="preserve"> employment processes within the Victorian public sector occur on terms and conditions consistent with </w:t>
      </w:r>
      <w:r w:rsidRPr="00035EBD">
        <w:rPr>
          <w:i/>
        </w:rPr>
        <w:t>the Public Administration Act 2004</w:t>
      </w:r>
      <w:r w:rsidRPr="00035EBD">
        <w:t xml:space="preserve"> and Codes of Conduct and Standards issued by the Victorian Public Sector Commission. Procurement processes occur on terms and conditions consistent with the Victorian Government Procurement Board requirements.</w:t>
      </w:r>
    </w:p>
    <w:p w14:paraId="6C33F1C7" w14:textId="77777777" w:rsidR="00035EBD" w:rsidRPr="00035EBD" w:rsidRDefault="0002346A" w:rsidP="00304F52">
      <w:pPr>
        <w:keepNext/>
        <w:keepLines/>
      </w:pPr>
      <w:r>
        <w:lastRenderedPageBreak/>
        <w:t>Outside of normal citizen type transactions with the department, t</w:t>
      </w:r>
      <w:r w:rsidR="00035EBD" w:rsidRPr="00035EBD">
        <w:t>here were no related party transactions that involved key management personnel and their close family members. No provision has been required, nor any expense recognised, for impairment of receivables from related parties.</w:t>
      </w:r>
    </w:p>
    <w:p w14:paraId="1FCF402D" w14:textId="77777777" w:rsidR="001D3DFD" w:rsidRPr="00035EBD" w:rsidRDefault="001D3DFD" w:rsidP="00304F52">
      <w:pPr>
        <w:pStyle w:val="Heading3"/>
      </w:pPr>
      <w:r>
        <w:t xml:space="preserve">Example of </w:t>
      </w:r>
      <w:r w:rsidR="006D348E">
        <w:t>specific</w:t>
      </w:r>
      <w:r>
        <w:t xml:space="preserve"> disclosure note</w:t>
      </w:r>
    </w:p>
    <w:p w14:paraId="6CDDD2F0" w14:textId="77777777" w:rsidR="001D3DFD" w:rsidRDefault="00021B33" w:rsidP="00035EBD">
      <w:pPr>
        <w:spacing w:before="0" w:after="200"/>
      </w:pPr>
      <w:r>
        <w:t xml:space="preserve">During the year, </w:t>
      </w:r>
      <w:r w:rsidR="00E762B7">
        <w:t>a</w:t>
      </w:r>
      <w:r>
        <w:t xml:space="preserve"> </w:t>
      </w:r>
      <w:r w:rsidR="00F27136">
        <w:t xml:space="preserve">company of which John King MP, the Portfolio minister </w:t>
      </w:r>
      <w:r w:rsidR="00357EB7">
        <w:t xml:space="preserve">for the </w:t>
      </w:r>
      <w:r w:rsidR="00F27136">
        <w:t xml:space="preserve">Department </w:t>
      </w:r>
      <w:r w:rsidR="00357EB7">
        <w:t xml:space="preserve">of Education and Training </w:t>
      </w:r>
      <w:r w:rsidR="00F27136">
        <w:t>is a Director,</w:t>
      </w:r>
      <w:r>
        <w:t xml:space="preserve"> </w:t>
      </w:r>
      <w:r w:rsidR="001D3DFD">
        <w:t>w</w:t>
      </w:r>
      <w:r w:rsidR="00E762B7">
        <w:t>as</w:t>
      </w:r>
      <w:r w:rsidR="001D3DFD">
        <w:t xml:space="preserve"> awarded </w:t>
      </w:r>
      <w:r w:rsidR="00E762B7">
        <w:t xml:space="preserve">a </w:t>
      </w:r>
      <w:r w:rsidR="001D3DFD">
        <w:t>contract</w:t>
      </w:r>
      <w:r w:rsidR="00E762B7">
        <w:t xml:space="preserve"> under the selective tender process </w:t>
      </w:r>
      <w:r w:rsidR="001D3DFD">
        <w:t>on terms and conditions equivalent for those that prevail in arm’s length transactions under the State’s procurement process. The transaction involve</w:t>
      </w:r>
      <w:r w:rsidR="00E762B7">
        <w:t>d</w:t>
      </w:r>
      <w:r w:rsidR="001D3DFD">
        <w:t xml:space="preserve"> the provision of </w:t>
      </w:r>
      <w:r w:rsidR="00E762B7">
        <w:t xml:space="preserve">IT support </w:t>
      </w:r>
      <w:r w:rsidR="001D3DFD">
        <w:t xml:space="preserve">services </w:t>
      </w:r>
      <w:r w:rsidR="00E762B7">
        <w:t xml:space="preserve">to support the migration of the department’s general ledger to a new platform </w:t>
      </w:r>
      <w:r w:rsidR="001D3DFD">
        <w:t>with a total value of $</w:t>
      </w:r>
      <w:r w:rsidR="006D348E">
        <w:t>100</w:t>
      </w:r>
      <w:r w:rsidR="00304F52">
        <w:t> million</w:t>
      </w:r>
      <w:r w:rsidR="00EF1D69">
        <w:t xml:space="preserve"> over five years</w:t>
      </w:r>
      <w:r w:rsidR="001D3DFD">
        <w:t>.</w:t>
      </w:r>
    </w:p>
    <w:p w14:paraId="14F2442A" w14:textId="77777777" w:rsidR="006D348E" w:rsidRDefault="001D3DFD" w:rsidP="00035EBD">
      <w:pPr>
        <w:spacing w:before="0" w:after="200"/>
      </w:pPr>
      <w:r w:rsidRPr="008631CA">
        <w:t xml:space="preserve">All other transactions that have occurred with KMP and their related parties have </w:t>
      </w:r>
      <w:r w:rsidR="00D14F0C" w:rsidRPr="008631CA">
        <w:t>not been considered material for disclosure</w:t>
      </w:r>
      <w:r w:rsidRPr="008631CA">
        <w:t xml:space="preserve">. In this context, transactions are only disclosed when they are considered </w:t>
      </w:r>
      <w:r w:rsidR="00D14F0C" w:rsidRPr="008631CA">
        <w:t xml:space="preserve">necessary to draw attention to the possibility that the </w:t>
      </w:r>
      <w:r w:rsidR="008631CA" w:rsidRPr="008631CA">
        <w:t>d</w:t>
      </w:r>
      <w:r w:rsidR="00D14F0C" w:rsidRPr="008631CA">
        <w:t>epartment’s financial position and profit or loss may have been affected by the existence of related parties, and by transactions and outstanding balances, including commitments, with such parties</w:t>
      </w:r>
      <w:r w:rsidRPr="008631CA">
        <w:t>.</w:t>
      </w:r>
    </w:p>
    <w:p w14:paraId="2D2DC637" w14:textId="77777777" w:rsidR="006D348E" w:rsidRPr="00035EBD" w:rsidRDefault="006D348E" w:rsidP="00304F52">
      <w:pPr>
        <w:pStyle w:val="Heading3"/>
      </w:pPr>
      <w:r>
        <w:t>Example of aggregated disclosure note</w:t>
      </w:r>
    </w:p>
    <w:p w14:paraId="501A0658" w14:textId="77777777" w:rsidR="006D348E" w:rsidRDefault="006D348E" w:rsidP="006D348E">
      <w:pPr>
        <w:spacing w:before="0" w:after="200"/>
      </w:pPr>
      <w:r>
        <w:t>During the year, related parties of key management personnel were awarded contracts on terms and conditions equivalent for those that prevail in arm’s length transactions under the State’s procurement process. The transactions involved the provision of consultancy, legal, IT and general support services with a</w:t>
      </w:r>
      <w:r w:rsidR="00BE1060">
        <w:t>n</w:t>
      </w:r>
      <w:r>
        <w:t xml:space="preserve"> aggregated value of $10</w:t>
      </w:r>
      <w:r w:rsidR="00304F52">
        <w:t> million</w:t>
      </w:r>
      <w:r>
        <w:t>.</w:t>
      </w:r>
    </w:p>
    <w:p w14:paraId="11723A0F" w14:textId="77777777" w:rsidR="006D348E" w:rsidRDefault="008631CA" w:rsidP="00304F52">
      <w:r w:rsidRPr="008631CA">
        <w:t>All other transactions that have occurred with KMP and their related parties have not been considered material for disclosure. In this context, transactions are only disclosed when they are considered necessary to draw attention to the possibility that the department’s financial position and profit or loss may have been affected by the existence of related parties, and by transactions and outstanding balances, including commitments, with such parties.</w:t>
      </w:r>
    </w:p>
    <w:p w14:paraId="662A0DFD" w14:textId="77777777" w:rsidR="000927A7" w:rsidRPr="00304F52" w:rsidRDefault="000927A7" w:rsidP="00304F52"/>
    <w:sectPr w:rsidR="000927A7" w:rsidRPr="00304F52" w:rsidSect="00F417C3">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DA81" w14:textId="77777777" w:rsidR="00B36C90" w:rsidRDefault="00B36C90" w:rsidP="002D711A">
      <w:pPr>
        <w:spacing w:after="0" w:line="240" w:lineRule="auto"/>
      </w:pPr>
      <w:r>
        <w:separator/>
      </w:r>
    </w:p>
  </w:endnote>
  <w:endnote w:type="continuationSeparator" w:id="0">
    <w:p w14:paraId="338A827D" w14:textId="77777777" w:rsidR="00B36C90" w:rsidRDefault="00B36C9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3551" w14:textId="58D1E283" w:rsidR="004D2996" w:rsidRDefault="004D2996">
    <w:pPr>
      <w:pStyle w:val="Footer"/>
    </w:pPr>
    <w:r>
      <mc:AlternateContent>
        <mc:Choice Requires="wps">
          <w:drawing>
            <wp:anchor distT="0" distB="0" distL="0" distR="0" simplePos="0" relativeHeight="251675648" behindDoc="0" locked="0" layoutInCell="1" allowOverlap="1" wp14:anchorId="06EB9EF3" wp14:editId="72E59726">
              <wp:simplePos x="635" y="635"/>
              <wp:positionH relativeFrom="page">
                <wp:align>left</wp:align>
              </wp:positionH>
              <wp:positionV relativeFrom="page">
                <wp:align>bottom</wp:align>
              </wp:positionV>
              <wp:extent cx="443865" cy="443865"/>
              <wp:effectExtent l="0" t="0" r="11430" b="0"/>
              <wp:wrapNone/>
              <wp:docPr id="111725402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AE07F" w14:textId="0E53675E" w:rsidR="004D2996" w:rsidRPr="004D2996" w:rsidRDefault="004D2996" w:rsidP="004D2996">
                          <w:pPr>
                            <w:spacing w:after="0"/>
                            <w:rPr>
                              <w:rFonts w:ascii="Calibri" w:eastAsia="Calibri" w:hAnsi="Calibri" w:cs="Calibri"/>
                              <w:noProof/>
                              <w:color w:val="000000"/>
                              <w:sz w:val="22"/>
                              <w:szCs w:val="22"/>
                            </w:rPr>
                          </w:pPr>
                          <w:r w:rsidRPr="004D29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EB9EF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A0AE07F" w14:textId="0E53675E" w:rsidR="004D2996" w:rsidRPr="004D2996" w:rsidRDefault="004D2996" w:rsidP="004D2996">
                    <w:pPr>
                      <w:spacing w:after="0"/>
                      <w:rPr>
                        <w:rFonts w:ascii="Calibri" w:eastAsia="Calibri" w:hAnsi="Calibri" w:cs="Calibri"/>
                        <w:noProof/>
                        <w:color w:val="000000"/>
                        <w:sz w:val="22"/>
                        <w:szCs w:val="22"/>
                      </w:rPr>
                    </w:pPr>
                    <w:r w:rsidRPr="004D299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1E38" w14:textId="4B51150C" w:rsidR="00F417C3" w:rsidRPr="00304F52" w:rsidRDefault="004D2996" w:rsidP="00304F52">
    <w:pPr>
      <w:pStyle w:val="Footer"/>
    </w:pPr>
    <w:r>
      <w:rPr>
        <w:b/>
        <w:color w:val="0063A6" w:themeColor="accent1"/>
      </w:rPr>
      <mc:AlternateContent>
        <mc:Choice Requires="wps">
          <w:drawing>
            <wp:anchor distT="0" distB="0" distL="0" distR="0" simplePos="0" relativeHeight="251676672" behindDoc="0" locked="0" layoutInCell="1" allowOverlap="1" wp14:anchorId="55F1C108" wp14:editId="2C65AFE7">
              <wp:simplePos x="914400" y="10267950"/>
              <wp:positionH relativeFrom="page">
                <wp:align>left</wp:align>
              </wp:positionH>
              <wp:positionV relativeFrom="page">
                <wp:align>bottom</wp:align>
              </wp:positionV>
              <wp:extent cx="443865" cy="443865"/>
              <wp:effectExtent l="0" t="0" r="11430" b="0"/>
              <wp:wrapNone/>
              <wp:docPr id="187904164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78B33" w14:textId="0D53F760" w:rsidR="004D2996" w:rsidRPr="004D2996" w:rsidRDefault="004D2996" w:rsidP="004D2996">
                          <w:pPr>
                            <w:spacing w:after="0"/>
                            <w:rPr>
                              <w:rFonts w:ascii="Calibri" w:eastAsia="Calibri" w:hAnsi="Calibri" w:cs="Calibri"/>
                              <w:noProof/>
                              <w:color w:val="000000"/>
                              <w:sz w:val="22"/>
                              <w:szCs w:val="22"/>
                            </w:rPr>
                          </w:pPr>
                          <w:r w:rsidRPr="004D29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F1C10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6678B33" w14:textId="0D53F760" w:rsidR="004D2996" w:rsidRPr="004D2996" w:rsidRDefault="004D2996" w:rsidP="004D2996">
                    <w:pPr>
                      <w:spacing w:after="0"/>
                      <w:rPr>
                        <w:rFonts w:ascii="Calibri" w:eastAsia="Calibri" w:hAnsi="Calibri" w:cs="Calibri"/>
                        <w:noProof/>
                        <w:color w:val="000000"/>
                        <w:sz w:val="22"/>
                        <w:szCs w:val="22"/>
                      </w:rPr>
                    </w:pPr>
                    <w:r w:rsidRPr="004D2996">
                      <w:rPr>
                        <w:rFonts w:ascii="Calibri" w:eastAsia="Calibri" w:hAnsi="Calibri" w:cs="Calibri"/>
                        <w:noProof/>
                        <w:color w:val="000000"/>
                        <w:sz w:val="22"/>
                        <w:szCs w:val="22"/>
                      </w:rPr>
                      <w:t>OFFICIAL</w:t>
                    </w:r>
                  </w:p>
                </w:txbxContent>
              </v:textbox>
              <w10:wrap anchorx="page" anchory="page"/>
            </v:shape>
          </w:pict>
        </mc:Fallback>
      </mc:AlternateContent>
    </w:r>
    <w:r w:rsidR="00304F52" w:rsidRPr="00C022F9">
      <w:rPr>
        <w:b/>
        <w:noProof w:val="0"/>
        <w:color w:val="0063A6" w:themeColor="accent1"/>
      </w:rPr>
      <w:fldChar w:fldCharType="begin"/>
    </w:r>
    <w:r w:rsidR="00304F52" w:rsidRPr="00C022F9">
      <w:rPr>
        <w:b/>
        <w:color w:val="0063A6" w:themeColor="accent1"/>
      </w:rPr>
      <w:instrText xml:space="preserve"> StyleRef “Title” </w:instrText>
    </w:r>
    <w:r w:rsidR="00304F52" w:rsidRPr="00C022F9">
      <w:rPr>
        <w:b/>
        <w:noProof w:val="0"/>
        <w:color w:val="0063A6" w:themeColor="accent1"/>
      </w:rPr>
      <w:fldChar w:fldCharType="separate"/>
    </w:r>
    <w:r w:rsidR="00B72951">
      <w:rPr>
        <w:b/>
        <w:color w:val="0063A6" w:themeColor="accent1"/>
      </w:rPr>
      <w:t>3A. What information will be reported in public sector reports?</w:t>
    </w:r>
    <w:r w:rsidR="00304F52" w:rsidRPr="00C022F9">
      <w:rPr>
        <w:b/>
        <w:color w:val="0063A6" w:themeColor="accent1"/>
      </w:rPr>
      <w:fldChar w:fldCharType="end"/>
    </w:r>
    <w:r w:rsidR="00304F52">
      <w:tab/>
    </w:r>
    <w:r w:rsidR="00304F52" w:rsidRPr="00C022F9">
      <w:t xml:space="preserve">Page </w:t>
    </w:r>
    <w:r w:rsidR="00304F52" w:rsidRPr="00DE60CC">
      <w:rPr>
        <w:rStyle w:val="PageNumber"/>
      </w:rPr>
      <w:fldChar w:fldCharType="begin"/>
    </w:r>
    <w:r w:rsidR="00304F52" w:rsidRPr="00DE60CC">
      <w:rPr>
        <w:rStyle w:val="PageNumber"/>
      </w:rPr>
      <w:instrText xml:space="preserve"> Page </w:instrText>
    </w:r>
    <w:r w:rsidR="00304F52" w:rsidRPr="00DE60CC">
      <w:rPr>
        <w:rStyle w:val="PageNumber"/>
      </w:rPr>
      <w:fldChar w:fldCharType="separate"/>
    </w:r>
    <w:r w:rsidR="000927A7">
      <w:rPr>
        <w:rStyle w:val="PageNumber"/>
      </w:rPr>
      <w:t>1</w:t>
    </w:r>
    <w:r w:rsidR="00304F52"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95CF" w14:textId="564EB250" w:rsidR="004D2996" w:rsidRDefault="004D2996">
    <w:pPr>
      <w:pStyle w:val="Footer"/>
    </w:pPr>
    <w:r>
      <mc:AlternateContent>
        <mc:Choice Requires="wps">
          <w:drawing>
            <wp:anchor distT="0" distB="0" distL="0" distR="0" simplePos="0" relativeHeight="251674624" behindDoc="0" locked="0" layoutInCell="1" allowOverlap="1" wp14:anchorId="241B8C5E" wp14:editId="39E7924A">
              <wp:simplePos x="635" y="635"/>
              <wp:positionH relativeFrom="page">
                <wp:align>left</wp:align>
              </wp:positionH>
              <wp:positionV relativeFrom="page">
                <wp:align>bottom</wp:align>
              </wp:positionV>
              <wp:extent cx="443865" cy="443865"/>
              <wp:effectExtent l="0" t="0" r="11430" b="0"/>
              <wp:wrapNone/>
              <wp:docPr id="135174955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C2723" w14:textId="5A2633BE" w:rsidR="004D2996" w:rsidRPr="004D2996" w:rsidRDefault="004D2996" w:rsidP="004D2996">
                          <w:pPr>
                            <w:spacing w:after="0"/>
                            <w:rPr>
                              <w:rFonts w:ascii="Calibri" w:eastAsia="Calibri" w:hAnsi="Calibri" w:cs="Calibri"/>
                              <w:noProof/>
                              <w:color w:val="000000"/>
                              <w:sz w:val="22"/>
                              <w:szCs w:val="22"/>
                            </w:rPr>
                          </w:pPr>
                          <w:r w:rsidRPr="004D29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1B8C5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26C2723" w14:textId="5A2633BE" w:rsidR="004D2996" w:rsidRPr="004D2996" w:rsidRDefault="004D2996" w:rsidP="004D2996">
                    <w:pPr>
                      <w:spacing w:after="0"/>
                      <w:rPr>
                        <w:rFonts w:ascii="Calibri" w:eastAsia="Calibri" w:hAnsi="Calibri" w:cs="Calibri"/>
                        <w:noProof/>
                        <w:color w:val="000000"/>
                        <w:sz w:val="22"/>
                        <w:szCs w:val="22"/>
                      </w:rPr>
                    </w:pPr>
                    <w:r w:rsidRPr="004D2996">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4212" w14:textId="77777777" w:rsidR="00B36C90" w:rsidRDefault="00B36C90" w:rsidP="002D711A">
      <w:pPr>
        <w:spacing w:after="0" w:line="240" w:lineRule="auto"/>
      </w:pPr>
      <w:r>
        <w:separator/>
      </w:r>
    </w:p>
  </w:footnote>
  <w:footnote w:type="continuationSeparator" w:id="0">
    <w:p w14:paraId="04983779" w14:textId="77777777" w:rsidR="00B36C90" w:rsidRDefault="00B36C90"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8FB1" w14:textId="77777777" w:rsidR="00B145DC" w:rsidRDefault="00B14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72CA" w14:textId="77777777" w:rsidR="00F417C3" w:rsidRPr="0041689E" w:rsidRDefault="00F417C3">
    <w:pPr>
      <w:pStyle w:val="Header"/>
    </w:pPr>
    <w:r>
      <w:rPr>
        <w:noProof/>
      </w:rPr>
      <w:drawing>
        <wp:anchor distT="0" distB="0" distL="114300" distR="114300" simplePos="0" relativeHeight="251673600" behindDoc="0" locked="0" layoutInCell="1" allowOverlap="1" wp14:anchorId="54FE13D6" wp14:editId="324BE2D8">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44A33BD" wp14:editId="4DAFA723">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0587" w14:textId="77777777" w:rsidR="00B145DC" w:rsidRDefault="00B14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DAF1F05"/>
    <w:multiLevelType w:val="hybridMultilevel"/>
    <w:tmpl w:val="728E0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52595E5C"/>
    <w:multiLevelType w:val="hybridMultilevel"/>
    <w:tmpl w:val="79AACD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A8D7D5E"/>
    <w:multiLevelType w:val="hybridMultilevel"/>
    <w:tmpl w:val="83AA71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629164562">
    <w:abstractNumId w:val="3"/>
  </w:num>
  <w:num w:numId="2" w16cid:durableId="1824808501">
    <w:abstractNumId w:val="3"/>
  </w:num>
  <w:num w:numId="3" w16cid:durableId="270745249">
    <w:abstractNumId w:val="3"/>
  </w:num>
  <w:num w:numId="4" w16cid:durableId="929659596">
    <w:abstractNumId w:val="8"/>
  </w:num>
  <w:num w:numId="5" w16cid:durableId="1548370600">
    <w:abstractNumId w:val="3"/>
  </w:num>
  <w:num w:numId="6" w16cid:durableId="1131630349">
    <w:abstractNumId w:val="3"/>
  </w:num>
  <w:num w:numId="7" w16cid:durableId="1539661503">
    <w:abstractNumId w:val="3"/>
  </w:num>
  <w:num w:numId="8" w16cid:durableId="1548293712">
    <w:abstractNumId w:val="3"/>
  </w:num>
  <w:num w:numId="9" w16cid:durableId="247930234">
    <w:abstractNumId w:val="8"/>
  </w:num>
  <w:num w:numId="10" w16cid:durableId="1228608696">
    <w:abstractNumId w:val="8"/>
  </w:num>
  <w:num w:numId="11" w16cid:durableId="1114246935">
    <w:abstractNumId w:val="8"/>
  </w:num>
  <w:num w:numId="12" w16cid:durableId="1370185641">
    <w:abstractNumId w:val="8"/>
  </w:num>
  <w:num w:numId="13" w16cid:durableId="1226840981">
    <w:abstractNumId w:val="8"/>
  </w:num>
  <w:num w:numId="14" w16cid:durableId="1527283693">
    <w:abstractNumId w:val="8"/>
  </w:num>
  <w:num w:numId="15" w16cid:durableId="295839226">
    <w:abstractNumId w:val="8"/>
  </w:num>
  <w:num w:numId="16" w16cid:durableId="1840270226">
    <w:abstractNumId w:val="8"/>
  </w:num>
  <w:num w:numId="17" w16cid:durableId="700666042">
    <w:abstractNumId w:val="1"/>
  </w:num>
  <w:num w:numId="18" w16cid:durableId="868951239">
    <w:abstractNumId w:val="1"/>
  </w:num>
  <w:num w:numId="19" w16cid:durableId="1221939319">
    <w:abstractNumId w:val="7"/>
  </w:num>
  <w:num w:numId="20" w16cid:durableId="1505243525">
    <w:abstractNumId w:val="6"/>
  </w:num>
  <w:num w:numId="21" w16cid:durableId="1331370084">
    <w:abstractNumId w:val="0"/>
  </w:num>
  <w:num w:numId="22" w16cid:durableId="3483519">
    <w:abstractNumId w:val="0"/>
  </w:num>
  <w:num w:numId="23" w16cid:durableId="1035737381">
    <w:abstractNumId w:val="0"/>
  </w:num>
  <w:num w:numId="24" w16cid:durableId="1634481859">
    <w:abstractNumId w:val="7"/>
  </w:num>
  <w:num w:numId="25" w16cid:durableId="299312269">
    <w:abstractNumId w:val="8"/>
  </w:num>
  <w:num w:numId="26" w16cid:durableId="1582445450">
    <w:abstractNumId w:val="1"/>
  </w:num>
  <w:num w:numId="27" w16cid:durableId="36970798">
    <w:abstractNumId w:val="1"/>
  </w:num>
  <w:num w:numId="28" w16cid:durableId="304242293">
    <w:abstractNumId w:val="5"/>
  </w:num>
  <w:num w:numId="29" w16cid:durableId="2128116735">
    <w:abstractNumId w:val="4"/>
  </w:num>
  <w:num w:numId="30" w16cid:durableId="62628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BD"/>
    <w:rsid w:val="00001916"/>
    <w:rsid w:val="00012F6F"/>
    <w:rsid w:val="00014213"/>
    <w:rsid w:val="00014B55"/>
    <w:rsid w:val="00016459"/>
    <w:rsid w:val="00020E3E"/>
    <w:rsid w:val="00021B33"/>
    <w:rsid w:val="0002346A"/>
    <w:rsid w:val="00023BF3"/>
    <w:rsid w:val="00026811"/>
    <w:rsid w:val="00035EBD"/>
    <w:rsid w:val="00043296"/>
    <w:rsid w:val="0004356D"/>
    <w:rsid w:val="00045296"/>
    <w:rsid w:val="00075E6C"/>
    <w:rsid w:val="000927A7"/>
    <w:rsid w:val="000A0F99"/>
    <w:rsid w:val="000B29AD"/>
    <w:rsid w:val="000C2378"/>
    <w:rsid w:val="000C6372"/>
    <w:rsid w:val="000D593F"/>
    <w:rsid w:val="000E392D"/>
    <w:rsid w:val="000E5563"/>
    <w:rsid w:val="000F4288"/>
    <w:rsid w:val="000F7165"/>
    <w:rsid w:val="00102379"/>
    <w:rsid w:val="001065D6"/>
    <w:rsid w:val="00121252"/>
    <w:rsid w:val="00124609"/>
    <w:rsid w:val="001254CE"/>
    <w:rsid w:val="00126AF9"/>
    <w:rsid w:val="00134CEA"/>
    <w:rsid w:val="0014124F"/>
    <w:rsid w:val="001422CC"/>
    <w:rsid w:val="001617B6"/>
    <w:rsid w:val="00165E66"/>
    <w:rsid w:val="00175216"/>
    <w:rsid w:val="00187CE2"/>
    <w:rsid w:val="00195BEA"/>
    <w:rsid w:val="001A3DD1"/>
    <w:rsid w:val="001B4337"/>
    <w:rsid w:val="001C7BAE"/>
    <w:rsid w:val="001D3DFD"/>
    <w:rsid w:val="001D717E"/>
    <w:rsid w:val="001E31FA"/>
    <w:rsid w:val="001E64F6"/>
    <w:rsid w:val="00222BEB"/>
    <w:rsid w:val="00225E60"/>
    <w:rsid w:val="0023202C"/>
    <w:rsid w:val="00236203"/>
    <w:rsid w:val="00245043"/>
    <w:rsid w:val="00257760"/>
    <w:rsid w:val="00292D36"/>
    <w:rsid w:val="00297281"/>
    <w:rsid w:val="002C54E0"/>
    <w:rsid w:val="002D1B5B"/>
    <w:rsid w:val="002D711A"/>
    <w:rsid w:val="002D7336"/>
    <w:rsid w:val="002E3396"/>
    <w:rsid w:val="002E61C6"/>
    <w:rsid w:val="00304F52"/>
    <w:rsid w:val="00310B91"/>
    <w:rsid w:val="0031149C"/>
    <w:rsid w:val="0035513F"/>
    <w:rsid w:val="00357EB7"/>
    <w:rsid w:val="0038771C"/>
    <w:rsid w:val="00392A8F"/>
    <w:rsid w:val="0039405B"/>
    <w:rsid w:val="003A1C92"/>
    <w:rsid w:val="003A405C"/>
    <w:rsid w:val="003A541A"/>
    <w:rsid w:val="003A6923"/>
    <w:rsid w:val="003B6F19"/>
    <w:rsid w:val="003C2C67"/>
    <w:rsid w:val="003C2EA2"/>
    <w:rsid w:val="003C5BA4"/>
    <w:rsid w:val="003E3E26"/>
    <w:rsid w:val="003F1295"/>
    <w:rsid w:val="003F76FC"/>
    <w:rsid w:val="004002EB"/>
    <w:rsid w:val="0040382E"/>
    <w:rsid w:val="00405C57"/>
    <w:rsid w:val="00410CD5"/>
    <w:rsid w:val="00413185"/>
    <w:rsid w:val="00413C32"/>
    <w:rsid w:val="0041689E"/>
    <w:rsid w:val="004236C8"/>
    <w:rsid w:val="00427681"/>
    <w:rsid w:val="00433DB7"/>
    <w:rsid w:val="00453750"/>
    <w:rsid w:val="00456941"/>
    <w:rsid w:val="004669E3"/>
    <w:rsid w:val="004702EA"/>
    <w:rsid w:val="00482D02"/>
    <w:rsid w:val="004A0DFC"/>
    <w:rsid w:val="004A7519"/>
    <w:rsid w:val="004B41CA"/>
    <w:rsid w:val="004B63DC"/>
    <w:rsid w:val="004D2996"/>
    <w:rsid w:val="004D3518"/>
    <w:rsid w:val="004D62D6"/>
    <w:rsid w:val="0053416C"/>
    <w:rsid w:val="00541C2F"/>
    <w:rsid w:val="00563527"/>
    <w:rsid w:val="005759E7"/>
    <w:rsid w:val="0058124E"/>
    <w:rsid w:val="00584301"/>
    <w:rsid w:val="005875A3"/>
    <w:rsid w:val="005A3416"/>
    <w:rsid w:val="005B27FE"/>
    <w:rsid w:val="005B7B66"/>
    <w:rsid w:val="005C3E6D"/>
    <w:rsid w:val="005F61DF"/>
    <w:rsid w:val="006023F9"/>
    <w:rsid w:val="00610559"/>
    <w:rsid w:val="006332F6"/>
    <w:rsid w:val="006361E7"/>
    <w:rsid w:val="006371B9"/>
    <w:rsid w:val="0065195F"/>
    <w:rsid w:val="00652625"/>
    <w:rsid w:val="006534B2"/>
    <w:rsid w:val="0065615D"/>
    <w:rsid w:val="00656FD8"/>
    <w:rsid w:val="00657011"/>
    <w:rsid w:val="006650B5"/>
    <w:rsid w:val="006651B1"/>
    <w:rsid w:val="00665778"/>
    <w:rsid w:val="006738C4"/>
    <w:rsid w:val="006A5B34"/>
    <w:rsid w:val="006A5F5B"/>
    <w:rsid w:val="006A7EC5"/>
    <w:rsid w:val="006C77A9"/>
    <w:rsid w:val="006D348E"/>
    <w:rsid w:val="006F6693"/>
    <w:rsid w:val="00707CF7"/>
    <w:rsid w:val="00707FE8"/>
    <w:rsid w:val="00717491"/>
    <w:rsid w:val="00724962"/>
    <w:rsid w:val="00724A0F"/>
    <w:rsid w:val="0073072C"/>
    <w:rsid w:val="007320B4"/>
    <w:rsid w:val="00732162"/>
    <w:rsid w:val="0073504E"/>
    <w:rsid w:val="00736732"/>
    <w:rsid w:val="00750CBE"/>
    <w:rsid w:val="00763EDF"/>
    <w:rsid w:val="00766888"/>
    <w:rsid w:val="00766B5A"/>
    <w:rsid w:val="007748A5"/>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51E8C"/>
    <w:rsid w:val="008631CA"/>
    <w:rsid w:val="008A4900"/>
    <w:rsid w:val="008B1036"/>
    <w:rsid w:val="008D0281"/>
    <w:rsid w:val="008E3C4E"/>
    <w:rsid w:val="008F6D45"/>
    <w:rsid w:val="00975A43"/>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612FE"/>
    <w:rsid w:val="00A66DF2"/>
    <w:rsid w:val="00A73E19"/>
    <w:rsid w:val="00AA0673"/>
    <w:rsid w:val="00AA26B8"/>
    <w:rsid w:val="00AA60ED"/>
    <w:rsid w:val="00AA6FB5"/>
    <w:rsid w:val="00AB3FE2"/>
    <w:rsid w:val="00AD3322"/>
    <w:rsid w:val="00AD7E4E"/>
    <w:rsid w:val="00AE35A8"/>
    <w:rsid w:val="00AF34DE"/>
    <w:rsid w:val="00AF4D58"/>
    <w:rsid w:val="00AF6666"/>
    <w:rsid w:val="00B10154"/>
    <w:rsid w:val="00B12C07"/>
    <w:rsid w:val="00B145DC"/>
    <w:rsid w:val="00B31C81"/>
    <w:rsid w:val="00B36C90"/>
    <w:rsid w:val="00B72951"/>
    <w:rsid w:val="00B81B44"/>
    <w:rsid w:val="00B9053B"/>
    <w:rsid w:val="00BB3C27"/>
    <w:rsid w:val="00BC3422"/>
    <w:rsid w:val="00BE1060"/>
    <w:rsid w:val="00BF4B09"/>
    <w:rsid w:val="00C015B9"/>
    <w:rsid w:val="00C022F9"/>
    <w:rsid w:val="00C032EA"/>
    <w:rsid w:val="00C06EB5"/>
    <w:rsid w:val="00C1145F"/>
    <w:rsid w:val="00C21622"/>
    <w:rsid w:val="00C418F1"/>
    <w:rsid w:val="00C54F7D"/>
    <w:rsid w:val="00C637E1"/>
    <w:rsid w:val="00C70D50"/>
    <w:rsid w:val="00C8243E"/>
    <w:rsid w:val="00C907D7"/>
    <w:rsid w:val="00C92338"/>
    <w:rsid w:val="00CA7C3A"/>
    <w:rsid w:val="00CC1301"/>
    <w:rsid w:val="00CC2DB2"/>
    <w:rsid w:val="00CD0307"/>
    <w:rsid w:val="00CD3D1B"/>
    <w:rsid w:val="00CE62B3"/>
    <w:rsid w:val="00CF7DCA"/>
    <w:rsid w:val="00D14F0C"/>
    <w:rsid w:val="00D211E9"/>
    <w:rsid w:val="00D2312F"/>
    <w:rsid w:val="00D2467F"/>
    <w:rsid w:val="00D2657C"/>
    <w:rsid w:val="00D269C1"/>
    <w:rsid w:val="00D35072"/>
    <w:rsid w:val="00D44953"/>
    <w:rsid w:val="00D542F3"/>
    <w:rsid w:val="00D543E5"/>
    <w:rsid w:val="00D5644B"/>
    <w:rsid w:val="00D56E25"/>
    <w:rsid w:val="00D71896"/>
    <w:rsid w:val="00D718D7"/>
    <w:rsid w:val="00D73212"/>
    <w:rsid w:val="00D814B7"/>
    <w:rsid w:val="00D9029C"/>
    <w:rsid w:val="00D90688"/>
    <w:rsid w:val="00D97FC3"/>
    <w:rsid w:val="00DA3AAD"/>
    <w:rsid w:val="00DB312B"/>
    <w:rsid w:val="00DC5654"/>
    <w:rsid w:val="00DC658F"/>
    <w:rsid w:val="00DE60CC"/>
    <w:rsid w:val="00DF7A45"/>
    <w:rsid w:val="00E26B32"/>
    <w:rsid w:val="00E31444"/>
    <w:rsid w:val="00E407B6"/>
    <w:rsid w:val="00E41EF1"/>
    <w:rsid w:val="00E42942"/>
    <w:rsid w:val="00E468A6"/>
    <w:rsid w:val="00E609A6"/>
    <w:rsid w:val="00E71BDF"/>
    <w:rsid w:val="00E762B7"/>
    <w:rsid w:val="00E83CA7"/>
    <w:rsid w:val="00EC171D"/>
    <w:rsid w:val="00ED487E"/>
    <w:rsid w:val="00EE7A0D"/>
    <w:rsid w:val="00EF0D21"/>
    <w:rsid w:val="00EF1D69"/>
    <w:rsid w:val="00F17CE1"/>
    <w:rsid w:val="00F2115C"/>
    <w:rsid w:val="00F22ABA"/>
    <w:rsid w:val="00F27136"/>
    <w:rsid w:val="00F36B12"/>
    <w:rsid w:val="00F417C3"/>
    <w:rsid w:val="00F60F9F"/>
    <w:rsid w:val="00F64F08"/>
    <w:rsid w:val="00F734F5"/>
    <w:rsid w:val="00F769E5"/>
    <w:rsid w:val="00F966B1"/>
    <w:rsid w:val="00F97D48"/>
    <w:rsid w:val="00FA0311"/>
    <w:rsid w:val="00FC17E7"/>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BBC6A"/>
  <w15:docId w15:val="{75324FD1-5B72-4819-B9EA-C9BED6F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8" w:qFormat="1"/>
    <w:lsdException w:name="footnote text" w:semiHidden="1"/>
    <w:lsdException w:name="annotation text" w:semiHidden="1"/>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7"/>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8"/>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52"/>
    <w:pPr>
      <w:spacing w:before="160" w:after="100"/>
    </w:pPr>
    <w:rPr>
      <w:spacing w:val="2"/>
    </w:rPr>
  </w:style>
  <w:style w:type="paragraph" w:styleId="Heading1">
    <w:name w:val="heading 1"/>
    <w:next w:val="Normal"/>
    <w:link w:val="Heading1Char"/>
    <w:qFormat/>
    <w:rsid w:val="00304F52"/>
    <w:pPr>
      <w:keepNext/>
      <w:keepLines/>
      <w:spacing w:before="600" w:after="24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304F52"/>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304F52"/>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304F52"/>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04F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04F52"/>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304F5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304F5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304F52"/>
    <w:pPr>
      <w:tabs>
        <w:tab w:val="right" w:leader="dot" w:pos="9000"/>
      </w:tabs>
      <w:ind w:right="432"/>
    </w:pPr>
    <w:rPr>
      <w:sz w:val="24"/>
      <w:szCs w:val="24"/>
    </w:rPr>
  </w:style>
  <w:style w:type="paragraph" w:styleId="TOC2">
    <w:name w:val="toc 2"/>
    <w:next w:val="Normal"/>
    <w:uiPriority w:val="39"/>
    <w:rsid w:val="00304F52"/>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304F52"/>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304F52"/>
    <w:pPr>
      <w:spacing w:after="60" w:line="240" w:lineRule="auto"/>
    </w:pPr>
    <w:rPr>
      <w:sz w:val="16"/>
    </w:rPr>
  </w:style>
  <w:style w:type="paragraph" w:styleId="Index2">
    <w:name w:val="index 2"/>
    <w:basedOn w:val="Normal"/>
    <w:next w:val="Normal"/>
    <w:uiPriority w:val="99"/>
    <w:semiHidden/>
    <w:rsid w:val="00304F52"/>
    <w:pPr>
      <w:spacing w:after="0" w:line="240" w:lineRule="auto"/>
      <w:ind w:left="216"/>
    </w:pPr>
    <w:rPr>
      <w:sz w:val="16"/>
      <w:szCs w:val="16"/>
    </w:rPr>
  </w:style>
  <w:style w:type="character" w:styleId="Hyperlink">
    <w:name w:val="Hyperlink"/>
    <w:basedOn w:val="DefaultParagraphFont"/>
    <w:uiPriority w:val="99"/>
    <w:rsid w:val="00304F52"/>
    <w:rPr>
      <w:color w:val="53565A" w:themeColor="hyperlink"/>
      <w:u w:val="none"/>
    </w:rPr>
  </w:style>
  <w:style w:type="character" w:customStyle="1" w:styleId="Heading1Char">
    <w:name w:val="Heading 1 Char"/>
    <w:basedOn w:val="DefaultParagraphFont"/>
    <w:link w:val="Heading1"/>
    <w:rsid w:val="00304F52"/>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304F52"/>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304F52"/>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304F52"/>
    <w:pPr>
      <w:numPr>
        <w:ilvl w:val="1"/>
      </w:numPr>
    </w:pPr>
  </w:style>
  <w:style w:type="paragraph" w:customStyle="1" w:styleId="Bulletindent">
    <w:name w:val="Bullet indent"/>
    <w:basedOn w:val="Bullet2"/>
    <w:uiPriority w:val="9"/>
    <w:qFormat/>
    <w:rsid w:val="00304F52"/>
    <w:pPr>
      <w:numPr>
        <w:ilvl w:val="2"/>
      </w:numPr>
    </w:pPr>
  </w:style>
  <w:style w:type="paragraph" w:customStyle="1" w:styleId="Heading1numbered">
    <w:name w:val="Heading 1 numbered"/>
    <w:basedOn w:val="Heading1"/>
    <w:next w:val="NormalIndent"/>
    <w:uiPriority w:val="8"/>
    <w:qFormat/>
    <w:rsid w:val="00304F52"/>
    <w:pPr>
      <w:numPr>
        <w:ilvl w:val="2"/>
        <w:numId w:val="4"/>
      </w:numPr>
    </w:pPr>
  </w:style>
  <w:style w:type="paragraph" w:customStyle="1" w:styleId="Heading2numbered">
    <w:name w:val="Heading 2 numbered"/>
    <w:basedOn w:val="Heading2"/>
    <w:next w:val="NormalIndent"/>
    <w:uiPriority w:val="8"/>
    <w:qFormat/>
    <w:rsid w:val="00304F52"/>
    <w:pPr>
      <w:numPr>
        <w:ilvl w:val="3"/>
        <w:numId w:val="4"/>
      </w:numPr>
    </w:pPr>
  </w:style>
  <w:style w:type="paragraph" w:customStyle="1" w:styleId="Heading3numbered">
    <w:name w:val="Heading 3 numbered"/>
    <w:basedOn w:val="Heading3"/>
    <w:next w:val="NormalIndent"/>
    <w:uiPriority w:val="8"/>
    <w:qFormat/>
    <w:rsid w:val="00304F52"/>
    <w:pPr>
      <w:numPr>
        <w:ilvl w:val="4"/>
        <w:numId w:val="4"/>
      </w:numPr>
    </w:pPr>
  </w:style>
  <w:style w:type="character" w:customStyle="1" w:styleId="Heading3Char">
    <w:name w:val="Heading 3 Char"/>
    <w:basedOn w:val="DefaultParagraphFont"/>
    <w:link w:val="Heading3"/>
    <w:rsid w:val="00304F52"/>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304F52"/>
    <w:pPr>
      <w:numPr>
        <w:ilvl w:val="5"/>
        <w:numId w:val="4"/>
      </w:numPr>
    </w:pPr>
  </w:style>
  <w:style w:type="character" w:customStyle="1" w:styleId="Heading4Char">
    <w:name w:val="Heading 4 Char"/>
    <w:basedOn w:val="DefaultParagraphFont"/>
    <w:link w:val="Heading4"/>
    <w:rsid w:val="00304F5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304F52"/>
    <w:pPr>
      <w:spacing w:line="252" w:lineRule="auto"/>
      <w:ind w:left="792"/>
    </w:pPr>
  </w:style>
  <w:style w:type="paragraph" w:customStyle="1" w:styleId="NoteNormal">
    <w:name w:val="Note Normal"/>
    <w:basedOn w:val="Normal"/>
    <w:rsid w:val="00304F5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304F52"/>
    <w:pPr>
      <w:spacing w:before="0" w:after="0" w:line="120" w:lineRule="atLeast"/>
    </w:pPr>
    <w:rPr>
      <w:rFonts w:eastAsia="Times New Roman" w:cs="Calibri"/>
      <w:spacing w:val="0"/>
      <w:sz w:val="10"/>
      <w:szCs w:val="22"/>
    </w:rPr>
  </w:style>
  <w:style w:type="paragraph" w:styleId="Subtitle">
    <w:name w:val="Subtitle"/>
    <w:link w:val="SubtitleChar"/>
    <w:uiPriority w:val="98"/>
    <w:rsid w:val="00304F52"/>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304F5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304F52"/>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304F52"/>
    <w:pPr>
      <w:spacing w:after="40" w:line="252" w:lineRule="auto"/>
    </w:pPr>
    <w:rPr>
      <w:rFonts w:asciiTheme="majorHAnsi" w:eastAsia="Times New Roman" w:hAnsiTheme="majorHAnsi" w:cstheme="majorHAnsi"/>
      <w:b/>
      <w:color w:val="0063A6" w:themeColor="accent1"/>
      <w:spacing w:val="-2"/>
      <w:sz w:val="36"/>
      <w:szCs w:val="52"/>
    </w:rPr>
  </w:style>
  <w:style w:type="character" w:customStyle="1" w:styleId="TitleChar">
    <w:name w:val="Title Char"/>
    <w:basedOn w:val="DefaultParagraphFont"/>
    <w:link w:val="Title"/>
    <w:uiPriority w:val="97"/>
    <w:rsid w:val="00304F52"/>
    <w:rPr>
      <w:rFonts w:asciiTheme="majorHAnsi" w:eastAsia="Times New Roman" w:hAnsiTheme="majorHAnsi" w:cstheme="majorHAnsi"/>
      <w:b/>
      <w:color w:val="0063A6" w:themeColor="accent1"/>
      <w:spacing w:val="-2"/>
      <w:sz w:val="36"/>
      <w:szCs w:val="52"/>
    </w:rPr>
  </w:style>
  <w:style w:type="paragraph" w:styleId="BalloonText">
    <w:name w:val="Balloon Text"/>
    <w:basedOn w:val="Normal"/>
    <w:link w:val="BalloonTextChar"/>
    <w:uiPriority w:val="99"/>
    <w:semiHidden/>
    <w:rsid w:val="00304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F52"/>
    <w:rPr>
      <w:rFonts w:ascii="Tahoma" w:hAnsi="Tahoma" w:cs="Tahoma"/>
      <w:spacing w:val="2"/>
      <w:sz w:val="16"/>
      <w:szCs w:val="16"/>
    </w:rPr>
  </w:style>
  <w:style w:type="paragraph" w:customStyle="1" w:styleId="Bulletindent2">
    <w:name w:val="Bullet indent 2"/>
    <w:basedOn w:val="Normal"/>
    <w:uiPriority w:val="9"/>
    <w:qFormat/>
    <w:rsid w:val="00304F52"/>
    <w:pPr>
      <w:numPr>
        <w:ilvl w:val="3"/>
        <w:numId w:val="1"/>
      </w:numPr>
      <w:spacing w:before="100"/>
      <w:contextualSpacing/>
    </w:pPr>
  </w:style>
  <w:style w:type="paragraph" w:styleId="IndexHeading">
    <w:name w:val="index heading"/>
    <w:basedOn w:val="Normal"/>
    <w:next w:val="Index1"/>
    <w:uiPriority w:val="99"/>
    <w:semiHidden/>
    <w:rsid w:val="00304F52"/>
    <w:rPr>
      <w:rFonts w:asciiTheme="majorHAnsi" w:eastAsiaTheme="majorEastAsia" w:hAnsiTheme="majorHAnsi" w:cstheme="majorBidi"/>
      <w:b/>
      <w:bCs/>
    </w:rPr>
  </w:style>
  <w:style w:type="paragraph" w:styleId="Header">
    <w:name w:val="header"/>
    <w:basedOn w:val="Normal"/>
    <w:link w:val="HeaderChar"/>
    <w:uiPriority w:val="99"/>
    <w:semiHidden/>
    <w:rsid w:val="00304F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4F52"/>
    <w:rPr>
      <w:spacing w:val="2"/>
    </w:rPr>
  </w:style>
  <w:style w:type="paragraph" w:styleId="Footer">
    <w:name w:val="footer"/>
    <w:basedOn w:val="Normal"/>
    <w:link w:val="FooterChar"/>
    <w:uiPriority w:val="24"/>
    <w:rsid w:val="00304F52"/>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304F52"/>
    <w:rPr>
      <w:noProof/>
      <w:spacing w:val="2"/>
      <w:sz w:val="18"/>
      <w:szCs w:val="18"/>
    </w:rPr>
  </w:style>
  <w:style w:type="character" w:styleId="PageNumber">
    <w:name w:val="page number"/>
    <w:uiPriority w:val="49"/>
    <w:semiHidden/>
    <w:rsid w:val="00304F52"/>
    <w:rPr>
      <w:b w:val="0"/>
      <w:color w:val="000000" w:themeColor="text1"/>
    </w:rPr>
  </w:style>
  <w:style w:type="paragraph" w:styleId="TOCHeading">
    <w:name w:val="TOC Heading"/>
    <w:basedOn w:val="Heading1"/>
    <w:next w:val="Normal"/>
    <w:uiPriority w:val="39"/>
    <w:rsid w:val="00304F52"/>
    <w:pPr>
      <w:spacing w:before="480" w:after="720"/>
      <w:outlineLvl w:val="9"/>
    </w:pPr>
    <w:rPr>
      <w:spacing w:val="2"/>
    </w:rPr>
  </w:style>
  <w:style w:type="paragraph" w:customStyle="1" w:styleId="NormalTight">
    <w:name w:val="Normal Tight"/>
    <w:uiPriority w:val="99"/>
    <w:semiHidden/>
    <w:rsid w:val="00304F52"/>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304F52"/>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304F52"/>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304F52"/>
    <w:pPr>
      <w:spacing w:before="5800"/>
      <w:ind w:right="1382"/>
    </w:pPr>
  </w:style>
  <w:style w:type="paragraph" w:styleId="TOC4">
    <w:name w:val="toc 4"/>
    <w:basedOn w:val="TOC1"/>
    <w:next w:val="Normal"/>
    <w:uiPriority w:val="39"/>
    <w:rsid w:val="00304F52"/>
    <w:pPr>
      <w:ind w:left="450" w:hanging="450"/>
    </w:pPr>
    <w:rPr>
      <w:noProof/>
      <w:lang w:eastAsia="en-US"/>
    </w:rPr>
  </w:style>
  <w:style w:type="paragraph" w:styleId="TOC5">
    <w:name w:val="toc 5"/>
    <w:basedOn w:val="TOC2"/>
    <w:next w:val="Normal"/>
    <w:uiPriority w:val="39"/>
    <w:rsid w:val="00304F52"/>
    <w:pPr>
      <w:ind w:left="1080" w:hanging="634"/>
    </w:pPr>
    <w:rPr>
      <w:lang w:eastAsia="en-US"/>
    </w:rPr>
  </w:style>
  <w:style w:type="paragraph" w:styleId="TOC6">
    <w:name w:val="toc 6"/>
    <w:basedOn w:val="TOC3"/>
    <w:next w:val="Normal"/>
    <w:uiPriority w:val="39"/>
    <w:rsid w:val="00304F52"/>
    <w:pPr>
      <w:ind w:left="1800" w:hanging="720"/>
    </w:pPr>
    <w:rPr>
      <w:lang w:eastAsia="en-US"/>
    </w:rPr>
  </w:style>
  <w:style w:type="table" w:customStyle="1" w:styleId="DTFtexttable">
    <w:name w:val="DTF text table"/>
    <w:basedOn w:val="TableGrid"/>
    <w:uiPriority w:val="99"/>
    <w:rsid w:val="00304F52"/>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304F52"/>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304F52"/>
    <w:pPr>
      <w:spacing w:before="60" w:after="60" w:line="264" w:lineRule="auto"/>
    </w:pPr>
    <w:rPr>
      <w:sz w:val="17"/>
    </w:rPr>
  </w:style>
  <w:style w:type="paragraph" w:customStyle="1" w:styleId="Tabletextright">
    <w:name w:val="Table text right"/>
    <w:basedOn w:val="Tabletext"/>
    <w:uiPriority w:val="5"/>
    <w:qFormat/>
    <w:rsid w:val="00304F52"/>
    <w:pPr>
      <w:jc w:val="right"/>
    </w:pPr>
  </w:style>
  <w:style w:type="paragraph" w:customStyle="1" w:styleId="Listnumindent2">
    <w:name w:val="List num indent 2"/>
    <w:basedOn w:val="Normal"/>
    <w:uiPriority w:val="9"/>
    <w:qFormat/>
    <w:rsid w:val="00304F52"/>
    <w:pPr>
      <w:numPr>
        <w:ilvl w:val="7"/>
        <w:numId w:val="4"/>
      </w:numPr>
      <w:spacing w:before="100"/>
      <w:contextualSpacing/>
    </w:pPr>
  </w:style>
  <w:style w:type="paragraph" w:customStyle="1" w:styleId="Listnumindent">
    <w:name w:val="List num indent"/>
    <w:basedOn w:val="Normal"/>
    <w:uiPriority w:val="9"/>
    <w:qFormat/>
    <w:rsid w:val="00304F52"/>
    <w:pPr>
      <w:numPr>
        <w:ilvl w:val="6"/>
        <w:numId w:val="4"/>
      </w:numPr>
      <w:spacing w:before="100"/>
    </w:pPr>
  </w:style>
  <w:style w:type="paragraph" w:customStyle="1" w:styleId="Listnum">
    <w:name w:val="List num"/>
    <w:basedOn w:val="Normal"/>
    <w:uiPriority w:val="1"/>
    <w:qFormat/>
    <w:rsid w:val="00304F52"/>
    <w:pPr>
      <w:numPr>
        <w:numId w:val="4"/>
      </w:numPr>
    </w:pPr>
  </w:style>
  <w:style w:type="paragraph" w:customStyle="1" w:styleId="Listnum2">
    <w:name w:val="List num 2"/>
    <w:basedOn w:val="Normal"/>
    <w:uiPriority w:val="1"/>
    <w:qFormat/>
    <w:rsid w:val="00304F52"/>
    <w:pPr>
      <w:numPr>
        <w:ilvl w:val="1"/>
        <w:numId w:val="4"/>
      </w:numPr>
    </w:pPr>
  </w:style>
  <w:style w:type="paragraph" w:customStyle="1" w:styleId="Tabletextcentred">
    <w:name w:val="Table text centred"/>
    <w:basedOn w:val="Tabletext"/>
    <w:uiPriority w:val="5"/>
    <w:qFormat/>
    <w:rsid w:val="00304F52"/>
    <w:pPr>
      <w:jc w:val="center"/>
    </w:pPr>
  </w:style>
  <w:style w:type="paragraph" w:customStyle="1" w:styleId="Tableheader">
    <w:name w:val="Table header"/>
    <w:basedOn w:val="Tabletext"/>
    <w:uiPriority w:val="5"/>
    <w:qFormat/>
    <w:rsid w:val="00304F5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304F52"/>
    <w:pPr>
      <w:numPr>
        <w:numId w:val="17"/>
      </w:numPr>
    </w:pPr>
  </w:style>
  <w:style w:type="paragraph" w:customStyle="1" w:styleId="Tabledash">
    <w:name w:val="Table dash"/>
    <w:basedOn w:val="Tablebullet"/>
    <w:uiPriority w:val="6"/>
    <w:rsid w:val="00304F52"/>
    <w:pPr>
      <w:numPr>
        <w:ilvl w:val="1"/>
      </w:numPr>
    </w:pPr>
  </w:style>
  <w:style w:type="paragraph" w:customStyle="1" w:styleId="Tabletextindent">
    <w:name w:val="Table text indent"/>
    <w:basedOn w:val="Tabletext"/>
    <w:uiPriority w:val="5"/>
    <w:qFormat/>
    <w:rsid w:val="00304F52"/>
    <w:pPr>
      <w:ind w:left="288"/>
    </w:pPr>
  </w:style>
  <w:style w:type="paragraph" w:customStyle="1" w:styleId="Numpara">
    <w:name w:val="Num para"/>
    <w:basedOn w:val="ListParagraph"/>
    <w:uiPriority w:val="2"/>
    <w:qFormat/>
    <w:rsid w:val="00304F52"/>
    <w:pPr>
      <w:numPr>
        <w:numId w:val="19"/>
      </w:numPr>
      <w:tabs>
        <w:tab w:val="left" w:pos="540"/>
      </w:tabs>
    </w:pPr>
  </w:style>
  <w:style w:type="paragraph" w:styleId="ListParagraph">
    <w:name w:val="List Paragraph"/>
    <w:basedOn w:val="Normal"/>
    <w:uiPriority w:val="34"/>
    <w:semiHidden/>
    <w:qFormat/>
    <w:rsid w:val="00304F52"/>
    <w:pPr>
      <w:ind w:left="720"/>
      <w:contextualSpacing/>
    </w:pPr>
  </w:style>
  <w:style w:type="paragraph" w:customStyle="1" w:styleId="Tablechartdiagramheading">
    <w:name w:val="Table/chart/diagram heading"/>
    <w:uiPriority w:val="4"/>
    <w:qFormat/>
    <w:rsid w:val="00304F52"/>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04F5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04F52"/>
    <w:rPr>
      <w:spacing w:val="2"/>
      <w:sz w:val="17"/>
    </w:rPr>
  </w:style>
  <w:style w:type="character" w:styleId="FootnoteReference">
    <w:name w:val="footnote reference"/>
    <w:basedOn w:val="DefaultParagraphFont"/>
    <w:uiPriority w:val="99"/>
    <w:semiHidden/>
    <w:rsid w:val="00304F52"/>
    <w:rPr>
      <w:vertAlign w:val="superscript"/>
    </w:rPr>
  </w:style>
  <w:style w:type="table" w:customStyle="1" w:styleId="DTFfinancialtableindent">
    <w:name w:val="DTF financial table indent"/>
    <w:basedOn w:val="DTFfinancialtable"/>
    <w:uiPriority w:val="99"/>
    <w:rsid w:val="00304F52"/>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304F52"/>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304F52"/>
    <w:pPr>
      <w:numPr>
        <w:ilvl w:val="8"/>
        <w:numId w:val="4"/>
      </w:numPr>
      <w:tabs>
        <w:tab w:val="clear" w:pos="540"/>
      </w:tabs>
    </w:pPr>
  </w:style>
  <w:style w:type="paragraph" w:customStyle="1" w:styleId="Tablenum1">
    <w:name w:val="Table num 1"/>
    <w:basedOn w:val="Normal"/>
    <w:uiPriority w:val="6"/>
    <w:rsid w:val="00304F52"/>
    <w:pPr>
      <w:numPr>
        <w:ilvl w:val="2"/>
        <w:numId w:val="17"/>
      </w:numPr>
    </w:pPr>
    <w:rPr>
      <w:sz w:val="17"/>
    </w:rPr>
  </w:style>
  <w:style w:type="paragraph" w:customStyle="1" w:styleId="Tablenum2">
    <w:name w:val="Table num 2"/>
    <w:basedOn w:val="Normal"/>
    <w:uiPriority w:val="6"/>
    <w:rsid w:val="00304F52"/>
    <w:pPr>
      <w:numPr>
        <w:ilvl w:val="3"/>
        <w:numId w:val="17"/>
      </w:numPr>
    </w:pPr>
    <w:rPr>
      <w:sz w:val="17"/>
    </w:rPr>
  </w:style>
  <w:style w:type="paragraph" w:customStyle="1" w:styleId="NoteNormalindent">
    <w:name w:val="Note Normal indent"/>
    <w:basedOn w:val="NoteNormal"/>
    <w:uiPriority w:val="8"/>
    <w:rsid w:val="00304F52"/>
    <w:pPr>
      <w:ind w:left="792"/>
    </w:pPr>
  </w:style>
  <w:style w:type="paragraph" w:styleId="Caption">
    <w:name w:val="caption"/>
    <w:basedOn w:val="Normal"/>
    <w:next w:val="Normal"/>
    <w:uiPriority w:val="35"/>
    <w:rsid w:val="00304F52"/>
    <w:pPr>
      <w:spacing w:before="0" w:after="200" w:line="240" w:lineRule="auto"/>
    </w:pPr>
    <w:rPr>
      <w:b/>
      <w:bCs/>
      <w:color w:val="383834" w:themeColor="background2" w:themeShade="40"/>
      <w:sz w:val="18"/>
      <w:szCs w:val="18"/>
    </w:rPr>
  </w:style>
  <w:style w:type="table" w:customStyle="1" w:styleId="DTFfinancialtable1">
    <w:name w:val="DTF financial table1"/>
    <w:basedOn w:val="TableGrid"/>
    <w:uiPriority w:val="99"/>
    <w:rsid w:val="00035EBD"/>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546A3AF-A42B-4E8B-8709-6902CA0AFA8C}">
  <ds:schemaRefs>
    <ds:schemaRef ds:uri="http://schemas.openxmlformats.org/officeDocument/2006/bibliography"/>
  </ds:schemaRefs>
</ds:datastoreItem>
</file>

<file path=customXml/itemProps2.xml><?xml version="1.0" encoding="utf-8"?>
<ds:datastoreItem xmlns:ds="http://schemas.openxmlformats.org/officeDocument/2006/customXml" ds:itemID="{DDAC8621-3A0A-44FB-A150-889529FA2F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Foo</dc:creator>
  <cp:lastModifiedBy>Constance Yuan (DTF)</cp:lastModifiedBy>
  <cp:revision>9</cp:revision>
  <cp:lastPrinted>2017-03-31T01:40:00Z</cp:lastPrinted>
  <dcterms:created xsi:type="dcterms:W3CDTF">2017-05-26T05:04:00Z</dcterms:created>
  <dcterms:modified xsi:type="dcterms:W3CDTF">2024-06-25T00:38:00Z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50920fb7,4297f18c,6fffe66d</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2024-05-29T03:38:57Z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385e8239-3b46-4a86-9ce8-e215561d9aed</vt:lpwstr>
  </property>
  <property fmtid="{D5CDD505-2E9C-101B-9397-08002B2CF9AE}" pid="13" name="MSIP_Label_7158ebbd-6c5e-441f-bfc9-4eb8c11e3978_ContentBits">
    <vt:lpwstr>2</vt:lpwstr>
  </property>
</Properties>
</file>