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39C5" w14:textId="71DDA773" w:rsidR="00045296" w:rsidRPr="00691C09" w:rsidRDefault="005F6F27" w:rsidP="00691C09">
      <w:pPr>
        <w:pStyle w:val="Title"/>
      </w:pPr>
      <w:bookmarkStart w:id="0" w:name="_Toc442780672"/>
      <w:r>
        <w:t xml:space="preserve">Guidance </w:t>
      </w:r>
      <w:proofErr w:type="gramStart"/>
      <w:r>
        <w:t>note</w:t>
      </w:r>
      <w:proofErr w:type="gramEnd"/>
      <w:r>
        <w:t xml:space="preserve"> to Financial Reporting Direction (FRD) 22</w:t>
      </w:r>
    </w:p>
    <w:p w14:paraId="65432197" w14:textId="77777777" w:rsidR="00045296" w:rsidRDefault="005F6F27" w:rsidP="00200BB3">
      <w:pPr>
        <w:pStyle w:val="Heading1"/>
      </w:pPr>
      <w:r>
        <w:t xml:space="preserve">Guidance on the definition of consultant </w:t>
      </w:r>
    </w:p>
    <w:p w14:paraId="5B6C94B1" w14:textId="5A7ADECF" w:rsidR="005F6F27" w:rsidRDefault="005F6F27" w:rsidP="005F6F27">
      <w:pPr>
        <w:rPr>
          <w:b/>
          <w:bCs/>
        </w:rPr>
      </w:pPr>
      <w:bookmarkStart w:id="1" w:name="_Toc442780675"/>
      <w:r w:rsidRPr="005F6F27">
        <w:t xml:space="preserve">Financial Reporting Direction </w:t>
      </w:r>
      <w:r w:rsidR="00105E7E">
        <w:t>22</w:t>
      </w:r>
      <w:r w:rsidRPr="005F6F27">
        <w:t xml:space="preserve"> requires entities to disclose details of individual consultancies engaged valued </w:t>
      </w:r>
      <w:proofErr w:type="gramStart"/>
      <w:r w:rsidRPr="005F6F27">
        <w:t>in excess of</w:t>
      </w:r>
      <w:proofErr w:type="gramEnd"/>
      <w:r w:rsidRPr="005F6F27">
        <w:t xml:space="preserve"> $10 000 (exclusive of GST). Below is a guide to assist entities in applying the definition of consultant in this FRD.</w:t>
      </w:r>
    </w:p>
    <w:p w14:paraId="6F912749" w14:textId="77777777" w:rsidR="005F6F27" w:rsidRPr="005F6F27" w:rsidRDefault="005F6F27" w:rsidP="00143EDF">
      <w:pPr>
        <w:pStyle w:val="Heading3"/>
      </w:pPr>
      <w:r w:rsidRPr="005F6F27">
        <w:t>Definitions</w:t>
      </w:r>
    </w:p>
    <w:p w14:paraId="2E9D0552" w14:textId="77777777" w:rsidR="005F6F27" w:rsidRPr="005F6F27" w:rsidRDefault="005F6F27" w:rsidP="005F6F27">
      <w:r w:rsidRPr="00143EDF">
        <w:rPr>
          <w:b/>
        </w:rPr>
        <w:t xml:space="preserve">Contractor </w:t>
      </w:r>
      <w:r w:rsidRPr="005F6F27">
        <w:t>– A contractor is an individual or organisation that is formally engaged to provide works or services for or on behalf of an entity. This definition does not include casual, fixed-term or temporary employees employed by the entity.</w:t>
      </w:r>
      <w:r w:rsidR="00322715">
        <w:rPr>
          <w:rStyle w:val="FootnoteReference"/>
        </w:rPr>
        <w:footnoteReference w:id="1"/>
      </w:r>
      <w:r w:rsidRPr="005F6F27">
        <w:t xml:space="preserve">  </w:t>
      </w:r>
    </w:p>
    <w:p w14:paraId="58E1E08C" w14:textId="77777777" w:rsidR="005F6F27" w:rsidRPr="005F6F27" w:rsidRDefault="005F6F27" w:rsidP="005F6F27">
      <w:r w:rsidRPr="00143EDF">
        <w:rPr>
          <w:b/>
        </w:rPr>
        <w:t>Consultant</w:t>
      </w:r>
      <w:r w:rsidRPr="005F6F27">
        <w:t xml:space="preserve"> – A consultant is a particular type of contractor that is engaged primarily to perform a discrete task for an entity that facilitates decision making through:</w:t>
      </w:r>
    </w:p>
    <w:p w14:paraId="6C7038D1" w14:textId="77777777" w:rsidR="005F6F27" w:rsidRPr="005F6F27" w:rsidRDefault="005F6F27" w:rsidP="00143EDF">
      <w:pPr>
        <w:pStyle w:val="Bullet1"/>
      </w:pPr>
      <w:r w:rsidRPr="005F6F27">
        <w:t>provision of expert analysis and advice; and/or</w:t>
      </w:r>
    </w:p>
    <w:p w14:paraId="2840A197" w14:textId="77777777" w:rsidR="005F6F27" w:rsidRPr="005F6F27" w:rsidRDefault="005F6F27" w:rsidP="00143EDF">
      <w:pPr>
        <w:pStyle w:val="Bullet1"/>
      </w:pPr>
      <w:r w:rsidRPr="005F6F27">
        <w:t>development of a written report or other intellectual output.</w:t>
      </w:r>
    </w:p>
    <w:p w14:paraId="5283D47A" w14:textId="77777777" w:rsidR="005F6F27" w:rsidRPr="005F6F27" w:rsidRDefault="005F6F27" w:rsidP="00143EDF">
      <w:pPr>
        <w:pStyle w:val="Heading3"/>
      </w:pPr>
      <w:r w:rsidRPr="005F6F27">
        <w:t>Distinguishing consultants from other contractors</w:t>
      </w:r>
    </w:p>
    <w:p w14:paraId="267B361F" w14:textId="77777777" w:rsidR="005F6F27" w:rsidRPr="005F6F27" w:rsidRDefault="005F6F27" w:rsidP="005F6F27">
      <w:r w:rsidRPr="005F6F27">
        <w:t xml:space="preserve">In practice the distinction between consultants and other contractors is not always clear </w:t>
      </w:r>
      <w:proofErr w:type="gramStart"/>
      <w:r w:rsidRPr="005F6F27">
        <w:t>cut, and</w:t>
      </w:r>
      <w:proofErr w:type="gramEnd"/>
      <w:r w:rsidRPr="005F6F27">
        <w:t xml:space="preserve"> may require some judgement. </w:t>
      </w:r>
    </w:p>
    <w:p w14:paraId="5FD80905" w14:textId="77777777" w:rsidR="005F6F27" w:rsidRPr="005F6F27" w:rsidRDefault="005F6F27" w:rsidP="005F6F27">
      <w:r w:rsidRPr="005F6F27">
        <w:t xml:space="preserve">Many contractors may call themselves consultants, but do not fall within the definition of a consultant outlined above. When determining if a service provider is a </w:t>
      </w:r>
      <w:proofErr w:type="gramStart"/>
      <w:r w:rsidRPr="005F6F27">
        <w:t>consultant</w:t>
      </w:r>
      <w:proofErr w:type="gramEnd"/>
      <w:r w:rsidRPr="005F6F27">
        <w:t xml:space="preserve"> it is important to consider the primary purpose of the engagement.</w:t>
      </w:r>
    </w:p>
    <w:p w14:paraId="7DDEE2C6" w14:textId="77777777" w:rsidR="005F6F27" w:rsidRDefault="005F6F27" w:rsidP="005F6F27">
      <w:r w:rsidRPr="005F6F27">
        <w:t>The main factor that distinguishes a consultant from other types of contractors is the predominantly advisory nature of the work.</w:t>
      </w:r>
    </w:p>
    <w:bookmarkEnd w:id="0"/>
    <w:bookmarkEnd w:id="1"/>
    <w:p w14:paraId="6AAEBD97" w14:textId="77777777" w:rsidR="005F6F27" w:rsidRPr="004910C0" w:rsidRDefault="005F6F27" w:rsidP="004910C0">
      <w:pPr>
        <w:pStyle w:val="Heading4"/>
      </w:pPr>
      <w:r w:rsidRPr="004910C0">
        <w:t>Examples of consultancy and contractor services</w:t>
      </w:r>
    </w:p>
    <w:tbl>
      <w:tblPr>
        <w:tblStyle w:val="TableGrid"/>
        <w:tblW w:w="0" w:type="auto"/>
        <w:tblLook w:val="04A0" w:firstRow="1" w:lastRow="0" w:firstColumn="1" w:lastColumn="0" w:noHBand="0" w:noVBand="1"/>
      </w:tblPr>
      <w:tblGrid>
        <w:gridCol w:w="3043"/>
        <w:gridCol w:w="3049"/>
        <w:gridCol w:w="3048"/>
      </w:tblGrid>
      <w:tr w:rsidR="005F6F27" w14:paraId="1FA82698" w14:textId="77777777" w:rsidTr="005F6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4CAC26D7" w14:textId="77777777" w:rsidR="005F6F27" w:rsidRPr="004910C0" w:rsidRDefault="005F6F27" w:rsidP="005F6F27">
            <w:pPr>
              <w:rPr>
                <w:rFonts w:cstheme="minorHAnsi"/>
                <w:b/>
                <w:sz w:val="18"/>
                <w:szCs w:val="18"/>
              </w:rPr>
            </w:pPr>
            <w:r w:rsidRPr="004910C0">
              <w:rPr>
                <w:rFonts w:cstheme="minorHAnsi"/>
                <w:b/>
                <w:sz w:val="18"/>
                <w:szCs w:val="18"/>
              </w:rPr>
              <w:t>Type of service</w:t>
            </w:r>
          </w:p>
        </w:tc>
        <w:tc>
          <w:tcPr>
            <w:tcW w:w="3049" w:type="dxa"/>
          </w:tcPr>
          <w:p w14:paraId="035AEFE9" w14:textId="77777777" w:rsidR="005F6F27" w:rsidRPr="004910C0" w:rsidRDefault="005F6F27" w:rsidP="005F6F27">
            <w:pPr>
              <w:cnfStyle w:val="100000000000" w:firstRow="1" w:lastRow="0" w:firstColumn="0" w:lastColumn="0" w:oddVBand="0" w:evenVBand="0" w:oddHBand="0" w:evenHBand="0" w:firstRowFirstColumn="0" w:firstRowLastColumn="0" w:lastRowFirstColumn="0" w:lastRowLastColumn="0"/>
              <w:rPr>
                <w:rFonts w:cstheme="minorHAnsi"/>
                <w:b/>
                <w:sz w:val="18"/>
                <w:szCs w:val="18"/>
              </w:rPr>
            </w:pPr>
            <w:r w:rsidRPr="004910C0">
              <w:rPr>
                <w:rFonts w:cstheme="minorHAnsi"/>
                <w:b/>
                <w:sz w:val="18"/>
                <w:szCs w:val="18"/>
              </w:rPr>
              <w:t>Consultant</w:t>
            </w:r>
          </w:p>
        </w:tc>
        <w:tc>
          <w:tcPr>
            <w:tcW w:w="3048" w:type="dxa"/>
          </w:tcPr>
          <w:p w14:paraId="52B25D0A" w14:textId="77777777" w:rsidR="005F6F27" w:rsidRPr="004910C0" w:rsidRDefault="005F6F27" w:rsidP="005F6F27">
            <w:pPr>
              <w:cnfStyle w:val="100000000000" w:firstRow="1" w:lastRow="0" w:firstColumn="0" w:lastColumn="0" w:oddVBand="0" w:evenVBand="0" w:oddHBand="0" w:evenHBand="0" w:firstRowFirstColumn="0" w:firstRowLastColumn="0" w:lastRowFirstColumn="0" w:lastRowLastColumn="0"/>
              <w:rPr>
                <w:rFonts w:cstheme="minorHAnsi"/>
                <w:b/>
                <w:sz w:val="18"/>
                <w:szCs w:val="18"/>
              </w:rPr>
            </w:pPr>
            <w:proofErr w:type="gramStart"/>
            <w:r w:rsidRPr="004910C0">
              <w:rPr>
                <w:rFonts w:cstheme="minorHAnsi"/>
                <w:b/>
                <w:sz w:val="18"/>
                <w:szCs w:val="18"/>
              </w:rPr>
              <w:t>Other</w:t>
            </w:r>
            <w:proofErr w:type="gramEnd"/>
            <w:r w:rsidRPr="004910C0">
              <w:rPr>
                <w:rFonts w:cstheme="minorHAnsi"/>
                <w:b/>
                <w:sz w:val="18"/>
                <w:szCs w:val="18"/>
              </w:rPr>
              <w:t xml:space="preserve"> contractor </w:t>
            </w:r>
          </w:p>
        </w:tc>
      </w:tr>
      <w:tr w:rsidR="005F6F27" w14:paraId="5A8B1AE1" w14:textId="77777777" w:rsidTr="005F6F27">
        <w:tc>
          <w:tcPr>
            <w:cnfStyle w:val="001000000000" w:firstRow="0" w:lastRow="0" w:firstColumn="1" w:lastColumn="0" w:oddVBand="0" w:evenVBand="0" w:oddHBand="0" w:evenHBand="0" w:firstRowFirstColumn="0" w:firstRowLastColumn="0" w:lastRowFirstColumn="0" w:lastRowLastColumn="0"/>
            <w:tcW w:w="3043" w:type="dxa"/>
            <w:shd w:val="clear" w:color="auto" w:fill="auto"/>
          </w:tcPr>
          <w:p w14:paraId="10DD6685" w14:textId="77777777" w:rsidR="005F6F27" w:rsidRPr="004910C0" w:rsidRDefault="005F6F27" w:rsidP="005F6F27">
            <w:pPr>
              <w:pStyle w:val="TableText0"/>
              <w:rPr>
                <w:rFonts w:asciiTheme="minorHAnsi" w:hAnsiTheme="minorHAnsi" w:cstheme="minorHAnsi"/>
                <w:b/>
                <w:color w:val="262626" w:themeColor="text1" w:themeTint="D9"/>
                <w:sz w:val="18"/>
                <w:szCs w:val="18"/>
              </w:rPr>
            </w:pPr>
            <w:r w:rsidRPr="004910C0">
              <w:rPr>
                <w:rFonts w:asciiTheme="minorHAnsi" w:hAnsiTheme="minorHAnsi" w:cstheme="minorHAnsi"/>
                <w:b/>
                <w:color w:val="262626" w:themeColor="text1" w:themeTint="D9"/>
                <w:sz w:val="18"/>
                <w:szCs w:val="18"/>
              </w:rPr>
              <w:t>Research</w:t>
            </w:r>
          </w:p>
        </w:tc>
        <w:tc>
          <w:tcPr>
            <w:tcW w:w="3049" w:type="dxa"/>
            <w:shd w:val="clear" w:color="auto" w:fill="auto"/>
          </w:tcPr>
          <w:p w14:paraId="18B2B2DE" w14:textId="77777777" w:rsidR="005F6F27" w:rsidRPr="004910C0" w:rsidRDefault="005F6F27" w:rsidP="005F6F27">
            <w:pPr>
              <w:numPr>
                <w:ilvl w:val="0"/>
                <w:numId w:val="29"/>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Research projects where advice and/or recommendations are provided, including feasibility studies and market research.</w:t>
            </w:r>
          </w:p>
        </w:tc>
        <w:tc>
          <w:tcPr>
            <w:tcW w:w="3048" w:type="dxa"/>
          </w:tcPr>
          <w:p w14:paraId="1A84AB1E" w14:textId="77777777" w:rsidR="005F6F27" w:rsidRPr="004910C0" w:rsidRDefault="005F6F27" w:rsidP="005F6F27">
            <w:pPr>
              <w:numPr>
                <w:ilvl w:val="0"/>
                <w:numId w:val="29"/>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 xml:space="preserve">Research or collection and compilation of statistical data, including associated findings, where recommendations are </w:t>
            </w:r>
            <w:r w:rsidRPr="004910C0">
              <w:rPr>
                <w:rFonts w:cstheme="minorHAnsi"/>
                <w:color w:val="262626" w:themeColor="text1" w:themeTint="D9"/>
                <w:sz w:val="18"/>
                <w:szCs w:val="18"/>
                <w:u w:val="single"/>
              </w:rPr>
              <w:t>not</w:t>
            </w:r>
            <w:r w:rsidRPr="004910C0">
              <w:rPr>
                <w:rFonts w:cstheme="minorHAnsi"/>
                <w:color w:val="262626" w:themeColor="text1" w:themeTint="D9"/>
                <w:sz w:val="18"/>
                <w:szCs w:val="18"/>
              </w:rPr>
              <w:t xml:space="preserve"> provided. </w:t>
            </w:r>
          </w:p>
          <w:p w14:paraId="6EA567C6" w14:textId="77777777" w:rsidR="005F6F27" w:rsidRPr="004910C0" w:rsidRDefault="005F6F27" w:rsidP="005F6F27">
            <w:pPr>
              <w:numPr>
                <w:ilvl w:val="0"/>
                <w:numId w:val="29"/>
              </w:numPr>
              <w:spacing w:before="0" w:after="60"/>
              <w:ind w:left="317" w:hanging="288"/>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Surveys, data processing and performance reporting.</w:t>
            </w:r>
          </w:p>
        </w:tc>
      </w:tr>
      <w:tr w:rsidR="005F6F27" w14:paraId="7F7B6F1C" w14:textId="77777777" w:rsidTr="005F6F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2592FEA2" w14:textId="3F6EAD48" w:rsidR="005F6F27" w:rsidRPr="004910C0" w:rsidRDefault="005F6F27" w:rsidP="005F6F27">
            <w:pPr>
              <w:pStyle w:val="TableText0"/>
              <w:rPr>
                <w:rFonts w:asciiTheme="minorHAnsi" w:hAnsiTheme="minorHAnsi" w:cstheme="minorHAnsi"/>
                <w:b/>
                <w:color w:val="262626" w:themeColor="text1" w:themeTint="D9"/>
                <w:sz w:val="18"/>
                <w:szCs w:val="18"/>
              </w:rPr>
            </w:pPr>
            <w:r w:rsidRPr="004910C0">
              <w:rPr>
                <w:rFonts w:asciiTheme="minorHAnsi" w:hAnsiTheme="minorHAnsi" w:cstheme="minorHAnsi"/>
                <w:b/>
                <w:color w:val="262626" w:themeColor="text1" w:themeTint="D9"/>
                <w:sz w:val="18"/>
                <w:szCs w:val="18"/>
              </w:rPr>
              <w:lastRenderedPageBreak/>
              <w:t xml:space="preserve">Program implementation, </w:t>
            </w:r>
            <w:proofErr w:type="gramStart"/>
            <w:r w:rsidR="006F5DC0" w:rsidRPr="004910C0">
              <w:rPr>
                <w:rFonts w:asciiTheme="minorHAnsi" w:hAnsiTheme="minorHAnsi" w:cstheme="minorHAnsi"/>
                <w:b/>
                <w:color w:val="262626" w:themeColor="text1" w:themeTint="D9"/>
                <w:sz w:val="18"/>
                <w:szCs w:val="18"/>
              </w:rPr>
              <w:t>management</w:t>
            </w:r>
            <w:proofErr w:type="gramEnd"/>
            <w:r w:rsidR="006F5DC0" w:rsidRPr="004910C0">
              <w:rPr>
                <w:rFonts w:asciiTheme="minorHAnsi" w:hAnsiTheme="minorHAnsi" w:cstheme="minorHAnsi"/>
                <w:b/>
                <w:color w:val="262626" w:themeColor="text1" w:themeTint="D9"/>
                <w:sz w:val="18"/>
                <w:szCs w:val="18"/>
              </w:rPr>
              <w:t xml:space="preserve"> and</w:t>
            </w:r>
            <w:r w:rsidRPr="004910C0">
              <w:rPr>
                <w:rFonts w:asciiTheme="minorHAnsi" w:hAnsiTheme="minorHAnsi" w:cstheme="minorHAnsi"/>
                <w:b/>
                <w:color w:val="262626" w:themeColor="text1" w:themeTint="D9"/>
                <w:sz w:val="18"/>
                <w:szCs w:val="18"/>
              </w:rPr>
              <w:t xml:space="preserve"> evaluation</w:t>
            </w:r>
          </w:p>
        </w:tc>
        <w:tc>
          <w:tcPr>
            <w:tcW w:w="3049" w:type="dxa"/>
          </w:tcPr>
          <w:p w14:paraId="133F5EFA" w14:textId="77777777" w:rsidR="005F6F27" w:rsidRPr="004910C0" w:rsidRDefault="005F6F27" w:rsidP="005F6F27">
            <w:pPr>
              <w:numPr>
                <w:ilvl w:val="0"/>
                <w:numId w:val="31"/>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Project/program analysis and/or evaluation where recommendations are provided.</w:t>
            </w:r>
          </w:p>
          <w:p w14:paraId="012B534C" w14:textId="77777777" w:rsidR="005F6F27" w:rsidRPr="004910C0" w:rsidRDefault="005F6F27" w:rsidP="005F6F27">
            <w:pPr>
              <w:numPr>
                <w:ilvl w:val="0"/>
                <w:numId w:val="31"/>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Recommendations relating to an assessment of risk concerning program developments and delivery.</w:t>
            </w:r>
          </w:p>
          <w:p w14:paraId="7627401B" w14:textId="77777777" w:rsidR="005F6F27" w:rsidRPr="004910C0" w:rsidRDefault="005F6F27" w:rsidP="005F6F27">
            <w:pPr>
              <w:numPr>
                <w:ilvl w:val="0"/>
                <w:numId w:val="31"/>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Business case development including development of strategic options and/or ranking of preferred option(s).</w:t>
            </w:r>
          </w:p>
          <w:p w14:paraId="5AD3402C" w14:textId="77777777" w:rsidR="005F6F27" w:rsidRPr="004910C0" w:rsidRDefault="005F6F27" w:rsidP="005F6F27">
            <w:pPr>
              <w:numPr>
                <w:ilvl w:val="0"/>
                <w:numId w:val="30"/>
              </w:numPr>
              <w:spacing w:before="0" w:after="60"/>
              <w:ind w:left="317" w:hanging="288"/>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Risk analysis at the program level.</w:t>
            </w:r>
          </w:p>
        </w:tc>
        <w:tc>
          <w:tcPr>
            <w:tcW w:w="3048" w:type="dxa"/>
          </w:tcPr>
          <w:p w14:paraId="7551C0CE" w14:textId="77777777" w:rsidR="005F6F27" w:rsidRPr="004910C0" w:rsidRDefault="005F6F27" w:rsidP="005F6F27">
            <w:pPr>
              <w:numPr>
                <w:ilvl w:val="0"/>
                <w:numId w:val="29"/>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Day to day project or program management.</w:t>
            </w:r>
          </w:p>
          <w:p w14:paraId="5C5EA375" w14:textId="77777777" w:rsidR="005F6F27" w:rsidRPr="004910C0" w:rsidRDefault="005F6F27" w:rsidP="005F6F27">
            <w:pPr>
              <w:numPr>
                <w:ilvl w:val="0"/>
                <w:numId w:val="29"/>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 xml:space="preserve">Project/program evaluation where recommendations are </w:t>
            </w:r>
            <w:r w:rsidRPr="004910C0">
              <w:rPr>
                <w:rFonts w:cstheme="minorHAnsi"/>
                <w:color w:val="262626" w:themeColor="text1" w:themeTint="D9"/>
                <w:sz w:val="18"/>
                <w:szCs w:val="18"/>
                <w:u w:val="single"/>
              </w:rPr>
              <w:t>not</w:t>
            </w:r>
            <w:r w:rsidRPr="004910C0">
              <w:rPr>
                <w:rFonts w:cstheme="minorHAnsi"/>
                <w:color w:val="262626" w:themeColor="text1" w:themeTint="D9"/>
                <w:sz w:val="18"/>
                <w:szCs w:val="18"/>
              </w:rPr>
              <w:t xml:space="preserve"> provided.</w:t>
            </w:r>
          </w:p>
          <w:p w14:paraId="35B1ACD3" w14:textId="77777777" w:rsidR="005F6F27" w:rsidRPr="004910C0" w:rsidRDefault="005F6F27" w:rsidP="005F6F27">
            <w:pPr>
              <w:numPr>
                <w:ilvl w:val="0"/>
                <w:numId w:val="29"/>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Business case preparation where the preferred option(s) have already been determined.</w:t>
            </w:r>
          </w:p>
          <w:p w14:paraId="7C3FF503" w14:textId="77777777" w:rsidR="005F6F27" w:rsidRPr="004910C0" w:rsidRDefault="005F6F27" w:rsidP="005F6F27">
            <w:pPr>
              <w:numPr>
                <w:ilvl w:val="0"/>
                <w:numId w:val="29"/>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Implementation of a new program.</w:t>
            </w:r>
          </w:p>
          <w:p w14:paraId="3CA7768A" w14:textId="77777777" w:rsidR="005F6F27" w:rsidRPr="004910C0" w:rsidRDefault="005F6F27" w:rsidP="005F6F27">
            <w:pPr>
              <w:numPr>
                <w:ilvl w:val="0"/>
                <w:numId w:val="29"/>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Risk assessment at the project level.</w:t>
            </w:r>
          </w:p>
        </w:tc>
      </w:tr>
      <w:tr w:rsidR="005F6F27" w14:paraId="5DE8B7A5" w14:textId="77777777" w:rsidTr="005F6F27">
        <w:tc>
          <w:tcPr>
            <w:cnfStyle w:val="001000000000" w:firstRow="0" w:lastRow="0" w:firstColumn="1" w:lastColumn="0" w:oddVBand="0" w:evenVBand="0" w:oddHBand="0" w:evenHBand="0" w:firstRowFirstColumn="0" w:firstRowLastColumn="0" w:lastRowFirstColumn="0" w:lastRowLastColumn="0"/>
            <w:tcW w:w="3043" w:type="dxa"/>
            <w:shd w:val="clear" w:color="auto" w:fill="auto"/>
          </w:tcPr>
          <w:p w14:paraId="3D62835A" w14:textId="77777777" w:rsidR="005F6F27" w:rsidRPr="004910C0" w:rsidRDefault="005F6F27" w:rsidP="005F6F27">
            <w:pPr>
              <w:pStyle w:val="TableText0"/>
              <w:rPr>
                <w:rFonts w:asciiTheme="minorHAnsi" w:hAnsiTheme="minorHAnsi" w:cstheme="minorHAnsi"/>
                <w:b/>
                <w:color w:val="262626" w:themeColor="text1" w:themeTint="D9"/>
                <w:sz w:val="18"/>
                <w:szCs w:val="18"/>
              </w:rPr>
            </w:pPr>
            <w:r w:rsidRPr="004910C0">
              <w:rPr>
                <w:rFonts w:asciiTheme="minorHAnsi" w:hAnsiTheme="minorHAnsi" w:cstheme="minorHAnsi"/>
                <w:b/>
                <w:color w:val="262626" w:themeColor="text1" w:themeTint="D9"/>
                <w:sz w:val="18"/>
                <w:szCs w:val="18"/>
              </w:rPr>
              <w:t>Organisational processes</w:t>
            </w:r>
          </w:p>
        </w:tc>
        <w:tc>
          <w:tcPr>
            <w:tcW w:w="3049" w:type="dxa"/>
            <w:shd w:val="clear" w:color="auto" w:fill="auto"/>
          </w:tcPr>
          <w:p w14:paraId="0755E90B"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Business process analysis.</w:t>
            </w:r>
          </w:p>
          <w:p w14:paraId="05D9FA34"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Advice on strategic planning issues.</w:t>
            </w:r>
          </w:p>
          <w:p w14:paraId="16606101"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Review of security procedures and preparation of recommendations.</w:t>
            </w:r>
          </w:p>
          <w:p w14:paraId="0A761B1D"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Independent review of organisational processes.</w:t>
            </w:r>
          </w:p>
          <w:p w14:paraId="6FFAE067" w14:textId="77777777" w:rsidR="005F6F27" w:rsidRPr="004910C0" w:rsidRDefault="005F6F27" w:rsidP="005F6F27">
            <w:pPr>
              <w:numPr>
                <w:ilvl w:val="0"/>
                <w:numId w:val="30"/>
              </w:numPr>
              <w:spacing w:before="0" w:after="60"/>
              <w:ind w:left="317" w:hanging="288"/>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Change facilitation advice.</w:t>
            </w:r>
          </w:p>
        </w:tc>
        <w:tc>
          <w:tcPr>
            <w:tcW w:w="3048" w:type="dxa"/>
          </w:tcPr>
          <w:p w14:paraId="067FCA74"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Business process mapping.</w:t>
            </w:r>
          </w:p>
          <w:p w14:paraId="6F868181"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Preparation of guidance materials that cover proposed and/or existing processes.</w:t>
            </w:r>
          </w:p>
          <w:p w14:paraId="16232901"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Implementation of business processes.</w:t>
            </w:r>
          </w:p>
        </w:tc>
      </w:tr>
      <w:tr w:rsidR="005F6F27" w14:paraId="158B556D" w14:textId="77777777" w:rsidTr="00E76472">
        <w:trPr>
          <w:cnfStyle w:val="000000010000" w:firstRow="0" w:lastRow="0" w:firstColumn="0" w:lastColumn="0" w:oddVBand="0" w:evenVBand="0" w:oddHBand="0" w:evenHBand="1" w:firstRowFirstColumn="0" w:firstRowLastColumn="0" w:lastRowFirstColumn="0" w:lastRowLastColumn="0"/>
          <w:trHeight w:val="2682"/>
        </w:trPr>
        <w:tc>
          <w:tcPr>
            <w:cnfStyle w:val="001000000000" w:firstRow="0" w:lastRow="0" w:firstColumn="1" w:lastColumn="0" w:oddVBand="0" w:evenVBand="0" w:oddHBand="0" w:evenHBand="0" w:firstRowFirstColumn="0" w:firstRowLastColumn="0" w:lastRowFirstColumn="0" w:lastRowLastColumn="0"/>
            <w:tcW w:w="3043" w:type="dxa"/>
          </w:tcPr>
          <w:p w14:paraId="43DA1C31" w14:textId="77777777" w:rsidR="005F6F27" w:rsidRPr="004910C0" w:rsidRDefault="005F6F27" w:rsidP="005F6F27">
            <w:pPr>
              <w:pStyle w:val="TableText0"/>
              <w:rPr>
                <w:rFonts w:asciiTheme="minorHAnsi" w:hAnsiTheme="minorHAnsi" w:cstheme="minorHAnsi"/>
                <w:b/>
                <w:color w:val="262626" w:themeColor="text1" w:themeTint="D9"/>
                <w:sz w:val="18"/>
                <w:szCs w:val="18"/>
              </w:rPr>
            </w:pPr>
            <w:r w:rsidRPr="004910C0">
              <w:rPr>
                <w:rFonts w:asciiTheme="minorHAnsi" w:hAnsiTheme="minorHAnsi" w:cstheme="minorHAnsi"/>
                <w:b/>
                <w:color w:val="262626" w:themeColor="text1" w:themeTint="D9"/>
                <w:sz w:val="18"/>
                <w:szCs w:val="18"/>
              </w:rPr>
              <w:t>Policy</w:t>
            </w:r>
          </w:p>
        </w:tc>
        <w:tc>
          <w:tcPr>
            <w:tcW w:w="3049" w:type="dxa"/>
          </w:tcPr>
          <w:p w14:paraId="2178692E" w14:textId="77777777" w:rsidR="005F6F27" w:rsidRPr="004910C0" w:rsidRDefault="005F6F27" w:rsidP="005F6F27">
            <w:pPr>
              <w:spacing w:before="0" w:after="0"/>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Provision of expert advice to an entity on policy options including:</w:t>
            </w:r>
          </w:p>
          <w:p w14:paraId="2367DA56"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Development of policy options.</w:t>
            </w:r>
          </w:p>
          <w:p w14:paraId="622FD9CD"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Analysis and provision of recommendations on policy options.</w:t>
            </w:r>
          </w:p>
        </w:tc>
        <w:tc>
          <w:tcPr>
            <w:tcW w:w="3048" w:type="dxa"/>
          </w:tcPr>
          <w:p w14:paraId="60C36F07"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Preparation of a report or other document on an existing or proposed policy.</w:t>
            </w:r>
          </w:p>
          <w:p w14:paraId="44874C6A" w14:textId="77777777" w:rsidR="005F6F27" w:rsidRPr="004910C0" w:rsidRDefault="005F6F27" w:rsidP="005F6F27">
            <w:pPr>
              <w:numPr>
                <w:ilvl w:val="0"/>
                <w:numId w:val="30"/>
              </w:numPr>
              <w:spacing w:before="0" w:after="60"/>
              <w:ind w:left="317" w:hanging="288"/>
              <w:jc w:val="left"/>
              <w:cnfStyle w:val="000000010000" w:firstRow="0" w:lastRow="0" w:firstColumn="0" w:lastColumn="0" w:oddVBand="0" w:evenVBand="0" w:oddHBand="0" w:evenHBand="1"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 xml:space="preserve">Preparation of a report or other document on behalf of the entity where the output </w:t>
            </w:r>
            <w:proofErr w:type="gramStart"/>
            <w:r w:rsidRPr="004910C0">
              <w:rPr>
                <w:rFonts w:cstheme="minorHAnsi"/>
                <w:color w:val="262626" w:themeColor="text1" w:themeTint="D9"/>
                <w:sz w:val="18"/>
                <w:szCs w:val="18"/>
              </w:rPr>
              <w:t>is considered to be</w:t>
            </w:r>
            <w:proofErr w:type="gramEnd"/>
            <w:r w:rsidRPr="004910C0">
              <w:rPr>
                <w:rFonts w:cstheme="minorHAnsi"/>
                <w:color w:val="262626" w:themeColor="text1" w:themeTint="D9"/>
                <w:sz w:val="18"/>
                <w:szCs w:val="18"/>
              </w:rPr>
              <w:t xml:space="preserve"> a product of that entity. This may include development of policy options and provision of recommendations.</w:t>
            </w:r>
          </w:p>
        </w:tc>
      </w:tr>
      <w:tr w:rsidR="005F6F27" w14:paraId="4E70CD2B" w14:textId="77777777" w:rsidTr="00E76472">
        <w:tc>
          <w:tcPr>
            <w:cnfStyle w:val="001000000000" w:firstRow="0" w:lastRow="0" w:firstColumn="1" w:lastColumn="0" w:oddVBand="0" w:evenVBand="0" w:oddHBand="0" w:evenHBand="0" w:firstRowFirstColumn="0" w:firstRowLastColumn="0" w:lastRowFirstColumn="0" w:lastRowLastColumn="0"/>
            <w:tcW w:w="3043" w:type="dxa"/>
            <w:shd w:val="clear" w:color="auto" w:fill="auto"/>
          </w:tcPr>
          <w:p w14:paraId="1D59050D" w14:textId="77777777" w:rsidR="005F6F27" w:rsidRPr="004910C0" w:rsidRDefault="005F6F27" w:rsidP="005F6F27">
            <w:pPr>
              <w:pStyle w:val="TableText0"/>
              <w:rPr>
                <w:rFonts w:asciiTheme="minorHAnsi" w:hAnsiTheme="minorHAnsi" w:cstheme="minorHAnsi"/>
                <w:b/>
                <w:color w:val="262626" w:themeColor="text1" w:themeTint="D9"/>
                <w:sz w:val="18"/>
                <w:szCs w:val="18"/>
              </w:rPr>
            </w:pPr>
            <w:r w:rsidRPr="004910C0">
              <w:rPr>
                <w:rFonts w:asciiTheme="minorHAnsi" w:hAnsiTheme="minorHAnsi" w:cstheme="minorHAnsi"/>
                <w:b/>
                <w:color w:val="262626" w:themeColor="text1" w:themeTint="D9"/>
                <w:sz w:val="18"/>
                <w:szCs w:val="18"/>
              </w:rPr>
              <w:t>Technical/professional services</w:t>
            </w:r>
          </w:p>
        </w:tc>
        <w:tc>
          <w:tcPr>
            <w:tcW w:w="3049" w:type="dxa"/>
            <w:shd w:val="clear" w:color="auto" w:fill="auto"/>
          </w:tcPr>
          <w:p w14:paraId="7B237E03" w14:textId="77777777" w:rsidR="005F6F27" w:rsidRPr="004910C0" w:rsidRDefault="005F6F27" w:rsidP="00E76472">
            <w:pPr>
              <w:spacing w:after="0"/>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 xml:space="preserve">Advice on technical and professional matters where a decision or a direction has not yet been determined. </w:t>
            </w:r>
            <w:r w:rsidR="005D1908" w:rsidRPr="004910C0">
              <w:rPr>
                <w:rFonts w:cstheme="minorHAnsi"/>
                <w:color w:val="262626" w:themeColor="text1" w:themeTint="D9"/>
                <w:sz w:val="18"/>
                <w:szCs w:val="18"/>
              </w:rPr>
              <w:t>e.</w:t>
            </w:r>
            <w:r w:rsidRPr="004910C0">
              <w:rPr>
                <w:rFonts w:cstheme="minorHAnsi"/>
                <w:color w:val="262626" w:themeColor="text1" w:themeTint="D9"/>
                <w:sz w:val="18"/>
                <w:szCs w:val="18"/>
              </w:rPr>
              <w:t>g.</w:t>
            </w:r>
          </w:p>
          <w:p w14:paraId="1BA6456F" w14:textId="77777777" w:rsidR="005F6F27" w:rsidRPr="004910C0" w:rsidRDefault="005F6F27" w:rsidP="00E76472">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Accounting firm engaged to examine the financial performance of an entity.</w:t>
            </w:r>
          </w:p>
          <w:p w14:paraId="54C26F0B" w14:textId="77777777" w:rsidR="005F6F27" w:rsidRPr="004910C0" w:rsidRDefault="005F6F27" w:rsidP="00E76472">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Independent expert engaged to advise on industry/sector structural reform.</w:t>
            </w:r>
          </w:p>
          <w:p w14:paraId="422AC9EB" w14:textId="77777777" w:rsidR="005F6F27" w:rsidRPr="004910C0" w:rsidRDefault="005F6F27" w:rsidP="00E76472">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Legal advice relating to issues on proposed legislative amendments.</w:t>
            </w:r>
          </w:p>
          <w:p w14:paraId="7E911CCD" w14:textId="77777777" w:rsidR="005F6F27" w:rsidRPr="004910C0" w:rsidRDefault="005F6F27" w:rsidP="00E76472">
            <w:pPr>
              <w:numPr>
                <w:ilvl w:val="0"/>
                <w:numId w:val="30"/>
              </w:numPr>
              <w:spacing w:before="0" w:after="60"/>
              <w:ind w:left="317" w:hanging="288"/>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Development of a framework for benchmarking.</w:t>
            </w:r>
          </w:p>
        </w:tc>
        <w:tc>
          <w:tcPr>
            <w:tcW w:w="3048" w:type="dxa"/>
          </w:tcPr>
          <w:p w14:paraId="200ADBE9"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 xml:space="preserve">Routine accounting, audit and taxation services that provide advice on </w:t>
            </w:r>
            <w:proofErr w:type="gramStart"/>
            <w:r w:rsidRPr="004910C0">
              <w:rPr>
                <w:rFonts w:cstheme="minorHAnsi"/>
                <w:color w:val="262626" w:themeColor="text1" w:themeTint="D9"/>
                <w:sz w:val="18"/>
                <w:szCs w:val="18"/>
              </w:rPr>
              <w:t>day to day</w:t>
            </w:r>
            <w:proofErr w:type="gramEnd"/>
            <w:r w:rsidRPr="004910C0">
              <w:rPr>
                <w:rFonts w:cstheme="minorHAnsi"/>
                <w:color w:val="262626" w:themeColor="text1" w:themeTint="D9"/>
                <w:sz w:val="18"/>
                <w:szCs w:val="18"/>
              </w:rPr>
              <w:t xml:space="preserve"> issues.</w:t>
            </w:r>
          </w:p>
          <w:p w14:paraId="5BA341CD"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Routine legal services (conveyancing, drafting of documents, litigations services).</w:t>
            </w:r>
          </w:p>
          <w:p w14:paraId="21202C3E"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Interpretation services.</w:t>
            </w:r>
          </w:p>
          <w:p w14:paraId="6A4E0709"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18"/>
                <w:szCs w:val="18"/>
              </w:rPr>
            </w:pPr>
            <w:r w:rsidRPr="004910C0">
              <w:rPr>
                <w:rFonts w:cstheme="minorHAnsi"/>
                <w:color w:val="262626" w:themeColor="text1" w:themeTint="D9"/>
                <w:sz w:val="18"/>
                <w:szCs w:val="18"/>
              </w:rPr>
              <w:t>Conduct of benchmarking/performance surveys and preparation of findings.</w:t>
            </w:r>
          </w:p>
        </w:tc>
      </w:tr>
      <w:tr w:rsidR="005F6F27" w14:paraId="3FDF5AF6" w14:textId="77777777" w:rsidTr="005F6F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587BCFD9" w14:textId="77777777" w:rsidR="005F6F27" w:rsidRPr="004910C0" w:rsidRDefault="005F6F27" w:rsidP="005F6F27">
            <w:pPr>
              <w:pStyle w:val="TableText0"/>
              <w:rPr>
                <w:rFonts w:asciiTheme="majorHAnsi" w:hAnsiTheme="majorHAnsi" w:cstheme="majorHAnsi"/>
                <w:b/>
                <w:color w:val="262626" w:themeColor="text1" w:themeTint="D9"/>
                <w:sz w:val="18"/>
                <w:szCs w:val="18"/>
              </w:rPr>
            </w:pPr>
            <w:r w:rsidRPr="004910C0">
              <w:rPr>
                <w:rFonts w:asciiTheme="majorHAnsi" w:hAnsiTheme="majorHAnsi" w:cstheme="majorHAnsi"/>
                <w:b/>
                <w:color w:val="262626" w:themeColor="text1" w:themeTint="D9"/>
                <w:sz w:val="18"/>
                <w:szCs w:val="18"/>
              </w:rPr>
              <w:t>IT/Communications</w:t>
            </w:r>
          </w:p>
        </w:tc>
        <w:tc>
          <w:tcPr>
            <w:tcW w:w="3049" w:type="dxa"/>
          </w:tcPr>
          <w:p w14:paraId="20E1A0E2"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Development of the entity’s IT plan.</w:t>
            </w:r>
          </w:p>
          <w:p w14:paraId="0AE5CAE8"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Analysis and advice on the agency’s future technology needs.</w:t>
            </w:r>
          </w:p>
          <w:p w14:paraId="2CA5E0BA"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Development of software and/or system specifications.</w:t>
            </w:r>
          </w:p>
        </w:tc>
        <w:tc>
          <w:tcPr>
            <w:tcW w:w="3048" w:type="dxa"/>
          </w:tcPr>
          <w:p w14:paraId="72AB0D1E"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IT maintenance and support services.</w:t>
            </w:r>
          </w:p>
          <w:p w14:paraId="27233807"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Software development (where the software specifications have already been determined).</w:t>
            </w:r>
          </w:p>
          <w:p w14:paraId="0D292F66"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Hardware specification/supply.</w:t>
            </w:r>
          </w:p>
          <w:p w14:paraId="000C2125" w14:textId="77777777" w:rsidR="005F6F27" w:rsidRPr="004910C0" w:rsidRDefault="005F6F27" w:rsidP="005F6F27">
            <w:pPr>
              <w:numPr>
                <w:ilvl w:val="0"/>
                <w:numId w:val="30"/>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Training.</w:t>
            </w:r>
          </w:p>
          <w:p w14:paraId="6C6027AF" w14:textId="77777777" w:rsidR="005F6F27" w:rsidRPr="004910C0" w:rsidRDefault="005F6F27" w:rsidP="005F6F27">
            <w:pPr>
              <w:numPr>
                <w:ilvl w:val="0"/>
                <w:numId w:val="30"/>
              </w:numPr>
              <w:spacing w:before="0" w:after="60"/>
              <w:ind w:left="317" w:hanging="288"/>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Communication support services.</w:t>
            </w:r>
          </w:p>
        </w:tc>
      </w:tr>
      <w:tr w:rsidR="005F6F27" w14:paraId="4632D5E0" w14:textId="77777777" w:rsidTr="005F6F27">
        <w:tc>
          <w:tcPr>
            <w:cnfStyle w:val="001000000000" w:firstRow="0" w:lastRow="0" w:firstColumn="1" w:lastColumn="0" w:oddVBand="0" w:evenVBand="0" w:oddHBand="0" w:evenHBand="0" w:firstRowFirstColumn="0" w:firstRowLastColumn="0" w:lastRowFirstColumn="0" w:lastRowLastColumn="0"/>
            <w:tcW w:w="3043" w:type="dxa"/>
            <w:shd w:val="clear" w:color="auto" w:fill="auto"/>
          </w:tcPr>
          <w:p w14:paraId="76B176B1" w14:textId="77777777" w:rsidR="005F6F27" w:rsidRPr="004910C0" w:rsidRDefault="005F6F27" w:rsidP="005F6F27">
            <w:pPr>
              <w:pStyle w:val="TableText0"/>
              <w:rPr>
                <w:rFonts w:asciiTheme="majorHAnsi" w:hAnsiTheme="majorHAnsi" w:cstheme="majorHAnsi"/>
                <w:b/>
                <w:color w:val="262626" w:themeColor="text1" w:themeTint="D9"/>
                <w:sz w:val="18"/>
                <w:szCs w:val="18"/>
              </w:rPr>
            </w:pPr>
            <w:r w:rsidRPr="004910C0">
              <w:rPr>
                <w:rFonts w:asciiTheme="majorHAnsi" w:hAnsiTheme="majorHAnsi" w:cstheme="majorHAnsi"/>
                <w:b/>
                <w:color w:val="262626" w:themeColor="text1" w:themeTint="D9"/>
                <w:sz w:val="18"/>
                <w:szCs w:val="18"/>
              </w:rPr>
              <w:lastRenderedPageBreak/>
              <w:t>Professional development</w:t>
            </w:r>
          </w:p>
        </w:tc>
        <w:tc>
          <w:tcPr>
            <w:tcW w:w="3049" w:type="dxa"/>
            <w:shd w:val="clear" w:color="auto" w:fill="auto"/>
          </w:tcPr>
          <w:p w14:paraId="112350A6" w14:textId="77777777" w:rsidR="005F6F27" w:rsidRPr="004910C0" w:rsidRDefault="005F6F27" w:rsidP="005F6F27">
            <w:pPr>
              <w:numPr>
                <w:ilvl w:val="0"/>
                <w:numId w:val="30"/>
              </w:numPr>
              <w:spacing w:before="0" w:after="0"/>
              <w:ind w:left="317" w:hanging="283"/>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Training needs analysis and advice.</w:t>
            </w:r>
          </w:p>
        </w:tc>
        <w:tc>
          <w:tcPr>
            <w:tcW w:w="3048" w:type="dxa"/>
          </w:tcPr>
          <w:p w14:paraId="12D9BCF6" w14:textId="77777777" w:rsidR="005F6F27" w:rsidRPr="004910C0" w:rsidRDefault="005F6F27" w:rsidP="005F6F27">
            <w:pPr>
              <w:numPr>
                <w:ilvl w:val="0"/>
                <w:numId w:val="30"/>
              </w:numPr>
              <w:spacing w:before="0" w:after="60"/>
              <w:ind w:left="317" w:hanging="28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 xml:space="preserve">Delivery of professional development, training or workshops; </w:t>
            </w:r>
            <w:proofErr w:type="gramStart"/>
            <w:r w:rsidRPr="004910C0">
              <w:rPr>
                <w:rFonts w:asciiTheme="majorHAnsi" w:hAnsiTheme="majorHAnsi" w:cstheme="majorHAnsi"/>
                <w:color w:val="262626" w:themeColor="text1" w:themeTint="D9"/>
                <w:sz w:val="18"/>
                <w:szCs w:val="18"/>
              </w:rPr>
              <w:t>key note</w:t>
            </w:r>
            <w:proofErr w:type="gramEnd"/>
            <w:r w:rsidRPr="004910C0">
              <w:rPr>
                <w:rFonts w:asciiTheme="majorHAnsi" w:hAnsiTheme="majorHAnsi" w:cstheme="majorHAnsi"/>
                <w:color w:val="262626" w:themeColor="text1" w:themeTint="D9"/>
                <w:sz w:val="18"/>
                <w:szCs w:val="18"/>
              </w:rPr>
              <w:t xml:space="preserve"> speakers, presenters etc.</w:t>
            </w:r>
          </w:p>
        </w:tc>
      </w:tr>
      <w:tr w:rsidR="005F6F27" w14:paraId="6E2EB4DD" w14:textId="77777777" w:rsidTr="005F6F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3" w:type="dxa"/>
          </w:tcPr>
          <w:p w14:paraId="2743C82B" w14:textId="77777777" w:rsidR="005F6F27" w:rsidRPr="004910C0" w:rsidRDefault="005F6F27" w:rsidP="005F6F27">
            <w:pPr>
              <w:pStyle w:val="TableText0"/>
              <w:rPr>
                <w:rFonts w:asciiTheme="majorHAnsi" w:hAnsiTheme="majorHAnsi" w:cstheme="majorHAnsi"/>
                <w:b/>
                <w:color w:val="262626" w:themeColor="text1" w:themeTint="D9"/>
                <w:sz w:val="18"/>
                <w:szCs w:val="18"/>
              </w:rPr>
            </w:pPr>
            <w:r w:rsidRPr="004910C0">
              <w:rPr>
                <w:rFonts w:asciiTheme="majorHAnsi" w:hAnsiTheme="majorHAnsi" w:cstheme="majorHAnsi"/>
                <w:b/>
                <w:color w:val="262626" w:themeColor="text1" w:themeTint="D9"/>
                <w:sz w:val="18"/>
                <w:szCs w:val="18"/>
              </w:rPr>
              <w:t>Workforce</w:t>
            </w:r>
          </w:p>
        </w:tc>
        <w:tc>
          <w:tcPr>
            <w:tcW w:w="3049" w:type="dxa"/>
          </w:tcPr>
          <w:p w14:paraId="6E62F2A2" w14:textId="77777777" w:rsidR="005F6F27" w:rsidRPr="004910C0" w:rsidRDefault="005F6F27" w:rsidP="005F6F27">
            <w:pPr>
              <w:numPr>
                <w:ilvl w:val="0"/>
                <w:numId w:val="32"/>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Analysis and advice on the agency’s workforce planning requirements.</w:t>
            </w:r>
          </w:p>
          <w:p w14:paraId="650328F6" w14:textId="77777777" w:rsidR="005F6F27" w:rsidRPr="004910C0" w:rsidRDefault="005F6F27" w:rsidP="005F6F27">
            <w:pPr>
              <w:numPr>
                <w:ilvl w:val="0"/>
                <w:numId w:val="32"/>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Development of performance standards.</w:t>
            </w:r>
          </w:p>
        </w:tc>
        <w:tc>
          <w:tcPr>
            <w:tcW w:w="3048" w:type="dxa"/>
          </w:tcPr>
          <w:p w14:paraId="454745CD" w14:textId="77777777" w:rsidR="005F6F27" w:rsidRPr="004910C0" w:rsidRDefault="005F6F27" w:rsidP="005F6F27">
            <w:pPr>
              <w:numPr>
                <w:ilvl w:val="0"/>
                <w:numId w:val="32"/>
              </w:numPr>
              <w:spacing w:before="0" w:after="0"/>
              <w:ind w:left="317" w:hanging="283"/>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Recruitment of staff where the organisation has determined role/position requirements.</w:t>
            </w:r>
          </w:p>
          <w:p w14:paraId="5A4D9A8B" w14:textId="77777777" w:rsidR="005F6F27" w:rsidRPr="004910C0" w:rsidRDefault="005F6F27" w:rsidP="005F6F27">
            <w:pPr>
              <w:numPr>
                <w:ilvl w:val="0"/>
                <w:numId w:val="32"/>
              </w:numPr>
              <w:spacing w:before="0" w:after="60"/>
              <w:ind w:left="317" w:hanging="288"/>
              <w:jc w:val="lef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Labour hire/recruitment agencies that supply persons to an organisation on a casual or fixed term basis and received payment for employment of such persons.</w:t>
            </w:r>
          </w:p>
        </w:tc>
      </w:tr>
      <w:tr w:rsidR="005F6F27" w14:paraId="34CE5204" w14:textId="77777777" w:rsidTr="005F6F27">
        <w:tc>
          <w:tcPr>
            <w:cnfStyle w:val="001000000000" w:firstRow="0" w:lastRow="0" w:firstColumn="1" w:lastColumn="0" w:oddVBand="0" w:evenVBand="0" w:oddHBand="0" w:evenHBand="0" w:firstRowFirstColumn="0" w:firstRowLastColumn="0" w:lastRowFirstColumn="0" w:lastRowLastColumn="0"/>
            <w:tcW w:w="3043" w:type="dxa"/>
            <w:shd w:val="clear" w:color="auto" w:fill="auto"/>
          </w:tcPr>
          <w:p w14:paraId="10DD717B" w14:textId="77777777" w:rsidR="005F6F27" w:rsidRPr="004910C0" w:rsidRDefault="005F6F27" w:rsidP="005F6F27">
            <w:pPr>
              <w:pStyle w:val="TableText0"/>
              <w:rPr>
                <w:rFonts w:asciiTheme="majorHAnsi" w:hAnsiTheme="majorHAnsi" w:cstheme="majorHAnsi"/>
                <w:b/>
                <w:color w:val="262626" w:themeColor="text1" w:themeTint="D9"/>
                <w:sz w:val="18"/>
                <w:szCs w:val="18"/>
              </w:rPr>
            </w:pPr>
            <w:r w:rsidRPr="004910C0">
              <w:rPr>
                <w:rFonts w:asciiTheme="majorHAnsi" w:hAnsiTheme="majorHAnsi" w:cstheme="majorHAnsi"/>
                <w:b/>
                <w:color w:val="262626" w:themeColor="text1" w:themeTint="D9"/>
                <w:sz w:val="18"/>
                <w:szCs w:val="18"/>
              </w:rPr>
              <w:t>Construction</w:t>
            </w:r>
          </w:p>
        </w:tc>
        <w:tc>
          <w:tcPr>
            <w:tcW w:w="3049" w:type="dxa"/>
            <w:shd w:val="clear" w:color="auto" w:fill="auto"/>
          </w:tcPr>
          <w:p w14:paraId="1A574471" w14:textId="77777777" w:rsidR="005F6F27" w:rsidRPr="004910C0" w:rsidRDefault="005F6F27" w:rsidP="005F6F27">
            <w:pPr>
              <w:spacing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62626" w:themeColor="text1" w:themeTint="D9"/>
                <w:sz w:val="18"/>
                <w:szCs w:val="18"/>
              </w:rPr>
            </w:pPr>
          </w:p>
        </w:tc>
        <w:tc>
          <w:tcPr>
            <w:tcW w:w="3048" w:type="dxa"/>
            <w:shd w:val="clear" w:color="auto" w:fill="auto"/>
          </w:tcPr>
          <w:p w14:paraId="20E964D7" w14:textId="77777777" w:rsidR="005F6F27" w:rsidRPr="004910C0" w:rsidRDefault="005F6F27" w:rsidP="005F6F27">
            <w:pPr>
              <w:numPr>
                <w:ilvl w:val="0"/>
                <w:numId w:val="30"/>
              </w:numPr>
              <w:spacing w:before="0" w:after="60"/>
              <w:ind w:left="317" w:hanging="288"/>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62626" w:themeColor="text1" w:themeTint="D9"/>
                <w:sz w:val="18"/>
                <w:szCs w:val="18"/>
              </w:rPr>
            </w:pPr>
            <w:r w:rsidRPr="004910C0">
              <w:rPr>
                <w:rFonts w:asciiTheme="majorHAnsi" w:hAnsiTheme="majorHAnsi" w:cstheme="majorHAnsi"/>
                <w:color w:val="262626" w:themeColor="text1" w:themeTint="D9"/>
                <w:sz w:val="18"/>
                <w:szCs w:val="18"/>
              </w:rPr>
              <w:t>Building and works design, construction and related services including fit out.</w:t>
            </w:r>
          </w:p>
        </w:tc>
      </w:tr>
    </w:tbl>
    <w:p w14:paraId="6A2D28FC" w14:textId="77777777" w:rsidR="008E16CF" w:rsidRDefault="008E16CF" w:rsidP="005F6F27">
      <w:pPr>
        <w:pStyle w:val="Heading1NoNum"/>
      </w:pPr>
      <w:r>
        <w:br w:type="page"/>
      </w:r>
    </w:p>
    <w:p w14:paraId="618A3AF7" w14:textId="77777777" w:rsidR="005F6F27" w:rsidRPr="003F67F9" w:rsidRDefault="005F6F27" w:rsidP="008E16CF">
      <w:pPr>
        <w:pStyle w:val="Heading2"/>
      </w:pPr>
      <w:r w:rsidRPr="00076423">
        <w:lastRenderedPageBreak/>
        <w:t>Guidance on the recording and maintenance of contractor information available on request</w:t>
      </w:r>
    </w:p>
    <w:p w14:paraId="0F04F365" w14:textId="7D964908" w:rsidR="005F6F27" w:rsidRDefault="005F6F27" w:rsidP="008E16CF">
      <w:pPr>
        <w:rPr>
          <w:lang w:eastAsia="en-US"/>
        </w:rPr>
      </w:pPr>
      <w:proofErr w:type="gramStart"/>
      <w:r>
        <w:rPr>
          <w:lang w:eastAsia="en-US"/>
        </w:rPr>
        <w:t>For the purpose of</w:t>
      </w:r>
      <w:proofErr w:type="gramEnd"/>
      <w:r>
        <w:rPr>
          <w:lang w:eastAsia="en-US"/>
        </w:rPr>
        <w:t xml:space="preserve"> FRD </w:t>
      </w:r>
      <w:r w:rsidR="00105E7E">
        <w:rPr>
          <w:lang w:eastAsia="en-US"/>
        </w:rPr>
        <w:t>22</w:t>
      </w:r>
      <w:r>
        <w:rPr>
          <w:lang w:eastAsia="en-US"/>
        </w:rPr>
        <w:t>,</w:t>
      </w:r>
      <w:r w:rsidRPr="00C90FC9">
        <w:rPr>
          <w:lang w:eastAsia="en-US"/>
        </w:rPr>
        <w:t xml:space="preserve"> </w:t>
      </w:r>
      <w:r>
        <w:rPr>
          <w:lang w:eastAsia="en-US"/>
        </w:rPr>
        <w:t xml:space="preserve">the details of contractors to be maintained include arrangements where an individual or organisation is engaged to assist the entity to carry out its </w:t>
      </w:r>
      <w:r w:rsidRPr="00E835BD">
        <w:rPr>
          <w:b/>
          <w:lang w:eastAsia="en-US"/>
        </w:rPr>
        <w:t>defined activities or core operational functions</w:t>
      </w:r>
      <w:r>
        <w:rPr>
          <w:lang w:eastAsia="en-US"/>
        </w:rPr>
        <w:t>. This would normally be expected to include, but not restricted to:</w:t>
      </w:r>
    </w:p>
    <w:p w14:paraId="4BFA1F1D" w14:textId="77777777" w:rsidR="005F6F27" w:rsidRDefault="005F6F27" w:rsidP="008E16CF">
      <w:pPr>
        <w:pStyle w:val="Numpara"/>
      </w:pPr>
      <w:r>
        <w:t xml:space="preserve">Labour hire either through a labour hire firm </w:t>
      </w:r>
      <w:r w:rsidRPr="00D16640">
        <w:t>or through a direct engagement</w:t>
      </w:r>
      <w:r>
        <w:t xml:space="preserve">; and </w:t>
      </w:r>
    </w:p>
    <w:p w14:paraId="558888EE" w14:textId="77777777" w:rsidR="005F6F27" w:rsidRDefault="005F6F27" w:rsidP="008E16CF">
      <w:pPr>
        <w:pStyle w:val="Numpara"/>
      </w:pPr>
      <w:r>
        <w:t>Outsourced contracts.</w:t>
      </w:r>
      <w:r w:rsidRPr="000D2B4A">
        <w:t xml:space="preserve"> </w:t>
      </w:r>
      <w:r>
        <w:t>Examples may include outsourced IT, HR/payroll services and invoice processing services etc.</w:t>
      </w:r>
    </w:p>
    <w:p w14:paraId="71F9F3CA" w14:textId="77777777" w:rsidR="005F6F27" w:rsidRPr="008E16CF" w:rsidRDefault="005F6F27" w:rsidP="008E16CF">
      <w:pPr>
        <w:pStyle w:val="Heading4"/>
        <w:rPr>
          <w:color w:val="auto"/>
        </w:rPr>
      </w:pPr>
      <w:r w:rsidRPr="008E16CF">
        <w:rPr>
          <w:color w:val="auto"/>
        </w:rPr>
        <w:t>Specific exclusions</w:t>
      </w:r>
    </w:p>
    <w:p w14:paraId="1D0A8AB7" w14:textId="115C542A" w:rsidR="005F6F27" w:rsidRDefault="005F6F27" w:rsidP="008E16CF">
      <w:pPr>
        <w:pStyle w:val="Bullet1"/>
      </w:pPr>
      <w:r>
        <w:t xml:space="preserve">There are some contractors that are engaged to provide works or trade services which are either ancillary or incidental to the delivery of the entity’s defined activities or core operational functions. Examples of such engagements may include taxi, travel, photocopier maintenance, catering, </w:t>
      </w:r>
      <w:proofErr w:type="gramStart"/>
      <w:r>
        <w:t>cleaning</w:t>
      </w:r>
      <w:proofErr w:type="gramEnd"/>
      <w:r>
        <w:t xml:space="preserve"> and maintenance. Engagements that are ancillary or incidental to the delivery of an entity’s defined activities or core operational functions are excluded from the scope of FRD </w:t>
      </w:r>
      <w:r w:rsidR="00105E7E">
        <w:t>22</w:t>
      </w:r>
      <w:r>
        <w:t>.</w:t>
      </w:r>
    </w:p>
    <w:p w14:paraId="38784B8C" w14:textId="77777777" w:rsidR="008E16CF" w:rsidRDefault="008E16CF" w:rsidP="008E16CF">
      <w:pPr>
        <w:pStyle w:val="Bullet1"/>
        <w:numPr>
          <w:ilvl w:val="0"/>
          <w:numId w:val="0"/>
        </w:numPr>
        <w:ind w:left="360"/>
      </w:pPr>
    </w:p>
    <w:p w14:paraId="79F7151E" w14:textId="77777777" w:rsidR="005F6F27" w:rsidRDefault="005F6F27" w:rsidP="008E16CF">
      <w:pPr>
        <w:pStyle w:val="Bullet1"/>
      </w:pPr>
      <w:r>
        <w:t>There are also some contracted specialist professional services which are not of an on-going nature and are not reasonably expected to be available within the entity to deliver its core operational functions. Examples may include specialist legal representation or highly specialised accounting, financial, actuarial or OHS advice which the entity would not be reasonably expected to provide in-house.</w:t>
      </w:r>
    </w:p>
    <w:p w14:paraId="16F2293F" w14:textId="4A8367BB" w:rsidR="005F6F27" w:rsidRPr="00143EDF" w:rsidRDefault="005F6F27" w:rsidP="00143EDF">
      <w:pPr>
        <w:rPr>
          <w:sz w:val="18"/>
          <w:szCs w:val="18"/>
        </w:rPr>
      </w:pPr>
      <w:r w:rsidRPr="00143EDF">
        <w:rPr>
          <w:sz w:val="18"/>
          <w:szCs w:val="18"/>
        </w:rPr>
        <w:t>N.B. It should be noted that while such specialist professional services are excluded from the contractor requirements under FRD </w:t>
      </w:r>
      <w:r w:rsidR="00105E7E">
        <w:rPr>
          <w:sz w:val="18"/>
          <w:szCs w:val="18"/>
        </w:rPr>
        <w:t>22</w:t>
      </w:r>
      <w:r w:rsidRPr="00143EDF">
        <w:rPr>
          <w:sz w:val="18"/>
          <w:szCs w:val="18"/>
        </w:rPr>
        <w:t>, entities will still need to assess whether such engagements meet the definition of a consultant under FRD </w:t>
      </w:r>
      <w:r w:rsidR="00105E7E">
        <w:rPr>
          <w:sz w:val="18"/>
          <w:szCs w:val="18"/>
        </w:rPr>
        <w:t>22</w:t>
      </w:r>
      <w:r w:rsidRPr="00143EDF">
        <w:rPr>
          <w:sz w:val="18"/>
          <w:szCs w:val="18"/>
        </w:rPr>
        <w:t>, referring particularly to the guidance and examples in the above section.</w:t>
      </w:r>
    </w:p>
    <w:p w14:paraId="6325076A" w14:textId="77777777" w:rsidR="005F6F27" w:rsidRDefault="005F6F27" w:rsidP="005F6F27">
      <w:pPr>
        <w:pStyle w:val="Spacer"/>
        <w:rPr>
          <w:lang w:eastAsia="en-US"/>
        </w:rPr>
      </w:pPr>
    </w:p>
    <w:p w14:paraId="1E9A49D2" w14:textId="695874EB" w:rsidR="00307A77" w:rsidRDefault="00307A77">
      <w:pPr>
        <w:spacing w:before="0" w:after="200"/>
      </w:pPr>
      <w:r>
        <w:br w:type="page"/>
      </w:r>
    </w:p>
    <w:p w14:paraId="06528F6D" w14:textId="52C5B793" w:rsidR="00307A77" w:rsidRPr="003F67F9" w:rsidRDefault="00307A77" w:rsidP="00A125C4">
      <w:pPr>
        <w:pStyle w:val="Heading2"/>
        <w:spacing w:before="120" w:after="120"/>
      </w:pPr>
      <w:r w:rsidRPr="00076423">
        <w:lastRenderedPageBreak/>
        <w:t xml:space="preserve">Guidance on the </w:t>
      </w:r>
      <w:r>
        <w:t xml:space="preserve">disclosure of government advertising expenditure </w:t>
      </w:r>
    </w:p>
    <w:p w14:paraId="4DC2FFB1" w14:textId="72DEFC97" w:rsidR="00307A77" w:rsidRDefault="00307A77" w:rsidP="00A125C4">
      <w:pPr>
        <w:spacing w:before="120" w:after="120"/>
      </w:pPr>
      <w:r w:rsidRPr="00307A77">
        <w:t xml:space="preserve">Financial Reporting Direction 22 </w:t>
      </w:r>
      <w:r w:rsidR="00A125C4">
        <w:t xml:space="preserve">(FRD 22) </w:t>
      </w:r>
      <w:r w:rsidRPr="00307A77">
        <w:t>requires entities to disclose details of government advertising campaign</w:t>
      </w:r>
      <w:r w:rsidR="00A125C4">
        <w:t>s</w:t>
      </w:r>
      <w:r w:rsidRPr="00307A77">
        <w:t xml:space="preserve"> with </w:t>
      </w:r>
      <w:r w:rsidR="00A125C4">
        <w:t xml:space="preserve">a </w:t>
      </w:r>
      <w:r w:rsidRPr="00307A77">
        <w:t>total media buy of $100 000 or greater (exclusive of GST). Below is</w:t>
      </w:r>
      <w:r w:rsidR="006B7F28">
        <w:t xml:space="preserve"> a</w:t>
      </w:r>
      <w:r w:rsidRPr="00307A77">
        <w:t xml:space="preserve"> guid</w:t>
      </w:r>
      <w:r>
        <w:t xml:space="preserve">ance </w:t>
      </w:r>
      <w:r w:rsidRPr="00307A77">
        <w:t xml:space="preserve">to assist entities in </w:t>
      </w:r>
      <w:r w:rsidR="0020201E">
        <w:t>reporting this information.</w:t>
      </w:r>
    </w:p>
    <w:p w14:paraId="018A59B4" w14:textId="634A1FD3" w:rsidR="00227C39" w:rsidRPr="00307A77" w:rsidRDefault="00307A77" w:rsidP="00A125C4">
      <w:pPr>
        <w:spacing w:before="120" w:after="120"/>
        <w:rPr>
          <w:b/>
          <w:bCs/>
        </w:rPr>
      </w:pPr>
      <w:r w:rsidRPr="00307A77">
        <w:rPr>
          <w:b/>
          <w:bCs/>
        </w:rPr>
        <w:t>Approved</w:t>
      </w:r>
      <w:r w:rsidR="009901BF">
        <w:rPr>
          <w:b/>
          <w:bCs/>
        </w:rPr>
        <w:t>/proposed</w:t>
      </w:r>
      <w:r w:rsidR="005F6BEE">
        <w:rPr>
          <w:b/>
          <w:bCs/>
        </w:rPr>
        <w:t xml:space="preserve"> </w:t>
      </w:r>
      <w:r w:rsidRPr="00307A77">
        <w:rPr>
          <w:b/>
          <w:bCs/>
        </w:rPr>
        <w:t xml:space="preserve">campaign </w:t>
      </w:r>
      <w:proofErr w:type="gramStart"/>
      <w:r w:rsidRPr="00307A77">
        <w:rPr>
          <w:b/>
          <w:bCs/>
        </w:rPr>
        <w:t>expenditure</w:t>
      </w:r>
      <w:proofErr w:type="gramEnd"/>
    </w:p>
    <w:p w14:paraId="3D5126AE" w14:textId="77777777" w:rsidR="003700E2" w:rsidRDefault="003700E2" w:rsidP="00A125C4">
      <w:pPr>
        <w:spacing w:before="120" w:after="120"/>
      </w:pPr>
      <w:r w:rsidRPr="003700E2">
        <w:t>Entities are required to report the ‘approved/proposed campaign expenditure’ (exclusive of GST) for each campaign in the reporting period.</w:t>
      </w:r>
    </w:p>
    <w:p w14:paraId="727A2BCB" w14:textId="2FAA8F88" w:rsidR="00307A77" w:rsidRDefault="00307A77" w:rsidP="00A125C4">
      <w:pPr>
        <w:spacing w:before="120" w:after="120"/>
      </w:pPr>
      <w:r>
        <w:t>For the purposes of reporting under this FRD, these ‘</w:t>
      </w:r>
      <w:r w:rsidR="00D531F2">
        <w:t>approved</w:t>
      </w:r>
      <w:r w:rsidR="004311A8">
        <w:t>/proposed</w:t>
      </w:r>
      <w:r w:rsidR="00D531F2">
        <w:t xml:space="preserve">’ </w:t>
      </w:r>
      <w:r>
        <w:t xml:space="preserve">amounts are those amounts included in the Campaign Strategy submitted to the Advertising Approvals Group (AAG) for approval. </w:t>
      </w:r>
    </w:p>
    <w:p w14:paraId="61B8165E" w14:textId="1CCAB3A3" w:rsidR="00770342" w:rsidRDefault="00770342" w:rsidP="00A125C4">
      <w:pPr>
        <w:spacing w:before="120" w:after="120"/>
      </w:pPr>
      <w:r>
        <w:t>W</w:t>
      </w:r>
      <w:r w:rsidRPr="00770342">
        <w:t xml:space="preserve">here actual campaign expenditure significantly exceeds the approved/proposed campaign expenditure, </w:t>
      </w:r>
      <w:r>
        <w:t xml:space="preserve">entities are required to provide </w:t>
      </w:r>
      <w:r w:rsidRPr="00770342">
        <w:t>an explanation of why this was the case.</w:t>
      </w:r>
    </w:p>
    <w:p w14:paraId="7CA126F2" w14:textId="21C083D5" w:rsidR="00A125C4" w:rsidRPr="00A125C4" w:rsidRDefault="00A125C4" w:rsidP="00A125C4">
      <w:pPr>
        <w:spacing w:before="120" w:after="120"/>
        <w:rPr>
          <w:b/>
          <w:bCs/>
        </w:rPr>
      </w:pPr>
      <w:r w:rsidRPr="00A125C4">
        <w:rPr>
          <w:b/>
          <w:bCs/>
        </w:rPr>
        <w:t>Reporting on individual campaigns</w:t>
      </w:r>
    </w:p>
    <w:p w14:paraId="6DFFFA39" w14:textId="75E93E90" w:rsidR="00A125C4" w:rsidRPr="00A125C4" w:rsidRDefault="00A125C4" w:rsidP="00A125C4">
      <w:pPr>
        <w:pStyle w:val="NormalWeb"/>
        <w:spacing w:before="120" w:beforeAutospacing="0" w:after="120" w:afterAutospacing="0"/>
        <w:rPr>
          <w:rFonts w:asciiTheme="minorHAnsi" w:eastAsiaTheme="minorEastAsia" w:hAnsiTheme="minorHAnsi" w:cstheme="minorBidi"/>
          <w:spacing w:val="2"/>
          <w:sz w:val="20"/>
          <w:szCs w:val="20"/>
        </w:rPr>
      </w:pPr>
      <w:r w:rsidRPr="00A125C4">
        <w:rPr>
          <w:rFonts w:asciiTheme="minorHAnsi" w:eastAsiaTheme="minorEastAsia" w:hAnsiTheme="minorHAnsi" w:cstheme="minorBidi"/>
          <w:spacing w:val="2"/>
          <w:sz w:val="20"/>
          <w:szCs w:val="20"/>
        </w:rPr>
        <w:t>Entities are required to disclose details of campaigns with a total media buy of $100 000 or greater (exclusive of GST).</w:t>
      </w:r>
    </w:p>
    <w:p w14:paraId="44FDC40F" w14:textId="1FC46183" w:rsidR="00A125C4" w:rsidRDefault="00A125C4" w:rsidP="00A125C4">
      <w:pPr>
        <w:pStyle w:val="NormalWeb"/>
        <w:spacing w:before="120" w:beforeAutospacing="0" w:after="120" w:afterAutospacing="0"/>
        <w:rPr>
          <w:rFonts w:asciiTheme="minorHAnsi" w:eastAsiaTheme="minorEastAsia" w:hAnsiTheme="minorHAnsi" w:cstheme="minorBidi"/>
          <w:spacing w:val="2"/>
          <w:sz w:val="20"/>
          <w:szCs w:val="20"/>
        </w:rPr>
      </w:pPr>
      <w:r>
        <w:rPr>
          <w:rFonts w:asciiTheme="minorHAnsi" w:eastAsiaTheme="minorEastAsia" w:hAnsiTheme="minorHAnsi" w:cstheme="minorBidi"/>
          <w:spacing w:val="2"/>
          <w:sz w:val="20"/>
          <w:szCs w:val="20"/>
        </w:rPr>
        <w:t xml:space="preserve">When reporting </w:t>
      </w:r>
      <w:r w:rsidRPr="00A125C4">
        <w:rPr>
          <w:rFonts w:asciiTheme="minorHAnsi" w:eastAsiaTheme="minorEastAsia" w:hAnsiTheme="minorHAnsi" w:cstheme="minorBidi"/>
          <w:spacing w:val="2"/>
          <w:sz w:val="20"/>
          <w:szCs w:val="20"/>
        </w:rPr>
        <w:t xml:space="preserve">campaign </w:t>
      </w:r>
      <w:r>
        <w:rPr>
          <w:rFonts w:asciiTheme="minorHAnsi" w:eastAsiaTheme="minorEastAsia" w:hAnsiTheme="minorHAnsi" w:cstheme="minorBidi"/>
          <w:spacing w:val="2"/>
          <w:sz w:val="20"/>
          <w:szCs w:val="20"/>
        </w:rPr>
        <w:t xml:space="preserve">expenditure for the purposes of FRD 22, entities should report each individual campaign as approved by the AAG. That is, each campaign approved by the AAG should be reported separately in an entity’s annual report. </w:t>
      </w:r>
    </w:p>
    <w:p w14:paraId="4BDD9DE7" w14:textId="41865939" w:rsidR="00990F9D" w:rsidRPr="009A471E" w:rsidRDefault="00124673" w:rsidP="00A125C4">
      <w:pPr>
        <w:pStyle w:val="NormalWeb"/>
        <w:spacing w:before="120" w:beforeAutospacing="0" w:after="120" w:afterAutospacing="0"/>
        <w:rPr>
          <w:rFonts w:asciiTheme="minorHAnsi" w:eastAsiaTheme="minorEastAsia" w:hAnsiTheme="minorHAnsi" w:cstheme="minorBidi"/>
          <w:b/>
          <w:bCs/>
          <w:spacing w:val="2"/>
          <w:sz w:val="20"/>
          <w:szCs w:val="20"/>
        </w:rPr>
      </w:pPr>
      <w:r>
        <w:rPr>
          <w:rFonts w:asciiTheme="minorHAnsi" w:eastAsiaTheme="minorEastAsia" w:hAnsiTheme="minorHAnsi" w:cstheme="minorBidi"/>
          <w:b/>
          <w:bCs/>
          <w:spacing w:val="2"/>
          <w:sz w:val="20"/>
          <w:szCs w:val="20"/>
        </w:rPr>
        <w:t>Explanations</w:t>
      </w:r>
      <w:r w:rsidR="00990F9D" w:rsidRPr="009A471E">
        <w:rPr>
          <w:rFonts w:asciiTheme="minorHAnsi" w:eastAsiaTheme="minorEastAsia" w:hAnsiTheme="minorHAnsi" w:cstheme="minorBidi"/>
          <w:b/>
          <w:bCs/>
          <w:spacing w:val="2"/>
          <w:sz w:val="20"/>
          <w:szCs w:val="20"/>
        </w:rPr>
        <w:t xml:space="preserve"> of campaign expenditure</w:t>
      </w:r>
      <w:r w:rsidR="00D531F2">
        <w:rPr>
          <w:rFonts w:asciiTheme="minorHAnsi" w:eastAsiaTheme="minorEastAsia" w:hAnsiTheme="minorHAnsi" w:cstheme="minorBidi"/>
          <w:b/>
          <w:bCs/>
          <w:spacing w:val="2"/>
          <w:sz w:val="20"/>
          <w:szCs w:val="20"/>
        </w:rPr>
        <w:t xml:space="preserve"> categories</w:t>
      </w:r>
    </w:p>
    <w:p w14:paraId="50792EFF" w14:textId="3D81DAF4" w:rsidR="00990F9D" w:rsidRDefault="00990F9D" w:rsidP="00A125C4">
      <w:pPr>
        <w:pStyle w:val="NormalWeb"/>
        <w:spacing w:before="120" w:beforeAutospacing="0" w:after="120" w:afterAutospacing="0"/>
        <w:rPr>
          <w:rFonts w:asciiTheme="minorHAnsi" w:eastAsiaTheme="minorEastAsia" w:hAnsiTheme="minorHAnsi" w:cstheme="minorBidi"/>
          <w:spacing w:val="2"/>
          <w:sz w:val="20"/>
          <w:szCs w:val="20"/>
        </w:rPr>
      </w:pPr>
      <w:r>
        <w:rPr>
          <w:rFonts w:asciiTheme="minorHAnsi" w:eastAsiaTheme="minorEastAsia" w:hAnsiTheme="minorHAnsi" w:cstheme="minorBidi"/>
          <w:spacing w:val="2"/>
          <w:sz w:val="20"/>
          <w:szCs w:val="20"/>
        </w:rPr>
        <w:t>Entities are required to disclose different categories of expenditure</w:t>
      </w:r>
      <w:r w:rsidR="0020201E">
        <w:rPr>
          <w:rFonts w:asciiTheme="minorHAnsi" w:eastAsiaTheme="minorEastAsia" w:hAnsiTheme="minorHAnsi" w:cstheme="minorBidi"/>
          <w:spacing w:val="2"/>
          <w:sz w:val="20"/>
          <w:szCs w:val="20"/>
        </w:rPr>
        <w:t xml:space="preserve"> for each campaign</w:t>
      </w:r>
      <w:r>
        <w:rPr>
          <w:rFonts w:asciiTheme="minorHAnsi" w:eastAsiaTheme="minorEastAsia" w:hAnsiTheme="minorHAnsi" w:cstheme="minorBidi"/>
          <w:spacing w:val="2"/>
          <w:sz w:val="20"/>
          <w:szCs w:val="20"/>
        </w:rPr>
        <w:t>.</w:t>
      </w:r>
      <w:r w:rsidR="0020201E">
        <w:rPr>
          <w:rFonts w:asciiTheme="minorHAnsi" w:eastAsiaTheme="minorEastAsia" w:hAnsiTheme="minorHAnsi" w:cstheme="minorBidi"/>
          <w:spacing w:val="2"/>
          <w:sz w:val="20"/>
          <w:szCs w:val="20"/>
        </w:rPr>
        <w:t xml:space="preserve"> </w:t>
      </w:r>
      <w:r>
        <w:rPr>
          <w:rFonts w:asciiTheme="minorHAnsi" w:eastAsiaTheme="minorEastAsia" w:hAnsiTheme="minorHAnsi" w:cstheme="minorBidi"/>
          <w:spacing w:val="2"/>
          <w:sz w:val="20"/>
          <w:szCs w:val="20"/>
        </w:rPr>
        <w:t xml:space="preserve">Below </w:t>
      </w:r>
      <w:r w:rsidR="0020201E">
        <w:rPr>
          <w:rFonts w:asciiTheme="minorHAnsi" w:eastAsiaTheme="minorEastAsia" w:hAnsiTheme="minorHAnsi" w:cstheme="minorBidi"/>
          <w:spacing w:val="2"/>
          <w:sz w:val="20"/>
          <w:szCs w:val="20"/>
        </w:rPr>
        <w:t xml:space="preserve">is further guidance for </w:t>
      </w:r>
      <w:r>
        <w:rPr>
          <w:rFonts w:asciiTheme="minorHAnsi" w:eastAsiaTheme="minorEastAsia" w:hAnsiTheme="minorHAnsi" w:cstheme="minorBidi"/>
          <w:spacing w:val="2"/>
          <w:sz w:val="20"/>
          <w:szCs w:val="20"/>
        </w:rPr>
        <w:t>each category</w:t>
      </w:r>
      <w:r w:rsidR="0020201E">
        <w:rPr>
          <w:rFonts w:asciiTheme="minorHAnsi" w:eastAsiaTheme="minorEastAsia" w:hAnsiTheme="minorHAnsi" w:cstheme="minorBidi"/>
          <w:spacing w:val="2"/>
          <w:sz w:val="20"/>
          <w:szCs w:val="20"/>
        </w:rPr>
        <w:t xml:space="preserve"> of expenditure</w:t>
      </w:r>
      <w:r>
        <w:rPr>
          <w:rFonts w:asciiTheme="minorHAnsi" w:eastAsiaTheme="minorEastAsia" w:hAnsiTheme="minorHAnsi" w:cstheme="minorBidi"/>
          <w:spacing w:val="2"/>
          <w:sz w:val="20"/>
          <w:szCs w:val="20"/>
        </w:rPr>
        <w:t>:</w:t>
      </w:r>
    </w:p>
    <w:p w14:paraId="6BFA8010" w14:textId="77777777" w:rsidR="00A74551" w:rsidRDefault="00A74551" w:rsidP="00A125C4">
      <w:pPr>
        <w:pStyle w:val="NormalWeb"/>
        <w:spacing w:before="120" w:beforeAutospacing="0" w:after="120" w:afterAutospacing="0"/>
        <w:rPr>
          <w:rFonts w:asciiTheme="minorHAnsi" w:eastAsiaTheme="minorEastAsia" w:hAnsiTheme="minorHAnsi" w:cstheme="minorBidi"/>
          <w:spacing w:val="2"/>
          <w:sz w:val="20"/>
          <w:szCs w:val="20"/>
        </w:rPr>
      </w:pPr>
    </w:p>
    <w:tbl>
      <w:tblPr>
        <w:tblStyle w:val="GridTable4-Accent4"/>
        <w:tblW w:w="0" w:type="auto"/>
        <w:tblLook w:val="04A0" w:firstRow="1" w:lastRow="0" w:firstColumn="1" w:lastColumn="0" w:noHBand="0" w:noVBand="1"/>
      </w:tblPr>
      <w:tblGrid>
        <w:gridCol w:w="4077"/>
        <w:gridCol w:w="5063"/>
      </w:tblGrid>
      <w:tr w:rsidR="00990F9D" w14:paraId="43E9EF37" w14:textId="77777777" w:rsidTr="002F6C2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Pr>
          <w:p w14:paraId="588AB2D1" w14:textId="4E899B4B" w:rsidR="00990F9D" w:rsidRPr="009A471E" w:rsidRDefault="00990F9D" w:rsidP="009A471E">
            <w:pPr>
              <w:keepNext/>
              <w:keepLines/>
              <w:spacing w:before="120" w:after="120"/>
              <w:rPr>
                <w:color w:val="auto"/>
                <w:sz w:val="18"/>
                <w:szCs w:val="18"/>
              </w:rPr>
            </w:pPr>
            <w:r w:rsidRPr="009A471E">
              <w:rPr>
                <w:sz w:val="18"/>
                <w:szCs w:val="18"/>
              </w:rPr>
              <w:t>Campaign expenditure category</w:t>
            </w:r>
          </w:p>
        </w:tc>
        <w:tc>
          <w:tcPr>
            <w:tcW w:w="5063" w:type="dxa"/>
          </w:tcPr>
          <w:p w14:paraId="5BFAE9D8" w14:textId="74481FFF" w:rsidR="00990F9D" w:rsidRPr="009A471E" w:rsidRDefault="0020201E" w:rsidP="009A471E">
            <w:pPr>
              <w:keepNext/>
              <w:keepLines/>
              <w:spacing w:before="120" w:after="120"/>
              <w:cnfStyle w:val="100000000000" w:firstRow="1" w:lastRow="0" w:firstColumn="0" w:lastColumn="0" w:oddVBand="0" w:evenVBand="0" w:oddHBand="0" w:evenHBand="0" w:firstRowFirstColumn="0" w:firstRowLastColumn="0" w:lastRowFirstColumn="0" w:lastRowLastColumn="0"/>
              <w:rPr>
                <w:color w:val="auto"/>
                <w:sz w:val="18"/>
                <w:szCs w:val="18"/>
              </w:rPr>
            </w:pPr>
            <w:r>
              <w:rPr>
                <w:rFonts w:eastAsiaTheme="minorHAnsi"/>
                <w:sz w:val="18"/>
                <w:szCs w:val="18"/>
                <w:lang w:eastAsia="en-US"/>
              </w:rPr>
              <w:t>Explanation</w:t>
            </w:r>
            <w:r w:rsidR="007A5D06">
              <w:rPr>
                <w:rFonts w:eastAsiaTheme="minorHAnsi"/>
                <w:sz w:val="18"/>
                <w:szCs w:val="18"/>
                <w:lang w:eastAsia="en-US"/>
              </w:rPr>
              <w:t>/examples</w:t>
            </w:r>
          </w:p>
        </w:tc>
      </w:tr>
      <w:tr w:rsidR="00990F9D" w14:paraId="0F00269C" w14:textId="77777777" w:rsidTr="00121C34">
        <w:trPr>
          <w:cnfStyle w:val="000000100000" w:firstRow="0" w:lastRow="0" w:firstColumn="0" w:lastColumn="0" w:oddVBand="0" w:evenVBand="0" w:oddHBand="1" w:evenHBand="0" w:firstRowFirstColumn="0" w:firstRowLastColumn="0" w:lastRowFirstColumn="0" w:lastRowLastColumn="0"/>
          <w:cantSplit/>
          <w:trHeight w:val="1945"/>
        </w:trPr>
        <w:tc>
          <w:tcPr>
            <w:cnfStyle w:val="001000000000" w:firstRow="0" w:lastRow="0" w:firstColumn="1" w:lastColumn="0" w:oddVBand="0" w:evenVBand="0" w:oddHBand="0" w:evenHBand="0" w:firstRowFirstColumn="0" w:firstRowLastColumn="0" w:lastRowFirstColumn="0" w:lastRowLastColumn="0"/>
            <w:tcW w:w="4077" w:type="dxa"/>
          </w:tcPr>
          <w:p w14:paraId="008AF277" w14:textId="42424A60" w:rsidR="00990F9D" w:rsidRPr="009A471E" w:rsidRDefault="00990F9D" w:rsidP="004311A8">
            <w:pPr>
              <w:spacing w:before="120" w:after="120"/>
              <w:rPr>
                <w:sz w:val="18"/>
                <w:szCs w:val="18"/>
              </w:rPr>
            </w:pPr>
            <w:bookmarkStart w:id="2" w:name="_Hlk120537260"/>
            <w:r w:rsidRPr="009A471E">
              <w:rPr>
                <w:sz w:val="18"/>
                <w:szCs w:val="18"/>
              </w:rPr>
              <w:t xml:space="preserve">Advertising (media) </w:t>
            </w:r>
            <w:bookmarkEnd w:id="2"/>
          </w:p>
        </w:tc>
        <w:tc>
          <w:tcPr>
            <w:tcW w:w="5063" w:type="dxa"/>
          </w:tcPr>
          <w:p w14:paraId="5428D580" w14:textId="3FD67079" w:rsidR="00990F9D" w:rsidRDefault="006707A0" w:rsidP="004311A8">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Campaign </w:t>
            </w:r>
            <w:r w:rsidR="0020201E">
              <w:rPr>
                <w:sz w:val="18"/>
                <w:szCs w:val="18"/>
              </w:rPr>
              <w:t xml:space="preserve">expenditure on </w:t>
            </w:r>
            <w:r>
              <w:rPr>
                <w:sz w:val="18"/>
                <w:szCs w:val="18"/>
              </w:rPr>
              <w:t xml:space="preserve">media (advertising) placements purchased through the government’s Master Agency Media Services (MAMS) contract, exclusive of GST. </w:t>
            </w:r>
          </w:p>
          <w:p w14:paraId="5993286E" w14:textId="77777777" w:rsidR="006707A0" w:rsidRDefault="006707A0" w:rsidP="004311A8">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This figure should reflect </w:t>
            </w:r>
            <w:r w:rsidRPr="005F6BEE">
              <w:rPr>
                <w:b/>
                <w:bCs/>
                <w:sz w:val="18"/>
                <w:szCs w:val="18"/>
              </w:rPr>
              <w:t>Net Media</w:t>
            </w:r>
            <w:r>
              <w:rPr>
                <w:sz w:val="18"/>
                <w:szCs w:val="18"/>
              </w:rPr>
              <w:t xml:space="preserve"> expenditure (exclusive of MAMS fees/</w:t>
            </w:r>
            <w:r w:rsidR="00B30A88">
              <w:rPr>
                <w:sz w:val="18"/>
                <w:szCs w:val="18"/>
              </w:rPr>
              <w:t xml:space="preserve">media </w:t>
            </w:r>
            <w:r>
              <w:rPr>
                <w:sz w:val="18"/>
                <w:szCs w:val="18"/>
              </w:rPr>
              <w:t xml:space="preserve">levies). </w:t>
            </w:r>
          </w:p>
          <w:p w14:paraId="6D847EC4" w14:textId="3223F7A4" w:rsidR="00FD062E" w:rsidRPr="00FD062E" w:rsidRDefault="00B87948" w:rsidP="00121C3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This includes ‘delete and charge’ </w:t>
            </w:r>
            <w:r w:rsidRPr="00B87948">
              <w:rPr>
                <w:sz w:val="18"/>
                <w:szCs w:val="18"/>
              </w:rPr>
              <w:t xml:space="preserve">costs </w:t>
            </w:r>
            <w:r>
              <w:rPr>
                <w:sz w:val="18"/>
                <w:szCs w:val="18"/>
              </w:rPr>
              <w:t xml:space="preserve">for any media bookings cancelled by the entity. </w:t>
            </w:r>
          </w:p>
        </w:tc>
      </w:tr>
      <w:tr w:rsidR="00990F9D" w14:paraId="6C8656ED" w14:textId="77777777" w:rsidTr="002F6C26">
        <w:trPr>
          <w:cantSplit/>
        </w:trPr>
        <w:tc>
          <w:tcPr>
            <w:cnfStyle w:val="001000000000" w:firstRow="0" w:lastRow="0" w:firstColumn="1" w:lastColumn="0" w:oddVBand="0" w:evenVBand="0" w:oddHBand="0" w:evenHBand="0" w:firstRowFirstColumn="0" w:firstRowLastColumn="0" w:lastRowFirstColumn="0" w:lastRowLastColumn="0"/>
            <w:tcW w:w="4077" w:type="dxa"/>
          </w:tcPr>
          <w:p w14:paraId="784F0FBF" w14:textId="77777777" w:rsidR="00990F9D" w:rsidRDefault="00990F9D" w:rsidP="004311A8">
            <w:pPr>
              <w:spacing w:before="120" w:after="120"/>
              <w:rPr>
                <w:b w:val="0"/>
                <w:bCs w:val="0"/>
                <w:sz w:val="18"/>
                <w:szCs w:val="18"/>
              </w:rPr>
            </w:pPr>
            <w:r w:rsidRPr="009A471E">
              <w:rPr>
                <w:sz w:val="18"/>
                <w:szCs w:val="18"/>
              </w:rPr>
              <w:t xml:space="preserve">Creative and campaign development </w:t>
            </w:r>
          </w:p>
          <w:p w14:paraId="13D5E200" w14:textId="59AA60C3" w:rsidR="00B87948" w:rsidRPr="009A471E" w:rsidRDefault="00B87948" w:rsidP="004311A8">
            <w:pPr>
              <w:spacing w:before="120" w:after="120"/>
              <w:rPr>
                <w:sz w:val="18"/>
                <w:szCs w:val="18"/>
              </w:rPr>
            </w:pPr>
          </w:p>
        </w:tc>
        <w:tc>
          <w:tcPr>
            <w:tcW w:w="5063" w:type="dxa"/>
          </w:tcPr>
          <w:p w14:paraId="3890067A" w14:textId="00DA5BC7" w:rsidR="00990F9D" w:rsidRDefault="000C06D0" w:rsidP="004311A8">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Costs of developing </w:t>
            </w:r>
            <w:r w:rsidRPr="000C06D0">
              <w:rPr>
                <w:sz w:val="18"/>
                <w:szCs w:val="18"/>
              </w:rPr>
              <w:t xml:space="preserve">creative concepts </w:t>
            </w:r>
            <w:r>
              <w:rPr>
                <w:sz w:val="18"/>
                <w:szCs w:val="18"/>
              </w:rPr>
              <w:t xml:space="preserve">and producing final creative assets for paid advertising </w:t>
            </w:r>
            <w:r w:rsidRPr="000C06D0">
              <w:rPr>
                <w:sz w:val="18"/>
                <w:szCs w:val="18"/>
              </w:rPr>
              <w:t>campaig</w:t>
            </w:r>
            <w:r>
              <w:rPr>
                <w:sz w:val="18"/>
                <w:szCs w:val="18"/>
              </w:rPr>
              <w:t>ns.</w:t>
            </w:r>
            <w:r w:rsidR="00FC76E7">
              <w:rPr>
                <w:sz w:val="18"/>
                <w:szCs w:val="18"/>
              </w:rPr>
              <w:t xml:space="preserve"> For example, the costs of developing creative </w:t>
            </w:r>
            <w:r w:rsidR="00A634C1">
              <w:rPr>
                <w:sz w:val="18"/>
                <w:szCs w:val="18"/>
              </w:rPr>
              <w:t>executions</w:t>
            </w:r>
            <w:r w:rsidR="00FC76E7">
              <w:rPr>
                <w:sz w:val="18"/>
                <w:szCs w:val="18"/>
              </w:rPr>
              <w:t xml:space="preserve"> such as: television commercials and online videos, print advertisements and outdoor posters, radio advertisements, and content for digital and social media advertising.  </w:t>
            </w:r>
          </w:p>
          <w:p w14:paraId="0F4BDDBD" w14:textId="05DA6AAD" w:rsidR="00FD062E" w:rsidRPr="00FD062E" w:rsidRDefault="007A5D06" w:rsidP="00121C3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8F35C0">
              <w:rPr>
                <w:sz w:val="18"/>
                <w:szCs w:val="18"/>
              </w:rPr>
              <w:t xml:space="preserve">This </w:t>
            </w:r>
            <w:r w:rsidR="00FC76E7">
              <w:rPr>
                <w:sz w:val="18"/>
                <w:szCs w:val="18"/>
              </w:rPr>
              <w:t xml:space="preserve">also </w:t>
            </w:r>
            <w:r w:rsidRPr="008F35C0">
              <w:rPr>
                <w:sz w:val="18"/>
                <w:szCs w:val="18"/>
              </w:rPr>
              <w:t>includes costs for the d</w:t>
            </w:r>
            <w:r w:rsidR="00B30A88">
              <w:rPr>
                <w:sz w:val="18"/>
                <w:szCs w:val="18"/>
              </w:rPr>
              <w:t>evelopment and translation of campaign materials for multicultural audiences</w:t>
            </w:r>
            <w:r>
              <w:rPr>
                <w:sz w:val="18"/>
                <w:szCs w:val="18"/>
              </w:rPr>
              <w:t xml:space="preserve"> and people with disabilit</w:t>
            </w:r>
            <w:r w:rsidR="006B7F28">
              <w:rPr>
                <w:sz w:val="18"/>
                <w:szCs w:val="18"/>
              </w:rPr>
              <w:t>ies</w:t>
            </w:r>
            <w:r w:rsidR="00B30A88">
              <w:rPr>
                <w:sz w:val="18"/>
                <w:szCs w:val="18"/>
              </w:rPr>
              <w:t>.</w:t>
            </w:r>
          </w:p>
        </w:tc>
      </w:tr>
      <w:tr w:rsidR="00990F9D" w14:paraId="177F7431" w14:textId="77777777" w:rsidTr="002F6C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Pr>
          <w:p w14:paraId="78C1B5EF" w14:textId="1090C317" w:rsidR="00990F9D" w:rsidRPr="009A471E" w:rsidRDefault="00990F9D" w:rsidP="004311A8">
            <w:pPr>
              <w:spacing w:before="120" w:after="120"/>
              <w:rPr>
                <w:sz w:val="18"/>
                <w:szCs w:val="18"/>
              </w:rPr>
            </w:pPr>
            <w:r w:rsidRPr="009A471E">
              <w:rPr>
                <w:sz w:val="18"/>
                <w:szCs w:val="18"/>
              </w:rPr>
              <w:t xml:space="preserve">Research </w:t>
            </w:r>
          </w:p>
        </w:tc>
        <w:tc>
          <w:tcPr>
            <w:tcW w:w="5063" w:type="dxa"/>
          </w:tcPr>
          <w:p w14:paraId="6B089A81" w14:textId="77777777" w:rsidR="00124673" w:rsidRDefault="00124673" w:rsidP="004311A8">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Pre-campaign research undertaken to inform the development of the campaign.</w:t>
            </w:r>
          </w:p>
          <w:p w14:paraId="3A6D8B22" w14:textId="61FBA876" w:rsidR="00FD062E" w:rsidRPr="00FD062E" w:rsidRDefault="00124673" w:rsidP="00121C3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Research undertaken during the campaign to </w:t>
            </w:r>
            <w:r w:rsidR="0012562C">
              <w:rPr>
                <w:sz w:val="18"/>
                <w:szCs w:val="18"/>
              </w:rPr>
              <w:t xml:space="preserve">assess </w:t>
            </w:r>
            <w:r>
              <w:rPr>
                <w:sz w:val="18"/>
                <w:szCs w:val="18"/>
              </w:rPr>
              <w:t>the campaign’s performance</w:t>
            </w:r>
            <w:r w:rsidR="0012562C">
              <w:rPr>
                <w:sz w:val="18"/>
                <w:szCs w:val="18"/>
              </w:rPr>
              <w:t xml:space="preserve"> </w:t>
            </w:r>
            <w:r w:rsidR="00BC725E">
              <w:rPr>
                <w:sz w:val="18"/>
                <w:szCs w:val="18"/>
              </w:rPr>
              <w:t>and inform further development</w:t>
            </w:r>
            <w:r>
              <w:rPr>
                <w:sz w:val="18"/>
                <w:szCs w:val="18"/>
              </w:rPr>
              <w:t xml:space="preserve">.  </w:t>
            </w:r>
          </w:p>
        </w:tc>
      </w:tr>
      <w:tr w:rsidR="00A25DA1" w14:paraId="3951DB9B" w14:textId="77777777" w:rsidTr="002F6C26">
        <w:trPr>
          <w:cantSplit/>
        </w:trPr>
        <w:tc>
          <w:tcPr>
            <w:cnfStyle w:val="001000000000" w:firstRow="0" w:lastRow="0" w:firstColumn="1" w:lastColumn="0" w:oddVBand="0" w:evenVBand="0" w:oddHBand="0" w:evenHBand="0" w:firstRowFirstColumn="0" w:firstRowLastColumn="0" w:lastRowFirstColumn="0" w:lastRowLastColumn="0"/>
            <w:tcW w:w="4077" w:type="dxa"/>
          </w:tcPr>
          <w:p w14:paraId="6921102C" w14:textId="06B0F799" w:rsidR="00A25DA1" w:rsidRPr="009A471E" w:rsidRDefault="00770342" w:rsidP="004311A8">
            <w:pPr>
              <w:spacing w:before="120" w:after="120"/>
              <w:rPr>
                <w:sz w:val="18"/>
                <w:szCs w:val="18"/>
              </w:rPr>
            </w:pPr>
            <w:r>
              <w:rPr>
                <w:sz w:val="18"/>
                <w:szCs w:val="18"/>
              </w:rPr>
              <w:lastRenderedPageBreak/>
              <w:t>Post-campaign e</w:t>
            </w:r>
            <w:r w:rsidR="00A25DA1">
              <w:rPr>
                <w:sz w:val="18"/>
                <w:szCs w:val="18"/>
              </w:rPr>
              <w:t>valuation</w:t>
            </w:r>
          </w:p>
        </w:tc>
        <w:tc>
          <w:tcPr>
            <w:tcW w:w="5063" w:type="dxa"/>
          </w:tcPr>
          <w:p w14:paraId="34764C17" w14:textId="7457B27E" w:rsidR="00A25DA1" w:rsidRDefault="00A25DA1" w:rsidP="004311A8">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Evaluation undertaken after the conclusion of the campaign, to evaluate the campaign’s performance and develop future learnings</w:t>
            </w:r>
            <w:r w:rsidR="0012562C">
              <w:rPr>
                <w:sz w:val="18"/>
                <w:szCs w:val="18"/>
              </w:rPr>
              <w:t>.</w:t>
            </w:r>
          </w:p>
        </w:tc>
      </w:tr>
      <w:tr w:rsidR="00990F9D" w14:paraId="776841AA" w14:textId="77777777" w:rsidTr="002F6C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Pr>
          <w:p w14:paraId="0F99314E" w14:textId="2B57E0DF" w:rsidR="00990F9D" w:rsidRPr="009A471E" w:rsidRDefault="00990F9D" w:rsidP="004311A8">
            <w:pPr>
              <w:spacing w:before="120" w:after="120"/>
              <w:rPr>
                <w:sz w:val="18"/>
                <w:szCs w:val="18"/>
              </w:rPr>
            </w:pPr>
            <w:r w:rsidRPr="009A471E">
              <w:rPr>
                <w:sz w:val="18"/>
                <w:szCs w:val="18"/>
              </w:rPr>
              <w:t xml:space="preserve">Print and collateral </w:t>
            </w:r>
          </w:p>
        </w:tc>
        <w:tc>
          <w:tcPr>
            <w:tcW w:w="5063" w:type="dxa"/>
          </w:tcPr>
          <w:p w14:paraId="68E9AF71" w14:textId="77777777" w:rsidR="00990F9D" w:rsidRDefault="00124673" w:rsidP="004311A8">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Costs of printed </w:t>
            </w:r>
            <w:r w:rsidR="00413F62">
              <w:rPr>
                <w:sz w:val="18"/>
                <w:szCs w:val="18"/>
              </w:rPr>
              <w:t xml:space="preserve">collateral </w:t>
            </w:r>
            <w:r>
              <w:rPr>
                <w:sz w:val="18"/>
                <w:szCs w:val="18"/>
              </w:rPr>
              <w:t xml:space="preserve">and other materials (such as </w:t>
            </w:r>
            <w:r w:rsidR="00413F62">
              <w:rPr>
                <w:sz w:val="18"/>
                <w:szCs w:val="18"/>
              </w:rPr>
              <w:t xml:space="preserve">printed </w:t>
            </w:r>
            <w:r>
              <w:rPr>
                <w:sz w:val="18"/>
                <w:szCs w:val="18"/>
              </w:rPr>
              <w:t>outdoor advertising)</w:t>
            </w:r>
            <w:r w:rsidR="00413F62">
              <w:rPr>
                <w:sz w:val="18"/>
                <w:szCs w:val="18"/>
              </w:rPr>
              <w:t xml:space="preserve"> developed to directly support the paid advertising campaign. </w:t>
            </w:r>
          </w:p>
          <w:p w14:paraId="030524FA" w14:textId="30E34513" w:rsidR="000C06D0" w:rsidRPr="009A471E" w:rsidRDefault="007A5D06" w:rsidP="004311A8">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b/>
                <w:bCs/>
                <w:sz w:val="18"/>
                <w:szCs w:val="18"/>
              </w:rPr>
              <w:t xml:space="preserve">Note: </w:t>
            </w:r>
            <w:r w:rsidR="000C06D0">
              <w:rPr>
                <w:sz w:val="18"/>
                <w:szCs w:val="18"/>
              </w:rPr>
              <w:t xml:space="preserve">Costs of producing </w:t>
            </w:r>
            <w:r w:rsidR="00A634C1">
              <w:rPr>
                <w:sz w:val="18"/>
                <w:szCs w:val="18"/>
              </w:rPr>
              <w:t xml:space="preserve">collateral for activities that do not involve paid advertising should not be reported here. For example, the cost of producing leaflets, </w:t>
            </w:r>
            <w:proofErr w:type="gramStart"/>
            <w:r w:rsidR="00A634C1">
              <w:rPr>
                <w:sz w:val="18"/>
                <w:szCs w:val="18"/>
              </w:rPr>
              <w:t>brochures</w:t>
            </w:r>
            <w:proofErr w:type="gramEnd"/>
            <w:r w:rsidR="00A634C1">
              <w:rPr>
                <w:sz w:val="18"/>
                <w:szCs w:val="18"/>
              </w:rPr>
              <w:t xml:space="preserve"> and posters for </w:t>
            </w:r>
            <w:r w:rsidR="000C06D0">
              <w:rPr>
                <w:sz w:val="18"/>
                <w:szCs w:val="18"/>
              </w:rPr>
              <w:t>engagement activities such as letterbox drops</w:t>
            </w:r>
            <w:r w:rsidR="00A634C1">
              <w:rPr>
                <w:sz w:val="18"/>
                <w:szCs w:val="18"/>
              </w:rPr>
              <w:t xml:space="preserve"> and community information sessions. </w:t>
            </w:r>
          </w:p>
        </w:tc>
      </w:tr>
      <w:tr w:rsidR="00990F9D" w14:paraId="42A7A468" w14:textId="77777777" w:rsidTr="002F6C26">
        <w:trPr>
          <w:cantSplit/>
        </w:trPr>
        <w:tc>
          <w:tcPr>
            <w:cnfStyle w:val="001000000000" w:firstRow="0" w:lastRow="0" w:firstColumn="1" w:lastColumn="0" w:oddVBand="0" w:evenVBand="0" w:oddHBand="0" w:evenHBand="0" w:firstRowFirstColumn="0" w:firstRowLastColumn="0" w:lastRowFirstColumn="0" w:lastRowLastColumn="0"/>
            <w:tcW w:w="4077" w:type="dxa"/>
          </w:tcPr>
          <w:p w14:paraId="42E443F0" w14:textId="7CE8BAE4" w:rsidR="00990F9D" w:rsidRPr="009A471E" w:rsidRDefault="00990F9D" w:rsidP="004311A8">
            <w:pPr>
              <w:spacing w:before="120" w:after="120"/>
              <w:rPr>
                <w:sz w:val="18"/>
                <w:szCs w:val="18"/>
              </w:rPr>
            </w:pPr>
            <w:r w:rsidRPr="009A471E">
              <w:rPr>
                <w:sz w:val="18"/>
                <w:szCs w:val="18"/>
              </w:rPr>
              <w:t>Other campaign costs</w:t>
            </w:r>
          </w:p>
        </w:tc>
        <w:tc>
          <w:tcPr>
            <w:tcW w:w="5063" w:type="dxa"/>
          </w:tcPr>
          <w:p w14:paraId="72ED6ADE" w14:textId="77777777" w:rsidR="007A5D06" w:rsidRDefault="007A5D06" w:rsidP="004311A8">
            <w:pPr>
              <w:spacing w:before="120" w:after="120"/>
              <w:cnfStyle w:val="000000000000" w:firstRow="0" w:lastRow="0" w:firstColumn="0" w:lastColumn="0" w:oddVBand="0" w:evenVBand="0" w:oddHBand="0" w:evenHBand="0" w:firstRowFirstColumn="0" w:firstRowLastColumn="0" w:lastRowFirstColumn="0" w:lastRowLastColumn="0"/>
              <w:rPr>
                <w:b/>
                <w:bCs/>
                <w:sz w:val="18"/>
                <w:szCs w:val="18"/>
              </w:rPr>
            </w:pPr>
            <w:r>
              <w:rPr>
                <w:b/>
                <w:bCs/>
                <w:sz w:val="18"/>
                <w:szCs w:val="18"/>
              </w:rPr>
              <w:t>Examples of ‘Other’ campaign costs</w:t>
            </w:r>
            <w:r w:rsidR="00B30A88">
              <w:rPr>
                <w:b/>
                <w:bCs/>
                <w:sz w:val="18"/>
                <w:szCs w:val="18"/>
              </w:rPr>
              <w:t xml:space="preserve">: </w:t>
            </w:r>
            <w:bookmarkStart w:id="3" w:name="_Hlk120537222"/>
          </w:p>
          <w:p w14:paraId="40F1FE27" w14:textId="600DB73E" w:rsidR="00990F9D" w:rsidRPr="008F35C0" w:rsidRDefault="00B30A88" w:rsidP="004311A8">
            <w:pPr>
              <w:pStyle w:val="ListParagraph"/>
              <w:numPr>
                <w:ilvl w:val="0"/>
                <w:numId w:val="36"/>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8F35C0">
              <w:rPr>
                <w:sz w:val="18"/>
                <w:szCs w:val="18"/>
              </w:rPr>
              <w:t>Cost of</w:t>
            </w:r>
            <w:r w:rsidRPr="008F35C0">
              <w:rPr>
                <w:b/>
                <w:bCs/>
                <w:sz w:val="18"/>
                <w:szCs w:val="18"/>
              </w:rPr>
              <w:t xml:space="preserve"> </w:t>
            </w:r>
            <w:r w:rsidRPr="008F35C0">
              <w:rPr>
                <w:sz w:val="18"/>
                <w:szCs w:val="18"/>
              </w:rPr>
              <w:t xml:space="preserve">media partnerships or sponsorships undertaken to support the paid advertising campaign. </w:t>
            </w:r>
            <w:bookmarkEnd w:id="3"/>
          </w:p>
          <w:p w14:paraId="01A207E9" w14:textId="77777777" w:rsidR="007A5D06" w:rsidRDefault="007A5D06" w:rsidP="004311A8">
            <w:pPr>
              <w:pStyle w:val="ListParagraph"/>
              <w:numPr>
                <w:ilvl w:val="0"/>
                <w:numId w:val="36"/>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sidRPr="008F35C0">
              <w:rPr>
                <w:sz w:val="18"/>
                <w:szCs w:val="18"/>
              </w:rPr>
              <w:t xml:space="preserve">Costs of international campaign advertising, where this advertising is not conducted via the MAMS contract. </w:t>
            </w:r>
          </w:p>
          <w:p w14:paraId="4A0F2913" w14:textId="58C34C0F" w:rsidR="00AF3161" w:rsidRPr="008F35C0" w:rsidRDefault="00AF3161" w:rsidP="004311A8">
            <w:pPr>
              <w:pStyle w:val="ListParagraph"/>
              <w:numPr>
                <w:ilvl w:val="0"/>
                <w:numId w:val="36"/>
              </w:numPr>
              <w:spacing w:before="120" w:after="120"/>
              <w:contextualSpacing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Digital costs </w:t>
            </w:r>
            <w:r w:rsidRPr="00AF3161">
              <w:rPr>
                <w:sz w:val="18"/>
                <w:szCs w:val="18"/>
              </w:rPr>
              <w:t xml:space="preserve">directly associated with </w:t>
            </w:r>
            <w:r>
              <w:rPr>
                <w:sz w:val="18"/>
                <w:szCs w:val="18"/>
              </w:rPr>
              <w:t xml:space="preserve">paid advertising </w:t>
            </w:r>
            <w:r w:rsidRPr="00AF3161">
              <w:rPr>
                <w:sz w:val="18"/>
                <w:szCs w:val="18"/>
              </w:rPr>
              <w:t>campaigns</w:t>
            </w:r>
            <w:r>
              <w:rPr>
                <w:sz w:val="18"/>
                <w:szCs w:val="18"/>
              </w:rPr>
              <w:t xml:space="preserve">, </w:t>
            </w:r>
            <w:r w:rsidRPr="00AF3161">
              <w:rPr>
                <w:sz w:val="18"/>
                <w:szCs w:val="18"/>
              </w:rPr>
              <w:t xml:space="preserve">such as </w:t>
            </w:r>
            <w:r>
              <w:rPr>
                <w:sz w:val="18"/>
                <w:szCs w:val="18"/>
              </w:rPr>
              <w:t>costs of developing dedicated ‘</w:t>
            </w:r>
            <w:r w:rsidRPr="00AF3161">
              <w:rPr>
                <w:sz w:val="18"/>
                <w:szCs w:val="18"/>
              </w:rPr>
              <w:t>landing</w:t>
            </w:r>
            <w:r>
              <w:rPr>
                <w:sz w:val="18"/>
                <w:szCs w:val="18"/>
              </w:rPr>
              <w:t>’ web</w:t>
            </w:r>
            <w:r w:rsidRPr="00AF3161">
              <w:rPr>
                <w:sz w:val="18"/>
                <w:szCs w:val="18"/>
              </w:rPr>
              <w:t xml:space="preserve">pages, </w:t>
            </w:r>
            <w:proofErr w:type="gramStart"/>
            <w:r w:rsidRPr="00AF3161">
              <w:rPr>
                <w:sz w:val="18"/>
                <w:szCs w:val="18"/>
              </w:rPr>
              <w:t>microsites</w:t>
            </w:r>
            <w:proofErr w:type="gramEnd"/>
            <w:r>
              <w:rPr>
                <w:sz w:val="18"/>
                <w:szCs w:val="18"/>
              </w:rPr>
              <w:t xml:space="preserve"> and digital applications. </w:t>
            </w:r>
          </w:p>
        </w:tc>
      </w:tr>
    </w:tbl>
    <w:p w14:paraId="718E3747" w14:textId="7E3DDCC0" w:rsidR="00A125C4" w:rsidRDefault="00A125C4" w:rsidP="00043296"/>
    <w:sectPr w:rsidR="00A125C4" w:rsidSect="00F417C3">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99C4B" w14:textId="77777777" w:rsidR="0070711D" w:rsidRDefault="0070711D" w:rsidP="002D711A">
      <w:pPr>
        <w:spacing w:after="0" w:line="240" w:lineRule="auto"/>
      </w:pPr>
      <w:r>
        <w:separator/>
      </w:r>
    </w:p>
  </w:endnote>
  <w:endnote w:type="continuationSeparator" w:id="0">
    <w:p w14:paraId="0FBB7215" w14:textId="77777777" w:rsidR="0070711D" w:rsidRDefault="0070711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78651" w14:textId="77777777" w:rsidR="007834B4" w:rsidRDefault="00783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6DFB" w14:textId="4EE5EC66" w:rsidR="00F417C3" w:rsidRDefault="00DB404A" w:rsidP="004669E3">
    <w:pPr>
      <w:pStyle w:val="Spacer"/>
    </w:pPr>
    <w:r>
      <w:rPr>
        <w:noProof/>
      </w:rPr>
      <mc:AlternateContent>
        <mc:Choice Requires="wps">
          <w:drawing>
            <wp:anchor distT="0" distB="0" distL="114300" distR="114300" simplePos="0" relativeHeight="251664384" behindDoc="0" locked="0" layoutInCell="0" allowOverlap="1" wp14:anchorId="1D2A37D7" wp14:editId="21717DE6">
              <wp:simplePos x="0" y="0"/>
              <wp:positionH relativeFrom="page">
                <wp:posOffset>0</wp:posOffset>
              </wp:positionH>
              <wp:positionV relativeFrom="page">
                <wp:posOffset>10237470</wp:posOffset>
              </wp:positionV>
              <wp:extent cx="7560310" cy="273050"/>
              <wp:effectExtent l="0" t="0" r="0" b="12700"/>
              <wp:wrapNone/>
              <wp:docPr id="1" name="MSIPCMb3e347b4844c8a5e206c1f8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DDA03" w14:textId="10AAF78A" w:rsidR="00105E7E" w:rsidRPr="00105E7E" w:rsidRDefault="00105E7E" w:rsidP="00105E7E">
                          <w:pPr>
                            <w:spacing w:before="0" w:after="0"/>
                            <w:rPr>
                              <w:rFonts w:ascii="Calibri" w:hAnsi="Calibri" w:cs="Calibri"/>
                              <w:color w:val="000000"/>
                              <w:sz w:val="22"/>
                            </w:rPr>
                          </w:pPr>
                          <w:r w:rsidRPr="00105E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2A37D7" id="_x0000_t202" coordsize="21600,21600" o:spt="202" path="m,l,21600r21600,l21600,xe">
              <v:stroke joinstyle="miter"/>
              <v:path gradientshapeok="t" o:connecttype="rect"/>
            </v:shapetype>
            <v:shape id="MSIPCMb3e347b4844c8a5e206c1f84" o:spid="_x0000_s1026" type="#_x0000_t202" alt="{&quot;HashCode&quot;:-1267603503,&quot;Height&quot;:841.0,&quot;Width&quot;:595.0,&quot;Placement&quot;:&quot;Footer&quot;,&quot;Index&quot;:&quot;Primary&quot;,&quot;Section&quot;:1,&quot;Top&quot;:0.0,&quot;Left&quot;:0.0}" style="position:absolute;margin-left:0;margin-top:806.1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CQZ4Vx3wAAAAsBAAAPAAAAZHJzL2Rvd25yZXYueG1sTI/BasMwEETvhf6D2EJv&#10;jWxDTONaDiGQQHoorZsPUKyt7VRaGUlOnL+PfGqPOzPMvinXk9Hsgs73lgSkiwQYUmNVT62A4/fu&#10;5RWYD5KU1JZQwA09rKvHh1IWyl7pCy91aFksIV9IAV0IQ8G5bzo00i/sgBS9H+uMDPF0LVdOXmO5&#10;0TxLkpwb2VP80MkBtx02v/VoBGxwTP1B7877/lh/vp8/glPblRDPT9PmDVjAKfyFYcaP6FBFppMd&#10;SXmmBcQhIap5mmXAZj9dJTmw06wtlxnwquT/N1R3AAAA//8DAFBLAQItABQABgAIAAAAIQC2gziS&#10;/gAAAOEBAAATAAAAAAAAAAAAAAAAAAAAAABbQ29udGVudF9UeXBlc10ueG1sUEsBAi0AFAAGAAgA&#10;AAAhADj9If/WAAAAlAEAAAsAAAAAAAAAAAAAAAAALwEAAF9yZWxzLy5yZWxzUEsBAi0AFAAGAAgA&#10;AAAhAH0OmBcXAgAAJQQAAA4AAAAAAAAAAAAAAAAALgIAAGRycy9lMm9Eb2MueG1sUEsBAi0AFAAG&#10;AAgAAAAhAJBnhXHfAAAACwEAAA8AAAAAAAAAAAAAAAAAcQQAAGRycy9kb3ducmV2LnhtbFBLBQYA&#10;AAAABAAEAPMAAAB9BQAAAAA=&#10;" o:allowincell="f" filled="f" stroked="f" strokeweight=".5pt">
              <v:textbox inset="20pt,0,,0">
                <w:txbxContent>
                  <w:p w14:paraId="37EDDA03" w14:textId="10AAF78A" w:rsidR="00105E7E" w:rsidRPr="00105E7E" w:rsidRDefault="00105E7E" w:rsidP="00105E7E">
                    <w:pPr>
                      <w:spacing w:before="0" w:after="0"/>
                      <w:rPr>
                        <w:rFonts w:ascii="Calibri" w:hAnsi="Calibri" w:cs="Calibri"/>
                        <w:color w:val="000000"/>
                        <w:sz w:val="22"/>
                      </w:rPr>
                    </w:pPr>
                    <w:r w:rsidRPr="00105E7E">
                      <w:rPr>
                        <w:rFonts w:ascii="Calibri" w:hAnsi="Calibri" w:cs="Calibri"/>
                        <w:color w:val="000000"/>
                        <w:sz w:val="22"/>
                      </w:rPr>
                      <w:t>OFFICIAL</w:t>
                    </w:r>
                  </w:p>
                </w:txbxContent>
              </v:textbox>
              <w10:wrap anchorx="page" anchory="page"/>
            </v:shape>
          </w:pict>
        </mc:Fallback>
      </mc:AlternateContent>
    </w:r>
  </w:p>
  <w:p w14:paraId="48EAE34A" w14:textId="25351127"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74551">
      <w:rPr>
        <w:b/>
        <w:color w:val="0063A6" w:themeColor="accent1"/>
      </w:rPr>
      <w:t>Guidance note to Financial Reporting Direction (FRD) 22</w:t>
    </w:r>
    <w:r w:rsidRPr="00C022F9">
      <w:rPr>
        <w:b/>
        <w:color w:val="0063A6" w:themeColor="accent1"/>
      </w:rPr>
      <w:fldChar w:fldCharType="end"/>
    </w:r>
    <w:r w:rsidR="00DB404A">
      <w:rPr>
        <w:b/>
        <w:color w:val="0063A6" w:themeColor="accent1"/>
      </w:rPr>
      <w:t xml:space="preserve"> </w:t>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D83B63">
      <w:rPr>
        <w:rStyle w:val="PageNumber"/>
      </w:rPr>
      <w:t>2</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00E3" w14:textId="77777777" w:rsidR="007834B4" w:rsidRDefault="0078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C61A" w14:textId="77777777" w:rsidR="0070711D" w:rsidRDefault="0070711D" w:rsidP="002D711A">
      <w:pPr>
        <w:spacing w:after="0" w:line="240" w:lineRule="auto"/>
      </w:pPr>
      <w:r>
        <w:separator/>
      </w:r>
    </w:p>
  </w:footnote>
  <w:footnote w:type="continuationSeparator" w:id="0">
    <w:p w14:paraId="67C6A166" w14:textId="77777777" w:rsidR="0070711D" w:rsidRDefault="0070711D" w:rsidP="002D711A">
      <w:pPr>
        <w:spacing w:after="0" w:line="240" w:lineRule="auto"/>
      </w:pPr>
      <w:r>
        <w:continuationSeparator/>
      </w:r>
    </w:p>
  </w:footnote>
  <w:footnote w:id="1">
    <w:p w14:paraId="4C9C14CE" w14:textId="594CCE93" w:rsidR="00322715" w:rsidRDefault="00322715">
      <w:pPr>
        <w:pStyle w:val="FootnoteText"/>
      </w:pPr>
      <w:r>
        <w:rPr>
          <w:rStyle w:val="FootnoteReference"/>
        </w:rPr>
        <w:footnoteRef/>
      </w:r>
      <w:r>
        <w:t xml:space="preserve"> </w:t>
      </w:r>
      <w:r w:rsidRPr="00143EDF">
        <w:rPr>
          <w:sz w:val="18"/>
          <w:szCs w:val="18"/>
        </w:rPr>
        <w:t>Entities should refer to the ‘</w:t>
      </w:r>
      <w:r w:rsidRPr="00143EDF">
        <w:rPr>
          <w:i/>
          <w:sz w:val="18"/>
          <w:szCs w:val="18"/>
        </w:rPr>
        <w:t>Guidance on the recording and maintenance of contractor information available on request</w:t>
      </w:r>
      <w:r w:rsidRPr="00143EDF">
        <w:rPr>
          <w:sz w:val="18"/>
          <w:szCs w:val="18"/>
        </w:rPr>
        <w:t>’ section of this guidance note, which provides clarification to the requirements in relation to contractors under FRD </w:t>
      </w:r>
      <w:r w:rsidR="00105E7E">
        <w:rPr>
          <w:sz w:val="18"/>
          <w:szCs w:val="18"/>
        </w:rPr>
        <w:t>22</w:t>
      </w:r>
      <w:r w:rsidRPr="00143EDF">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6F12" w14:textId="77777777" w:rsidR="007834B4" w:rsidRDefault="00783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0B9E" w14:textId="77777777" w:rsidR="00F417C3" w:rsidRPr="0041689E" w:rsidRDefault="00F417C3">
    <w:pPr>
      <w:pStyle w:val="Header"/>
    </w:pPr>
    <w:r>
      <w:rPr>
        <w:noProof/>
      </w:rPr>
      <w:drawing>
        <wp:anchor distT="0" distB="0" distL="114300" distR="114300" simplePos="0" relativeHeight="251658240" behindDoc="0" locked="0" layoutInCell="1" allowOverlap="1" wp14:anchorId="334432AB" wp14:editId="5A588E4E">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12582B6B" wp14:editId="5B865C9F">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40350" w14:textId="77777777" w:rsidR="007834B4" w:rsidRDefault="00783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7C3692"/>
    <w:multiLevelType w:val="hybridMultilevel"/>
    <w:tmpl w:val="552AB31C"/>
    <w:lvl w:ilvl="0" w:tplc="025CD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C63045"/>
    <w:multiLevelType w:val="hybridMultilevel"/>
    <w:tmpl w:val="552AB31C"/>
    <w:lvl w:ilvl="0" w:tplc="025CD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8F094C"/>
    <w:multiLevelType w:val="hybridMultilevel"/>
    <w:tmpl w:val="BE2E6DCA"/>
    <w:lvl w:ilvl="0" w:tplc="7E4C915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A247C39"/>
    <w:multiLevelType w:val="hybridMultilevel"/>
    <w:tmpl w:val="EEAE1C06"/>
    <w:lvl w:ilvl="0" w:tplc="0CAA5C5A">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EE452D"/>
    <w:multiLevelType w:val="hybridMultilevel"/>
    <w:tmpl w:val="5A5CEA58"/>
    <w:lvl w:ilvl="0" w:tplc="E38AA1EA">
      <w:numFmt w:val="bullet"/>
      <w:lvlText w:val=""/>
      <w:lvlJc w:val="left"/>
      <w:pPr>
        <w:ind w:left="720" w:hanging="360"/>
      </w:pPr>
      <w:rPr>
        <w:rFonts w:ascii="Symbol" w:eastAsia="Times New Roman" w:hAnsi="Symbol"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E000AD"/>
    <w:multiLevelType w:val="hybridMultilevel"/>
    <w:tmpl w:val="3DE4C738"/>
    <w:lvl w:ilvl="0" w:tplc="0CAA5C5A">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A2327F"/>
    <w:multiLevelType w:val="hybridMultilevel"/>
    <w:tmpl w:val="56FA35D2"/>
    <w:lvl w:ilvl="0" w:tplc="0B5ABAC0">
      <w:numFmt w:val="bullet"/>
      <w:lvlText w:val=""/>
      <w:lvlJc w:val="left"/>
      <w:pPr>
        <w:ind w:left="720" w:hanging="360"/>
      </w:pPr>
      <w:rPr>
        <w:rFonts w:ascii="Symbol" w:eastAsia="Times New Roman" w:hAnsi="Symbol"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743C97"/>
    <w:multiLevelType w:val="hybridMultilevel"/>
    <w:tmpl w:val="7846B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1CC2264"/>
    <w:multiLevelType w:val="hybridMultilevel"/>
    <w:tmpl w:val="41722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35622615">
    <w:abstractNumId w:val="5"/>
  </w:num>
  <w:num w:numId="2" w16cid:durableId="1953898518">
    <w:abstractNumId w:val="5"/>
  </w:num>
  <w:num w:numId="3" w16cid:durableId="1756366276">
    <w:abstractNumId w:val="5"/>
  </w:num>
  <w:num w:numId="4" w16cid:durableId="1230110752">
    <w:abstractNumId w:val="14"/>
  </w:num>
  <w:num w:numId="5" w16cid:durableId="1139225467">
    <w:abstractNumId w:val="5"/>
  </w:num>
  <w:num w:numId="6" w16cid:durableId="658579905">
    <w:abstractNumId w:val="5"/>
  </w:num>
  <w:num w:numId="7" w16cid:durableId="1268928928">
    <w:abstractNumId w:val="5"/>
  </w:num>
  <w:num w:numId="8" w16cid:durableId="978607533">
    <w:abstractNumId w:val="5"/>
  </w:num>
  <w:num w:numId="9" w16cid:durableId="1876966033">
    <w:abstractNumId w:val="14"/>
  </w:num>
  <w:num w:numId="10" w16cid:durableId="773405480">
    <w:abstractNumId w:val="14"/>
  </w:num>
  <w:num w:numId="11" w16cid:durableId="79376293">
    <w:abstractNumId w:val="14"/>
  </w:num>
  <w:num w:numId="12" w16cid:durableId="2137216388">
    <w:abstractNumId w:val="14"/>
  </w:num>
  <w:num w:numId="13" w16cid:durableId="573469883">
    <w:abstractNumId w:val="14"/>
  </w:num>
  <w:num w:numId="14" w16cid:durableId="293678351">
    <w:abstractNumId w:val="14"/>
  </w:num>
  <w:num w:numId="15" w16cid:durableId="1096906730">
    <w:abstractNumId w:val="14"/>
  </w:num>
  <w:num w:numId="16" w16cid:durableId="2023626248">
    <w:abstractNumId w:val="14"/>
  </w:num>
  <w:num w:numId="17" w16cid:durableId="1060984917">
    <w:abstractNumId w:val="2"/>
  </w:num>
  <w:num w:numId="18" w16cid:durableId="348216254">
    <w:abstractNumId w:val="2"/>
  </w:num>
  <w:num w:numId="19" w16cid:durableId="1238637076">
    <w:abstractNumId w:val="13"/>
  </w:num>
  <w:num w:numId="20" w16cid:durableId="306858333">
    <w:abstractNumId w:val="12"/>
  </w:num>
  <w:num w:numId="21" w16cid:durableId="1586764496">
    <w:abstractNumId w:val="0"/>
  </w:num>
  <w:num w:numId="22" w16cid:durableId="2075664662">
    <w:abstractNumId w:val="0"/>
  </w:num>
  <w:num w:numId="23" w16cid:durableId="358285464">
    <w:abstractNumId w:val="0"/>
  </w:num>
  <w:num w:numId="24" w16cid:durableId="1092356512">
    <w:abstractNumId w:val="13"/>
  </w:num>
  <w:num w:numId="25" w16cid:durableId="1942687870">
    <w:abstractNumId w:val="14"/>
  </w:num>
  <w:num w:numId="26" w16cid:durableId="2029065010">
    <w:abstractNumId w:val="2"/>
  </w:num>
  <w:num w:numId="27" w16cid:durableId="1456211649">
    <w:abstractNumId w:val="2"/>
  </w:num>
  <w:num w:numId="28" w16cid:durableId="1213729556">
    <w:abstractNumId w:val="4"/>
  </w:num>
  <w:num w:numId="29" w16cid:durableId="1618026321">
    <w:abstractNumId w:val="6"/>
  </w:num>
  <w:num w:numId="30" w16cid:durableId="1567759971">
    <w:abstractNumId w:val="7"/>
  </w:num>
  <w:num w:numId="31" w16cid:durableId="24333426">
    <w:abstractNumId w:val="8"/>
  </w:num>
  <w:num w:numId="32" w16cid:durableId="50084939">
    <w:abstractNumId w:val="9"/>
  </w:num>
  <w:num w:numId="33" w16cid:durableId="1154681829">
    <w:abstractNumId w:val="3"/>
  </w:num>
  <w:num w:numId="34" w16cid:durableId="1680043298">
    <w:abstractNumId w:val="1"/>
  </w:num>
  <w:num w:numId="35" w16cid:durableId="600527412">
    <w:abstractNumId w:val="10"/>
  </w:num>
  <w:num w:numId="36" w16cid:durableId="1666321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B72"/>
    <w:rsid w:val="00012F6F"/>
    <w:rsid w:val="00014213"/>
    <w:rsid w:val="00014B55"/>
    <w:rsid w:val="00020E3E"/>
    <w:rsid w:val="00023BF3"/>
    <w:rsid w:val="00026811"/>
    <w:rsid w:val="00043296"/>
    <w:rsid w:val="0004356D"/>
    <w:rsid w:val="00045296"/>
    <w:rsid w:val="00075E6C"/>
    <w:rsid w:val="000B0FA6"/>
    <w:rsid w:val="000B29AD"/>
    <w:rsid w:val="000C06D0"/>
    <w:rsid w:val="000C322C"/>
    <w:rsid w:val="000C6372"/>
    <w:rsid w:val="000D593F"/>
    <w:rsid w:val="000E392D"/>
    <w:rsid w:val="000F4288"/>
    <w:rsid w:val="000F7165"/>
    <w:rsid w:val="00102379"/>
    <w:rsid w:val="00105E7E"/>
    <w:rsid w:val="001065D6"/>
    <w:rsid w:val="001120A2"/>
    <w:rsid w:val="00121252"/>
    <w:rsid w:val="001212E8"/>
    <w:rsid w:val="00121C34"/>
    <w:rsid w:val="00124609"/>
    <w:rsid w:val="00124673"/>
    <w:rsid w:val="001254CE"/>
    <w:rsid w:val="0012562C"/>
    <w:rsid w:val="00126AF9"/>
    <w:rsid w:val="00130675"/>
    <w:rsid w:val="00134CEA"/>
    <w:rsid w:val="001422CC"/>
    <w:rsid w:val="00143EDF"/>
    <w:rsid w:val="001617B6"/>
    <w:rsid w:val="00165E66"/>
    <w:rsid w:val="00181710"/>
    <w:rsid w:val="001A3DD1"/>
    <w:rsid w:val="001C7BAE"/>
    <w:rsid w:val="001D717E"/>
    <w:rsid w:val="001E31FA"/>
    <w:rsid w:val="001E64F6"/>
    <w:rsid w:val="00200BB3"/>
    <w:rsid w:val="0020201E"/>
    <w:rsid w:val="00222BEB"/>
    <w:rsid w:val="00225E60"/>
    <w:rsid w:val="00227C39"/>
    <w:rsid w:val="0023201C"/>
    <w:rsid w:val="0023202C"/>
    <w:rsid w:val="00236203"/>
    <w:rsid w:val="00245043"/>
    <w:rsid w:val="00257760"/>
    <w:rsid w:val="00292D36"/>
    <w:rsid w:val="00297281"/>
    <w:rsid w:val="002C54E0"/>
    <w:rsid w:val="002D711A"/>
    <w:rsid w:val="002D7336"/>
    <w:rsid w:val="002E3396"/>
    <w:rsid w:val="002F6C26"/>
    <w:rsid w:val="00307A77"/>
    <w:rsid w:val="0031149C"/>
    <w:rsid w:val="00322715"/>
    <w:rsid w:val="00342758"/>
    <w:rsid w:val="00360F54"/>
    <w:rsid w:val="003700E2"/>
    <w:rsid w:val="00371D88"/>
    <w:rsid w:val="0038771C"/>
    <w:rsid w:val="00392A8F"/>
    <w:rsid w:val="0039405B"/>
    <w:rsid w:val="003A1C92"/>
    <w:rsid w:val="003A541A"/>
    <w:rsid w:val="003A6923"/>
    <w:rsid w:val="003C2C67"/>
    <w:rsid w:val="003C2EA2"/>
    <w:rsid w:val="003C5BA4"/>
    <w:rsid w:val="003E10E4"/>
    <w:rsid w:val="003E3E26"/>
    <w:rsid w:val="003F1295"/>
    <w:rsid w:val="003F76FC"/>
    <w:rsid w:val="004002EB"/>
    <w:rsid w:val="00405C57"/>
    <w:rsid w:val="00407806"/>
    <w:rsid w:val="00413F62"/>
    <w:rsid w:val="0041689E"/>
    <w:rsid w:val="004236C8"/>
    <w:rsid w:val="00426895"/>
    <w:rsid w:val="00427681"/>
    <w:rsid w:val="004311A8"/>
    <w:rsid w:val="00433DB7"/>
    <w:rsid w:val="00453750"/>
    <w:rsid w:val="00455E2C"/>
    <w:rsid w:val="00456941"/>
    <w:rsid w:val="004669E3"/>
    <w:rsid w:val="004702EA"/>
    <w:rsid w:val="00482D02"/>
    <w:rsid w:val="004910C0"/>
    <w:rsid w:val="004A7519"/>
    <w:rsid w:val="004B41CA"/>
    <w:rsid w:val="004D3518"/>
    <w:rsid w:val="004D62D6"/>
    <w:rsid w:val="004E347D"/>
    <w:rsid w:val="004E57D1"/>
    <w:rsid w:val="0053416C"/>
    <w:rsid w:val="00541C2F"/>
    <w:rsid w:val="00563527"/>
    <w:rsid w:val="0058124E"/>
    <w:rsid w:val="00584301"/>
    <w:rsid w:val="005875A3"/>
    <w:rsid w:val="005A3416"/>
    <w:rsid w:val="005A553E"/>
    <w:rsid w:val="005B27FE"/>
    <w:rsid w:val="005C3E6D"/>
    <w:rsid w:val="005D1908"/>
    <w:rsid w:val="005F331D"/>
    <w:rsid w:val="005F61DF"/>
    <w:rsid w:val="005F6BEE"/>
    <w:rsid w:val="005F6F27"/>
    <w:rsid w:val="006023F9"/>
    <w:rsid w:val="00610559"/>
    <w:rsid w:val="006258B4"/>
    <w:rsid w:val="006332F6"/>
    <w:rsid w:val="006361E7"/>
    <w:rsid w:val="00643E02"/>
    <w:rsid w:val="00645AF3"/>
    <w:rsid w:val="00652625"/>
    <w:rsid w:val="006534B2"/>
    <w:rsid w:val="0065615D"/>
    <w:rsid w:val="00657011"/>
    <w:rsid w:val="006650B5"/>
    <w:rsid w:val="006651B1"/>
    <w:rsid w:val="00665653"/>
    <w:rsid w:val="00665778"/>
    <w:rsid w:val="006707A0"/>
    <w:rsid w:val="006738C4"/>
    <w:rsid w:val="006872AA"/>
    <w:rsid w:val="00691C09"/>
    <w:rsid w:val="006A5B34"/>
    <w:rsid w:val="006A5F05"/>
    <w:rsid w:val="006A5F5B"/>
    <w:rsid w:val="006B0687"/>
    <w:rsid w:val="006B7F28"/>
    <w:rsid w:val="006C77A9"/>
    <w:rsid w:val="006E0161"/>
    <w:rsid w:val="006F5DC0"/>
    <w:rsid w:val="006F6693"/>
    <w:rsid w:val="006F75EC"/>
    <w:rsid w:val="0070711D"/>
    <w:rsid w:val="00707FE8"/>
    <w:rsid w:val="00723EEC"/>
    <w:rsid w:val="00724962"/>
    <w:rsid w:val="00724A0F"/>
    <w:rsid w:val="0073072C"/>
    <w:rsid w:val="007320B4"/>
    <w:rsid w:val="00732162"/>
    <w:rsid w:val="00736732"/>
    <w:rsid w:val="007464C4"/>
    <w:rsid w:val="00750CBE"/>
    <w:rsid w:val="0075177C"/>
    <w:rsid w:val="00755FB0"/>
    <w:rsid w:val="00761130"/>
    <w:rsid w:val="00766B5A"/>
    <w:rsid w:val="00770342"/>
    <w:rsid w:val="007834B4"/>
    <w:rsid w:val="007834F2"/>
    <w:rsid w:val="00791020"/>
    <w:rsid w:val="007921F5"/>
    <w:rsid w:val="007A5D06"/>
    <w:rsid w:val="007A5F82"/>
    <w:rsid w:val="007B75A4"/>
    <w:rsid w:val="007F1A4C"/>
    <w:rsid w:val="008022C3"/>
    <w:rsid w:val="008041E6"/>
    <w:rsid w:val="00805B9B"/>
    <w:rsid w:val="008065D2"/>
    <w:rsid w:val="0082194C"/>
    <w:rsid w:val="008220C4"/>
    <w:rsid w:val="008222FF"/>
    <w:rsid w:val="008241FF"/>
    <w:rsid w:val="0082492A"/>
    <w:rsid w:val="008411E9"/>
    <w:rsid w:val="0084200F"/>
    <w:rsid w:val="00843B2C"/>
    <w:rsid w:val="008471C4"/>
    <w:rsid w:val="008A4900"/>
    <w:rsid w:val="008C1F68"/>
    <w:rsid w:val="008D0281"/>
    <w:rsid w:val="008E16CF"/>
    <w:rsid w:val="008E3C4E"/>
    <w:rsid w:val="008F1497"/>
    <w:rsid w:val="008F35C0"/>
    <w:rsid w:val="008F6D45"/>
    <w:rsid w:val="00910668"/>
    <w:rsid w:val="0094349A"/>
    <w:rsid w:val="0095262C"/>
    <w:rsid w:val="00952B76"/>
    <w:rsid w:val="009738E1"/>
    <w:rsid w:val="009834C0"/>
    <w:rsid w:val="00984C95"/>
    <w:rsid w:val="00986AAC"/>
    <w:rsid w:val="009901BF"/>
    <w:rsid w:val="00990F9D"/>
    <w:rsid w:val="00993DA0"/>
    <w:rsid w:val="009A1DA2"/>
    <w:rsid w:val="009A3704"/>
    <w:rsid w:val="009A471E"/>
    <w:rsid w:val="009A4739"/>
    <w:rsid w:val="009A4881"/>
    <w:rsid w:val="009A674F"/>
    <w:rsid w:val="009B199C"/>
    <w:rsid w:val="009B54C8"/>
    <w:rsid w:val="009B61F1"/>
    <w:rsid w:val="009B62E0"/>
    <w:rsid w:val="009C3D88"/>
    <w:rsid w:val="009C4F89"/>
    <w:rsid w:val="009E3858"/>
    <w:rsid w:val="009E70DD"/>
    <w:rsid w:val="009F2ED9"/>
    <w:rsid w:val="009F3231"/>
    <w:rsid w:val="009F5C58"/>
    <w:rsid w:val="00A023A0"/>
    <w:rsid w:val="00A06182"/>
    <w:rsid w:val="00A125C4"/>
    <w:rsid w:val="00A1562B"/>
    <w:rsid w:val="00A170F4"/>
    <w:rsid w:val="00A2559E"/>
    <w:rsid w:val="00A25DA1"/>
    <w:rsid w:val="00A25FD9"/>
    <w:rsid w:val="00A46BA8"/>
    <w:rsid w:val="00A47634"/>
    <w:rsid w:val="00A612FE"/>
    <w:rsid w:val="00A634C1"/>
    <w:rsid w:val="00A74551"/>
    <w:rsid w:val="00A93165"/>
    <w:rsid w:val="00A97B72"/>
    <w:rsid w:val="00AA26B8"/>
    <w:rsid w:val="00AA6FB5"/>
    <w:rsid w:val="00AB3FE2"/>
    <w:rsid w:val="00AD3322"/>
    <w:rsid w:val="00AD7E4E"/>
    <w:rsid w:val="00AF3161"/>
    <w:rsid w:val="00AF34DE"/>
    <w:rsid w:val="00AF4D58"/>
    <w:rsid w:val="00AF6666"/>
    <w:rsid w:val="00B10154"/>
    <w:rsid w:val="00B30A88"/>
    <w:rsid w:val="00B77B5F"/>
    <w:rsid w:val="00B8021C"/>
    <w:rsid w:val="00B81B44"/>
    <w:rsid w:val="00B87948"/>
    <w:rsid w:val="00B9053B"/>
    <w:rsid w:val="00BC3422"/>
    <w:rsid w:val="00BC6133"/>
    <w:rsid w:val="00BC725E"/>
    <w:rsid w:val="00BD325C"/>
    <w:rsid w:val="00C015B9"/>
    <w:rsid w:val="00C022F9"/>
    <w:rsid w:val="00C032EA"/>
    <w:rsid w:val="00C06EB5"/>
    <w:rsid w:val="00C1145F"/>
    <w:rsid w:val="00C47B5D"/>
    <w:rsid w:val="00C637E1"/>
    <w:rsid w:val="00C70D50"/>
    <w:rsid w:val="00C8243E"/>
    <w:rsid w:val="00C907D7"/>
    <w:rsid w:val="00C92338"/>
    <w:rsid w:val="00CA7C3A"/>
    <w:rsid w:val="00CC2DB2"/>
    <w:rsid w:val="00CD0307"/>
    <w:rsid w:val="00CD3D1B"/>
    <w:rsid w:val="00CE126D"/>
    <w:rsid w:val="00CE3FE7"/>
    <w:rsid w:val="00CE62B3"/>
    <w:rsid w:val="00CF5261"/>
    <w:rsid w:val="00CF7DCA"/>
    <w:rsid w:val="00D211E9"/>
    <w:rsid w:val="00D2312F"/>
    <w:rsid w:val="00D269C1"/>
    <w:rsid w:val="00D44953"/>
    <w:rsid w:val="00D531F2"/>
    <w:rsid w:val="00D542F3"/>
    <w:rsid w:val="00D543E5"/>
    <w:rsid w:val="00D5644B"/>
    <w:rsid w:val="00D56E25"/>
    <w:rsid w:val="00D71896"/>
    <w:rsid w:val="00D718D7"/>
    <w:rsid w:val="00D73212"/>
    <w:rsid w:val="00D814B7"/>
    <w:rsid w:val="00D83B63"/>
    <w:rsid w:val="00D90688"/>
    <w:rsid w:val="00DA3AAD"/>
    <w:rsid w:val="00DB312B"/>
    <w:rsid w:val="00DB404A"/>
    <w:rsid w:val="00DC5654"/>
    <w:rsid w:val="00DC658F"/>
    <w:rsid w:val="00DD785E"/>
    <w:rsid w:val="00DE60CC"/>
    <w:rsid w:val="00E0281F"/>
    <w:rsid w:val="00E26B32"/>
    <w:rsid w:val="00E31444"/>
    <w:rsid w:val="00E407B6"/>
    <w:rsid w:val="00E41EF1"/>
    <w:rsid w:val="00E42942"/>
    <w:rsid w:val="00E468A6"/>
    <w:rsid w:val="00E71707"/>
    <w:rsid w:val="00E71BDF"/>
    <w:rsid w:val="00E76472"/>
    <w:rsid w:val="00E83CA7"/>
    <w:rsid w:val="00EC171D"/>
    <w:rsid w:val="00EC72E6"/>
    <w:rsid w:val="00ED4580"/>
    <w:rsid w:val="00ED487E"/>
    <w:rsid w:val="00EE4D97"/>
    <w:rsid w:val="00EE7A0D"/>
    <w:rsid w:val="00EF0D21"/>
    <w:rsid w:val="00F11F17"/>
    <w:rsid w:val="00F13CFE"/>
    <w:rsid w:val="00F17CE1"/>
    <w:rsid w:val="00F2115C"/>
    <w:rsid w:val="00F22042"/>
    <w:rsid w:val="00F22ABA"/>
    <w:rsid w:val="00F36B12"/>
    <w:rsid w:val="00F417C3"/>
    <w:rsid w:val="00F52181"/>
    <w:rsid w:val="00F60F9F"/>
    <w:rsid w:val="00F61BE0"/>
    <w:rsid w:val="00F64F08"/>
    <w:rsid w:val="00F734F5"/>
    <w:rsid w:val="00F966B1"/>
    <w:rsid w:val="00F97D48"/>
    <w:rsid w:val="00FA0311"/>
    <w:rsid w:val="00FC42E5"/>
    <w:rsid w:val="00FC76E7"/>
    <w:rsid w:val="00FD062E"/>
    <w:rsid w:val="00FD5E06"/>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3FEA1"/>
  <w15:docId w15:val="{66D51754-67FF-435D-A009-B90D5E4D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D1"/>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uiPriority w:val="49"/>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customStyle="1" w:styleId="TableText0">
    <w:name w:val="Table Text"/>
    <w:basedOn w:val="Normal"/>
    <w:uiPriority w:val="15"/>
    <w:qFormat/>
    <w:rsid w:val="005F6F27"/>
    <w:pPr>
      <w:spacing w:before="20" w:after="20" w:line="240" w:lineRule="auto"/>
    </w:pPr>
    <w:rPr>
      <w:rFonts w:ascii="Calibri" w:eastAsia="Times New Roman" w:hAnsi="Calibri" w:cs="Calibri"/>
      <w:color w:val="404040" w:themeColor="text1" w:themeTint="BF"/>
      <w:spacing w:val="0"/>
      <w:szCs w:val="22"/>
    </w:rPr>
  </w:style>
  <w:style w:type="paragraph" w:customStyle="1" w:styleId="TableHeader0">
    <w:name w:val="Table Header"/>
    <w:basedOn w:val="TableText0"/>
    <w:uiPriority w:val="15"/>
    <w:qFormat/>
    <w:rsid w:val="005F6F27"/>
    <w:pPr>
      <w:keepNext/>
      <w:spacing w:before="40" w:after="40"/>
    </w:pPr>
    <w:rPr>
      <w:color w:val="FFFFFF"/>
      <w:sz w:val="24"/>
      <w:lang w:eastAsia="en-US"/>
    </w:rPr>
  </w:style>
  <w:style w:type="paragraph" w:customStyle="1" w:styleId="Heading2NoNum">
    <w:name w:val="Heading 2 NoNum"/>
    <w:basedOn w:val="Heading2"/>
    <w:next w:val="Normal"/>
    <w:uiPriority w:val="4"/>
    <w:qFormat/>
    <w:rsid w:val="005F6F27"/>
    <w:pPr>
      <w:widowControl w:val="0"/>
      <w:spacing w:before="240" w:after="120" w:line="240" w:lineRule="auto"/>
    </w:pPr>
    <w:rPr>
      <w:rFonts w:ascii="Calibri" w:eastAsia="Times New Roman" w:hAnsi="Calibri" w:cs="Calibri"/>
      <w:bCs w:val="0"/>
      <w:color w:val="4D4D4D"/>
      <w:spacing w:val="0"/>
      <w:kern w:val="28"/>
      <w:sz w:val="24"/>
      <w:szCs w:val="22"/>
      <w:lang w:eastAsia="en-US"/>
    </w:rPr>
  </w:style>
  <w:style w:type="paragraph" w:customStyle="1" w:styleId="Heading1NoNum">
    <w:name w:val="Heading 1 NoNum"/>
    <w:basedOn w:val="Heading1"/>
    <w:next w:val="Normal"/>
    <w:uiPriority w:val="4"/>
    <w:qFormat/>
    <w:rsid w:val="005F6F27"/>
    <w:pPr>
      <w:spacing w:before="200" w:after="80" w:line="240" w:lineRule="auto"/>
    </w:pPr>
    <w:rPr>
      <w:rFonts w:ascii="Calibri" w:eastAsia="Times New Roman" w:hAnsi="Calibri" w:cs="Calibri"/>
      <w:b w:val="0"/>
      <w:bCs w:val="0"/>
      <w:color w:val="4D4D4D"/>
      <w:spacing w:val="0"/>
      <w:kern w:val="28"/>
      <w:sz w:val="30"/>
      <w:szCs w:val="22"/>
      <w:lang w:eastAsia="en-US"/>
    </w:rPr>
  </w:style>
  <w:style w:type="paragraph" w:styleId="NormalWeb">
    <w:name w:val="Normal (Web)"/>
    <w:basedOn w:val="Normal"/>
    <w:uiPriority w:val="99"/>
    <w:unhideWhenUsed/>
    <w:rsid w:val="00A125C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semiHidden/>
    <w:unhideWhenUsed/>
    <w:rsid w:val="00A125C4"/>
    <w:rPr>
      <w:sz w:val="16"/>
      <w:szCs w:val="16"/>
    </w:rPr>
  </w:style>
  <w:style w:type="paragraph" w:styleId="CommentText">
    <w:name w:val="annotation text"/>
    <w:basedOn w:val="Normal"/>
    <w:link w:val="CommentTextChar"/>
    <w:uiPriority w:val="99"/>
    <w:unhideWhenUsed/>
    <w:rsid w:val="00A125C4"/>
    <w:pPr>
      <w:spacing w:line="240" w:lineRule="auto"/>
    </w:pPr>
  </w:style>
  <w:style w:type="character" w:customStyle="1" w:styleId="CommentTextChar">
    <w:name w:val="Comment Text Char"/>
    <w:basedOn w:val="DefaultParagraphFont"/>
    <w:link w:val="CommentText"/>
    <w:uiPriority w:val="99"/>
    <w:rsid w:val="00A125C4"/>
    <w:rPr>
      <w:spacing w:val="2"/>
    </w:rPr>
  </w:style>
  <w:style w:type="paragraph" w:styleId="CommentSubject">
    <w:name w:val="annotation subject"/>
    <w:basedOn w:val="CommentText"/>
    <w:next w:val="CommentText"/>
    <w:link w:val="CommentSubjectChar"/>
    <w:uiPriority w:val="99"/>
    <w:semiHidden/>
    <w:unhideWhenUsed/>
    <w:rsid w:val="00A125C4"/>
    <w:rPr>
      <w:b/>
      <w:bCs/>
    </w:rPr>
  </w:style>
  <w:style w:type="character" w:customStyle="1" w:styleId="CommentSubjectChar">
    <w:name w:val="Comment Subject Char"/>
    <w:basedOn w:val="CommentTextChar"/>
    <w:link w:val="CommentSubject"/>
    <w:uiPriority w:val="99"/>
    <w:semiHidden/>
    <w:rsid w:val="00A125C4"/>
    <w:rPr>
      <w:b/>
      <w:bCs/>
      <w:spacing w:val="2"/>
    </w:rPr>
  </w:style>
  <w:style w:type="table" w:styleId="GridTable4-Accent1">
    <w:name w:val="Grid Table 4 Accent 1"/>
    <w:basedOn w:val="TableNormal"/>
    <w:uiPriority w:val="49"/>
    <w:rsid w:val="00805B9B"/>
    <w:pPr>
      <w:spacing w:after="0" w:line="240" w:lineRule="auto"/>
    </w:pPr>
    <w:tblPr>
      <w:tblStyleRowBandSize w:val="1"/>
      <w:tblStyleColBandSize w:val="1"/>
      <w:tblBorders>
        <w:top w:val="single" w:sz="4" w:space="0" w:color="30ABFF" w:themeColor="accent1" w:themeTint="99"/>
        <w:left w:val="single" w:sz="4" w:space="0" w:color="30ABFF" w:themeColor="accent1" w:themeTint="99"/>
        <w:bottom w:val="single" w:sz="4" w:space="0" w:color="30ABFF" w:themeColor="accent1" w:themeTint="99"/>
        <w:right w:val="single" w:sz="4" w:space="0" w:color="30ABFF" w:themeColor="accent1" w:themeTint="99"/>
        <w:insideH w:val="single" w:sz="4" w:space="0" w:color="30ABFF" w:themeColor="accent1" w:themeTint="99"/>
        <w:insideV w:val="single" w:sz="4" w:space="0" w:color="30ABFF" w:themeColor="accent1" w:themeTint="99"/>
      </w:tblBorders>
    </w:tblPr>
    <w:tblStylePr w:type="firstRow">
      <w:rPr>
        <w:b/>
        <w:bCs/>
        <w:color w:val="FFFFFF" w:themeColor="background1"/>
      </w:rPr>
      <w:tblPr/>
      <w:tcPr>
        <w:tcBorders>
          <w:top w:val="single" w:sz="4" w:space="0" w:color="0063A6" w:themeColor="accent1"/>
          <w:left w:val="single" w:sz="4" w:space="0" w:color="0063A6" w:themeColor="accent1"/>
          <w:bottom w:val="single" w:sz="4" w:space="0" w:color="0063A6" w:themeColor="accent1"/>
          <w:right w:val="single" w:sz="4" w:space="0" w:color="0063A6" w:themeColor="accent1"/>
          <w:insideH w:val="nil"/>
          <w:insideV w:val="nil"/>
        </w:tcBorders>
        <w:shd w:val="clear" w:color="auto" w:fill="0063A6" w:themeFill="accent1"/>
      </w:tcPr>
    </w:tblStylePr>
    <w:tblStylePr w:type="lastRow">
      <w:rPr>
        <w:b/>
        <w:bCs/>
      </w:rPr>
      <w:tblPr/>
      <w:tcPr>
        <w:tcBorders>
          <w:top w:val="double" w:sz="4" w:space="0" w:color="0063A6" w:themeColor="accent1"/>
        </w:tcBorders>
      </w:tcPr>
    </w:tblStylePr>
    <w:tblStylePr w:type="firstCol">
      <w:rPr>
        <w:b/>
        <w:bCs/>
      </w:rPr>
    </w:tblStylePr>
    <w:tblStylePr w:type="lastCol">
      <w:rPr>
        <w:b/>
        <w:bCs/>
      </w:rPr>
    </w:tblStylePr>
    <w:tblStylePr w:type="band1Vert">
      <w:tblPr/>
      <w:tcPr>
        <w:shd w:val="clear" w:color="auto" w:fill="BAE3FF" w:themeFill="accent1" w:themeFillTint="33"/>
      </w:tcPr>
    </w:tblStylePr>
    <w:tblStylePr w:type="band1Horz">
      <w:tblPr/>
      <w:tcPr>
        <w:shd w:val="clear" w:color="auto" w:fill="BAE3FF" w:themeFill="accent1" w:themeFillTint="33"/>
      </w:tcPr>
    </w:tblStylePr>
  </w:style>
  <w:style w:type="table" w:styleId="GridTable4-Accent4">
    <w:name w:val="Grid Table 4 Accent 4"/>
    <w:basedOn w:val="TableNormal"/>
    <w:uiPriority w:val="49"/>
    <w:rsid w:val="0020201E"/>
    <w:pPr>
      <w:spacing w:after="0" w:line="240" w:lineRule="auto"/>
    </w:pPr>
    <w:tblPr>
      <w:tblStyleRowBandSize w:val="1"/>
      <w:tblStyleColBandSize w:val="1"/>
      <w:tblBorders>
        <w:top w:val="single" w:sz="4" w:space="0" w:color="48ADFF" w:themeColor="accent4" w:themeTint="99"/>
        <w:left w:val="single" w:sz="4" w:space="0" w:color="48ADFF" w:themeColor="accent4" w:themeTint="99"/>
        <w:bottom w:val="single" w:sz="4" w:space="0" w:color="48ADFF" w:themeColor="accent4" w:themeTint="99"/>
        <w:right w:val="single" w:sz="4" w:space="0" w:color="48ADFF" w:themeColor="accent4" w:themeTint="99"/>
        <w:insideH w:val="single" w:sz="4" w:space="0" w:color="48ADFF" w:themeColor="accent4" w:themeTint="99"/>
        <w:insideV w:val="single" w:sz="4" w:space="0" w:color="48ADFF" w:themeColor="accent4" w:themeTint="99"/>
      </w:tblBorders>
    </w:tblPr>
    <w:tblStylePr w:type="firstRow">
      <w:rPr>
        <w:b/>
        <w:bCs/>
        <w:color w:val="FFFFFF" w:themeColor="background1"/>
      </w:rPr>
      <w:tblPr/>
      <w:tcPr>
        <w:tcBorders>
          <w:top w:val="single" w:sz="4" w:space="0" w:color="0072CE" w:themeColor="accent4"/>
          <w:left w:val="single" w:sz="4" w:space="0" w:color="0072CE" w:themeColor="accent4"/>
          <w:bottom w:val="single" w:sz="4" w:space="0" w:color="0072CE" w:themeColor="accent4"/>
          <w:right w:val="single" w:sz="4" w:space="0" w:color="0072CE" w:themeColor="accent4"/>
          <w:insideH w:val="nil"/>
          <w:insideV w:val="nil"/>
        </w:tcBorders>
        <w:shd w:val="clear" w:color="auto" w:fill="0072CE" w:themeFill="accent4"/>
      </w:tcPr>
    </w:tblStylePr>
    <w:tblStylePr w:type="lastRow">
      <w:rPr>
        <w:b/>
        <w:bCs/>
      </w:rPr>
      <w:tblPr/>
      <w:tcPr>
        <w:tcBorders>
          <w:top w:val="double" w:sz="4" w:space="0" w:color="0072CE" w:themeColor="accent4"/>
        </w:tcBorders>
      </w:tcPr>
    </w:tblStylePr>
    <w:tblStylePr w:type="firstCol">
      <w:rPr>
        <w:b/>
        <w:bCs/>
      </w:rPr>
    </w:tblStylePr>
    <w:tblStylePr w:type="lastCol">
      <w:rPr>
        <w:b/>
        <w:bCs/>
      </w:rPr>
    </w:tblStylePr>
    <w:tblStylePr w:type="band1Vert">
      <w:tblPr/>
      <w:tcPr>
        <w:shd w:val="clear" w:color="auto" w:fill="C2E3FF" w:themeFill="accent4" w:themeFillTint="33"/>
      </w:tcPr>
    </w:tblStylePr>
    <w:tblStylePr w:type="band1Horz">
      <w:tblPr/>
      <w:tcPr>
        <w:shd w:val="clear" w:color="auto" w:fill="C2E3FF" w:themeFill="accent4" w:themeFillTint="33"/>
      </w:tcPr>
    </w:tblStylePr>
  </w:style>
  <w:style w:type="paragraph" w:styleId="Revision">
    <w:name w:val="Revision"/>
    <w:hidden/>
    <w:uiPriority w:val="99"/>
    <w:semiHidden/>
    <w:rsid w:val="001212E8"/>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63F688-2B4C-4A17-AE48-030BE415CA4B}">
  <ds:schemaRefs>
    <ds:schemaRef ds:uri="http://schemas.openxmlformats.org/officeDocument/2006/bibliography"/>
  </ds:schemaRefs>
</ds:datastoreItem>
</file>

<file path=customXml/itemProps2.xml><?xml version="1.0" encoding="utf-8"?>
<ds:datastoreItem xmlns:ds="http://schemas.openxmlformats.org/officeDocument/2006/customXml" ds:itemID="{664C7BFA-449D-4149-88C8-5D3B335DDB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Singh</dc:creator>
  <cp:lastModifiedBy>Constance Yuan (DTF)</cp:lastModifiedBy>
  <cp:revision>20</cp:revision>
  <cp:lastPrinted>2017-05-24T02:11:00Z</cp:lastPrinted>
  <dcterms:created xsi:type="dcterms:W3CDTF">2023-11-29T03:08:00Z</dcterms:created>
  <dcterms:modified xsi:type="dcterms:W3CDTF">2024-07-08T23:51:00Z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2023-08-31T02:36:17Z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945d3138-462a-4576-a96f-265ec795539a</vt:lpwstr>
  </property>
  <property fmtid="{D5CDD505-2E9C-101B-9397-08002B2CF9AE}" pid="10" name="MSIP_Label_7158ebbd-6c5e-441f-bfc9-4eb8c11e3978_ContentBits">
    <vt:lpwstr>2</vt:lpwstr>
  </property>
</Properties>
</file>